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drawings/drawing1.xml" ContentType="application/vnd.openxmlformats-officedocument.drawingml.chartshapes+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drawings/drawing2.xml" ContentType="application/vnd.openxmlformats-officedocument.drawingml.chartshapes+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drawings/drawing3.xml" ContentType="application/vnd.openxmlformats-officedocument.drawingml.chartshapes+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drawings/drawing4.xml" ContentType="application/vnd.openxmlformats-officedocument.drawingml.chartshapes+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drawings/drawing5.xml" ContentType="application/vnd.openxmlformats-officedocument.drawingml.chartshapes+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19.xml" ContentType="application/vnd.openxmlformats-officedocument.drawingml.chart+xml"/>
  <Override PartName="/word/charts/chart20.xml" ContentType="application/vnd.openxmlformats-officedocument.drawingml.chart+xml"/>
  <Override PartName="/word/charts/chart21.xml" ContentType="application/vnd.openxmlformats-officedocument.drawingml.chart+xml"/>
  <Override PartName="/word/charts/chart22.xml" ContentType="application/vnd.openxmlformats-officedocument.drawingml.chart+xml"/>
  <Override PartName="/word/charts/chart23.xml" ContentType="application/vnd.openxmlformats-officedocument.drawingml.chart+xml"/>
  <Override PartName="/word/charts/chart24.xml" ContentType="application/vnd.openxmlformats-officedocument.drawingml.chart+xml"/>
  <Override PartName="/word/charts/chart25.xml" ContentType="application/vnd.openxmlformats-officedocument.drawingml.chart+xml"/>
  <Override PartName="/word/charts/chart26.xml" ContentType="application/vnd.openxmlformats-officedocument.drawingml.chart+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08A526D" w14:textId="29CC4733" w:rsidR="00EC3CEE" w:rsidRPr="00C05886" w:rsidRDefault="00E242BB" w:rsidP="006E2104">
      <w:pPr>
        <w:jc w:val="center"/>
      </w:pPr>
      <w:bookmarkStart w:id="0" w:name="_Toc71642996"/>
      <w:r w:rsidRPr="00134B49">
        <w:rPr>
          <w:noProof/>
        </w:rPr>
        <w:drawing>
          <wp:inline distT="0" distB="0" distL="0" distR="0" wp14:anchorId="1CD42E9F" wp14:editId="486980A7">
            <wp:extent cx="2971509" cy="900000"/>
            <wp:effectExtent l="0" t="0" r="635" b="0"/>
            <wp:docPr id="120113852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1138527" name="Picture 1201138527"/>
                    <pic:cNvPicPr/>
                  </pic:nvPicPr>
                  <pic:blipFill>
                    <a:blip r:embed="rId8" cstate="print">
                      <a:extLst>
                        <a:ext uri="{28A0092B-C50C-407E-A947-70E740481C1C}">
                          <a14:useLocalDpi xmlns:a14="http://schemas.microsoft.com/office/drawing/2010/main" val="0"/>
                        </a:ext>
                      </a:extLst>
                    </a:blip>
                    <a:stretch>
                      <a:fillRect/>
                    </a:stretch>
                  </pic:blipFill>
                  <pic:spPr>
                    <a:xfrm>
                      <a:off x="0" y="0"/>
                      <a:ext cx="2971509" cy="900000"/>
                    </a:xfrm>
                    <a:prstGeom prst="rect">
                      <a:avLst/>
                    </a:prstGeom>
                  </pic:spPr>
                </pic:pic>
              </a:graphicData>
            </a:graphic>
          </wp:inline>
        </w:drawing>
      </w:r>
    </w:p>
    <w:p w14:paraId="05377886" w14:textId="77777777" w:rsidR="00670259" w:rsidRPr="00C05886" w:rsidRDefault="00670259" w:rsidP="00670259"/>
    <w:p w14:paraId="79421468" w14:textId="3C7C47DA" w:rsidR="00E242BB" w:rsidRPr="00C05886" w:rsidRDefault="00D4550A" w:rsidP="00E242BB">
      <w:pPr>
        <w:pStyle w:val="Title"/>
        <w:jc w:val="center"/>
        <w:rPr>
          <w:rFonts w:ascii="Times New Roman" w:hAnsi="Times New Roman" w:cs="Times New Roman"/>
          <w:sz w:val="52"/>
          <w:szCs w:val="52"/>
        </w:rPr>
      </w:pPr>
      <w:r w:rsidRPr="00C05886">
        <w:rPr>
          <w:rFonts w:ascii="Times New Roman" w:hAnsi="Times New Roman" w:cs="Times New Roman"/>
          <w:sz w:val="52"/>
          <w:szCs w:val="52"/>
        </w:rPr>
        <w:t>Does</w:t>
      </w:r>
      <w:r w:rsidR="00360CF5" w:rsidRPr="00C05886">
        <w:rPr>
          <w:rFonts w:ascii="Times New Roman" w:hAnsi="Times New Roman" w:cs="Times New Roman"/>
          <w:sz w:val="52"/>
          <w:szCs w:val="52"/>
        </w:rPr>
        <w:t xml:space="preserve"> increasing </w:t>
      </w:r>
      <w:r w:rsidRPr="00C05886">
        <w:rPr>
          <w:rFonts w:ascii="Times New Roman" w:hAnsi="Times New Roman" w:cs="Times New Roman"/>
          <w:sz w:val="52"/>
          <w:szCs w:val="52"/>
        </w:rPr>
        <w:t xml:space="preserve">urban </w:t>
      </w:r>
      <w:r w:rsidR="00360CF5" w:rsidRPr="00C05886">
        <w:rPr>
          <w:rFonts w:ascii="Times New Roman" w:hAnsi="Times New Roman" w:cs="Times New Roman"/>
          <w:sz w:val="52"/>
          <w:szCs w:val="52"/>
        </w:rPr>
        <w:t xml:space="preserve">biodiversity </w:t>
      </w:r>
      <w:r w:rsidRPr="00C05886">
        <w:rPr>
          <w:rFonts w:ascii="Times New Roman" w:hAnsi="Times New Roman" w:cs="Times New Roman"/>
          <w:sz w:val="52"/>
          <w:szCs w:val="52"/>
        </w:rPr>
        <w:t>enhance</w:t>
      </w:r>
      <w:r w:rsidR="00360CF5" w:rsidRPr="00C05886">
        <w:rPr>
          <w:rFonts w:ascii="Times New Roman" w:hAnsi="Times New Roman" w:cs="Times New Roman"/>
          <w:sz w:val="52"/>
          <w:szCs w:val="52"/>
        </w:rPr>
        <w:t xml:space="preserve"> stress recovery? New experimental evidence</w:t>
      </w:r>
    </w:p>
    <w:p w14:paraId="28D0A8FF" w14:textId="226FE296" w:rsidR="00E242BB" w:rsidRPr="00C05886" w:rsidRDefault="00E242BB" w:rsidP="00E242BB">
      <w:pPr>
        <w:jc w:val="center"/>
      </w:pPr>
    </w:p>
    <w:p w14:paraId="7E35F107" w14:textId="5266A124" w:rsidR="00E242BB" w:rsidRPr="00C05886" w:rsidRDefault="00E242BB" w:rsidP="00E242BB">
      <w:pPr>
        <w:jc w:val="center"/>
        <w:rPr>
          <w:rFonts w:ascii="Times New Roman" w:hAnsi="Times New Roman" w:cs="Times New Roman"/>
          <w:sz w:val="36"/>
          <w:szCs w:val="36"/>
        </w:rPr>
      </w:pPr>
      <w:r w:rsidRPr="00C05886">
        <w:rPr>
          <w:rFonts w:ascii="Times New Roman" w:hAnsi="Times New Roman" w:cs="Times New Roman"/>
          <w:sz w:val="36"/>
          <w:szCs w:val="36"/>
        </w:rPr>
        <w:t>Simone Farris</w:t>
      </w:r>
    </w:p>
    <w:p w14:paraId="4098A1FB" w14:textId="77777777" w:rsidR="00E242BB" w:rsidRPr="00C05886" w:rsidRDefault="00E242BB" w:rsidP="00E242BB">
      <w:pPr>
        <w:jc w:val="center"/>
        <w:rPr>
          <w:rFonts w:ascii="Times New Roman" w:hAnsi="Times New Roman" w:cs="Times New Roman"/>
        </w:rPr>
      </w:pPr>
    </w:p>
    <w:p w14:paraId="0BD2D340" w14:textId="77777777" w:rsidR="00E242BB" w:rsidRPr="00C05886" w:rsidRDefault="00E242BB" w:rsidP="00E242BB">
      <w:pPr>
        <w:rPr>
          <w:rFonts w:ascii="Times New Roman" w:hAnsi="Times New Roman" w:cs="Times New Roman"/>
        </w:rPr>
      </w:pPr>
    </w:p>
    <w:p w14:paraId="28C05FC6" w14:textId="77777777" w:rsidR="00E242BB" w:rsidRPr="00C05886" w:rsidRDefault="00E242BB" w:rsidP="00E242BB">
      <w:pPr>
        <w:rPr>
          <w:rFonts w:ascii="Times New Roman" w:hAnsi="Times New Roman" w:cs="Times New Roman"/>
        </w:rPr>
      </w:pPr>
    </w:p>
    <w:p w14:paraId="2D889642" w14:textId="77777777" w:rsidR="00E242BB" w:rsidRPr="00C05886" w:rsidRDefault="00E242BB" w:rsidP="00E242BB">
      <w:pPr>
        <w:jc w:val="center"/>
        <w:rPr>
          <w:rFonts w:ascii="Times New Roman" w:hAnsi="Times New Roman" w:cs="Times New Roman"/>
        </w:rPr>
      </w:pPr>
    </w:p>
    <w:p w14:paraId="3D1CB08B" w14:textId="7917EAB5" w:rsidR="00E242BB" w:rsidRPr="00C05886" w:rsidRDefault="00E242BB" w:rsidP="00E242BB">
      <w:pPr>
        <w:jc w:val="center"/>
        <w:rPr>
          <w:rFonts w:ascii="Times New Roman" w:hAnsi="Times New Roman" w:cs="Times New Roman"/>
          <w:sz w:val="28"/>
          <w:szCs w:val="28"/>
        </w:rPr>
      </w:pPr>
      <w:r w:rsidRPr="00C05886">
        <w:rPr>
          <w:rFonts w:ascii="Times New Roman" w:hAnsi="Times New Roman" w:cs="Times New Roman"/>
          <w:sz w:val="28"/>
          <w:szCs w:val="28"/>
        </w:rPr>
        <w:t>A thesis in the publication format submitted in partial fulfilment of the degree</w:t>
      </w:r>
    </w:p>
    <w:p w14:paraId="3EFBA4EC" w14:textId="68CCA932" w:rsidR="00E242BB" w:rsidRPr="00C05886" w:rsidRDefault="00E242BB" w:rsidP="00E242BB">
      <w:pPr>
        <w:jc w:val="center"/>
        <w:rPr>
          <w:rFonts w:ascii="Times New Roman" w:hAnsi="Times New Roman" w:cs="Times New Roman"/>
          <w:sz w:val="32"/>
          <w:szCs w:val="32"/>
        </w:rPr>
      </w:pPr>
      <w:r w:rsidRPr="00C05886">
        <w:rPr>
          <w:rFonts w:ascii="Times New Roman" w:hAnsi="Times New Roman" w:cs="Times New Roman"/>
          <w:sz w:val="32"/>
          <w:szCs w:val="32"/>
        </w:rPr>
        <w:t>Doctor of Philosophy</w:t>
      </w:r>
    </w:p>
    <w:p w14:paraId="0135EA1B" w14:textId="77777777" w:rsidR="00E242BB" w:rsidRPr="00C05886" w:rsidRDefault="00E242BB" w:rsidP="00E242BB">
      <w:pPr>
        <w:jc w:val="center"/>
        <w:rPr>
          <w:rFonts w:ascii="Times New Roman" w:hAnsi="Times New Roman" w:cs="Times New Roman"/>
          <w:sz w:val="32"/>
          <w:szCs w:val="32"/>
        </w:rPr>
      </w:pPr>
    </w:p>
    <w:p w14:paraId="459D3275" w14:textId="6D3D9095" w:rsidR="00E242BB" w:rsidRPr="00C05886" w:rsidRDefault="00E242BB" w:rsidP="00E242BB">
      <w:pPr>
        <w:jc w:val="center"/>
        <w:rPr>
          <w:rFonts w:ascii="Times New Roman" w:hAnsi="Times New Roman" w:cs="Times New Roman"/>
          <w:sz w:val="32"/>
          <w:szCs w:val="32"/>
        </w:rPr>
      </w:pPr>
      <w:r w:rsidRPr="00C05886">
        <w:rPr>
          <w:rFonts w:ascii="Times New Roman" w:hAnsi="Times New Roman" w:cs="Times New Roman"/>
          <w:sz w:val="32"/>
          <w:szCs w:val="32"/>
        </w:rPr>
        <w:t>University of Sheffield</w:t>
      </w:r>
    </w:p>
    <w:p w14:paraId="670B0B49" w14:textId="748589C2" w:rsidR="00E242BB" w:rsidRPr="00C05886" w:rsidRDefault="00E242BB" w:rsidP="00E242BB">
      <w:pPr>
        <w:jc w:val="center"/>
        <w:rPr>
          <w:rFonts w:ascii="Times New Roman" w:hAnsi="Times New Roman" w:cs="Times New Roman"/>
          <w:sz w:val="32"/>
          <w:szCs w:val="32"/>
        </w:rPr>
      </w:pPr>
      <w:r w:rsidRPr="00C05886">
        <w:rPr>
          <w:rFonts w:ascii="Times New Roman" w:hAnsi="Times New Roman" w:cs="Times New Roman"/>
          <w:sz w:val="32"/>
          <w:szCs w:val="32"/>
        </w:rPr>
        <w:t>Faculty of Social Science</w:t>
      </w:r>
    </w:p>
    <w:p w14:paraId="46DFB0C7" w14:textId="3A8AFB1B" w:rsidR="00E242BB" w:rsidRPr="00C05886" w:rsidRDefault="00E242BB" w:rsidP="00E242BB">
      <w:pPr>
        <w:jc w:val="center"/>
        <w:rPr>
          <w:rFonts w:ascii="Times New Roman" w:hAnsi="Times New Roman" w:cs="Times New Roman"/>
          <w:sz w:val="32"/>
          <w:szCs w:val="32"/>
        </w:rPr>
      </w:pPr>
      <w:r w:rsidRPr="00C05886">
        <w:rPr>
          <w:rFonts w:ascii="Times New Roman" w:hAnsi="Times New Roman" w:cs="Times New Roman"/>
          <w:sz w:val="32"/>
          <w:szCs w:val="32"/>
        </w:rPr>
        <w:t>Department of Landscape Architecture</w:t>
      </w:r>
    </w:p>
    <w:p w14:paraId="48EFDB0B" w14:textId="77777777" w:rsidR="00E242BB" w:rsidRPr="00C05886" w:rsidRDefault="00E242BB" w:rsidP="00E242BB">
      <w:pPr>
        <w:jc w:val="center"/>
        <w:rPr>
          <w:rFonts w:ascii="Times New Roman" w:hAnsi="Times New Roman" w:cs="Times New Roman"/>
          <w:sz w:val="32"/>
          <w:szCs w:val="32"/>
        </w:rPr>
      </w:pPr>
    </w:p>
    <w:p w14:paraId="77DAF5B3" w14:textId="2DAF34AF" w:rsidR="00EC3CEE" w:rsidRPr="00C05886" w:rsidRDefault="00E242BB" w:rsidP="00670259">
      <w:pPr>
        <w:jc w:val="center"/>
        <w:rPr>
          <w:sz w:val="32"/>
          <w:szCs w:val="32"/>
        </w:rPr>
      </w:pPr>
      <w:r w:rsidRPr="00C05886">
        <w:rPr>
          <w:rFonts w:ascii="Times New Roman" w:hAnsi="Times New Roman" w:cs="Times New Roman"/>
          <w:sz w:val="32"/>
          <w:szCs w:val="32"/>
        </w:rPr>
        <w:t>January 2024</w:t>
      </w:r>
      <w:r w:rsidR="00EC3CEE" w:rsidRPr="00C05886">
        <w:br w:type="page"/>
      </w:r>
    </w:p>
    <w:p w14:paraId="46658517" w14:textId="510B2338" w:rsidR="00670259" w:rsidRPr="00C05886" w:rsidRDefault="00670259" w:rsidP="00670259">
      <w:pPr>
        <w:rPr>
          <w:b/>
          <w:bCs/>
          <w:sz w:val="32"/>
          <w:szCs w:val="28"/>
        </w:rPr>
      </w:pPr>
      <w:r w:rsidRPr="00C05886">
        <w:rPr>
          <w:b/>
          <w:bCs/>
          <w:sz w:val="32"/>
          <w:szCs w:val="28"/>
        </w:rPr>
        <w:lastRenderedPageBreak/>
        <w:t>Supervising team:</w:t>
      </w:r>
    </w:p>
    <w:p w14:paraId="10895E44" w14:textId="0BD2A17C" w:rsidR="00670259" w:rsidRPr="00C05886" w:rsidRDefault="00670259" w:rsidP="00670259">
      <w:r w:rsidRPr="00C05886">
        <w:t>Professor Ross Cameron, Department of Landscape Architecture, University of Sheffield</w:t>
      </w:r>
    </w:p>
    <w:p w14:paraId="3EB1D7D3" w14:textId="633EA56E" w:rsidR="00670259" w:rsidRPr="00C05886" w:rsidRDefault="00670259" w:rsidP="00670259">
      <w:r w:rsidRPr="00C05886">
        <w:t>Dr Nicola Dempsey, Department of Landscape Architecture, University of Sheffield</w:t>
      </w:r>
    </w:p>
    <w:p w14:paraId="61423CD5" w14:textId="1649AFE9" w:rsidR="00670259" w:rsidRPr="00C05886" w:rsidRDefault="00670259" w:rsidP="00670259">
      <w:r w:rsidRPr="00C05886">
        <w:t>Professor Kirsten McEwan, College of Health, Psychology and Social Care, University of Derby, Derby, United Kingdom</w:t>
      </w:r>
    </w:p>
    <w:p w14:paraId="2AB1F99A" w14:textId="23EE3851" w:rsidR="00670259" w:rsidRPr="00C05886" w:rsidRDefault="00670259" w:rsidP="00670259">
      <w:pPr>
        <w:rPr>
          <w:b/>
          <w:bCs/>
          <w:sz w:val="28"/>
          <w:szCs w:val="28"/>
        </w:rPr>
      </w:pPr>
      <w:r w:rsidRPr="00C05886">
        <w:rPr>
          <w:b/>
          <w:bCs/>
          <w:sz w:val="28"/>
          <w:szCs w:val="28"/>
        </w:rPr>
        <w:t>Further advising:</w:t>
      </w:r>
    </w:p>
    <w:p w14:paraId="6A435402" w14:textId="77777777" w:rsidR="00670259" w:rsidRPr="00C05886" w:rsidRDefault="00670259" w:rsidP="00670259">
      <w:r w:rsidRPr="00C05886">
        <w:t>Dr Helen Hoyle, Department of Landscape Architecture, University of Sheffield</w:t>
      </w:r>
    </w:p>
    <w:p w14:paraId="35B5A896" w14:textId="77777777" w:rsidR="00670259" w:rsidRPr="00C05886" w:rsidRDefault="00670259" w:rsidP="00670259"/>
    <w:p w14:paraId="5BF56582" w14:textId="77777777" w:rsidR="00794203" w:rsidRPr="00C05886" w:rsidRDefault="00794203" w:rsidP="00670259"/>
    <w:p w14:paraId="7D6A232E" w14:textId="77777777" w:rsidR="00794203" w:rsidRPr="00C05886" w:rsidRDefault="00794203">
      <w:pPr>
        <w:spacing w:line="259" w:lineRule="auto"/>
        <w:jc w:val="left"/>
      </w:pPr>
      <w:r w:rsidRPr="00C05886">
        <w:br w:type="page"/>
      </w:r>
    </w:p>
    <w:p w14:paraId="4341DD83" w14:textId="0CC5CDE5" w:rsidR="006E2104" w:rsidRPr="00C05886" w:rsidRDefault="00D612DA" w:rsidP="00670259">
      <w:pPr>
        <w:rPr>
          <w:b/>
          <w:bCs/>
          <w:sz w:val="56"/>
          <w:szCs w:val="56"/>
        </w:rPr>
      </w:pPr>
      <w:r>
        <w:rPr>
          <w:b/>
          <w:bCs/>
          <w:sz w:val="56"/>
          <w:szCs w:val="56"/>
        </w:rPr>
        <w:lastRenderedPageBreak/>
        <w:t>Acknowledgements</w:t>
      </w:r>
    </w:p>
    <w:p w14:paraId="652D9DAE" w14:textId="7BE0D39B" w:rsidR="00614D32" w:rsidRPr="00C05886" w:rsidRDefault="00614D32" w:rsidP="00670259">
      <w:r w:rsidRPr="00C05886">
        <w:t xml:space="preserve">First of all, thanks to Alice, now Dr </w:t>
      </w:r>
      <w:proofErr w:type="spellStart"/>
      <w:r w:rsidRPr="00C05886">
        <w:t>Fanari</w:t>
      </w:r>
      <w:proofErr w:type="spellEnd"/>
      <w:r w:rsidRPr="00C05886">
        <w:t xml:space="preserve"> at </w:t>
      </w:r>
      <w:r w:rsidR="00D612DA">
        <w:t xml:space="preserve">the </w:t>
      </w:r>
      <w:r w:rsidR="008977DC" w:rsidRPr="00C05886">
        <w:t>University of Oklahoma</w:t>
      </w:r>
      <w:r w:rsidRPr="00C05886">
        <w:t xml:space="preserve"> (US). None of this would have happened without </w:t>
      </w:r>
      <w:r w:rsidR="005F48CB" w:rsidRPr="00C05886">
        <w:t xml:space="preserve">your suggestion, that day </w:t>
      </w:r>
      <w:r w:rsidRPr="00C05886">
        <w:t>on the beach.</w:t>
      </w:r>
      <w:r w:rsidR="00774842" w:rsidRPr="00C05886">
        <w:t xml:space="preserve"> And thanks to Lorenzo, now Dr Angeli at the University of Trento for reviewing my application and for his friendly support over these years.</w:t>
      </w:r>
    </w:p>
    <w:p w14:paraId="757F9B1C" w14:textId="698A26E3" w:rsidR="00614D32" w:rsidRPr="00C05886" w:rsidRDefault="00614D32" w:rsidP="00670259">
      <w:r w:rsidRPr="00C05886">
        <w:t xml:space="preserve">Words will never be enough to </w:t>
      </w:r>
      <w:r w:rsidR="005F48CB" w:rsidRPr="00C05886">
        <w:t xml:space="preserve">thank </w:t>
      </w:r>
      <w:r w:rsidRPr="00C05886">
        <w:t>my supervisors, Ross, Nicola, Kirsten and Helen. And I talk a lot! Thank you for accepting the challenge of treating me as a colleague-in-training since day 1. Thanks for all your time, discussions and continuous support.</w:t>
      </w:r>
    </w:p>
    <w:p w14:paraId="2B0514FF" w14:textId="00F93562" w:rsidR="006912B6" w:rsidRPr="00C05886" w:rsidRDefault="00614D32" w:rsidP="00670259">
      <w:r w:rsidRPr="00C05886">
        <w:t>Without deep roots, no tree grow</w:t>
      </w:r>
      <w:r w:rsidR="0030564F" w:rsidRPr="00C05886">
        <w:t>s</w:t>
      </w:r>
      <w:r w:rsidRPr="00C05886">
        <w:t xml:space="preserve"> tall. Thanks to all my loved ones in Sardin</w:t>
      </w:r>
      <w:r w:rsidR="0030564F" w:rsidRPr="00C05886">
        <w:t>i</w:t>
      </w:r>
      <w:r w:rsidRPr="00C05886">
        <w:t>a and Italy, especially my parents and sister</w:t>
      </w:r>
      <w:r w:rsidR="006912B6" w:rsidRPr="00C05886">
        <w:t xml:space="preserve">. Thanks to my dearest Andrea and his </w:t>
      </w:r>
      <w:r w:rsidR="00186745" w:rsidRPr="00C05886">
        <w:t>mother</w:t>
      </w:r>
      <w:r w:rsidR="006912B6" w:rsidRPr="00C05886">
        <w:t xml:space="preserve"> Diletta, for inspiring me to push forward. Thanks to my </w:t>
      </w:r>
      <w:r w:rsidR="00186745" w:rsidRPr="00C05886">
        <w:t xml:space="preserve">favourite </w:t>
      </w:r>
      <w:r w:rsidR="006912B6" w:rsidRPr="00C05886">
        <w:t>couple of martial artist</w:t>
      </w:r>
      <w:r w:rsidR="00186745" w:rsidRPr="00C05886">
        <w:t>s</w:t>
      </w:r>
      <w:r w:rsidR="006912B6" w:rsidRPr="00C05886">
        <w:t>, Pina and Enrico</w:t>
      </w:r>
      <w:r w:rsidR="00186745" w:rsidRPr="00C05886">
        <w:t>, for being such great role models</w:t>
      </w:r>
      <w:r w:rsidR="006912B6" w:rsidRPr="00C05886">
        <w:t xml:space="preserve">. Thanks to Enrica, now Dr Boi at the University of Cagliari; I’ll </w:t>
      </w:r>
      <w:r w:rsidR="00D612DA">
        <w:t>always be ready to</w:t>
      </w:r>
      <w:r w:rsidR="006912B6" w:rsidRPr="00C05886">
        <w:t xml:space="preserve"> collect some plants with you, preferably in some </w:t>
      </w:r>
      <w:r w:rsidR="000D36B3" w:rsidRPr="00C05886">
        <w:t>forgotten</w:t>
      </w:r>
      <w:r w:rsidR="006912B6" w:rsidRPr="00C05886">
        <w:t xml:space="preserve"> mining wasteland, under a scorching sun. Thanks to </w:t>
      </w:r>
      <w:proofErr w:type="spellStart"/>
      <w:r w:rsidR="006912B6" w:rsidRPr="00C05886">
        <w:t>coppai</w:t>
      </w:r>
      <w:proofErr w:type="spellEnd"/>
      <w:r w:rsidR="006912B6" w:rsidRPr="00C05886">
        <w:t xml:space="preserve"> Valerio and </w:t>
      </w:r>
      <w:proofErr w:type="spellStart"/>
      <w:r w:rsidR="006912B6" w:rsidRPr="00C05886">
        <w:t>coppai</w:t>
      </w:r>
      <w:proofErr w:type="spellEnd"/>
      <w:r w:rsidR="006912B6" w:rsidRPr="00C05886">
        <w:t xml:space="preserve"> Marco for the countless hours of games, rant</w:t>
      </w:r>
      <w:r w:rsidR="000D36B3" w:rsidRPr="00C05886">
        <w:t>s</w:t>
      </w:r>
      <w:r w:rsidR="006912B6" w:rsidRPr="00C05886">
        <w:t xml:space="preserve"> and support.</w:t>
      </w:r>
    </w:p>
    <w:p w14:paraId="76D54D46" w14:textId="1CA47F16" w:rsidR="006912B6" w:rsidRPr="00C05886" w:rsidRDefault="006912B6" w:rsidP="00670259">
      <w:r w:rsidRPr="00C05886">
        <w:t>I am most grateful to the Catholic Chaplaincy of the University of Sheffield, at the St Vincent Mission Hub. I am so blessed to be part of this great community. Special thanks to Fr Lee, Charlie, Mary, Enrico, Laura, Gerard, Sebastian, Joseph and Theresa for being my first friends in Sheffield, chasing away loneliness during Covid and beyond.</w:t>
      </w:r>
    </w:p>
    <w:p w14:paraId="38725374" w14:textId="03D2D52B" w:rsidR="001C3E32" w:rsidRPr="00C05886" w:rsidRDefault="006912B6" w:rsidP="00670259">
      <w:r w:rsidRPr="00C05886">
        <w:t>Thanks to all my “Bible Study” friends: Em, Sammy, Pippa, Gully, Harry, Aurelien, Ajish, the three (H)Anna, Esther, Caterina</w:t>
      </w:r>
      <w:r w:rsidR="00B51195" w:rsidRPr="00C05886">
        <w:t>, Anya</w:t>
      </w:r>
      <w:r w:rsidRPr="00C05886">
        <w:t xml:space="preserve">, </w:t>
      </w:r>
      <w:proofErr w:type="spellStart"/>
      <w:r w:rsidRPr="00C05886">
        <w:t>Vailancia</w:t>
      </w:r>
      <w:proofErr w:type="spellEnd"/>
      <w:r w:rsidRPr="00C05886">
        <w:t xml:space="preserve">, Ciara, Francesca, the two James, Sam, Vis, Natalia, Lena, Marie and </w:t>
      </w:r>
      <w:r w:rsidR="001C3E32" w:rsidRPr="00C05886">
        <w:t xml:space="preserve">Charlie. Thanks for your friendship, prayers and </w:t>
      </w:r>
      <w:r w:rsidR="001C3E32" w:rsidRPr="00C05886">
        <w:rPr>
          <w:u w:val="single"/>
        </w:rPr>
        <w:t>encouragement</w:t>
      </w:r>
      <w:r w:rsidR="001C3E32" w:rsidRPr="00C05886">
        <w:t>.</w:t>
      </w:r>
    </w:p>
    <w:p w14:paraId="77E39DEB" w14:textId="0E1001C3" w:rsidR="00FF304B" w:rsidRPr="00C05886" w:rsidRDefault="001C3E32" w:rsidP="00670259">
      <w:r w:rsidRPr="00C05886">
        <w:t xml:space="preserve">Thanks to all the lovely people in the Department of Landscape for making this journey great day after day. Thanks to </w:t>
      </w:r>
      <w:r w:rsidR="00FF304B" w:rsidRPr="00C05886">
        <w:t xml:space="preserve">Aimee, Maria and Nadine, who were the first back on Floor 9 after the lockdowns. Thanks to the soon-to-be Dr Liwen, John and Jie for all the glorious debates at lunchtime and beyond. Good luck to all my PGR colleagues of every year. Special thanks to Emily </w:t>
      </w:r>
      <w:proofErr w:type="spellStart"/>
      <w:r w:rsidR="00FF304B" w:rsidRPr="00C05886">
        <w:t>Rahtz</w:t>
      </w:r>
      <w:proofErr w:type="spellEnd"/>
      <w:r w:rsidR="00FF304B" w:rsidRPr="00C05886">
        <w:t xml:space="preserve"> for her stellar support!</w:t>
      </w:r>
    </w:p>
    <w:p w14:paraId="51A0FCA4" w14:textId="2F708D19" w:rsidR="00670259" w:rsidRPr="00C05886" w:rsidRDefault="00FF304B" w:rsidP="00670259">
      <w:r w:rsidRPr="00C05886">
        <w:t>Finally, I am grateful to the White Rose DTP and the Grantham Centre for Sustainable Futures for funding this PhD project.</w:t>
      </w:r>
      <w:r w:rsidR="00670259" w:rsidRPr="00C05886">
        <w:br w:type="page"/>
      </w:r>
    </w:p>
    <w:p w14:paraId="2F0438E2" w14:textId="3FAFAD87" w:rsidR="00CF2447" w:rsidRPr="00C05886" w:rsidRDefault="00CF2447" w:rsidP="00505B49">
      <w:pPr>
        <w:pStyle w:val="Heading1"/>
      </w:pPr>
      <w:bookmarkStart w:id="1" w:name="_Toc179962266"/>
      <w:r w:rsidRPr="00C05886">
        <w:lastRenderedPageBreak/>
        <w:t>Abstract</w:t>
      </w:r>
      <w:bookmarkEnd w:id="1"/>
    </w:p>
    <w:p w14:paraId="7C8437D9" w14:textId="61751DCD" w:rsidR="009D0F01" w:rsidRPr="00C05886" w:rsidRDefault="00CF2447" w:rsidP="00CF2447">
      <w:r w:rsidRPr="00C05886">
        <w:t xml:space="preserve">Urban nature, in the form of parks, gardens and semi-natural areas, has been cited as an important provider of health and well-being. </w:t>
      </w:r>
      <w:r w:rsidR="0078506C" w:rsidRPr="00C05886">
        <w:t>D</w:t>
      </w:r>
      <w:r w:rsidRPr="00C05886">
        <w:t xml:space="preserve">ecades of research have investigated the </w:t>
      </w:r>
      <w:proofErr w:type="spellStart"/>
      <w:r w:rsidRPr="00C05886">
        <w:t>salutogenic</w:t>
      </w:r>
      <w:proofErr w:type="spellEnd"/>
      <w:r w:rsidRPr="00C05886">
        <w:t xml:space="preserve"> potential of urban nature, </w:t>
      </w:r>
      <w:r w:rsidR="0078506C" w:rsidRPr="00C05886">
        <w:t xml:space="preserve">however, </w:t>
      </w:r>
      <w:r w:rsidRPr="00C05886">
        <w:t>most of the evidence has compared “green” (i.e. vegetated) spaces against “grey” (i.e. urbanised) spaces</w:t>
      </w:r>
      <w:r w:rsidR="009D0F01" w:rsidRPr="00C05886">
        <w:t>, often giving limited attention to their ecological components</w:t>
      </w:r>
      <w:r w:rsidR="00737FEE" w:rsidRPr="00C05886">
        <w:t xml:space="preserve"> such as biodiversity</w:t>
      </w:r>
      <w:r w:rsidR="009D0F01" w:rsidRPr="00C05886">
        <w:t xml:space="preserve">. </w:t>
      </w:r>
    </w:p>
    <w:p w14:paraId="7437D3A0" w14:textId="6EEA66DE" w:rsidR="009D0F01" w:rsidRPr="00C05886" w:rsidRDefault="009D0F01" w:rsidP="00CF2447">
      <w:r w:rsidRPr="00C05886">
        <w:t xml:space="preserve">This PhD project aimed to investigate the relationship </w:t>
      </w:r>
      <w:r w:rsidR="0078506C" w:rsidRPr="00C05886">
        <w:t>between</w:t>
      </w:r>
      <w:r w:rsidRPr="00C05886">
        <w:t xml:space="preserve"> biodiversity and well-being more systematically. This thesis presents the results of four studies, in which actual</w:t>
      </w:r>
      <w:r w:rsidR="00D30FA5" w:rsidRPr="00C05886">
        <w:t xml:space="preserve"> (i.e. really present)</w:t>
      </w:r>
      <w:r w:rsidRPr="00C05886">
        <w:t xml:space="preserve"> and perceived</w:t>
      </w:r>
      <w:r w:rsidR="00D30FA5" w:rsidRPr="00C05886">
        <w:t xml:space="preserve"> (i.e. subjectively estimated)</w:t>
      </w:r>
      <w:r w:rsidRPr="00C05886">
        <w:t xml:space="preserve"> </w:t>
      </w:r>
      <w:r w:rsidR="00C16D4F">
        <w:t>species richness</w:t>
      </w:r>
      <w:r w:rsidRPr="00C05886">
        <w:t xml:space="preserve"> have been linked to psychological and physiological indicators of well</w:t>
      </w:r>
      <w:r w:rsidR="004504E4" w:rsidRPr="00C05886">
        <w:t>-</w:t>
      </w:r>
      <w:r w:rsidRPr="00C05886">
        <w:t>being</w:t>
      </w:r>
      <w:r w:rsidR="004504E4" w:rsidRPr="00C05886">
        <w:t xml:space="preserve">. In particular, this was achieved by manipulating the number of plant species within the </w:t>
      </w:r>
      <w:r w:rsidR="004504E4" w:rsidRPr="00C05886">
        <w:rPr>
          <w:i/>
          <w:iCs/>
        </w:rPr>
        <w:t>same</w:t>
      </w:r>
      <w:r w:rsidR="004504E4" w:rsidRPr="00C05886">
        <w:t xml:space="preserve"> space, creating alternative versions of the area </w:t>
      </w:r>
      <w:r w:rsidR="0078506C" w:rsidRPr="00C05886">
        <w:t>which</w:t>
      </w:r>
      <w:r w:rsidR="004504E4" w:rsidRPr="00C05886">
        <w:t xml:space="preserve"> differed only in the species number. These experimental </w:t>
      </w:r>
      <w:r w:rsidR="0078506C" w:rsidRPr="00C05886">
        <w:t>settings</w:t>
      </w:r>
      <w:r w:rsidR="004504E4" w:rsidRPr="00C05886">
        <w:t xml:space="preserve"> </w:t>
      </w:r>
      <w:r w:rsidR="0078506C" w:rsidRPr="00C05886">
        <w:t>were</w:t>
      </w:r>
      <w:r w:rsidR="004504E4" w:rsidRPr="00C05886">
        <w:t xml:space="preserve"> then used to relax the participants during a stress</w:t>
      </w:r>
      <w:r w:rsidR="00310771" w:rsidRPr="00C05886">
        <w:t xml:space="preserve"> induction and recovery procedure.</w:t>
      </w:r>
    </w:p>
    <w:p w14:paraId="607EEB52" w14:textId="4E5F1646" w:rsidR="002656CD" w:rsidRPr="00C05886" w:rsidRDefault="002656CD" w:rsidP="00CF2447">
      <w:r w:rsidRPr="00C05886">
        <w:t>Results consistently highlighted that an increase in</w:t>
      </w:r>
      <w:r w:rsidR="00C16D4F">
        <w:t xml:space="preserve"> the</w:t>
      </w:r>
      <w:r w:rsidRPr="00C05886">
        <w:t xml:space="preserve"> actual </w:t>
      </w:r>
      <w:r w:rsidR="00C16D4F">
        <w:t>number of species</w:t>
      </w:r>
      <w:r w:rsidRPr="00C05886">
        <w:t xml:space="preserve"> was not associated with increased well-being. Instead, </w:t>
      </w:r>
      <w:r w:rsidRPr="00C05886">
        <w:rPr>
          <w:i/>
          <w:iCs/>
        </w:rPr>
        <w:t>perceiving</w:t>
      </w:r>
      <w:r w:rsidRPr="00C05886">
        <w:t xml:space="preserve"> </w:t>
      </w:r>
      <w:r w:rsidR="00C16D4F">
        <w:t xml:space="preserve">a </w:t>
      </w:r>
      <w:r w:rsidRPr="00C05886">
        <w:t xml:space="preserve">high </w:t>
      </w:r>
      <w:r w:rsidR="00C16D4F">
        <w:t>number of species</w:t>
      </w:r>
      <w:r w:rsidRPr="00C05886">
        <w:t xml:space="preserve"> was strongly associated with improved emotional well-being. However, </w:t>
      </w:r>
      <w:r w:rsidR="00737FEE" w:rsidRPr="00C05886">
        <w:t xml:space="preserve">the perceived number of species </w:t>
      </w:r>
      <w:r w:rsidR="00C16D4F">
        <w:t>did not always match</w:t>
      </w:r>
      <w:r w:rsidRPr="00C05886">
        <w:t xml:space="preserve"> the </w:t>
      </w:r>
      <w:r w:rsidR="00737FEE" w:rsidRPr="00C05886">
        <w:t>actual</w:t>
      </w:r>
      <w:r w:rsidRPr="00C05886">
        <w:t xml:space="preserve"> number of species. Interestingly, those </w:t>
      </w:r>
      <w:r w:rsidR="0078506C" w:rsidRPr="00C05886">
        <w:t xml:space="preserve">participants </w:t>
      </w:r>
      <w:r w:rsidRPr="00C05886">
        <w:t>who were able to relate their perceptions to some elements of biodiversity showed the greatest improvement in well-being.</w:t>
      </w:r>
    </w:p>
    <w:p w14:paraId="5129BC43" w14:textId="66640A55" w:rsidR="002656CD" w:rsidRPr="00C05886" w:rsidRDefault="002656CD" w:rsidP="00CF2447">
      <w:r w:rsidRPr="00C05886">
        <w:t xml:space="preserve">This evidence suggests that </w:t>
      </w:r>
      <w:r w:rsidR="0078506C" w:rsidRPr="00C05886">
        <w:t xml:space="preserve">the </w:t>
      </w:r>
      <w:r w:rsidRPr="00C05886">
        <w:t xml:space="preserve">relationship between urban biodiversity and well-being passes through the sieve of subjective perception, which, however, does not represent the actual variety of species. This could lead to reduced support for sustainable enhancement and management of urban biodiversity. However, </w:t>
      </w:r>
      <w:r w:rsidR="00EB6D9B" w:rsidRPr="00C05886">
        <w:t xml:space="preserve">the improved well-being </w:t>
      </w:r>
      <w:r w:rsidR="0078506C" w:rsidRPr="00C05886">
        <w:t>shown</w:t>
      </w:r>
      <w:r w:rsidR="00EB6D9B" w:rsidRPr="00C05886">
        <w:t xml:space="preserve"> by those who noticed biodiversity </w:t>
      </w:r>
      <w:r w:rsidR="0078506C" w:rsidRPr="00C05886">
        <w:t>suggests</w:t>
      </w:r>
      <w:r w:rsidR="00EB6D9B" w:rsidRPr="00C05886">
        <w:t xml:space="preserve"> there may be a solution </w:t>
      </w:r>
      <w:r w:rsidR="0078506C" w:rsidRPr="00C05886">
        <w:t>to</w:t>
      </w:r>
      <w:r w:rsidR="00EB6D9B" w:rsidRPr="00C05886">
        <w:t xml:space="preserve"> this dilemma. If designers and practitioners could find a way </w:t>
      </w:r>
      <w:r w:rsidR="002154D4" w:rsidRPr="00C05886">
        <w:t>to make biodiversity more noticeable future green spaces could be even more effective providers of well-being.</w:t>
      </w:r>
    </w:p>
    <w:p w14:paraId="162F42E7" w14:textId="77777777" w:rsidR="00310771" w:rsidRPr="00C05886" w:rsidRDefault="00310771" w:rsidP="00CF2447"/>
    <w:p w14:paraId="22703BC5" w14:textId="18CAE6D9" w:rsidR="00260DE5" w:rsidRPr="00C05886" w:rsidRDefault="00505B49">
      <w:pPr>
        <w:spacing w:line="259" w:lineRule="auto"/>
      </w:pPr>
      <w:r w:rsidRPr="00C05886">
        <w:br w:type="page"/>
      </w:r>
    </w:p>
    <w:bookmarkStart w:id="2" w:name="_Toc179962267" w:displacedByCustomXml="next"/>
    <w:sdt>
      <w:sdtPr>
        <w:rPr>
          <w:rFonts w:eastAsiaTheme="minorHAnsi" w:cstheme="minorBidi"/>
          <w:b w:val="0"/>
          <w:sz w:val="24"/>
          <w:szCs w:val="22"/>
        </w:rPr>
        <w:id w:val="1339047624"/>
        <w:docPartObj>
          <w:docPartGallery w:val="Table of Contents"/>
          <w:docPartUnique/>
        </w:docPartObj>
      </w:sdtPr>
      <w:sdtEndPr>
        <w:rPr>
          <w:bCs/>
        </w:rPr>
      </w:sdtEndPr>
      <w:sdtContent>
        <w:p w14:paraId="7038E132" w14:textId="2789C2B1" w:rsidR="00260DE5" w:rsidRPr="00C05886" w:rsidRDefault="00260DE5" w:rsidP="00F814EC">
          <w:pPr>
            <w:pStyle w:val="Heading1"/>
          </w:pPr>
          <w:r w:rsidRPr="00C05886">
            <w:t>Table of Contents</w:t>
          </w:r>
          <w:bookmarkEnd w:id="2"/>
        </w:p>
        <w:p w14:paraId="1064C24C" w14:textId="09E12682" w:rsidR="00B26D27" w:rsidRDefault="00260DE5">
          <w:pPr>
            <w:pStyle w:val="TOC1"/>
            <w:tabs>
              <w:tab w:val="right" w:leader="dot" w:pos="9628"/>
            </w:tabs>
            <w:rPr>
              <w:rFonts w:eastAsiaTheme="minorEastAsia"/>
              <w:noProof/>
              <w:kern w:val="2"/>
              <w:sz w:val="22"/>
              <w:lang w:eastAsia="en-GB"/>
              <w14:ligatures w14:val="standardContextual"/>
            </w:rPr>
          </w:pPr>
          <w:r w:rsidRPr="00C05886">
            <w:fldChar w:fldCharType="begin"/>
          </w:r>
          <w:r w:rsidRPr="00C05886">
            <w:instrText xml:space="preserve"> TOC \o "1-3" \h \z \u </w:instrText>
          </w:r>
          <w:r w:rsidRPr="00C05886">
            <w:fldChar w:fldCharType="separate"/>
          </w:r>
          <w:hyperlink w:anchor="_Toc179962266" w:history="1">
            <w:r w:rsidR="00B26D27" w:rsidRPr="009F5677">
              <w:rPr>
                <w:rStyle w:val="Hyperlink"/>
                <w:noProof/>
              </w:rPr>
              <w:t>Abstract</w:t>
            </w:r>
            <w:r w:rsidR="00B26D27">
              <w:rPr>
                <w:noProof/>
                <w:webHidden/>
              </w:rPr>
              <w:tab/>
            </w:r>
            <w:r w:rsidR="00B26D27">
              <w:rPr>
                <w:noProof/>
                <w:webHidden/>
              </w:rPr>
              <w:fldChar w:fldCharType="begin"/>
            </w:r>
            <w:r w:rsidR="00B26D27">
              <w:rPr>
                <w:noProof/>
                <w:webHidden/>
              </w:rPr>
              <w:instrText xml:space="preserve"> PAGEREF _Toc179962266 \h </w:instrText>
            </w:r>
            <w:r w:rsidR="00B26D27">
              <w:rPr>
                <w:noProof/>
                <w:webHidden/>
              </w:rPr>
            </w:r>
            <w:r w:rsidR="00B26D27">
              <w:rPr>
                <w:noProof/>
                <w:webHidden/>
              </w:rPr>
              <w:fldChar w:fldCharType="separate"/>
            </w:r>
            <w:r w:rsidR="005D7515">
              <w:rPr>
                <w:noProof/>
                <w:webHidden/>
              </w:rPr>
              <w:t>4</w:t>
            </w:r>
            <w:r w:rsidR="00B26D27">
              <w:rPr>
                <w:noProof/>
                <w:webHidden/>
              </w:rPr>
              <w:fldChar w:fldCharType="end"/>
            </w:r>
          </w:hyperlink>
        </w:p>
        <w:p w14:paraId="047EAA91" w14:textId="6F4BFBC7" w:rsidR="00B26D27" w:rsidRDefault="00B26D27">
          <w:pPr>
            <w:pStyle w:val="TOC1"/>
            <w:tabs>
              <w:tab w:val="right" w:leader="dot" w:pos="9628"/>
            </w:tabs>
            <w:rPr>
              <w:rFonts w:eastAsiaTheme="minorEastAsia"/>
              <w:noProof/>
              <w:kern w:val="2"/>
              <w:sz w:val="22"/>
              <w:lang w:eastAsia="en-GB"/>
              <w14:ligatures w14:val="standardContextual"/>
            </w:rPr>
          </w:pPr>
          <w:hyperlink w:anchor="_Toc179962267" w:history="1">
            <w:r w:rsidRPr="009F5677">
              <w:rPr>
                <w:rStyle w:val="Hyperlink"/>
                <w:noProof/>
              </w:rPr>
              <w:t>Table of Contents</w:t>
            </w:r>
            <w:r>
              <w:rPr>
                <w:noProof/>
                <w:webHidden/>
              </w:rPr>
              <w:tab/>
            </w:r>
            <w:r>
              <w:rPr>
                <w:noProof/>
                <w:webHidden/>
              </w:rPr>
              <w:fldChar w:fldCharType="begin"/>
            </w:r>
            <w:r>
              <w:rPr>
                <w:noProof/>
                <w:webHidden/>
              </w:rPr>
              <w:instrText xml:space="preserve"> PAGEREF _Toc179962267 \h </w:instrText>
            </w:r>
            <w:r>
              <w:rPr>
                <w:noProof/>
                <w:webHidden/>
              </w:rPr>
            </w:r>
            <w:r>
              <w:rPr>
                <w:noProof/>
                <w:webHidden/>
              </w:rPr>
              <w:fldChar w:fldCharType="separate"/>
            </w:r>
            <w:r w:rsidR="005D7515">
              <w:rPr>
                <w:noProof/>
                <w:webHidden/>
              </w:rPr>
              <w:t>5</w:t>
            </w:r>
            <w:r>
              <w:rPr>
                <w:noProof/>
                <w:webHidden/>
              </w:rPr>
              <w:fldChar w:fldCharType="end"/>
            </w:r>
          </w:hyperlink>
        </w:p>
        <w:p w14:paraId="0A621EB2" w14:textId="619EFB9B" w:rsidR="00B26D27" w:rsidRDefault="00B26D27">
          <w:pPr>
            <w:pStyle w:val="TOC1"/>
            <w:tabs>
              <w:tab w:val="right" w:leader="dot" w:pos="9628"/>
            </w:tabs>
            <w:rPr>
              <w:rFonts w:eastAsiaTheme="minorEastAsia"/>
              <w:noProof/>
              <w:kern w:val="2"/>
              <w:sz w:val="22"/>
              <w:lang w:eastAsia="en-GB"/>
              <w14:ligatures w14:val="standardContextual"/>
            </w:rPr>
          </w:pPr>
          <w:hyperlink w:anchor="_Toc179962268" w:history="1">
            <w:r w:rsidRPr="009F5677">
              <w:rPr>
                <w:rStyle w:val="Hyperlink"/>
                <w:noProof/>
              </w:rPr>
              <w:t>Chapter 1  Introduction</w:t>
            </w:r>
            <w:r>
              <w:rPr>
                <w:noProof/>
                <w:webHidden/>
              </w:rPr>
              <w:tab/>
            </w:r>
            <w:r>
              <w:rPr>
                <w:noProof/>
                <w:webHidden/>
              </w:rPr>
              <w:fldChar w:fldCharType="begin"/>
            </w:r>
            <w:r>
              <w:rPr>
                <w:noProof/>
                <w:webHidden/>
              </w:rPr>
              <w:instrText xml:space="preserve"> PAGEREF _Toc179962268 \h </w:instrText>
            </w:r>
            <w:r>
              <w:rPr>
                <w:noProof/>
                <w:webHidden/>
              </w:rPr>
            </w:r>
            <w:r>
              <w:rPr>
                <w:noProof/>
                <w:webHidden/>
              </w:rPr>
              <w:fldChar w:fldCharType="separate"/>
            </w:r>
            <w:r w:rsidR="005D7515">
              <w:rPr>
                <w:noProof/>
                <w:webHidden/>
              </w:rPr>
              <w:t>12</w:t>
            </w:r>
            <w:r>
              <w:rPr>
                <w:noProof/>
                <w:webHidden/>
              </w:rPr>
              <w:fldChar w:fldCharType="end"/>
            </w:r>
          </w:hyperlink>
        </w:p>
        <w:p w14:paraId="714057F8" w14:textId="6A1071AA" w:rsidR="00B26D27" w:rsidRDefault="00B26D27">
          <w:pPr>
            <w:pStyle w:val="TOC2"/>
            <w:tabs>
              <w:tab w:val="right" w:leader="dot" w:pos="9628"/>
            </w:tabs>
            <w:rPr>
              <w:rFonts w:eastAsiaTheme="minorEastAsia"/>
              <w:noProof/>
              <w:kern w:val="2"/>
              <w:sz w:val="22"/>
              <w:lang w:eastAsia="en-GB"/>
              <w14:ligatures w14:val="standardContextual"/>
            </w:rPr>
          </w:pPr>
          <w:hyperlink w:anchor="_Toc179962269" w:history="1">
            <w:r w:rsidRPr="009F5677">
              <w:rPr>
                <w:rStyle w:val="Hyperlink"/>
                <w:noProof/>
              </w:rPr>
              <w:t>Background and context</w:t>
            </w:r>
            <w:r>
              <w:rPr>
                <w:noProof/>
                <w:webHidden/>
              </w:rPr>
              <w:tab/>
            </w:r>
            <w:r>
              <w:rPr>
                <w:noProof/>
                <w:webHidden/>
              </w:rPr>
              <w:fldChar w:fldCharType="begin"/>
            </w:r>
            <w:r>
              <w:rPr>
                <w:noProof/>
                <w:webHidden/>
              </w:rPr>
              <w:instrText xml:space="preserve"> PAGEREF _Toc179962269 \h </w:instrText>
            </w:r>
            <w:r>
              <w:rPr>
                <w:noProof/>
                <w:webHidden/>
              </w:rPr>
            </w:r>
            <w:r>
              <w:rPr>
                <w:noProof/>
                <w:webHidden/>
              </w:rPr>
              <w:fldChar w:fldCharType="separate"/>
            </w:r>
            <w:r w:rsidR="005D7515">
              <w:rPr>
                <w:noProof/>
                <w:webHidden/>
              </w:rPr>
              <w:t>12</w:t>
            </w:r>
            <w:r>
              <w:rPr>
                <w:noProof/>
                <w:webHidden/>
              </w:rPr>
              <w:fldChar w:fldCharType="end"/>
            </w:r>
          </w:hyperlink>
        </w:p>
        <w:p w14:paraId="4C7BC5F8" w14:textId="18C06432" w:rsidR="00B26D27" w:rsidRDefault="00B26D27">
          <w:pPr>
            <w:pStyle w:val="TOC2"/>
            <w:tabs>
              <w:tab w:val="right" w:leader="dot" w:pos="9628"/>
            </w:tabs>
            <w:rPr>
              <w:rFonts w:eastAsiaTheme="minorEastAsia"/>
              <w:noProof/>
              <w:kern w:val="2"/>
              <w:sz w:val="22"/>
              <w:lang w:eastAsia="en-GB"/>
              <w14:ligatures w14:val="standardContextual"/>
            </w:rPr>
          </w:pPr>
          <w:hyperlink w:anchor="_Toc179962270" w:history="1">
            <w:r w:rsidRPr="009F5677">
              <w:rPr>
                <w:rStyle w:val="Hyperlink"/>
                <w:noProof/>
              </w:rPr>
              <w:t>Aims and objectives</w:t>
            </w:r>
            <w:r>
              <w:rPr>
                <w:noProof/>
                <w:webHidden/>
              </w:rPr>
              <w:tab/>
            </w:r>
            <w:r>
              <w:rPr>
                <w:noProof/>
                <w:webHidden/>
              </w:rPr>
              <w:fldChar w:fldCharType="begin"/>
            </w:r>
            <w:r>
              <w:rPr>
                <w:noProof/>
                <w:webHidden/>
              </w:rPr>
              <w:instrText xml:space="preserve"> PAGEREF _Toc179962270 \h </w:instrText>
            </w:r>
            <w:r>
              <w:rPr>
                <w:noProof/>
                <w:webHidden/>
              </w:rPr>
            </w:r>
            <w:r>
              <w:rPr>
                <w:noProof/>
                <w:webHidden/>
              </w:rPr>
              <w:fldChar w:fldCharType="separate"/>
            </w:r>
            <w:r w:rsidR="005D7515">
              <w:rPr>
                <w:noProof/>
                <w:webHidden/>
              </w:rPr>
              <w:t>13</w:t>
            </w:r>
            <w:r>
              <w:rPr>
                <w:noProof/>
                <w:webHidden/>
              </w:rPr>
              <w:fldChar w:fldCharType="end"/>
            </w:r>
          </w:hyperlink>
        </w:p>
        <w:p w14:paraId="4366A51E" w14:textId="6100EFBA" w:rsidR="00B26D27" w:rsidRDefault="00B26D27">
          <w:pPr>
            <w:pStyle w:val="TOC2"/>
            <w:tabs>
              <w:tab w:val="right" w:leader="dot" w:pos="9628"/>
            </w:tabs>
            <w:rPr>
              <w:rFonts w:eastAsiaTheme="minorEastAsia"/>
              <w:noProof/>
              <w:kern w:val="2"/>
              <w:sz w:val="22"/>
              <w:lang w:eastAsia="en-GB"/>
              <w14:ligatures w14:val="standardContextual"/>
            </w:rPr>
          </w:pPr>
          <w:hyperlink w:anchor="_Toc179962271" w:history="1">
            <w:r w:rsidRPr="009F5677">
              <w:rPr>
                <w:rStyle w:val="Hyperlink"/>
                <w:noProof/>
              </w:rPr>
              <w:t>Rationale and Novelty</w:t>
            </w:r>
            <w:r>
              <w:rPr>
                <w:noProof/>
                <w:webHidden/>
              </w:rPr>
              <w:tab/>
            </w:r>
            <w:r>
              <w:rPr>
                <w:noProof/>
                <w:webHidden/>
              </w:rPr>
              <w:fldChar w:fldCharType="begin"/>
            </w:r>
            <w:r>
              <w:rPr>
                <w:noProof/>
                <w:webHidden/>
              </w:rPr>
              <w:instrText xml:space="preserve"> PAGEREF _Toc179962271 \h </w:instrText>
            </w:r>
            <w:r>
              <w:rPr>
                <w:noProof/>
                <w:webHidden/>
              </w:rPr>
            </w:r>
            <w:r>
              <w:rPr>
                <w:noProof/>
                <w:webHidden/>
              </w:rPr>
              <w:fldChar w:fldCharType="separate"/>
            </w:r>
            <w:r w:rsidR="005D7515">
              <w:rPr>
                <w:noProof/>
                <w:webHidden/>
              </w:rPr>
              <w:t>13</w:t>
            </w:r>
            <w:r>
              <w:rPr>
                <w:noProof/>
                <w:webHidden/>
              </w:rPr>
              <w:fldChar w:fldCharType="end"/>
            </w:r>
          </w:hyperlink>
        </w:p>
        <w:p w14:paraId="53D94A90" w14:textId="268274C9" w:rsidR="00B26D27" w:rsidRDefault="00B26D27">
          <w:pPr>
            <w:pStyle w:val="TOC3"/>
            <w:tabs>
              <w:tab w:val="right" w:leader="dot" w:pos="9628"/>
            </w:tabs>
            <w:rPr>
              <w:rFonts w:eastAsiaTheme="minorEastAsia"/>
              <w:noProof/>
              <w:kern w:val="2"/>
              <w:sz w:val="22"/>
              <w:lang w:eastAsia="en-GB"/>
              <w14:ligatures w14:val="standardContextual"/>
            </w:rPr>
          </w:pPr>
          <w:hyperlink w:anchor="_Toc179962272" w:history="1">
            <w:r w:rsidRPr="009F5677">
              <w:rPr>
                <w:rStyle w:val="Hyperlink"/>
                <w:noProof/>
              </w:rPr>
              <w:t>Impact of Covid-19 on this research</w:t>
            </w:r>
            <w:r>
              <w:rPr>
                <w:noProof/>
                <w:webHidden/>
              </w:rPr>
              <w:tab/>
            </w:r>
            <w:r>
              <w:rPr>
                <w:noProof/>
                <w:webHidden/>
              </w:rPr>
              <w:fldChar w:fldCharType="begin"/>
            </w:r>
            <w:r>
              <w:rPr>
                <w:noProof/>
                <w:webHidden/>
              </w:rPr>
              <w:instrText xml:space="preserve"> PAGEREF _Toc179962272 \h </w:instrText>
            </w:r>
            <w:r>
              <w:rPr>
                <w:noProof/>
                <w:webHidden/>
              </w:rPr>
            </w:r>
            <w:r>
              <w:rPr>
                <w:noProof/>
                <w:webHidden/>
              </w:rPr>
              <w:fldChar w:fldCharType="separate"/>
            </w:r>
            <w:r w:rsidR="005D7515">
              <w:rPr>
                <w:noProof/>
                <w:webHidden/>
              </w:rPr>
              <w:t>14</w:t>
            </w:r>
            <w:r>
              <w:rPr>
                <w:noProof/>
                <w:webHidden/>
              </w:rPr>
              <w:fldChar w:fldCharType="end"/>
            </w:r>
          </w:hyperlink>
        </w:p>
        <w:p w14:paraId="520E47E9" w14:textId="44580B91" w:rsidR="00B26D27" w:rsidRDefault="00B26D27">
          <w:pPr>
            <w:pStyle w:val="TOC2"/>
            <w:tabs>
              <w:tab w:val="right" w:leader="dot" w:pos="9628"/>
            </w:tabs>
            <w:rPr>
              <w:rFonts w:eastAsiaTheme="minorEastAsia"/>
              <w:noProof/>
              <w:kern w:val="2"/>
              <w:sz w:val="22"/>
              <w:lang w:eastAsia="en-GB"/>
              <w14:ligatures w14:val="standardContextual"/>
            </w:rPr>
          </w:pPr>
          <w:hyperlink w:anchor="_Toc179962273" w:history="1">
            <w:r w:rsidRPr="009F5677">
              <w:rPr>
                <w:rStyle w:val="Hyperlink"/>
                <w:noProof/>
              </w:rPr>
              <w:t>Hypotheses and research questions</w:t>
            </w:r>
            <w:r>
              <w:rPr>
                <w:noProof/>
                <w:webHidden/>
              </w:rPr>
              <w:tab/>
            </w:r>
            <w:r>
              <w:rPr>
                <w:noProof/>
                <w:webHidden/>
              </w:rPr>
              <w:fldChar w:fldCharType="begin"/>
            </w:r>
            <w:r>
              <w:rPr>
                <w:noProof/>
                <w:webHidden/>
              </w:rPr>
              <w:instrText xml:space="preserve"> PAGEREF _Toc179962273 \h </w:instrText>
            </w:r>
            <w:r>
              <w:rPr>
                <w:noProof/>
                <w:webHidden/>
              </w:rPr>
            </w:r>
            <w:r>
              <w:rPr>
                <w:noProof/>
                <w:webHidden/>
              </w:rPr>
              <w:fldChar w:fldCharType="separate"/>
            </w:r>
            <w:r w:rsidR="005D7515">
              <w:rPr>
                <w:noProof/>
                <w:webHidden/>
              </w:rPr>
              <w:t>15</w:t>
            </w:r>
            <w:r>
              <w:rPr>
                <w:noProof/>
                <w:webHidden/>
              </w:rPr>
              <w:fldChar w:fldCharType="end"/>
            </w:r>
          </w:hyperlink>
        </w:p>
        <w:p w14:paraId="08E98812" w14:textId="0FAEF885" w:rsidR="00B26D27" w:rsidRDefault="00B26D27">
          <w:pPr>
            <w:pStyle w:val="TOC2"/>
            <w:tabs>
              <w:tab w:val="right" w:leader="dot" w:pos="9628"/>
            </w:tabs>
            <w:rPr>
              <w:rFonts w:eastAsiaTheme="minorEastAsia"/>
              <w:noProof/>
              <w:kern w:val="2"/>
              <w:sz w:val="22"/>
              <w:lang w:eastAsia="en-GB"/>
              <w14:ligatures w14:val="standardContextual"/>
            </w:rPr>
          </w:pPr>
          <w:hyperlink w:anchor="_Toc179962274" w:history="1">
            <w:r w:rsidRPr="009F5677">
              <w:rPr>
                <w:rStyle w:val="Hyperlink"/>
                <w:noProof/>
              </w:rPr>
              <w:t>How to read this thesis</w:t>
            </w:r>
            <w:r>
              <w:rPr>
                <w:noProof/>
                <w:webHidden/>
              </w:rPr>
              <w:tab/>
            </w:r>
            <w:r>
              <w:rPr>
                <w:noProof/>
                <w:webHidden/>
              </w:rPr>
              <w:fldChar w:fldCharType="begin"/>
            </w:r>
            <w:r>
              <w:rPr>
                <w:noProof/>
                <w:webHidden/>
              </w:rPr>
              <w:instrText xml:space="preserve"> PAGEREF _Toc179962274 \h </w:instrText>
            </w:r>
            <w:r>
              <w:rPr>
                <w:noProof/>
                <w:webHidden/>
              </w:rPr>
            </w:r>
            <w:r>
              <w:rPr>
                <w:noProof/>
                <w:webHidden/>
              </w:rPr>
              <w:fldChar w:fldCharType="separate"/>
            </w:r>
            <w:r w:rsidR="005D7515">
              <w:rPr>
                <w:noProof/>
                <w:webHidden/>
              </w:rPr>
              <w:t>15</w:t>
            </w:r>
            <w:r>
              <w:rPr>
                <w:noProof/>
                <w:webHidden/>
              </w:rPr>
              <w:fldChar w:fldCharType="end"/>
            </w:r>
          </w:hyperlink>
        </w:p>
        <w:p w14:paraId="0215C687" w14:textId="6EF3E522" w:rsidR="00B26D27" w:rsidRDefault="00B26D27">
          <w:pPr>
            <w:pStyle w:val="TOC3"/>
            <w:tabs>
              <w:tab w:val="right" w:leader="dot" w:pos="9628"/>
            </w:tabs>
            <w:rPr>
              <w:rFonts w:eastAsiaTheme="minorEastAsia"/>
              <w:noProof/>
              <w:kern w:val="2"/>
              <w:sz w:val="22"/>
              <w:lang w:eastAsia="en-GB"/>
              <w14:ligatures w14:val="standardContextual"/>
            </w:rPr>
          </w:pPr>
          <w:hyperlink w:anchor="_Toc179962275" w:history="1">
            <w:r w:rsidRPr="009F5677">
              <w:rPr>
                <w:rStyle w:val="Hyperlink"/>
                <w:noProof/>
              </w:rPr>
              <w:t>Synopsys</w:t>
            </w:r>
            <w:r>
              <w:rPr>
                <w:noProof/>
                <w:webHidden/>
              </w:rPr>
              <w:tab/>
            </w:r>
            <w:r>
              <w:rPr>
                <w:noProof/>
                <w:webHidden/>
              </w:rPr>
              <w:fldChar w:fldCharType="begin"/>
            </w:r>
            <w:r>
              <w:rPr>
                <w:noProof/>
                <w:webHidden/>
              </w:rPr>
              <w:instrText xml:space="preserve"> PAGEREF _Toc179962275 \h </w:instrText>
            </w:r>
            <w:r>
              <w:rPr>
                <w:noProof/>
                <w:webHidden/>
              </w:rPr>
            </w:r>
            <w:r>
              <w:rPr>
                <w:noProof/>
                <w:webHidden/>
              </w:rPr>
              <w:fldChar w:fldCharType="separate"/>
            </w:r>
            <w:r w:rsidR="005D7515">
              <w:rPr>
                <w:noProof/>
                <w:webHidden/>
              </w:rPr>
              <w:t>16</w:t>
            </w:r>
            <w:r>
              <w:rPr>
                <w:noProof/>
                <w:webHidden/>
              </w:rPr>
              <w:fldChar w:fldCharType="end"/>
            </w:r>
          </w:hyperlink>
        </w:p>
        <w:p w14:paraId="186DCE0F" w14:textId="51D75CFA" w:rsidR="00B26D27" w:rsidRDefault="00B26D27">
          <w:pPr>
            <w:pStyle w:val="TOC1"/>
            <w:tabs>
              <w:tab w:val="right" w:leader="dot" w:pos="9628"/>
            </w:tabs>
            <w:rPr>
              <w:rFonts w:eastAsiaTheme="minorEastAsia"/>
              <w:noProof/>
              <w:kern w:val="2"/>
              <w:sz w:val="22"/>
              <w:lang w:eastAsia="en-GB"/>
              <w14:ligatures w14:val="standardContextual"/>
            </w:rPr>
          </w:pPr>
          <w:hyperlink w:anchor="_Toc179962276" w:history="1">
            <w:r w:rsidRPr="009F5677">
              <w:rPr>
                <w:rStyle w:val="Hyperlink"/>
                <w:noProof/>
              </w:rPr>
              <w:t>Chapter 2 Summary of relevant literature</w:t>
            </w:r>
            <w:r>
              <w:rPr>
                <w:noProof/>
                <w:webHidden/>
              </w:rPr>
              <w:tab/>
            </w:r>
            <w:r>
              <w:rPr>
                <w:noProof/>
                <w:webHidden/>
              </w:rPr>
              <w:fldChar w:fldCharType="begin"/>
            </w:r>
            <w:r>
              <w:rPr>
                <w:noProof/>
                <w:webHidden/>
              </w:rPr>
              <w:instrText xml:space="preserve"> PAGEREF _Toc179962276 \h </w:instrText>
            </w:r>
            <w:r>
              <w:rPr>
                <w:noProof/>
                <w:webHidden/>
              </w:rPr>
            </w:r>
            <w:r>
              <w:rPr>
                <w:noProof/>
                <w:webHidden/>
              </w:rPr>
              <w:fldChar w:fldCharType="separate"/>
            </w:r>
            <w:r w:rsidR="005D7515">
              <w:rPr>
                <w:noProof/>
                <w:webHidden/>
              </w:rPr>
              <w:t>18</w:t>
            </w:r>
            <w:r>
              <w:rPr>
                <w:noProof/>
                <w:webHidden/>
              </w:rPr>
              <w:fldChar w:fldCharType="end"/>
            </w:r>
          </w:hyperlink>
        </w:p>
        <w:p w14:paraId="4786E4F3" w14:textId="09421285" w:rsidR="00B26D27" w:rsidRDefault="00B26D27">
          <w:pPr>
            <w:pStyle w:val="TOC2"/>
            <w:tabs>
              <w:tab w:val="right" w:leader="dot" w:pos="9628"/>
            </w:tabs>
            <w:rPr>
              <w:rFonts w:eastAsiaTheme="minorEastAsia"/>
              <w:noProof/>
              <w:kern w:val="2"/>
              <w:sz w:val="22"/>
              <w:lang w:eastAsia="en-GB"/>
              <w14:ligatures w14:val="standardContextual"/>
            </w:rPr>
          </w:pPr>
          <w:hyperlink w:anchor="_Toc179962277" w:history="1">
            <w:r w:rsidRPr="009F5677">
              <w:rPr>
                <w:rStyle w:val="Hyperlink"/>
                <w:noProof/>
              </w:rPr>
              <w:t>Key concepts</w:t>
            </w:r>
            <w:r>
              <w:rPr>
                <w:noProof/>
                <w:webHidden/>
              </w:rPr>
              <w:tab/>
            </w:r>
            <w:r>
              <w:rPr>
                <w:noProof/>
                <w:webHidden/>
              </w:rPr>
              <w:fldChar w:fldCharType="begin"/>
            </w:r>
            <w:r>
              <w:rPr>
                <w:noProof/>
                <w:webHidden/>
              </w:rPr>
              <w:instrText xml:space="preserve"> PAGEREF _Toc179962277 \h </w:instrText>
            </w:r>
            <w:r>
              <w:rPr>
                <w:noProof/>
                <w:webHidden/>
              </w:rPr>
            </w:r>
            <w:r>
              <w:rPr>
                <w:noProof/>
                <w:webHidden/>
              </w:rPr>
              <w:fldChar w:fldCharType="separate"/>
            </w:r>
            <w:r w:rsidR="005D7515">
              <w:rPr>
                <w:noProof/>
                <w:webHidden/>
              </w:rPr>
              <w:t>18</w:t>
            </w:r>
            <w:r>
              <w:rPr>
                <w:noProof/>
                <w:webHidden/>
              </w:rPr>
              <w:fldChar w:fldCharType="end"/>
            </w:r>
          </w:hyperlink>
        </w:p>
        <w:p w14:paraId="1D0A2468" w14:textId="3F3CD159" w:rsidR="00B26D27" w:rsidRDefault="00B26D27">
          <w:pPr>
            <w:pStyle w:val="TOC3"/>
            <w:tabs>
              <w:tab w:val="right" w:leader="dot" w:pos="9628"/>
            </w:tabs>
            <w:rPr>
              <w:rFonts w:eastAsiaTheme="minorEastAsia"/>
              <w:noProof/>
              <w:kern w:val="2"/>
              <w:sz w:val="22"/>
              <w:lang w:eastAsia="en-GB"/>
              <w14:ligatures w14:val="standardContextual"/>
            </w:rPr>
          </w:pPr>
          <w:hyperlink w:anchor="_Toc179962278" w:history="1">
            <w:r w:rsidRPr="009F5677">
              <w:rPr>
                <w:rStyle w:val="Hyperlink"/>
                <w:noProof/>
              </w:rPr>
              <w:t>Human health</w:t>
            </w:r>
            <w:r>
              <w:rPr>
                <w:noProof/>
                <w:webHidden/>
              </w:rPr>
              <w:tab/>
            </w:r>
            <w:r>
              <w:rPr>
                <w:noProof/>
                <w:webHidden/>
              </w:rPr>
              <w:fldChar w:fldCharType="begin"/>
            </w:r>
            <w:r>
              <w:rPr>
                <w:noProof/>
                <w:webHidden/>
              </w:rPr>
              <w:instrText xml:space="preserve"> PAGEREF _Toc179962278 \h </w:instrText>
            </w:r>
            <w:r>
              <w:rPr>
                <w:noProof/>
                <w:webHidden/>
              </w:rPr>
            </w:r>
            <w:r>
              <w:rPr>
                <w:noProof/>
                <w:webHidden/>
              </w:rPr>
              <w:fldChar w:fldCharType="separate"/>
            </w:r>
            <w:r w:rsidR="005D7515">
              <w:rPr>
                <w:noProof/>
                <w:webHidden/>
              </w:rPr>
              <w:t>18</w:t>
            </w:r>
            <w:r>
              <w:rPr>
                <w:noProof/>
                <w:webHidden/>
              </w:rPr>
              <w:fldChar w:fldCharType="end"/>
            </w:r>
          </w:hyperlink>
        </w:p>
        <w:p w14:paraId="2923735D" w14:textId="026D186A" w:rsidR="00B26D27" w:rsidRDefault="00B26D27">
          <w:pPr>
            <w:pStyle w:val="TOC3"/>
            <w:tabs>
              <w:tab w:val="right" w:leader="dot" w:pos="9628"/>
            </w:tabs>
            <w:rPr>
              <w:rFonts w:eastAsiaTheme="minorEastAsia"/>
              <w:noProof/>
              <w:kern w:val="2"/>
              <w:sz w:val="22"/>
              <w:lang w:eastAsia="en-GB"/>
              <w14:ligatures w14:val="standardContextual"/>
            </w:rPr>
          </w:pPr>
          <w:hyperlink w:anchor="_Toc179962279" w:history="1">
            <w:r w:rsidRPr="009F5677">
              <w:rPr>
                <w:rStyle w:val="Hyperlink"/>
                <w:noProof/>
              </w:rPr>
              <w:t>Human well-being</w:t>
            </w:r>
            <w:r>
              <w:rPr>
                <w:noProof/>
                <w:webHidden/>
              </w:rPr>
              <w:tab/>
            </w:r>
            <w:r>
              <w:rPr>
                <w:noProof/>
                <w:webHidden/>
              </w:rPr>
              <w:fldChar w:fldCharType="begin"/>
            </w:r>
            <w:r>
              <w:rPr>
                <w:noProof/>
                <w:webHidden/>
              </w:rPr>
              <w:instrText xml:space="preserve"> PAGEREF _Toc179962279 \h </w:instrText>
            </w:r>
            <w:r>
              <w:rPr>
                <w:noProof/>
                <w:webHidden/>
              </w:rPr>
            </w:r>
            <w:r>
              <w:rPr>
                <w:noProof/>
                <w:webHidden/>
              </w:rPr>
              <w:fldChar w:fldCharType="separate"/>
            </w:r>
            <w:r w:rsidR="005D7515">
              <w:rPr>
                <w:noProof/>
                <w:webHidden/>
              </w:rPr>
              <w:t>19</w:t>
            </w:r>
            <w:r>
              <w:rPr>
                <w:noProof/>
                <w:webHidden/>
              </w:rPr>
              <w:fldChar w:fldCharType="end"/>
            </w:r>
          </w:hyperlink>
        </w:p>
        <w:p w14:paraId="500D787F" w14:textId="614C1828" w:rsidR="00B26D27" w:rsidRDefault="00B26D27">
          <w:pPr>
            <w:pStyle w:val="TOC3"/>
            <w:tabs>
              <w:tab w:val="right" w:leader="dot" w:pos="9628"/>
            </w:tabs>
            <w:rPr>
              <w:rFonts w:eastAsiaTheme="minorEastAsia"/>
              <w:noProof/>
              <w:kern w:val="2"/>
              <w:sz w:val="22"/>
              <w:lang w:eastAsia="en-GB"/>
              <w14:ligatures w14:val="standardContextual"/>
            </w:rPr>
          </w:pPr>
          <w:hyperlink w:anchor="_Toc179962280" w:history="1">
            <w:r w:rsidRPr="009F5677">
              <w:rPr>
                <w:rStyle w:val="Hyperlink"/>
                <w:noProof/>
              </w:rPr>
              <w:t>Nature</w:t>
            </w:r>
            <w:r>
              <w:rPr>
                <w:noProof/>
                <w:webHidden/>
              </w:rPr>
              <w:tab/>
            </w:r>
            <w:r>
              <w:rPr>
                <w:noProof/>
                <w:webHidden/>
              </w:rPr>
              <w:fldChar w:fldCharType="begin"/>
            </w:r>
            <w:r>
              <w:rPr>
                <w:noProof/>
                <w:webHidden/>
              </w:rPr>
              <w:instrText xml:space="preserve"> PAGEREF _Toc179962280 \h </w:instrText>
            </w:r>
            <w:r>
              <w:rPr>
                <w:noProof/>
                <w:webHidden/>
              </w:rPr>
            </w:r>
            <w:r>
              <w:rPr>
                <w:noProof/>
                <w:webHidden/>
              </w:rPr>
              <w:fldChar w:fldCharType="separate"/>
            </w:r>
            <w:r w:rsidR="005D7515">
              <w:rPr>
                <w:noProof/>
                <w:webHidden/>
              </w:rPr>
              <w:t>20</w:t>
            </w:r>
            <w:r>
              <w:rPr>
                <w:noProof/>
                <w:webHidden/>
              </w:rPr>
              <w:fldChar w:fldCharType="end"/>
            </w:r>
          </w:hyperlink>
        </w:p>
        <w:p w14:paraId="2FD48571" w14:textId="50E5721F" w:rsidR="00B26D27" w:rsidRDefault="00B26D27">
          <w:pPr>
            <w:pStyle w:val="TOC3"/>
            <w:tabs>
              <w:tab w:val="right" w:leader="dot" w:pos="9628"/>
            </w:tabs>
            <w:rPr>
              <w:rFonts w:eastAsiaTheme="minorEastAsia"/>
              <w:noProof/>
              <w:kern w:val="2"/>
              <w:sz w:val="22"/>
              <w:lang w:eastAsia="en-GB"/>
              <w14:ligatures w14:val="standardContextual"/>
            </w:rPr>
          </w:pPr>
          <w:hyperlink w:anchor="_Toc179962281" w:history="1">
            <w:r w:rsidRPr="009F5677">
              <w:rPr>
                <w:rStyle w:val="Hyperlink"/>
                <w:noProof/>
              </w:rPr>
              <w:t>Biodiversity</w:t>
            </w:r>
            <w:r>
              <w:rPr>
                <w:noProof/>
                <w:webHidden/>
              </w:rPr>
              <w:tab/>
            </w:r>
            <w:r>
              <w:rPr>
                <w:noProof/>
                <w:webHidden/>
              </w:rPr>
              <w:fldChar w:fldCharType="begin"/>
            </w:r>
            <w:r>
              <w:rPr>
                <w:noProof/>
                <w:webHidden/>
              </w:rPr>
              <w:instrText xml:space="preserve"> PAGEREF _Toc179962281 \h </w:instrText>
            </w:r>
            <w:r>
              <w:rPr>
                <w:noProof/>
                <w:webHidden/>
              </w:rPr>
            </w:r>
            <w:r>
              <w:rPr>
                <w:noProof/>
                <w:webHidden/>
              </w:rPr>
              <w:fldChar w:fldCharType="separate"/>
            </w:r>
            <w:r w:rsidR="005D7515">
              <w:rPr>
                <w:noProof/>
                <w:webHidden/>
              </w:rPr>
              <w:t>21</w:t>
            </w:r>
            <w:r>
              <w:rPr>
                <w:noProof/>
                <w:webHidden/>
              </w:rPr>
              <w:fldChar w:fldCharType="end"/>
            </w:r>
          </w:hyperlink>
        </w:p>
        <w:p w14:paraId="071009B6" w14:textId="05D80836" w:rsidR="00B26D27" w:rsidRDefault="00B26D27">
          <w:pPr>
            <w:pStyle w:val="TOC3"/>
            <w:tabs>
              <w:tab w:val="right" w:leader="dot" w:pos="9628"/>
            </w:tabs>
            <w:rPr>
              <w:rFonts w:eastAsiaTheme="minorEastAsia"/>
              <w:noProof/>
              <w:kern w:val="2"/>
              <w:sz w:val="22"/>
              <w:lang w:eastAsia="en-GB"/>
              <w14:ligatures w14:val="standardContextual"/>
            </w:rPr>
          </w:pPr>
          <w:hyperlink w:anchor="_Toc179962282" w:history="1">
            <w:r w:rsidRPr="009F5677">
              <w:rPr>
                <w:rStyle w:val="Hyperlink"/>
                <w:noProof/>
              </w:rPr>
              <w:t>Green space</w:t>
            </w:r>
            <w:r>
              <w:rPr>
                <w:noProof/>
                <w:webHidden/>
              </w:rPr>
              <w:tab/>
            </w:r>
            <w:r>
              <w:rPr>
                <w:noProof/>
                <w:webHidden/>
              </w:rPr>
              <w:fldChar w:fldCharType="begin"/>
            </w:r>
            <w:r>
              <w:rPr>
                <w:noProof/>
                <w:webHidden/>
              </w:rPr>
              <w:instrText xml:space="preserve"> PAGEREF _Toc179962282 \h </w:instrText>
            </w:r>
            <w:r>
              <w:rPr>
                <w:noProof/>
                <w:webHidden/>
              </w:rPr>
            </w:r>
            <w:r>
              <w:rPr>
                <w:noProof/>
                <w:webHidden/>
              </w:rPr>
              <w:fldChar w:fldCharType="separate"/>
            </w:r>
            <w:r w:rsidR="005D7515">
              <w:rPr>
                <w:noProof/>
                <w:webHidden/>
              </w:rPr>
              <w:t>22</w:t>
            </w:r>
            <w:r>
              <w:rPr>
                <w:noProof/>
                <w:webHidden/>
              </w:rPr>
              <w:fldChar w:fldCharType="end"/>
            </w:r>
          </w:hyperlink>
        </w:p>
        <w:p w14:paraId="0D512D70" w14:textId="0FA83704" w:rsidR="00B26D27" w:rsidRDefault="00B26D27">
          <w:pPr>
            <w:pStyle w:val="TOC2"/>
            <w:tabs>
              <w:tab w:val="right" w:leader="dot" w:pos="9628"/>
            </w:tabs>
            <w:rPr>
              <w:rFonts w:eastAsiaTheme="minorEastAsia"/>
              <w:noProof/>
              <w:kern w:val="2"/>
              <w:sz w:val="22"/>
              <w:lang w:eastAsia="en-GB"/>
              <w14:ligatures w14:val="standardContextual"/>
            </w:rPr>
          </w:pPr>
          <w:hyperlink w:anchor="_Toc179962283" w:history="1">
            <w:r w:rsidRPr="009F5677">
              <w:rPr>
                <w:rStyle w:val="Hyperlink"/>
                <w:noProof/>
              </w:rPr>
              <w:t>Pathways connecting biodiversity to well-being</w:t>
            </w:r>
            <w:r>
              <w:rPr>
                <w:noProof/>
                <w:webHidden/>
              </w:rPr>
              <w:tab/>
            </w:r>
            <w:r>
              <w:rPr>
                <w:noProof/>
                <w:webHidden/>
              </w:rPr>
              <w:fldChar w:fldCharType="begin"/>
            </w:r>
            <w:r>
              <w:rPr>
                <w:noProof/>
                <w:webHidden/>
              </w:rPr>
              <w:instrText xml:space="preserve"> PAGEREF _Toc179962283 \h </w:instrText>
            </w:r>
            <w:r>
              <w:rPr>
                <w:noProof/>
                <w:webHidden/>
              </w:rPr>
            </w:r>
            <w:r>
              <w:rPr>
                <w:noProof/>
                <w:webHidden/>
              </w:rPr>
              <w:fldChar w:fldCharType="separate"/>
            </w:r>
            <w:r w:rsidR="005D7515">
              <w:rPr>
                <w:noProof/>
                <w:webHidden/>
              </w:rPr>
              <w:t>23</w:t>
            </w:r>
            <w:r>
              <w:rPr>
                <w:noProof/>
                <w:webHidden/>
              </w:rPr>
              <w:fldChar w:fldCharType="end"/>
            </w:r>
          </w:hyperlink>
        </w:p>
        <w:p w14:paraId="7E48DC81" w14:textId="3FB4C3FD" w:rsidR="00B26D27" w:rsidRDefault="00B26D27">
          <w:pPr>
            <w:pStyle w:val="TOC3"/>
            <w:tabs>
              <w:tab w:val="right" w:leader="dot" w:pos="9628"/>
            </w:tabs>
            <w:rPr>
              <w:rFonts w:eastAsiaTheme="minorEastAsia"/>
              <w:noProof/>
              <w:kern w:val="2"/>
              <w:sz w:val="22"/>
              <w:lang w:eastAsia="en-GB"/>
              <w14:ligatures w14:val="standardContextual"/>
            </w:rPr>
          </w:pPr>
          <w:hyperlink w:anchor="_Toc179962284" w:history="1">
            <w:r w:rsidRPr="009F5677">
              <w:rPr>
                <w:rStyle w:val="Hyperlink"/>
                <w:noProof/>
              </w:rPr>
              <w:t>Biophilia hypothesis</w:t>
            </w:r>
            <w:r>
              <w:rPr>
                <w:noProof/>
                <w:webHidden/>
              </w:rPr>
              <w:tab/>
            </w:r>
            <w:r>
              <w:rPr>
                <w:noProof/>
                <w:webHidden/>
              </w:rPr>
              <w:fldChar w:fldCharType="begin"/>
            </w:r>
            <w:r>
              <w:rPr>
                <w:noProof/>
                <w:webHidden/>
              </w:rPr>
              <w:instrText xml:space="preserve"> PAGEREF _Toc179962284 \h </w:instrText>
            </w:r>
            <w:r>
              <w:rPr>
                <w:noProof/>
                <w:webHidden/>
              </w:rPr>
            </w:r>
            <w:r>
              <w:rPr>
                <w:noProof/>
                <w:webHidden/>
              </w:rPr>
              <w:fldChar w:fldCharType="separate"/>
            </w:r>
            <w:r w:rsidR="005D7515">
              <w:rPr>
                <w:noProof/>
                <w:webHidden/>
              </w:rPr>
              <w:t>25</w:t>
            </w:r>
            <w:r>
              <w:rPr>
                <w:noProof/>
                <w:webHidden/>
              </w:rPr>
              <w:fldChar w:fldCharType="end"/>
            </w:r>
          </w:hyperlink>
        </w:p>
        <w:p w14:paraId="4C403141" w14:textId="0D4A7AFF" w:rsidR="00B26D27" w:rsidRDefault="00B26D27">
          <w:pPr>
            <w:pStyle w:val="TOC3"/>
            <w:tabs>
              <w:tab w:val="right" w:leader="dot" w:pos="9628"/>
            </w:tabs>
            <w:rPr>
              <w:rFonts w:eastAsiaTheme="minorEastAsia"/>
              <w:noProof/>
              <w:kern w:val="2"/>
              <w:sz w:val="22"/>
              <w:lang w:eastAsia="en-GB"/>
              <w14:ligatures w14:val="standardContextual"/>
            </w:rPr>
          </w:pPr>
          <w:hyperlink w:anchor="_Toc179962285" w:history="1">
            <w:r w:rsidRPr="009F5677">
              <w:rPr>
                <w:rStyle w:val="Hyperlink"/>
                <w:noProof/>
              </w:rPr>
              <w:t>Attention Restoration and Stress Recovery</w:t>
            </w:r>
            <w:r>
              <w:rPr>
                <w:noProof/>
                <w:webHidden/>
              </w:rPr>
              <w:tab/>
            </w:r>
            <w:r>
              <w:rPr>
                <w:noProof/>
                <w:webHidden/>
              </w:rPr>
              <w:fldChar w:fldCharType="begin"/>
            </w:r>
            <w:r>
              <w:rPr>
                <w:noProof/>
                <w:webHidden/>
              </w:rPr>
              <w:instrText xml:space="preserve"> PAGEREF _Toc179962285 \h </w:instrText>
            </w:r>
            <w:r>
              <w:rPr>
                <w:noProof/>
                <w:webHidden/>
              </w:rPr>
            </w:r>
            <w:r>
              <w:rPr>
                <w:noProof/>
                <w:webHidden/>
              </w:rPr>
              <w:fldChar w:fldCharType="separate"/>
            </w:r>
            <w:r w:rsidR="005D7515">
              <w:rPr>
                <w:noProof/>
                <w:webHidden/>
              </w:rPr>
              <w:t>28</w:t>
            </w:r>
            <w:r>
              <w:rPr>
                <w:noProof/>
                <w:webHidden/>
              </w:rPr>
              <w:fldChar w:fldCharType="end"/>
            </w:r>
          </w:hyperlink>
        </w:p>
        <w:p w14:paraId="55AE7622" w14:textId="4131B360" w:rsidR="00B26D27" w:rsidRDefault="00B26D27">
          <w:pPr>
            <w:pStyle w:val="TOC3"/>
            <w:tabs>
              <w:tab w:val="right" w:leader="dot" w:pos="9628"/>
            </w:tabs>
            <w:rPr>
              <w:rFonts w:eastAsiaTheme="minorEastAsia"/>
              <w:noProof/>
              <w:kern w:val="2"/>
              <w:sz w:val="22"/>
              <w:lang w:eastAsia="en-GB"/>
              <w14:ligatures w14:val="standardContextual"/>
            </w:rPr>
          </w:pPr>
          <w:hyperlink w:anchor="_Toc179962286" w:history="1">
            <w:r w:rsidRPr="009F5677">
              <w:rPr>
                <w:rStyle w:val="Hyperlink"/>
                <w:noProof/>
              </w:rPr>
              <w:t>Attention restoration</w:t>
            </w:r>
            <w:r>
              <w:rPr>
                <w:noProof/>
                <w:webHidden/>
              </w:rPr>
              <w:tab/>
            </w:r>
            <w:r>
              <w:rPr>
                <w:noProof/>
                <w:webHidden/>
              </w:rPr>
              <w:fldChar w:fldCharType="begin"/>
            </w:r>
            <w:r>
              <w:rPr>
                <w:noProof/>
                <w:webHidden/>
              </w:rPr>
              <w:instrText xml:space="preserve"> PAGEREF _Toc179962286 \h </w:instrText>
            </w:r>
            <w:r>
              <w:rPr>
                <w:noProof/>
                <w:webHidden/>
              </w:rPr>
            </w:r>
            <w:r>
              <w:rPr>
                <w:noProof/>
                <w:webHidden/>
              </w:rPr>
              <w:fldChar w:fldCharType="separate"/>
            </w:r>
            <w:r w:rsidR="005D7515">
              <w:rPr>
                <w:noProof/>
                <w:webHidden/>
              </w:rPr>
              <w:t>28</w:t>
            </w:r>
            <w:r>
              <w:rPr>
                <w:noProof/>
                <w:webHidden/>
              </w:rPr>
              <w:fldChar w:fldCharType="end"/>
            </w:r>
          </w:hyperlink>
        </w:p>
        <w:p w14:paraId="20F6E94B" w14:textId="48C7A508" w:rsidR="00B26D27" w:rsidRDefault="00B26D27">
          <w:pPr>
            <w:pStyle w:val="TOC3"/>
            <w:tabs>
              <w:tab w:val="right" w:leader="dot" w:pos="9628"/>
            </w:tabs>
            <w:rPr>
              <w:rFonts w:eastAsiaTheme="minorEastAsia"/>
              <w:noProof/>
              <w:kern w:val="2"/>
              <w:sz w:val="22"/>
              <w:lang w:eastAsia="en-GB"/>
              <w14:ligatures w14:val="standardContextual"/>
            </w:rPr>
          </w:pPr>
          <w:hyperlink w:anchor="_Toc179962287" w:history="1">
            <w:r w:rsidRPr="009F5677">
              <w:rPr>
                <w:rStyle w:val="Hyperlink"/>
                <w:noProof/>
              </w:rPr>
              <w:t>Stress recovery theory</w:t>
            </w:r>
            <w:r>
              <w:rPr>
                <w:noProof/>
                <w:webHidden/>
              </w:rPr>
              <w:tab/>
            </w:r>
            <w:r>
              <w:rPr>
                <w:noProof/>
                <w:webHidden/>
              </w:rPr>
              <w:fldChar w:fldCharType="begin"/>
            </w:r>
            <w:r>
              <w:rPr>
                <w:noProof/>
                <w:webHidden/>
              </w:rPr>
              <w:instrText xml:space="preserve"> PAGEREF _Toc179962287 \h </w:instrText>
            </w:r>
            <w:r>
              <w:rPr>
                <w:noProof/>
                <w:webHidden/>
              </w:rPr>
            </w:r>
            <w:r>
              <w:rPr>
                <w:noProof/>
                <w:webHidden/>
              </w:rPr>
              <w:fldChar w:fldCharType="separate"/>
            </w:r>
            <w:r w:rsidR="005D7515">
              <w:rPr>
                <w:noProof/>
                <w:webHidden/>
              </w:rPr>
              <w:t>29</w:t>
            </w:r>
            <w:r>
              <w:rPr>
                <w:noProof/>
                <w:webHidden/>
              </w:rPr>
              <w:fldChar w:fldCharType="end"/>
            </w:r>
          </w:hyperlink>
        </w:p>
        <w:p w14:paraId="3B60AE26" w14:textId="13F4FE40" w:rsidR="00B26D27" w:rsidRDefault="00B26D27">
          <w:pPr>
            <w:pStyle w:val="TOC2"/>
            <w:tabs>
              <w:tab w:val="right" w:leader="dot" w:pos="9628"/>
            </w:tabs>
            <w:rPr>
              <w:rFonts w:eastAsiaTheme="minorEastAsia"/>
              <w:noProof/>
              <w:kern w:val="2"/>
              <w:sz w:val="22"/>
              <w:lang w:eastAsia="en-GB"/>
              <w14:ligatures w14:val="standardContextual"/>
            </w:rPr>
          </w:pPr>
          <w:hyperlink w:anchor="_Toc179962288" w:history="1">
            <w:r w:rsidRPr="009F5677">
              <w:rPr>
                <w:rStyle w:val="Hyperlink"/>
                <w:noProof/>
              </w:rPr>
              <w:t>A quick dip into neurosciences: Human Affect and emotions</w:t>
            </w:r>
            <w:r>
              <w:rPr>
                <w:noProof/>
                <w:webHidden/>
              </w:rPr>
              <w:tab/>
            </w:r>
            <w:r>
              <w:rPr>
                <w:noProof/>
                <w:webHidden/>
              </w:rPr>
              <w:fldChar w:fldCharType="begin"/>
            </w:r>
            <w:r>
              <w:rPr>
                <w:noProof/>
                <w:webHidden/>
              </w:rPr>
              <w:instrText xml:space="preserve"> PAGEREF _Toc179962288 \h </w:instrText>
            </w:r>
            <w:r>
              <w:rPr>
                <w:noProof/>
                <w:webHidden/>
              </w:rPr>
            </w:r>
            <w:r>
              <w:rPr>
                <w:noProof/>
                <w:webHidden/>
              </w:rPr>
              <w:fldChar w:fldCharType="separate"/>
            </w:r>
            <w:r w:rsidR="005D7515">
              <w:rPr>
                <w:noProof/>
                <w:webHidden/>
              </w:rPr>
              <w:t>31</w:t>
            </w:r>
            <w:r>
              <w:rPr>
                <w:noProof/>
                <w:webHidden/>
              </w:rPr>
              <w:fldChar w:fldCharType="end"/>
            </w:r>
          </w:hyperlink>
        </w:p>
        <w:p w14:paraId="0705C1B9" w14:textId="48C03FB2" w:rsidR="00B26D27" w:rsidRDefault="00B26D27">
          <w:pPr>
            <w:pStyle w:val="TOC3"/>
            <w:tabs>
              <w:tab w:val="right" w:leader="dot" w:pos="9628"/>
            </w:tabs>
            <w:rPr>
              <w:rFonts w:eastAsiaTheme="minorEastAsia"/>
              <w:noProof/>
              <w:kern w:val="2"/>
              <w:sz w:val="22"/>
              <w:lang w:eastAsia="en-GB"/>
              <w14:ligatures w14:val="standardContextual"/>
            </w:rPr>
          </w:pPr>
          <w:hyperlink w:anchor="_Toc179962289" w:history="1">
            <w:r w:rsidRPr="009F5677">
              <w:rPr>
                <w:rStyle w:val="Hyperlink"/>
                <w:noProof/>
              </w:rPr>
              <w:t>Emotions as the product of cognition. The Circumplex model of affect</w:t>
            </w:r>
            <w:r>
              <w:rPr>
                <w:noProof/>
                <w:webHidden/>
              </w:rPr>
              <w:tab/>
            </w:r>
            <w:r>
              <w:rPr>
                <w:noProof/>
                <w:webHidden/>
              </w:rPr>
              <w:fldChar w:fldCharType="begin"/>
            </w:r>
            <w:r>
              <w:rPr>
                <w:noProof/>
                <w:webHidden/>
              </w:rPr>
              <w:instrText xml:space="preserve"> PAGEREF _Toc179962289 \h </w:instrText>
            </w:r>
            <w:r>
              <w:rPr>
                <w:noProof/>
                <w:webHidden/>
              </w:rPr>
            </w:r>
            <w:r>
              <w:rPr>
                <w:noProof/>
                <w:webHidden/>
              </w:rPr>
              <w:fldChar w:fldCharType="separate"/>
            </w:r>
            <w:r w:rsidR="005D7515">
              <w:rPr>
                <w:noProof/>
                <w:webHidden/>
              </w:rPr>
              <w:t>32</w:t>
            </w:r>
            <w:r>
              <w:rPr>
                <w:noProof/>
                <w:webHidden/>
              </w:rPr>
              <w:fldChar w:fldCharType="end"/>
            </w:r>
          </w:hyperlink>
        </w:p>
        <w:p w14:paraId="02E5887D" w14:textId="3FD9E349" w:rsidR="00B26D27" w:rsidRDefault="00B26D27">
          <w:pPr>
            <w:pStyle w:val="TOC3"/>
            <w:tabs>
              <w:tab w:val="right" w:leader="dot" w:pos="9628"/>
            </w:tabs>
            <w:rPr>
              <w:rFonts w:eastAsiaTheme="minorEastAsia"/>
              <w:noProof/>
              <w:kern w:val="2"/>
              <w:sz w:val="22"/>
              <w:lang w:eastAsia="en-GB"/>
              <w14:ligatures w14:val="standardContextual"/>
            </w:rPr>
          </w:pPr>
          <w:hyperlink w:anchor="_Toc179962290" w:history="1">
            <w:r w:rsidRPr="009F5677">
              <w:rPr>
                <w:rStyle w:val="Hyperlink"/>
                <w:noProof/>
              </w:rPr>
              <w:t>Affective neuroscience perspective</w:t>
            </w:r>
            <w:r>
              <w:rPr>
                <w:noProof/>
                <w:webHidden/>
              </w:rPr>
              <w:tab/>
            </w:r>
            <w:r>
              <w:rPr>
                <w:noProof/>
                <w:webHidden/>
              </w:rPr>
              <w:fldChar w:fldCharType="begin"/>
            </w:r>
            <w:r>
              <w:rPr>
                <w:noProof/>
                <w:webHidden/>
              </w:rPr>
              <w:instrText xml:space="preserve"> PAGEREF _Toc179962290 \h </w:instrText>
            </w:r>
            <w:r>
              <w:rPr>
                <w:noProof/>
                <w:webHidden/>
              </w:rPr>
            </w:r>
            <w:r>
              <w:rPr>
                <w:noProof/>
                <w:webHidden/>
              </w:rPr>
              <w:fldChar w:fldCharType="separate"/>
            </w:r>
            <w:r w:rsidR="005D7515">
              <w:rPr>
                <w:noProof/>
                <w:webHidden/>
              </w:rPr>
              <w:t>33</w:t>
            </w:r>
            <w:r>
              <w:rPr>
                <w:noProof/>
                <w:webHidden/>
              </w:rPr>
              <w:fldChar w:fldCharType="end"/>
            </w:r>
          </w:hyperlink>
        </w:p>
        <w:p w14:paraId="3AB1D251" w14:textId="04A29711" w:rsidR="00B26D27" w:rsidRDefault="00B26D27">
          <w:pPr>
            <w:pStyle w:val="TOC3"/>
            <w:tabs>
              <w:tab w:val="right" w:leader="dot" w:pos="9628"/>
            </w:tabs>
            <w:rPr>
              <w:rFonts w:eastAsiaTheme="minorEastAsia"/>
              <w:noProof/>
              <w:kern w:val="2"/>
              <w:sz w:val="22"/>
              <w:lang w:eastAsia="en-GB"/>
              <w14:ligatures w14:val="standardContextual"/>
            </w:rPr>
          </w:pPr>
          <w:hyperlink w:anchor="_Toc179962291" w:history="1">
            <w:r w:rsidRPr="009F5677">
              <w:rPr>
                <w:rStyle w:val="Hyperlink"/>
                <w:noProof/>
              </w:rPr>
              <w:t>Affect regulation and proposed role of nature</w:t>
            </w:r>
            <w:r>
              <w:rPr>
                <w:noProof/>
                <w:webHidden/>
              </w:rPr>
              <w:tab/>
            </w:r>
            <w:r>
              <w:rPr>
                <w:noProof/>
                <w:webHidden/>
              </w:rPr>
              <w:fldChar w:fldCharType="begin"/>
            </w:r>
            <w:r>
              <w:rPr>
                <w:noProof/>
                <w:webHidden/>
              </w:rPr>
              <w:instrText xml:space="preserve"> PAGEREF _Toc179962291 \h </w:instrText>
            </w:r>
            <w:r>
              <w:rPr>
                <w:noProof/>
                <w:webHidden/>
              </w:rPr>
            </w:r>
            <w:r>
              <w:rPr>
                <w:noProof/>
                <w:webHidden/>
              </w:rPr>
              <w:fldChar w:fldCharType="separate"/>
            </w:r>
            <w:r w:rsidR="005D7515">
              <w:rPr>
                <w:noProof/>
                <w:webHidden/>
              </w:rPr>
              <w:t>34</w:t>
            </w:r>
            <w:r>
              <w:rPr>
                <w:noProof/>
                <w:webHidden/>
              </w:rPr>
              <w:fldChar w:fldCharType="end"/>
            </w:r>
          </w:hyperlink>
        </w:p>
        <w:p w14:paraId="52DE3C07" w14:textId="00A08722" w:rsidR="00B26D27" w:rsidRDefault="00B26D27">
          <w:pPr>
            <w:pStyle w:val="TOC2"/>
            <w:tabs>
              <w:tab w:val="right" w:leader="dot" w:pos="9628"/>
            </w:tabs>
            <w:rPr>
              <w:rFonts w:eastAsiaTheme="minorEastAsia"/>
              <w:noProof/>
              <w:kern w:val="2"/>
              <w:sz w:val="22"/>
              <w:lang w:eastAsia="en-GB"/>
              <w14:ligatures w14:val="standardContextual"/>
            </w:rPr>
          </w:pPr>
          <w:hyperlink w:anchor="_Toc179962292" w:history="1">
            <w:r w:rsidRPr="009F5677">
              <w:rPr>
                <w:rStyle w:val="Hyperlink"/>
                <w:noProof/>
              </w:rPr>
              <w:t>Virtual contact with nature</w:t>
            </w:r>
            <w:r>
              <w:rPr>
                <w:noProof/>
                <w:webHidden/>
              </w:rPr>
              <w:tab/>
            </w:r>
            <w:r>
              <w:rPr>
                <w:noProof/>
                <w:webHidden/>
              </w:rPr>
              <w:fldChar w:fldCharType="begin"/>
            </w:r>
            <w:r>
              <w:rPr>
                <w:noProof/>
                <w:webHidden/>
              </w:rPr>
              <w:instrText xml:space="preserve"> PAGEREF _Toc179962292 \h </w:instrText>
            </w:r>
            <w:r>
              <w:rPr>
                <w:noProof/>
                <w:webHidden/>
              </w:rPr>
            </w:r>
            <w:r>
              <w:rPr>
                <w:noProof/>
                <w:webHidden/>
              </w:rPr>
              <w:fldChar w:fldCharType="separate"/>
            </w:r>
            <w:r w:rsidR="005D7515">
              <w:rPr>
                <w:noProof/>
                <w:webHidden/>
              </w:rPr>
              <w:t>35</w:t>
            </w:r>
            <w:r>
              <w:rPr>
                <w:noProof/>
                <w:webHidden/>
              </w:rPr>
              <w:fldChar w:fldCharType="end"/>
            </w:r>
          </w:hyperlink>
        </w:p>
        <w:p w14:paraId="32B1B7C7" w14:textId="7992D6DD" w:rsidR="00B26D27" w:rsidRDefault="00B26D27">
          <w:pPr>
            <w:pStyle w:val="TOC3"/>
            <w:tabs>
              <w:tab w:val="right" w:leader="dot" w:pos="9628"/>
            </w:tabs>
            <w:rPr>
              <w:rFonts w:eastAsiaTheme="minorEastAsia"/>
              <w:noProof/>
              <w:kern w:val="2"/>
              <w:sz w:val="22"/>
              <w:lang w:eastAsia="en-GB"/>
              <w14:ligatures w14:val="standardContextual"/>
            </w:rPr>
          </w:pPr>
          <w:hyperlink w:anchor="_Toc179962293" w:history="1">
            <w:r w:rsidRPr="009F5677">
              <w:rPr>
                <w:rStyle w:val="Hyperlink"/>
                <w:noProof/>
              </w:rPr>
              <w:t>Beyond sight: the raw nature experience</w:t>
            </w:r>
            <w:r>
              <w:rPr>
                <w:noProof/>
                <w:webHidden/>
              </w:rPr>
              <w:tab/>
            </w:r>
            <w:r>
              <w:rPr>
                <w:noProof/>
                <w:webHidden/>
              </w:rPr>
              <w:fldChar w:fldCharType="begin"/>
            </w:r>
            <w:r>
              <w:rPr>
                <w:noProof/>
                <w:webHidden/>
              </w:rPr>
              <w:instrText xml:space="preserve"> PAGEREF _Toc179962293 \h </w:instrText>
            </w:r>
            <w:r>
              <w:rPr>
                <w:noProof/>
                <w:webHidden/>
              </w:rPr>
            </w:r>
            <w:r>
              <w:rPr>
                <w:noProof/>
                <w:webHidden/>
              </w:rPr>
              <w:fldChar w:fldCharType="separate"/>
            </w:r>
            <w:r w:rsidR="005D7515">
              <w:rPr>
                <w:noProof/>
                <w:webHidden/>
              </w:rPr>
              <w:t>37</w:t>
            </w:r>
            <w:r>
              <w:rPr>
                <w:noProof/>
                <w:webHidden/>
              </w:rPr>
              <w:fldChar w:fldCharType="end"/>
            </w:r>
          </w:hyperlink>
        </w:p>
        <w:p w14:paraId="66E421F6" w14:textId="7F4FADBC" w:rsidR="00B26D27" w:rsidRDefault="00B26D27">
          <w:pPr>
            <w:pStyle w:val="TOC2"/>
            <w:tabs>
              <w:tab w:val="right" w:leader="dot" w:pos="9628"/>
            </w:tabs>
            <w:rPr>
              <w:rFonts w:eastAsiaTheme="minorEastAsia"/>
              <w:noProof/>
              <w:kern w:val="2"/>
              <w:sz w:val="22"/>
              <w:lang w:eastAsia="en-GB"/>
              <w14:ligatures w14:val="standardContextual"/>
            </w:rPr>
          </w:pPr>
          <w:hyperlink w:anchor="_Toc179962294" w:history="1">
            <w:r w:rsidRPr="009F5677">
              <w:rPr>
                <w:rStyle w:val="Hyperlink"/>
                <w:noProof/>
              </w:rPr>
              <w:t>Charisma in biodiversity</w:t>
            </w:r>
            <w:r>
              <w:rPr>
                <w:noProof/>
                <w:webHidden/>
              </w:rPr>
              <w:tab/>
            </w:r>
            <w:r>
              <w:rPr>
                <w:noProof/>
                <w:webHidden/>
              </w:rPr>
              <w:fldChar w:fldCharType="begin"/>
            </w:r>
            <w:r>
              <w:rPr>
                <w:noProof/>
                <w:webHidden/>
              </w:rPr>
              <w:instrText xml:space="preserve"> PAGEREF _Toc179962294 \h </w:instrText>
            </w:r>
            <w:r>
              <w:rPr>
                <w:noProof/>
                <w:webHidden/>
              </w:rPr>
            </w:r>
            <w:r>
              <w:rPr>
                <w:noProof/>
                <w:webHidden/>
              </w:rPr>
              <w:fldChar w:fldCharType="separate"/>
            </w:r>
            <w:r w:rsidR="005D7515">
              <w:rPr>
                <w:noProof/>
                <w:webHidden/>
              </w:rPr>
              <w:t>41</w:t>
            </w:r>
            <w:r>
              <w:rPr>
                <w:noProof/>
                <w:webHidden/>
              </w:rPr>
              <w:fldChar w:fldCharType="end"/>
            </w:r>
          </w:hyperlink>
        </w:p>
        <w:p w14:paraId="58F7BDF2" w14:textId="24E22221" w:rsidR="00B26D27" w:rsidRDefault="00B26D27">
          <w:pPr>
            <w:pStyle w:val="TOC2"/>
            <w:tabs>
              <w:tab w:val="right" w:leader="dot" w:pos="9628"/>
            </w:tabs>
            <w:rPr>
              <w:rFonts w:eastAsiaTheme="minorEastAsia"/>
              <w:noProof/>
              <w:kern w:val="2"/>
              <w:sz w:val="22"/>
              <w:lang w:eastAsia="en-GB"/>
              <w14:ligatures w14:val="standardContextual"/>
            </w:rPr>
          </w:pPr>
          <w:hyperlink w:anchor="_Toc179962295" w:history="1">
            <w:r w:rsidRPr="009F5677">
              <w:rPr>
                <w:rStyle w:val="Hyperlink"/>
                <w:noProof/>
              </w:rPr>
              <w:t>The People – Biodiversity Paradox</w:t>
            </w:r>
            <w:r>
              <w:rPr>
                <w:noProof/>
                <w:webHidden/>
              </w:rPr>
              <w:tab/>
            </w:r>
            <w:r>
              <w:rPr>
                <w:noProof/>
                <w:webHidden/>
              </w:rPr>
              <w:fldChar w:fldCharType="begin"/>
            </w:r>
            <w:r>
              <w:rPr>
                <w:noProof/>
                <w:webHidden/>
              </w:rPr>
              <w:instrText xml:space="preserve"> PAGEREF _Toc179962295 \h </w:instrText>
            </w:r>
            <w:r>
              <w:rPr>
                <w:noProof/>
                <w:webHidden/>
              </w:rPr>
            </w:r>
            <w:r>
              <w:rPr>
                <w:noProof/>
                <w:webHidden/>
              </w:rPr>
              <w:fldChar w:fldCharType="separate"/>
            </w:r>
            <w:r w:rsidR="005D7515">
              <w:rPr>
                <w:noProof/>
                <w:webHidden/>
              </w:rPr>
              <w:t>44</w:t>
            </w:r>
            <w:r>
              <w:rPr>
                <w:noProof/>
                <w:webHidden/>
              </w:rPr>
              <w:fldChar w:fldCharType="end"/>
            </w:r>
          </w:hyperlink>
        </w:p>
        <w:p w14:paraId="333ED61D" w14:textId="3FAFF443" w:rsidR="00B26D27" w:rsidRDefault="00B26D27">
          <w:pPr>
            <w:pStyle w:val="TOC1"/>
            <w:tabs>
              <w:tab w:val="right" w:leader="dot" w:pos="9628"/>
            </w:tabs>
            <w:rPr>
              <w:rFonts w:eastAsiaTheme="minorEastAsia"/>
              <w:noProof/>
              <w:kern w:val="2"/>
              <w:sz w:val="22"/>
              <w:lang w:eastAsia="en-GB"/>
              <w14:ligatures w14:val="standardContextual"/>
            </w:rPr>
          </w:pPr>
          <w:hyperlink w:anchor="_Toc179962296" w:history="1">
            <w:r w:rsidRPr="009F5677">
              <w:rPr>
                <w:rStyle w:val="Hyperlink"/>
                <w:noProof/>
              </w:rPr>
              <w:t>Chapter 3 - Methodology</w:t>
            </w:r>
            <w:r>
              <w:rPr>
                <w:noProof/>
                <w:webHidden/>
              </w:rPr>
              <w:tab/>
            </w:r>
            <w:r>
              <w:rPr>
                <w:noProof/>
                <w:webHidden/>
              </w:rPr>
              <w:fldChar w:fldCharType="begin"/>
            </w:r>
            <w:r>
              <w:rPr>
                <w:noProof/>
                <w:webHidden/>
              </w:rPr>
              <w:instrText xml:space="preserve"> PAGEREF _Toc179962296 \h </w:instrText>
            </w:r>
            <w:r>
              <w:rPr>
                <w:noProof/>
                <w:webHidden/>
              </w:rPr>
            </w:r>
            <w:r>
              <w:rPr>
                <w:noProof/>
                <w:webHidden/>
              </w:rPr>
              <w:fldChar w:fldCharType="separate"/>
            </w:r>
            <w:r w:rsidR="005D7515">
              <w:rPr>
                <w:noProof/>
                <w:webHidden/>
              </w:rPr>
              <w:t>47</w:t>
            </w:r>
            <w:r>
              <w:rPr>
                <w:noProof/>
                <w:webHidden/>
              </w:rPr>
              <w:fldChar w:fldCharType="end"/>
            </w:r>
          </w:hyperlink>
        </w:p>
        <w:p w14:paraId="0CA8F147" w14:textId="22047A91" w:rsidR="00B26D27" w:rsidRDefault="00B26D27">
          <w:pPr>
            <w:pStyle w:val="TOC2"/>
            <w:tabs>
              <w:tab w:val="right" w:leader="dot" w:pos="9628"/>
            </w:tabs>
            <w:rPr>
              <w:rFonts w:eastAsiaTheme="minorEastAsia"/>
              <w:noProof/>
              <w:kern w:val="2"/>
              <w:sz w:val="22"/>
              <w:lang w:eastAsia="en-GB"/>
              <w14:ligatures w14:val="standardContextual"/>
            </w:rPr>
          </w:pPr>
          <w:hyperlink w:anchor="_Toc179962297" w:history="1">
            <w:r w:rsidRPr="009F5677">
              <w:rPr>
                <w:rStyle w:val="Hyperlink"/>
                <w:noProof/>
              </w:rPr>
              <w:t>Introduction to the Chapter</w:t>
            </w:r>
            <w:r>
              <w:rPr>
                <w:noProof/>
                <w:webHidden/>
              </w:rPr>
              <w:tab/>
            </w:r>
            <w:r>
              <w:rPr>
                <w:noProof/>
                <w:webHidden/>
              </w:rPr>
              <w:fldChar w:fldCharType="begin"/>
            </w:r>
            <w:r>
              <w:rPr>
                <w:noProof/>
                <w:webHidden/>
              </w:rPr>
              <w:instrText xml:space="preserve"> PAGEREF _Toc179962297 \h </w:instrText>
            </w:r>
            <w:r>
              <w:rPr>
                <w:noProof/>
                <w:webHidden/>
              </w:rPr>
            </w:r>
            <w:r>
              <w:rPr>
                <w:noProof/>
                <w:webHidden/>
              </w:rPr>
              <w:fldChar w:fldCharType="separate"/>
            </w:r>
            <w:r w:rsidR="005D7515">
              <w:rPr>
                <w:noProof/>
                <w:webHidden/>
              </w:rPr>
              <w:t>47</w:t>
            </w:r>
            <w:r>
              <w:rPr>
                <w:noProof/>
                <w:webHidden/>
              </w:rPr>
              <w:fldChar w:fldCharType="end"/>
            </w:r>
          </w:hyperlink>
        </w:p>
        <w:p w14:paraId="483CE2FF" w14:textId="11C371F3" w:rsidR="00B26D27" w:rsidRDefault="00B26D27">
          <w:pPr>
            <w:pStyle w:val="TOC3"/>
            <w:tabs>
              <w:tab w:val="right" w:leader="dot" w:pos="9628"/>
            </w:tabs>
            <w:rPr>
              <w:rFonts w:eastAsiaTheme="minorEastAsia"/>
              <w:noProof/>
              <w:kern w:val="2"/>
              <w:sz w:val="22"/>
              <w:lang w:eastAsia="en-GB"/>
              <w14:ligatures w14:val="standardContextual"/>
            </w:rPr>
          </w:pPr>
          <w:hyperlink w:anchor="_Toc179962298" w:history="1">
            <w:r w:rsidRPr="009F5677">
              <w:rPr>
                <w:rStyle w:val="Hyperlink"/>
                <w:noProof/>
              </w:rPr>
              <w:t>Addressing the research questions</w:t>
            </w:r>
            <w:r>
              <w:rPr>
                <w:noProof/>
                <w:webHidden/>
              </w:rPr>
              <w:tab/>
            </w:r>
            <w:r>
              <w:rPr>
                <w:noProof/>
                <w:webHidden/>
              </w:rPr>
              <w:fldChar w:fldCharType="begin"/>
            </w:r>
            <w:r>
              <w:rPr>
                <w:noProof/>
                <w:webHidden/>
              </w:rPr>
              <w:instrText xml:space="preserve"> PAGEREF _Toc179962298 \h </w:instrText>
            </w:r>
            <w:r>
              <w:rPr>
                <w:noProof/>
                <w:webHidden/>
              </w:rPr>
            </w:r>
            <w:r>
              <w:rPr>
                <w:noProof/>
                <w:webHidden/>
              </w:rPr>
              <w:fldChar w:fldCharType="separate"/>
            </w:r>
            <w:r w:rsidR="005D7515">
              <w:rPr>
                <w:noProof/>
                <w:webHidden/>
              </w:rPr>
              <w:t>47</w:t>
            </w:r>
            <w:r>
              <w:rPr>
                <w:noProof/>
                <w:webHidden/>
              </w:rPr>
              <w:fldChar w:fldCharType="end"/>
            </w:r>
          </w:hyperlink>
        </w:p>
        <w:p w14:paraId="62DD1EEF" w14:textId="411C3B74" w:rsidR="00B26D27" w:rsidRDefault="00B26D27">
          <w:pPr>
            <w:pStyle w:val="TOC3"/>
            <w:tabs>
              <w:tab w:val="right" w:leader="dot" w:pos="9628"/>
            </w:tabs>
            <w:rPr>
              <w:rFonts w:eastAsiaTheme="minorEastAsia"/>
              <w:noProof/>
              <w:kern w:val="2"/>
              <w:sz w:val="22"/>
              <w:lang w:eastAsia="en-GB"/>
              <w14:ligatures w14:val="standardContextual"/>
            </w:rPr>
          </w:pPr>
          <w:hyperlink w:anchor="_Toc179962299" w:history="1">
            <w:r w:rsidRPr="009F5677">
              <w:rPr>
                <w:rStyle w:val="Hyperlink"/>
                <w:noProof/>
              </w:rPr>
              <w:t>Randomised trials</w:t>
            </w:r>
            <w:r>
              <w:rPr>
                <w:noProof/>
                <w:webHidden/>
              </w:rPr>
              <w:tab/>
            </w:r>
            <w:r>
              <w:rPr>
                <w:noProof/>
                <w:webHidden/>
              </w:rPr>
              <w:fldChar w:fldCharType="begin"/>
            </w:r>
            <w:r>
              <w:rPr>
                <w:noProof/>
                <w:webHidden/>
              </w:rPr>
              <w:instrText xml:space="preserve"> PAGEREF _Toc179962299 \h </w:instrText>
            </w:r>
            <w:r>
              <w:rPr>
                <w:noProof/>
                <w:webHidden/>
              </w:rPr>
            </w:r>
            <w:r>
              <w:rPr>
                <w:noProof/>
                <w:webHidden/>
              </w:rPr>
              <w:fldChar w:fldCharType="separate"/>
            </w:r>
            <w:r w:rsidR="005D7515">
              <w:rPr>
                <w:noProof/>
                <w:webHidden/>
              </w:rPr>
              <w:t>48</w:t>
            </w:r>
            <w:r>
              <w:rPr>
                <w:noProof/>
                <w:webHidden/>
              </w:rPr>
              <w:fldChar w:fldCharType="end"/>
            </w:r>
          </w:hyperlink>
        </w:p>
        <w:p w14:paraId="57F8AFE8" w14:textId="525A2643" w:rsidR="00B26D27" w:rsidRDefault="00B26D27">
          <w:pPr>
            <w:pStyle w:val="TOC3"/>
            <w:tabs>
              <w:tab w:val="right" w:leader="dot" w:pos="9628"/>
            </w:tabs>
            <w:rPr>
              <w:rFonts w:eastAsiaTheme="minorEastAsia"/>
              <w:noProof/>
              <w:kern w:val="2"/>
              <w:sz w:val="22"/>
              <w:lang w:eastAsia="en-GB"/>
              <w14:ligatures w14:val="standardContextual"/>
            </w:rPr>
          </w:pPr>
          <w:hyperlink w:anchor="_Toc179962300" w:history="1">
            <w:r w:rsidRPr="009F5677">
              <w:rPr>
                <w:rStyle w:val="Hyperlink"/>
                <w:noProof/>
              </w:rPr>
              <w:t>Repeated measures</w:t>
            </w:r>
            <w:r>
              <w:rPr>
                <w:noProof/>
                <w:webHidden/>
              </w:rPr>
              <w:tab/>
            </w:r>
            <w:r>
              <w:rPr>
                <w:noProof/>
                <w:webHidden/>
              </w:rPr>
              <w:fldChar w:fldCharType="begin"/>
            </w:r>
            <w:r>
              <w:rPr>
                <w:noProof/>
                <w:webHidden/>
              </w:rPr>
              <w:instrText xml:space="preserve"> PAGEREF _Toc179962300 \h </w:instrText>
            </w:r>
            <w:r>
              <w:rPr>
                <w:noProof/>
                <w:webHidden/>
              </w:rPr>
            </w:r>
            <w:r>
              <w:rPr>
                <w:noProof/>
                <w:webHidden/>
              </w:rPr>
              <w:fldChar w:fldCharType="separate"/>
            </w:r>
            <w:r w:rsidR="005D7515">
              <w:rPr>
                <w:noProof/>
                <w:webHidden/>
              </w:rPr>
              <w:t>48</w:t>
            </w:r>
            <w:r>
              <w:rPr>
                <w:noProof/>
                <w:webHidden/>
              </w:rPr>
              <w:fldChar w:fldCharType="end"/>
            </w:r>
          </w:hyperlink>
        </w:p>
        <w:p w14:paraId="7A81457F" w14:textId="1D76D3FF" w:rsidR="00B26D27" w:rsidRDefault="00B26D27">
          <w:pPr>
            <w:pStyle w:val="TOC3"/>
            <w:tabs>
              <w:tab w:val="right" w:leader="dot" w:pos="9628"/>
            </w:tabs>
            <w:rPr>
              <w:rFonts w:eastAsiaTheme="minorEastAsia"/>
              <w:noProof/>
              <w:kern w:val="2"/>
              <w:sz w:val="22"/>
              <w:lang w:eastAsia="en-GB"/>
              <w14:ligatures w14:val="standardContextual"/>
            </w:rPr>
          </w:pPr>
          <w:hyperlink w:anchor="_Toc179962301" w:history="1">
            <w:r w:rsidRPr="009F5677">
              <w:rPr>
                <w:rStyle w:val="Hyperlink"/>
                <w:noProof/>
              </w:rPr>
              <w:t>Analytic approach</w:t>
            </w:r>
            <w:r>
              <w:rPr>
                <w:noProof/>
                <w:webHidden/>
              </w:rPr>
              <w:tab/>
            </w:r>
            <w:r>
              <w:rPr>
                <w:noProof/>
                <w:webHidden/>
              </w:rPr>
              <w:fldChar w:fldCharType="begin"/>
            </w:r>
            <w:r>
              <w:rPr>
                <w:noProof/>
                <w:webHidden/>
              </w:rPr>
              <w:instrText xml:space="preserve"> PAGEREF _Toc179962301 \h </w:instrText>
            </w:r>
            <w:r>
              <w:rPr>
                <w:noProof/>
                <w:webHidden/>
              </w:rPr>
            </w:r>
            <w:r>
              <w:rPr>
                <w:noProof/>
                <w:webHidden/>
              </w:rPr>
              <w:fldChar w:fldCharType="separate"/>
            </w:r>
            <w:r w:rsidR="005D7515">
              <w:rPr>
                <w:noProof/>
                <w:webHidden/>
              </w:rPr>
              <w:t>49</w:t>
            </w:r>
            <w:r>
              <w:rPr>
                <w:noProof/>
                <w:webHidden/>
              </w:rPr>
              <w:fldChar w:fldCharType="end"/>
            </w:r>
          </w:hyperlink>
        </w:p>
        <w:p w14:paraId="4C5420C2" w14:textId="60A17386" w:rsidR="00B26D27" w:rsidRDefault="00B26D27">
          <w:pPr>
            <w:pStyle w:val="TOC2"/>
            <w:tabs>
              <w:tab w:val="right" w:leader="dot" w:pos="9628"/>
            </w:tabs>
            <w:rPr>
              <w:rFonts w:eastAsiaTheme="minorEastAsia"/>
              <w:noProof/>
              <w:kern w:val="2"/>
              <w:sz w:val="22"/>
              <w:lang w:eastAsia="en-GB"/>
              <w14:ligatures w14:val="standardContextual"/>
            </w:rPr>
          </w:pPr>
          <w:hyperlink w:anchor="_Toc179962302" w:history="1">
            <w:r w:rsidRPr="009F5677">
              <w:rPr>
                <w:rStyle w:val="Hyperlink"/>
                <w:noProof/>
              </w:rPr>
              <w:t>Data collection</w:t>
            </w:r>
            <w:r>
              <w:rPr>
                <w:noProof/>
                <w:webHidden/>
              </w:rPr>
              <w:tab/>
            </w:r>
            <w:r>
              <w:rPr>
                <w:noProof/>
                <w:webHidden/>
              </w:rPr>
              <w:fldChar w:fldCharType="begin"/>
            </w:r>
            <w:r>
              <w:rPr>
                <w:noProof/>
                <w:webHidden/>
              </w:rPr>
              <w:instrText xml:space="preserve"> PAGEREF _Toc179962302 \h </w:instrText>
            </w:r>
            <w:r>
              <w:rPr>
                <w:noProof/>
                <w:webHidden/>
              </w:rPr>
            </w:r>
            <w:r>
              <w:rPr>
                <w:noProof/>
                <w:webHidden/>
              </w:rPr>
              <w:fldChar w:fldCharType="separate"/>
            </w:r>
            <w:r w:rsidR="005D7515">
              <w:rPr>
                <w:noProof/>
                <w:webHidden/>
              </w:rPr>
              <w:t>51</w:t>
            </w:r>
            <w:r>
              <w:rPr>
                <w:noProof/>
                <w:webHidden/>
              </w:rPr>
              <w:fldChar w:fldCharType="end"/>
            </w:r>
          </w:hyperlink>
        </w:p>
        <w:p w14:paraId="527983A0" w14:textId="4194D7CA" w:rsidR="00B26D27" w:rsidRDefault="00B26D27">
          <w:pPr>
            <w:pStyle w:val="TOC3"/>
            <w:tabs>
              <w:tab w:val="right" w:leader="dot" w:pos="9628"/>
            </w:tabs>
            <w:rPr>
              <w:rFonts w:eastAsiaTheme="minorEastAsia"/>
              <w:noProof/>
              <w:kern w:val="2"/>
              <w:sz w:val="22"/>
              <w:lang w:eastAsia="en-GB"/>
              <w14:ligatures w14:val="standardContextual"/>
            </w:rPr>
          </w:pPr>
          <w:hyperlink w:anchor="_Toc179962303" w:history="1">
            <w:r w:rsidRPr="009F5677">
              <w:rPr>
                <w:rStyle w:val="Hyperlink"/>
                <w:noProof/>
              </w:rPr>
              <w:t>Target population and sampling</w:t>
            </w:r>
            <w:r>
              <w:rPr>
                <w:noProof/>
                <w:webHidden/>
              </w:rPr>
              <w:tab/>
            </w:r>
            <w:r>
              <w:rPr>
                <w:noProof/>
                <w:webHidden/>
              </w:rPr>
              <w:fldChar w:fldCharType="begin"/>
            </w:r>
            <w:r>
              <w:rPr>
                <w:noProof/>
                <w:webHidden/>
              </w:rPr>
              <w:instrText xml:space="preserve"> PAGEREF _Toc179962303 \h </w:instrText>
            </w:r>
            <w:r>
              <w:rPr>
                <w:noProof/>
                <w:webHidden/>
              </w:rPr>
            </w:r>
            <w:r>
              <w:rPr>
                <w:noProof/>
                <w:webHidden/>
              </w:rPr>
              <w:fldChar w:fldCharType="separate"/>
            </w:r>
            <w:r w:rsidR="005D7515">
              <w:rPr>
                <w:noProof/>
                <w:webHidden/>
              </w:rPr>
              <w:t>52</w:t>
            </w:r>
            <w:r>
              <w:rPr>
                <w:noProof/>
                <w:webHidden/>
              </w:rPr>
              <w:fldChar w:fldCharType="end"/>
            </w:r>
          </w:hyperlink>
        </w:p>
        <w:p w14:paraId="1ABB601A" w14:textId="3E3BEECA" w:rsidR="00B26D27" w:rsidRDefault="00B26D27">
          <w:pPr>
            <w:pStyle w:val="TOC3"/>
            <w:tabs>
              <w:tab w:val="right" w:leader="dot" w:pos="9628"/>
            </w:tabs>
            <w:rPr>
              <w:rFonts w:eastAsiaTheme="minorEastAsia"/>
              <w:noProof/>
              <w:kern w:val="2"/>
              <w:sz w:val="22"/>
              <w:lang w:eastAsia="en-GB"/>
              <w14:ligatures w14:val="standardContextual"/>
            </w:rPr>
          </w:pPr>
          <w:hyperlink w:anchor="_Toc179962304" w:history="1">
            <w:r w:rsidRPr="009F5677">
              <w:rPr>
                <w:rStyle w:val="Hyperlink"/>
                <w:noProof/>
              </w:rPr>
              <w:t>Recruiting participants online</w:t>
            </w:r>
            <w:r>
              <w:rPr>
                <w:noProof/>
                <w:webHidden/>
              </w:rPr>
              <w:tab/>
            </w:r>
            <w:r>
              <w:rPr>
                <w:noProof/>
                <w:webHidden/>
              </w:rPr>
              <w:fldChar w:fldCharType="begin"/>
            </w:r>
            <w:r>
              <w:rPr>
                <w:noProof/>
                <w:webHidden/>
              </w:rPr>
              <w:instrText xml:space="preserve"> PAGEREF _Toc179962304 \h </w:instrText>
            </w:r>
            <w:r>
              <w:rPr>
                <w:noProof/>
                <w:webHidden/>
              </w:rPr>
            </w:r>
            <w:r>
              <w:rPr>
                <w:noProof/>
                <w:webHidden/>
              </w:rPr>
              <w:fldChar w:fldCharType="separate"/>
            </w:r>
            <w:r w:rsidR="005D7515">
              <w:rPr>
                <w:noProof/>
                <w:webHidden/>
              </w:rPr>
              <w:t>53</w:t>
            </w:r>
            <w:r>
              <w:rPr>
                <w:noProof/>
                <w:webHidden/>
              </w:rPr>
              <w:fldChar w:fldCharType="end"/>
            </w:r>
          </w:hyperlink>
        </w:p>
        <w:p w14:paraId="21628A28" w14:textId="1A65D628" w:rsidR="00B26D27" w:rsidRDefault="00B26D27">
          <w:pPr>
            <w:pStyle w:val="TOC2"/>
            <w:tabs>
              <w:tab w:val="right" w:leader="dot" w:pos="9628"/>
            </w:tabs>
            <w:rPr>
              <w:rFonts w:eastAsiaTheme="minorEastAsia"/>
              <w:noProof/>
              <w:kern w:val="2"/>
              <w:sz w:val="22"/>
              <w:lang w:eastAsia="en-GB"/>
              <w14:ligatures w14:val="standardContextual"/>
            </w:rPr>
          </w:pPr>
          <w:hyperlink w:anchor="_Toc179962305" w:history="1">
            <w:r w:rsidRPr="009F5677">
              <w:rPr>
                <w:rStyle w:val="Hyperlink"/>
                <w:noProof/>
              </w:rPr>
              <w:t>Media Tools</w:t>
            </w:r>
            <w:r>
              <w:rPr>
                <w:noProof/>
                <w:webHidden/>
              </w:rPr>
              <w:tab/>
            </w:r>
            <w:r>
              <w:rPr>
                <w:noProof/>
                <w:webHidden/>
              </w:rPr>
              <w:fldChar w:fldCharType="begin"/>
            </w:r>
            <w:r>
              <w:rPr>
                <w:noProof/>
                <w:webHidden/>
              </w:rPr>
              <w:instrText xml:space="preserve"> PAGEREF _Toc179962305 \h </w:instrText>
            </w:r>
            <w:r>
              <w:rPr>
                <w:noProof/>
                <w:webHidden/>
              </w:rPr>
            </w:r>
            <w:r>
              <w:rPr>
                <w:noProof/>
                <w:webHidden/>
              </w:rPr>
              <w:fldChar w:fldCharType="separate"/>
            </w:r>
            <w:r w:rsidR="005D7515">
              <w:rPr>
                <w:noProof/>
                <w:webHidden/>
              </w:rPr>
              <w:t>54</w:t>
            </w:r>
            <w:r>
              <w:rPr>
                <w:noProof/>
                <w:webHidden/>
              </w:rPr>
              <w:fldChar w:fldCharType="end"/>
            </w:r>
          </w:hyperlink>
        </w:p>
        <w:p w14:paraId="5C5AE9A9" w14:textId="3C55ED27" w:rsidR="00B26D27" w:rsidRDefault="00B26D27">
          <w:pPr>
            <w:pStyle w:val="TOC3"/>
            <w:tabs>
              <w:tab w:val="right" w:leader="dot" w:pos="9628"/>
            </w:tabs>
            <w:rPr>
              <w:rFonts w:eastAsiaTheme="minorEastAsia"/>
              <w:noProof/>
              <w:kern w:val="2"/>
              <w:sz w:val="22"/>
              <w:lang w:eastAsia="en-GB"/>
              <w14:ligatures w14:val="standardContextual"/>
            </w:rPr>
          </w:pPr>
          <w:hyperlink w:anchor="_Toc179962306" w:history="1">
            <w:r w:rsidRPr="009F5677">
              <w:rPr>
                <w:rStyle w:val="Hyperlink"/>
                <w:noProof/>
              </w:rPr>
              <w:t>Visual media provide exposure to green spaces</w:t>
            </w:r>
            <w:r>
              <w:rPr>
                <w:noProof/>
                <w:webHidden/>
              </w:rPr>
              <w:tab/>
            </w:r>
            <w:r>
              <w:rPr>
                <w:noProof/>
                <w:webHidden/>
              </w:rPr>
              <w:fldChar w:fldCharType="begin"/>
            </w:r>
            <w:r>
              <w:rPr>
                <w:noProof/>
                <w:webHidden/>
              </w:rPr>
              <w:instrText xml:space="preserve"> PAGEREF _Toc179962306 \h </w:instrText>
            </w:r>
            <w:r>
              <w:rPr>
                <w:noProof/>
                <w:webHidden/>
              </w:rPr>
            </w:r>
            <w:r>
              <w:rPr>
                <w:noProof/>
                <w:webHidden/>
              </w:rPr>
              <w:fldChar w:fldCharType="separate"/>
            </w:r>
            <w:r w:rsidR="005D7515">
              <w:rPr>
                <w:noProof/>
                <w:webHidden/>
              </w:rPr>
              <w:t>54</w:t>
            </w:r>
            <w:r>
              <w:rPr>
                <w:noProof/>
                <w:webHidden/>
              </w:rPr>
              <w:fldChar w:fldCharType="end"/>
            </w:r>
          </w:hyperlink>
        </w:p>
        <w:p w14:paraId="26C2DD06" w14:textId="75A086A8" w:rsidR="00B26D27" w:rsidRDefault="00B26D27">
          <w:pPr>
            <w:pStyle w:val="TOC3"/>
            <w:tabs>
              <w:tab w:val="right" w:leader="dot" w:pos="9628"/>
            </w:tabs>
            <w:rPr>
              <w:rFonts w:eastAsiaTheme="minorEastAsia"/>
              <w:noProof/>
              <w:kern w:val="2"/>
              <w:sz w:val="22"/>
              <w:lang w:eastAsia="en-GB"/>
              <w14:ligatures w14:val="standardContextual"/>
            </w:rPr>
          </w:pPr>
          <w:hyperlink w:anchor="_Toc179962307" w:history="1">
            <w:r w:rsidRPr="009F5677">
              <w:rPr>
                <w:rStyle w:val="Hyperlink"/>
                <w:noProof/>
              </w:rPr>
              <w:t>Stressor</w:t>
            </w:r>
            <w:r>
              <w:rPr>
                <w:noProof/>
                <w:webHidden/>
              </w:rPr>
              <w:tab/>
            </w:r>
            <w:r>
              <w:rPr>
                <w:noProof/>
                <w:webHidden/>
              </w:rPr>
              <w:fldChar w:fldCharType="begin"/>
            </w:r>
            <w:r>
              <w:rPr>
                <w:noProof/>
                <w:webHidden/>
              </w:rPr>
              <w:instrText xml:space="preserve"> PAGEREF _Toc179962307 \h </w:instrText>
            </w:r>
            <w:r>
              <w:rPr>
                <w:noProof/>
                <w:webHidden/>
              </w:rPr>
            </w:r>
            <w:r>
              <w:rPr>
                <w:noProof/>
                <w:webHidden/>
              </w:rPr>
              <w:fldChar w:fldCharType="separate"/>
            </w:r>
            <w:r w:rsidR="005D7515">
              <w:rPr>
                <w:noProof/>
                <w:webHidden/>
              </w:rPr>
              <w:t>55</w:t>
            </w:r>
            <w:r>
              <w:rPr>
                <w:noProof/>
                <w:webHidden/>
              </w:rPr>
              <w:fldChar w:fldCharType="end"/>
            </w:r>
          </w:hyperlink>
        </w:p>
        <w:p w14:paraId="1CA606D9" w14:textId="7FD545A0" w:rsidR="00B26D27" w:rsidRDefault="00B26D27">
          <w:pPr>
            <w:pStyle w:val="TOC2"/>
            <w:tabs>
              <w:tab w:val="right" w:leader="dot" w:pos="9628"/>
            </w:tabs>
            <w:rPr>
              <w:rFonts w:eastAsiaTheme="minorEastAsia"/>
              <w:noProof/>
              <w:kern w:val="2"/>
              <w:sz w:val="22"/>
              <w:lang w:eastAsia="en-GB"/>
              <w14:ligatures w14:val="standardContextual"/>
            </w:rPr>
          </w:pPr>
          <w:hyperlink w:anchor="_Toc179962308" w:history="1">
            <w:r w:rsidRPr="009F5677">
              <w:rPr>
                <w:rStyle w:val="Hyperlink"/>
                <w:noProof/>
              </w:rPr>
              <w:t>Measures</w:t>
            </w:r>
            <w:r>
              <w:rPr>
                <w:noProof/>
                <w:webHidden/>
              </w:rPr>
              <w:tab/>
            </w:r>
            <w:r>
              <w:rPr>
                <w:noProof/>
                <w:webHidden/>
              </w:rPr>
              <w:fldChar w:fldCharType="begin"/>
            </w:r>
            <w:r>
              <w:rPr>
                <w:noProof/>
                <w:webHidden/>
              </w:rPr>
              <w:instrText xml:space="preserve"> PAGEREF _Toc179962308 \h </w:instrText>
            </w:r>
            <w:r>
              <w:rPr>
                <w:noProof/>
                <w:webHidden/>
              </w:rPr>
            </w:r>
            <w:r>
              <w:rPr>
                <w:noProof/>
                <w:webHidden/>
              </w:rPr>
              <w:fldChar w:fldCharType="separate"/>
            </w:r>
            <w:r w:rsidR="005D7515">
              <w:rPr>
                <w:noProof/>
                <w:webHidden/>
              </w:rPr>
              <w:t>56</w:t>
            </w:r>
            <w:r>
              <w:rPr>
                <w:noProof/>
                <w:webHidden/>
              </w:rPr>
              <w:fldChar w:fldCharType="end"/>
            </w:r>
          </w:hyperlink>
        </w:p>
        <w:p w14:paraId="28617A3E" w14:textId="1A227761" w:rsidR="00B26D27" w:rsidRDefault="00B26D27">
          <w:pPr>
            <w:pStyle w:val="TOC3"/>
            <w:tabs>
              <w:tab w:val="right" w:leader="dot" w:pos="9628"/>
            </w:tabs>
            <w:rPr>
              <w:rFonts w:eastAsiaTheme="minorEastAsia"/>
              <w:noProof/>
              <w:kern w:val="2"/>
              <w:sz w:val="22"/>
              <w:lang w:eastAsia="en-GB"/>
              <w14:ligatures w14:val="standardContextual"/>
            </w:rPr>
          </w:pPr>
          <w:hyperlink w:anchor="_Toc179962309" w:history="1">
            <w:r w:rsidRPr="009F5677">
              <w:rPr>
                <w:rStyle w:val="Hyperlink"/>
                <w:noProof/>
              </w:rPr>
              <w:t>Biodiversity</w:t>
            </w:r>
            <w:r>
              <w:rPr>
                <w:noProof/>
                <w:webHidden/>
              </w:rPr>
              <w:tab/>
            </w:r>
            <w:r>
              <w:rPr>
                <w:noProof/>
                <w:webHidden/>
              </w:rPr>
              <w:fldChar w:fldCharType="begin"/>
            </w:r>
            <w:r>
              <w:rPr>
                <w:noProof/>
                <w:webHidden/>
              </w:rPr>
              <w:instrText xml:space="preserve"> PAGEREF _Toc179962309 \h </w:instrText>
            </w:r>
            <w:r>
              <w:rPr>
                <w:noProof/>
                <w:webHidden/>
              </w:rPr>
            </w:r>
            <w:r>
              <w:rPr>
                <w:noProof/>
                <w:webHidden/>
              </w:rPr>
              <w:fldChar w:fldCharType="separate"/>
            </w:r>
            <w:r w:rsidR="005D7515">
              <w:rPr>
                <w:noProof/>
                <w:webHidden/>
              </w:rPr>
              <w:t>56</w:t>
            </w:r>
            <w:r>
              <w:rPr>
                <w:noProof/>
                <w:webHidden/>
              </w:rPr>
              <w:fldChar w:fldCharType="end"/>
            </w:r>
          </w:hyperlink>
        </w:p>
        <w:p w14:paraId="3E9B53F9" w14:textId="342B1731" w:rsidR="00B26D27" w:rsidRDefault="00B26D27">
          <w:pPr>
            <w:pStyle w:val="TOC3"/>
            <w:tabs>
              <w:tab w:val="right" w:leader="dot" w:pos="9628"/>
            </w:tabs>
            <w:rPr>
              <w:rFonts w:eastAsiaTheme="minorEastAsia"/>
              <w:noProof/>
              <w:kern w:val="2"/>
              <w:sz w:val="22"/>
              <w:lang w:eastAsia="en-GB"/>
              <w14:ligatures w14:val="standardContextual"/>
            </w:rPr>
          </w:pPr>
          <w:hyperlink w:anchor="_Toc179962310" w:history="1">
            <w:r w:rsidRPr="009F5677">
              <w:rPr>
                <w:rStyle w:val="Hyperlink"/>
                <w:noProof/>
              </w:rPr>
              <w:t>Affective well-being</w:t>
            </w:r>
            <w:r>
              <w:rPr>
                <w:noProof/>
                <w:webHidden/>
              </w:rPr>
              <w:tab/>
            </w:r>
            <w:r>
              <w:rPr>
                <w:noProof/>
                <w:webHidden/>
              </w:rPr>
              <w:fldChar w:fldCharType="begin"/>
            </w:r>
            <w:r>
              <w:rPr>
                <w:noProof/>
                <w:webHidden/>
              </w:rPr>
              <w:instrText xml:space="preserve"> PAGEREF _Toc179962310 \h </w:instrText>
            </w:r>
            <w:r>
              <w:rPr>
                <w:noProof/>
                <w:webHidden/>
              </w:rPr>
            </w:r>
            <w:r>
              <w:rPr>
                <w:noProof/>
                <w:webHidden/>
              </w:rPr>
              <w:fldChar w:fldCharType="separate"/>
            </w:r>
            <w:r w:rsidR="005D7515">
              <w:rPr>
                <w:noProof/>
                <w:webHidden/>
              </w:rPr>
              <w:t>57</w:t>
            </w:r>
            <w:r>
              <w:rPr>
                <w:noProof/>
                <w:webHidden/>
              </w:rPr>
              <w:fldChar w:fldCharType="end"/>
            </w:r>
          </w:hyperlink>
        </w:p>
        <w:p w14:paraId="67F13AD1" w14:textId="20156D59" w:rsidR="00B26D27" w:rsidRDefault="00B26D27">
          <w:pPr>
            <w:pStyle w:val="TOC3"/>
            <w:tabs>
              <w:tab w:val="right" w:leader="dot" w:pos="9628"/>
            </w:tabs>
            <w:rPr>
              <w:rFonts w:eastAsiaTheme="minorEastAsia"/>
              <w:noProof/>
              <w:kern w:val="2"/>
              <w:sz w:val="22"/>
              <w:lang w:eastAsia="en-GB"/>
              <w14:ligatures w14:val="standardContextual"/>
            </w:rPr>
          </w:pPr>
          <w:hyperlink w:anchor="_Toc179962311" w:history="1">
            <w:r w:rsidRPr="009F5677">
              <w:rPr>
                <w:rStyle w:val="Hyperlink"/>
                <w:noProof/>
              </w:rPr>
              <w:t>Nature connectedness</w:t>
            </w:r>
            <w:r>
              <w:rPr>
                <w:noProof/>
                <w:webHidden/>
              </w:rPr>
              <w:tab/>
            </w:r>
            <w:r>
              <w:rPr>
                <w:noProof/>
                <w:webHidden/>
              </w:rPr>
              <w:fldChar w:fldCharType="begin"/>
            </w:r>
            <w:r>
              <w:rPr>
                <w:noProof/>
                <w:webHidden/>
              </w:rPr>
              <w:instrText xml:space="preserve"> PAGEREF _Toc179962311 \h </w:instrText>
            </w:r>
            <w:r>
              <w:rPr>
                <w:noProof/>
                <w:webHidden/>
              </w:rPr>
            </w:r>
            <w:r>
              <w:rPr>
                <w:noProof/>
                <w:webHidden/>
              </w:rPr>
              <w:fldChar w:fldCharType="separate"/>
            </w:r>
            <w:r w:rsidR="005D7515">
              <w:rPr>
                <w:noProof/>
                <w:webHidden/>
              </w:rPr>
              <w:t>58</w:t>
            </w:r>
            <w:r>
              <w:rPr>
                <w:noProof/>
                <w:webHidden/>
              </w:rPr>
              <w:fldChar w:fldCharType="end"/>
            </w:r>
          </w:hyperlink>
        </w:p>
        <w:p w14:paraId="2C6A4915" w14:textId="0C074A3D" w:rsidR="00B26D27" w:rsidRDefault="00B26D27">
          <w:pPr>
            <w:pStyle w:val="TOC3"/>
            <w:tabs>
              <w:tab w:val="right" w:leader="dot" w:pos="9628"/>
            </w:tabs>
            <w:rPr>
              <w:rFonts w:eastAsiaTheme="minorEastAsia"/>
              <w:noProof/>
              <w:kern w:val="2"/>
              <w:sz w:val="22"/>
              <w:lang w:eastAsia="en-GB"/>
              <w14:ligatures w14:val="standardContextual"/>
            </w:rPr>
          </w:pPr>
          <w:hyperlink w:anchor="_Toc179962312" w:history="1">
            <w:r w:rsidRPr="009F5677">
              <w:rPr>
                <w:rStyle w:val="Hyperlink"/>
                <w:noProof/>
              </w:rPr>
              <w:t>Physiological indicators of stress and relaxation</w:t>
            </w:r>
            <w:r>
              <w:rPr>
                <w:noProof/>
                <w:webHidden/>
              </w:rPr>
              <w:tab/>
            </w:r>
            <w:r>
              <w:rPr>
                <w:noProof/>
                <w:webHidden/>
              </w:rPr>
              <w:fldChar w:fldCharType="begin"/>
            </w:r>
            <w:r>
              <w:rPr>
                <w:noProof/>
                <w:webHidden/>
              </w:rPr>
              <w:instrText xml:space="preserve"> PAGEREF _Toc179962312 \h </w:instrText>
            </w:r>
            <w:r>
              <w:rPr>
                <w:noProof/>
                <w:webHidden/>
              </w:rPr>
            </w:r>
            <w:r>
              <w:rPr>
                <w:noProof/>
                <w:webHidden/>
              </w:rPr>
              <w:fldChar w:fldCharType="separate"/>
            </w:r>
            <w:r w:rsidR="005D7515">
              <w:rPr>
                <w:noProof/>
                <w:webHidden/>
              </w:rPr>
              <w:t>59</w:t>
            </w:r>
            <w:r>
              <w:rPr>
                <w:noProof/>
                <w:webHidden/>
              </w:rPr>
              <w:fldChar w:fldCharType="end"/>
            </w:r>
          </w:hyperlink>
        </w:p>
        <w:p w14:paraId="0482665A" w14:textId="48F73BDB" w:rsidR="00B26D27" w:rsidRDefault="00B26D27">
          <w:pPr>
            <w:pStyle w:val="TOC3"/>
            <w:tabs>
              <w:tab w:val="right" w:leader="dot" w:pos="9628"/>
            </w:tabs>
            <w:rPr>
              <w:rFonts w:eastAsiaTheme="minorEastAsia"/>
              <w:noProof/>
              <w:kern w:val="2"/>
              <w:sz w:val="22"/>
              <w:lang w:eastAsia="en-GB"/>
              <w14:ligatures w14:val="standardContextual"/>
            </w:rPr>
          </w:pPr>
          <w:hyperlink w:anchor="_Toc179962313" w:history="1">
            <w:r w:rsidRPr="009F5677">
              <w:rPr>
                <w:rStyle w:val="Hyperlink"/>
                <w:noProof/>
              </w:rPr>
              <w:t>Excursus: What did not work with electroencephalography</w:t>
            </w:r>
            <w:r>
              <w:rPr>
                <w:noProof/>
                <w:webHidden/>
              </w:rPr>
              <w:tab/>
            </w:r>
            <w:r>
              <w:rPr>
                <w:noProof/>
                <w:webHidden/>
              </w:rPr>
              <w:fldChar w:fldCharType="begin"/>
            </w:r>
            <w:r>
              <w:rPr>
                <w:noProof/>
                <w:webHidden/>
              </w:rPr>
              <w:instrText xml:space="preserve"> PAGEREF _Toc179962313 \h </w:instrText>
            </w:r>
            <w:r>
              <w:rPr>
                <w:noProof/>
                <w:webHidden/>
              </w:rPr>
            </w:r>
            <w:r>
              <w:rPr>
                <w:noProof/>
                <w:webHidden/>
              </w:rPr>
              <w:fldChar w:fldCharType="separate"/>
            </w:r>
            <w:r w:rsidR="005D7515">
              <w:rPr>
                <w:noProof/>
                <w:webHidden/>
              </w:rPr>
              <w:t>61</w:t>
            </w:r>
            <w:r>
              <w:rPr>
                <w:noProof/>
                <w:webHidden/>
              </w:rPr>
              <w:fldChar w:fldCharType="end"/>
            </w:r>
          </w:hyperlink>
        </w:p>
        <w:p w14:paraId="199D3542" w14:textId="1491FFDB" w:rsidR="00B26D27" w:rsidRDefault="00B26D27">
          <w:pPr>
            <w:pStyle w:val="TOC2"/>
            <w:tabs>
              <w:tab w:val="right" w:leader="dot" w:pos="9628"/>
            </w:tabs>
            <w:rPr>
              <w:rFonts w:eastAsiaTheme="minorEastAsia"/>
              <w:noProof/>
              <w:kern w:val="2"/>
              <w:sz w:val="22"/>
              <w:lang w:eastAsia="en-GB"/>
              <w14:ligatures w14:val="standardContextual"/>
            </w:rPr>
          </w:pPr>
          <w:hyperlink w:anchor="_Toc179962314" w:history="1">
            <w:r w:rsidRPr="009F5677">
              <w:rPr>
                <w:rStyle w:val="Hyperlink"/>
                <w:noProof/>
              </w:rPr>
              <w:t>The experimental template.</w:t>
            </w:r>
            <w:r>
              <w:rPr>
                <w:noProof/>
                <w:webHidden/>
              </w:rPr>
              <w:tab/>
            </w:r>
            <w:r>
              <w:rPr>
                <w:noProof/>
                <w:webHidden/>
              </w:rPr>
              <w:fldChar w:fldCharType="begin"/>
            </w:r>
            <w:r>
              <w:rPr>
                <w:noProof/>
                <w:webHidden/>
              </w:rPr>
              <w:instrText xml:space="preserve"> PAGEREF _Toc179962314 \h </w:instrText>
            </w:r>
            <w:r>
              <w:rPr>
                <w:noProof/>
                <w:webHidden/>
              </w:rPr>
            </w:r>
            <w:r>
              <w:rPr>
                <w:noProof/>
                <w:webHidden/>
              </w:rPr>
              <w:fldChar w:fldCharType="separate"/>
            </w:r>
            <w:r w:rsidR="005D7515">
              <w:rPr>
                <w:noProof/>
                <w:webHidden/>
              </w:rPr>
              <w:t>62</w:t>
            </w:r>
            <w:r>
              <w:rPr>
                <w:noProof/>
                <w:webHidden/>
              </w:rPr>
              <w:fldChar w:fldCharType="end"/>
            </w:r>
          </w:hyperlink>
        </w:p>
        <w:p w14:paraId="3F10DF0C" w14:textId="050335F5" w:rsidR="00B26D27" w:rsidRDefault="00B26D27">
          <w:pPr>
            <w:pStyle w:val="TOC1"/>
            <w:tabs>
              <w:tab w:val="right" w:leader="dot" w:pos="9628"/>
            </w:tabs>
            <w:rPr>
              <w:rFonts w:eastAsiaTheme="minorEastAsia"/>
              <w:noProof/>
              <w:kern w:val="2"/>
              <w:sz w:val="22"/>
              <w:lang w:eastAsia="en-GB"/>
              <w14:ligatures w14:val="standardContextual"/>
            </w:rPr>
          </w:pPr>
          <w:hyperlink w:anchor="_Toc179962315" w:history="1">
            <w:r w:rsidRPr="009F5677">
              <w:rPr>
                <w:rStyle w:val="Hyperlink"/>
                <w:noProof/>
              </w:rPr>
              <w:t>Chapter 4 - Paper</w:t>
            </w:r>
            <w:r>
              <w:rPr>
                <w:noProof/>
                <w:webHidden/>
              </w:rPr>
              <w:tab/>
            </w:r>
            <w:r>
              <w:rPr>
                <w:noProof/>
                <w:webHidden/>
              </w:rPr>
              <w:fldChar w:fldCharType="begin"/>
            </w:r>
            <w:r>
              <w:rPr>
                <w:noProof/>
                <w:webHidden/>
              </w:rPr>
              <w:instrText xml:space="preserve"> PAGEREF _Toc179962315 \h </w:instrText>
            </w:r>
            <w:r>
              <w:rPr>
                <w:noProof/>
                <w:webHidden/>
              </w:rPr>
            </w:r>
            <w:r>
              <w:rPr>
                <w:noProof/>
                <w:webHidden/>
              </w:rPr>
              <w:fldChar w:fldCharType="separate"/>
            </w:r>
            <w:r w:rsidR="005D7515">
              <w:rPr>
                <w:noProof/>
                <w:webHidden/>
              </w:rPr>
              <w:t>63</w:t>
            </w:r>
            <w:r>
              <w:rPr>
                <w:noProof/>
                <w:webHidden/>
              </w:rPr>
              <w:fldChar w:fldCharType="end"/>
            </w:r>
          </w:hyperlink>
        </w:p>
        <w:p w14:paraId="0549A070" w14:textId="383720D2" w:rsidR="00B26D27" w:rsidRDefault="00B26D27">
          <w:pPr>
            <w:pStyle w:val="TOC2"/>
            <w:tabs>
              <w:tab w:val="right" w:leader="dot" w:pos="9628"/>
            </w:tabs>
            <w:rPr>
              <w:rFonts w:eastAsiaTheme="minorEastAsia"/>
              <w:noProof/>
              <w:kern w:val="2"/>
              <w:sz w:val="22"/>
              <w:lang w:eastAsia="en-GB"/>
              <w14:ligatures w14:val="standardContextual"/>
            </w:rPr>
          </w:pPr>
          <w:hyperlink w:anchor="_Toc179962316" w:history="1">
            <w:r w:rsidRPr="009F5677">
              <w:rPr>
                <w:rStyle w:val="Hyperlink"/>
                <w:noProof/>
              </w:rPr>
              <w:t>Abstract</w:t>
            </w:r>
            <w:r>
              <w:rPr>
                <w:noProof/>
                <w:webHidden/>
              </w:rPr>
              <w:tab/>
            </w:r>
            <w:r>
              <w:rPr>
                <w:noProof/>
                <w:webHidden/>
              </w:rPr>
              <w:fldChar w:fldCharType="begin"/>
            </w:r>
            <w:r>
              <w:rPr>
                <w:noProof/>
                <w:webHidden/>
              </w:rPr>
              <w:instrText xml:space="preserve"> PAGEREF _Toc179962316 \h </w:instrText>
            </w:r>
            <w:r>
              <w:rPr>
                <w:noProof/>
                <w:webHidden/>
              </w:rPr>
            </w:r>
            <w:r>
              <w:rPr>
                <w:noProof/>
                <w:webHidden/>
              </w:rPr>
              <w:fldChar w:fldCharType="separate"/>
            </w:r>
            <w:r w:rsidR="005D7515">
              <w:rPr>
                <w:noProof/>
                <w:webHidden/>
              </w:rPr>
              <w:t>63</w:t>
            </w:r>
            <w:r>
              <w:rPr>
                <w:noProof/>
                <w:webHidden/>
              </w:rPr>
              <w:fldChar w:fldCharType="end"/>
            </w:r>
          </w:hyperlink>
        </w:p>
        <w:p w14:paraId="749C8A54" w14:textId="4FDF9F63" w:rsidR="00B26D27" w:rsidRDefault="00B26D27">
          <w:pPr>
            <w:pStyle w:val="TOC2"/>
            <w:tabs>
              <w:tab w:val="right" w:leader="dot" w:pos="9628"/>
            </w:tabs>
            <w:rPr>
              <w:rFonts w:eastAsiaTheme="minorEastAsia"/>
              <w:noProof/>
              <w:kern w:val="2"/>
              <w:sz w:val="22"/>
              <w:lang w:eastAsia="en-GB"/>
              <w14:ligatures w14:val="standardContextual"/>
            </w:rPr>
          </w:pPr>
          <w:hyperlink w:anchor="_Toc179962317" w:history="1">
            <w:r w:rsidRPr="009F5677">
              <w:rPr>
                <w:rStyle w:val="Hyperlink"/>
                <w:noProof/>
              </w:rPr>
              <w:t>Introduction</w:t>
            </w:r>
            <w:r>
              <w:rPr>
                <w:noProof/>
                <w:webHidden/>
              </w:rPr>
              <w:tab/>
            </w:r>
            <w:r>
              <w:rPr>
                <w:noProof/>
                <w:webHidden/>
              </w:rPr>
              <w:fldChar w:fldCharType="begin"/>
            </w:r>
            <w:r>
              <w:rPr>
                <w:noProof/>
                <w:webHidden/>
              </w:rPr>
              <w:instrText xml:space="preserve"> PAGEREF _Toc179962317 \h </w:instrText>
            </w:r>
            <w:r>
              <w:rPr>
                <w:noProof/>
                <w:webHidden/>
              </w:rPr>
            </w:r>
            <w:r>
              <w:rPr>
                <w:noProof/>
                <w:webHidden/>
              </w:rPr>
              <w:fldChar w:fldCharType="separate"/>
            </w:r>
            <w:r w:rsidR="005D7515">
              <w:rPr>
                <w:noProof/>
                <w:webHidden/>
              </w:rPr>
              <w:t>64</w:t>
            </w:r>
            <w:r>
              <w:rPr>
                <w:noProof/>
                <w:webHidden/>
              </w:rPr>
              <w:fldChar w:fldCharType="end"/>
            </w:r>
          </w:hyperlink>
        </w:p>
        <w:p w14:paraId="3473A7B6" w14:textId="341AD2F4" w:rsidR="00B26D27" w:rsidRDefault="00B26D27">
          <w:pPr>
            <w:pStyle w:val="TOC3"/>
            <w:tabs>
              <w:tab w:val="right" w:leader="dot" w:pos="9628"/>
            </w:tabs>
            <w:rPr>
              <w:rFonts w:eastAsiaTheme="minorEastAsia"/>
              <w:noProof/>
              <w:kern w:val="2"/>
              <w:sz w:val="22"/>
              <w:lang w:eastAsia="en-GB"/>
              <w14:ligatures w14:val="standardContextual"/>
            </w:rPr>
          </w:pPr>
          <w:hyperlink w:anchor="_Toc179962318" w:history="1">
            <w:r w:rsidRPr="009F5677">
              <w:rPr>
                <w:rStyle w:val="Hyperlink"/>
                <w:noProof/>
              </w:rPr>
              <w:t>The present study</w:t>
            </w:r>
            <w:r>
              <w:rPr>
                <w:noProof/>
                <w:webHidden/>
              </w:rPr>
              <w:tab/>
            </w:r>
            <w:r>
              <w:rPr>
                <w:noProof/>
                <w:webHidden/>
              </w:rPr>
              <w:fldChar w:fldCharType="begin"/>
            </w:r>
            <w:r>
              <w:rPr>
                <w:noProof/>
                <w:webHidden/>
              </w:rPr>
              <w:instrText xml:space="preserve"> PAGEREF _Toc179962318 \h </w:instrText>
            </w:r>
            <w:r>
              <w:rPr>
                <w:noProof/>
                <w:webHidden/>
              </w:rPr>
            </w:r>
            <w:r>
              <w:rPr>
                <w:noProof/>
                <w:webHidden/>
              </w:rPr>
              <w:fldChar w:fldCharType="separate"/>
            </w:r>
            <w:r w:rsidR="005D7515">
              <w:rPr>
                <w:noProof/>
                <w:webHidden/>
              </w:rPr>
              <w:t>65</w:t>
            </w:r>
            <w:r>
              <w:rPr>
                <w:noProof/>
                <w:webHidden/>
              </w:rPr>
              <w:fldChar w:fldCharType="end"/>
            </w:r>
          </w:hyperlink>
        </w:p>
        <w:p w14:paraId="53F5B9DF" w14:textId="29AE2BCB" w:rsidR="00B26D27" w:rsidRDefault="00B26D27">
          <w:pPr>
            <w:pStyle w:val="TOC2"/>
            <w:tabs>
              <w:tab w:val="right" w:leader="dot" w:pos="9628"/>
            </w:tabs>
            <w:rPr>
              <w:rFonts w:eastAsiaTheme="minorEastAsia"/>
              <w:noProof/>
              <w:kern w:val="2"/>
              <w:sz w:val="22"/>
              <w:lang w:eastAsia="en-GB"/>
              <w14:ligatures w14:val="standardContextual"/>
            </w:rPr>
          </w:pPr>
          <w:hyperlink w:anchor="_Toc179962319" w:history="1">
            <w:r w:rsidRPr="009F5677">
              <w:rPr>
                <w:rStyle w:val="Hyperlink"/>
                <w:noProof/>
              </w:rPr>
              <w:t>Materials and methods</w:t>
            </w:r>
            <w:r>
              <w:rPr>
                <w:noProof/>
                <w:webHidden/>
              </w:rPr>
              <w:tab/>
            </w:r>
            <w:r>
              <w:rPr>
                <w:noProof/>
                <w:webHidden/>
              </w:rPr>
              <w:fldChar w:fldCharType="begin"/>
            </w:r>
            <w:r>
              <w:rPr>
                <w:noProof/>
                <w:webHidden/>
              </w:rPr>
              <w:instrText xml:space="preserve"> PAGEREF _Toc179962319 \h </w:instrText>
            </w:r>
            <w:r>
              <w:rPr>
                <w:noProof/>
                <w:webHidden/>
              </w:rPr>
            </w:r>
            <w:r>
              <w:rPr>
                <w:noProof/>
                <w:webHidden/>
              </w:rPr>
              <w:fldChar w:fldCharType="separate"/>
            </w:r>
            <w:r w:rsidR="005D7515">
              <w:rPr>
                <w:noProof/>
                <w:webHidden/>
              </w:rPr>
              <w:t>66</w:t>
            </w:r>
            <w:r>
              <w:rPr>
                <w:noProof/>
                <w:webHidden/>
              </w:rPr>
              <w:fldChar w:fldCharType="end"/>
            </w:r>
          </w:hyperlink>
        </w:p>
        <w:p w14:paraId="14E8882A" w14:textId="7D484AF3" w:rsidR="00B26D27" w:rsidRDefault="00B26D27">
          <w:pPr>
            <w:pStyle w:val="TOC3"/>
            <w:tabs>
              <w:tab w:val="right" w:leader="dot" w:pos="9628"/>
            </w:tabs>
            <w:rPr>
              <w:rFonts w:eastAsiaTheme="minorEastAsia"/>
              <w:noProof/>
              <w:kern w:val="2"/>
              <w:sz w:val="22"/>
              <w:lang w:eastAsia="en-GB"/>
              <w14:ligatures w14:val="standardContextual"/>
            </w:rPr>
          </w:pPr>
          <w:hyperlink w:anchor="_Toc179962320" w:history="1">
            <w:r w:rsidRPr="009F5677">
              <w:rPr>
                <w:rStyle w:val="Hyperlink"/>
                <w:noProof/>
              </w:rPr>
              <w:t>Summary of the Survey Data</w:t>
            </w:r>
            <w:r>
              <w:rPr>
                <w:noProof/>
                <w:webHidden/>
              </w:rPr>
              <w:tab/>
            </w:r>
            <w:r>
              <w:rPr>
                <w:noProof/>
                <w:webHidden/>
              </w:rPr>
              <w:fldChar w:fldCharType="begin"/>
            </w:r>
            <w:r>
              <w:rPr>
                <w:noProof/>
                <w:webHidden/>
              </w:rPr>
              <w:instrText xml:space="preserve"> PAGEREF _Toc179962320 \h </w:instrText>
            </w:r>
            <w:r>
              <w:rPr>
                <w:noProof/>
                <w:webHidden/>
              </w:rPr>
            </w:r>
            <w:r>
              <w:rPr>
                <w:noProof/>
                <w:webHidden/>
              </w:rPr>
              <w:fldChar w:fldCharType="separate"/>
            </w:r>
            <w:r w:rsidR="005D7515">
              <w:rPr>
                <w:noProof/>
                <w:webHidden/>
              </w:rPr>
              <w:t>67</w:t>
            </w:r>
            <w:r>
              <w:rPr>
                <w:noProof/>
                <w:webHidden/>
              </w:rPr>
              <w:fldChar w:fldCharType="end"/>
            </w:r>
          </w:hyperlink>
        </w:p>
        <w:p w14:paraId="37BC792B" w14:textId="39B699A3" w:rsidR="00B26D27" w:rsidRDefault="00B26D27">
          <w:pPr>
            <w:pStyle w:val="TOC3"/>
            <w:tabs>
              <w:tab w:val="right" w:leader="dot" w:pos="9628"/>
            </w:tabs>
            <w:rPr>
              <w:rFonts w:eastAsiaTheme="minorEastAsia"/>
              <w:noProof/>
              <w:kern w:val="2"/>
              <w:sz w:val="22"/>
              <w:lang w:eastAsia="en-GB"/>
              <w14:ligatures w14:val="standardContextual"/>
            </w:rPr>
          </w:pPr>
          <w:hyperlink w:anchor="_Toc179962321" w:history="1">
            <w:r w:rsidRPr="009F5677">
              <w:rPr>
                <w:rStyle w:val="Hyperlink"/>
                <w:noProof/>
              </w:rPr>
              <w:t>Photographic data and coding</w:t>
            </w:r>
            <w:r>
              <w:rPr>
                <w:noProof/>
                <w:webHidden/>
              </w:rPr>
              <w:tab/>
            </w:r>
            <w:r>
              <w:rPr>
                <w:noProof/>
                <w:webHidden/>
              </w:rPr>
              <w:fldChar w:fldCharType="begin"/>
            </w:r>
            <w:r>
              <w:rPr>
                <w:noProof/>
                <w:webHidden/>
              </w:rPr>
              <w:instrText xml:space="preserve"> PAGEREF _Toc179962321 \h </w:instrText>
            </w:r>
            <w:r>
              <w:rPr>
                <w:noProof/>
                <w:webHidden/>
              </w:rPr>
            </w:r>
            <w:r>
              <w:rPr>
                <w:noProof/>
                <w:webHidden/>
              </w:rPr>
              <w:fldChar w:fldCharType="separate"/>
            </w:r>
            <w:r w:rsidR="005D7515">
              <w:rPr>
                <w:noProof/>
                <w:webHidden/>
              </w:rPr>
              <w:t>67</w:t>
            </w:r>
            <w:r>
              <w:rPr>
                <w:noProof/>
                <w:webHidden/>
              </w:rPr>
              <w:fldChar w:fldCharType="end"/>
            </w:r>
          </w:hyperlink>
        </w:p>
        <w:p w14:paraId="54812C27" w14:textId="5093BE58" w:rsidR="00B26D27" w:rsidRDefault="00B26D27">
          <w:pPr>
            <w:pStyle w:val="TOC3"/>
            <w:tabs>
              <w:tab w:val="right" w:leader="dot" w:pos="9628"/>
            </w:tabs>
            <w:rPr>
              <w:rFonts w:eastAsiaTheme="minorEastAsia"/>
              <w:noProof/>
              <w:kern w:val="2"/>
              <w:sz w:val="22"/>
              <w:lang w:eastAsia="en-GB"/>
              <w14:ligatures w14:val="standardContextual"/>
            </w:rPr>
          </w:pPr>
          <w:hyperlink w:anchor="_Toc179962322" w:history="1">
            <w:r w:rsidRPr="009F5677">
              <w:rPr>
                <w:rStyle w:val="Hyperlink"/>
                <w:noProof/>
              </w:rPr>
              <w:t>Statistical analysis</w:t>
            </w:r>
            <w:r>
              <w:rPr>
                <w:noProof/>
                <w:webHidden/>
              </w:rPr>
              <w:tab/>
            </w:r>
            <w:r>
              <w:rPr>
                <w:noProof/>
                <w:webHidden/>
              </w:rPr>
              <w:fldChar w:fldCharType="begin"/>
            </w:r>
            <w:r>
              <w:rPr>
                <w:noProof/>
                <w:webHidden/>
              </w:rPr>
              <w:instrText xml:space="preserve"> PAGEREF _Toc179962322 \h </w:instrText>
            </w:r>
            <w:r>
              <w:rPr>
                <w:noProof/>
                <w:webHidden/>
              </w:rPr>
            </w:r>
            <w:r>
              <w:rPr>
                <w:noProof/>
                <w:webHidden/>
              </w:rPr>
              <w:fldChar w:fldCharType="separate"/>
            </w:r>
            <w:r w:rsidR="005D7515">
              <w:rPr>
                <w:noProof/>
                <w:webHidden/>
              </w:rPr>
              <w:t>68</w:t>
            </w:r>
            <w:r>
              <w:rPr>
                <w:noProof/>
                <w:webHidden/>
              </w:rPr>
              <w:fldChar w:fldCharType="end"/>
            </w:r>
          </w:hyperlink>
        </w:p>
        <w:p w14:paraId="7A87C395" w14:textId="1FF9CD2C" w:rsidR="00B26D27" w:rsidRDefault="00B26D27">
          <w:pPr>
            <w:pStyle w:val="TOC2"/>
            <w:tabs>
              <w:tab w:val="right" w:leader="dot" w:pos="9628"/>
            </w:tabs>
            <w:rPr>
              <w:rFonts w:eastAsiaTheme="minorEastAsia"/>
              <w:noProof/>
              <w:kern w:val="2"/>
              <w:sz w:val="22"/>
              <w:lang w:eastAsia="en-GB"/>
              <w14:ligatures w14:val="standardContextual"/>
            </w:rPr>
          </w:pPr>
          <w:hyperlink w:anchor="_Toc179962323" w:history="1">
            <w:r w:rsidRPr="009F5677">
              <w:rPr>
                <w:rStyle w:val="Hyperlink"/>
                <w:noProof/>
              </w:rPr>
              <w:t>Results</w:t>
            </w:r>
            <w:r>
              <w:rPr>
                <w:noProof/>
                <w:webHidden/>
              </w:rPr>
              <w:tab/>
            </w:r>
            <w:r>
              <w:rPr>
                <w:noProof/>
                <w:webHidden/>
              </w:rPr>
              <w:fldChar w:fldCharType="begin"/>
            </w:r>
            <w:r>
              <w:rPr>
                <w:noProof/>
                <w:webHidden/>
              </w:rPr>
              <w:instrText xml:space="preserve"> PAGEREF _Toc179962323 \h </w:instrText>
            </w:r>
            <w:r>
              <w:rPr>
                <w:noProof/>
                <w:webHidden/>
              </w:rPr>
            </w:r>
            <w:r>
              <w:rPr>
                <w:noProof/>
                <w:webHidden/>
              </w:rPr>
              <w:fldChar w:fldCharType="separate"/>
            </w:r>
            <w:r w:rsidR="005D7515">
              <w:rPr>
                <w:noProof/>
                <w:webHidden/>
              </w:rPr>
              <w:t>70</w:t>
            </w:r>
            <w:r>
              <w:rPr>
                <w:noProof/>
                <w:webHidden/>
              </w:rPr>
              <w:fldChar w:fldCharType="end"/>
            </w:r>
          </w:hyperlink>
        </w:p>
        <w:p w14:paraId="45672F27" w14:textId="232D1D77" w:rsidR="00B26D27" w:rsidRDefault="00B26D27">
          <w:pPr>
            <w:pStyle w:val="TOC3"/>
            <w:tabs>
              <w:tab w:val="right" w:leader="dot" w:pos="9628"/>
            </w:tabs>
            <w:rPr>
              <w:rFonts w:eastAsiaTheme="minorEastAsia"/>
              <w:noProof/>
              <w:kern w:val="2"/>
              <w:sz w:val="22"/>
              <w:lang w:eastAsia="en-GB"/>
              <w14:ligatures w14:val="standardContextual"/>
            </w:rPr>
          </w:pPr>
          <w:hyperlink w:anchor="_Toc179962324" w:history="1">
            <w:r w:rsidRPr="009F5677">
              <w:rPr>
                <w:rStyle w:val="Hyperlink"/>
                <w:noProof/>
              </w:rPr>
              <w:t>Descriptive statistics</w:t>
            </w:r>
            <w:r>
              <w:rPr>
                <w:noProof/>
                <w:webHidden/>
              </w:rPr>
              <w:tab/>
            </w:r>
            <w:r>
              <w:rPr>
                <w:noProof/>
                <w:webHidden/>
              </w:rPr>
              <w:fldChar w:fldCharType="begin"/>
            </w:r>
            <w:r>
              <w:rPr>
                <w:noProof/>
                <w:webHidden/>
              </w:rPr>
              <w:instrText xml:space="preserve"> PAGEREF _Toc179962324 \h </w:instrText>
            </w:r>
            <w:r>
              <w:rPr>
                <w:noProof/>
                <w:webHidden/>
              </w:rPr>
            </w:r>
            <w:r>
              <w:rPr>
                <w:noProof/>
                <w:webHidden/>
              </w:rPr>
              <w:fldChar w:fldCharType="separate"/>
            </w:r>
            <w:r w:rsidR="005D7515">
              <w:rPr>
                <w:noProof/>
                <w:webHidden/>
              </w:rPr>
              <w:t>70</w:t>
            </w:r>
            <w:r>
              <w:rPr>
                <w:noProof/>
                <w:webHidden/>
              </w:rPr>
              <w:fldChar w:fldCharType="end"/>
            </w:r>
          </w:hyperlink>
        </w:p>
        <w:p w14:paraId="2288C71B" w14:textId="045E35B5" w:rsidR="00B26D27" w:rsidRDefault="00B26D27">
          <w:pPr>
            <w:pStyle w:val="TOC3"/>
            <w:tabs>
              <w:tab w:val="right" w:leader="dot" w:pos="9628"/>
            </w:tabs>
            <w:rPr>
              <w:rFonts w:eastAsiaTheme="minorEastAsia"/>
              <w:noProof/>
              <w:kern w:val="2"/>
              <w:sz w:val="22"/>
              <w:lang w:eastAsia="en-GB"/>
              <w14:ligatures w14:val="standardContextual"/>
            </w:rPr>
          </w:pPr>
          <w:hyperlink w:anchor="_Toc179962325" w:history="1">
            <w:r w:rsidRPr="009F5677">
              <w:rPr>
                <w:rStyle w:val="Hyperlink"/>
                <w:noProof/>
              </w:rPr>
              <w:t>Content analysis.</w:t>
            </w:r>
            <w:r>
              <w:rPr>
                <w:noProof/>
                <w:webHidden/>
              </w:rPr>
              <w:tab/>
            </w:r>
            <w:r>
              <w:rPr>
                <w:noProof/>
                <w:webHidden/>
              </w:rPr>
              <w:fldChar w:fldCharType="begin"/>
            </w:r>
            <w:r>
              <w:rPr>
                <w:noProof/>
                <w:webHidden/>
              </w:rPr>
              <w:instrText xml:space="preserve"> PAGEREF _Toc179962325 \h </w:instrText>
            </w:r>
            <w:r>
              <w:rPr>
                <w:noProof/>
                <w:webHidden/>
              </w:rPr>
            </w:r>
            <w:r>
              <w:rPr>
                <w:noProof/>
                <w:webHidden/>
              </w:rPr>
              <w:fldChar w:fldCharType="separate"/>
            </w:r>
            <w:r w:rsidR="005D7515">
              <w:rPr>
                <w:noProof/>
                <w:webHidden/>
              </w:rPr>
              <w:t>70</w:t>
            </w:r>
            <w:r>
              <w:rPr>
                <w:noProof/>
                <w:webHidden/>
              </w:rPr>
              <w:fldChar w:fldCharType="end"/>
            </w:r>
          </w:hyperlink>
        </w:p>
        <w:p w14:paraId="744B2BC6" w14:textId="3785F57E" w:rsidR="00B26D27" w:rsidRDefault="00B26D27">
          <w:pPr>
            <w:pStyle w:val="TOC3"/>
            <w:tabs>
              <w:tab w:val="right" w:leader="dot" w:pos="9628"/>
            </w:tabs>
            <w:rPr>
              <w:rFonts w:eastAsiaTheme="minorEastAsia"/>
              <w:noProof/>
              <w:kern w:val="2"/>
              <w:sz w:val="22"/>
              <w:lang w:eastAsia="en-GB"/>
              <w14:ligatures w14:val="standardContextual"/>
            </w:rPr>
          </w:pPr>
          <w:hyperlink w:anchor="_Toc179962326" w:history="1">
            <w:r w:rsidRPr="009F5677">
              <w:rPr>
                <w:rStyle w:val="Hyperlink"/>
                <w:noProof/>
              </w:rPr>
              <w:t>Regression analysis</w:t>
            </w:r>
            <w:r>
              <w:rPr>
                <w:noProof/>
                <w:webHidden/>
              </w:rPr>
              <w:tab/>
            </w:r>
            <w:r>
              <w:rPr>
                <w:noProof/>
                <w:webHidden/>
              </w:rPr>
              <w:fldChar w:fldCharType="begin"/>
            </w:r>
            <w:r>
              <w:rPr>
                <w:noProof/>
                <w:webHidden/>
              </w:rPr>
              <w:instrText xml:space="preserve"> PAGEREF _Toc179962326 \h </w:instrText>
            </w:r>
            <w:r>
              <w:rPr>
                <w:noProof/>
                <w:webHidden/>
              </w:rPr>
            </w:r>
            <w:r>
              <w:rPr>
                <w:noProof/>
                <w:webHidden/>
              </w:rPr>
              <w:fldChar w:fldCharType="separate"/>
            </w:r>
            <w:r w:rsidR="005D7515">
              <w:rPr>
                <w:noProof/>
                <w:webHidden/>
              </w:rPr>
              <w:t>73</w:t>
            </w:r>
            <w:r>
              <w:rPr>
                <w:noProof/>
                <w:webHidden/>
              </w:rPr>
              <w:fldChar w:fldCharType="end"/>
            </w:r>
          </w:hyperlink>
        </w:p>
        <w:p w14:paraId="02DB4A63" w14:textId="3D09DFB4" w:rsidR="00B26D27" w:rsidRDefault="00B26D27">
          <w:pPr>
            <w:pStyle w:val="TOC2"/>
            <w:tabs>
              <w:tab w:val="right" w:leader="dot" w:pos="9628"/>
            </w:tabs>
            <w:rPr>
              <w:rFonts w:eastAsiaTheme="minorEastAsia"/>
              <w:noProof/>
              <w:kern w:val="2"/>
              <w:sz w:val="22"/>
              <w:lang w:eastAsia="en-GB"/>
              <w14:ligatures w14:val="standardContextual"/>
            </w:rPr>
          </w:pPr>
          <w:hyperlink w:anchor="_Toc179962327" w:history="1">
            <w:r w:rsidRPr="009F5677">
              <w:rPr>
                <w:rStyle w:val="Hyperlink"/>
                <w:noProof/>
              </w:rPr>
              <w:t>Discussion</w:t>
            </w:r>
            <w:r>
              <w:rPr>
                <w:noProof/>
                <w:webHidden/>
              </w:rPr>
              <w:tab/>
            </w:r>
            <w:r>
              <w:rPr>
                <w:noProof/>
                <w:webHidden/>
              </w:rPr>
              <w:fldChar w:fldCharType="begin"/>
            </w:r>
            <w:r>
              <w:rPr>
                <w:noProof/>
                <w:webHidden/>
              </w:rPr>
              <w:instrText xml:space="preserve"> PAGEREF _Toc179962327 \h </w:instrText>
            </w:r>
            <w:r>
              <w:rPr>
                <w:noProof/>
                <w:webHidden/>
              </w:rPr>
            </w:r>
            <w:r>
              <w:rPr>
                <w:noProof/>
                <w:webHidden/>
              </w:rPr>
              <w:fldChar w:fldCharType="separate"/>
            </w:r>
            <w:r w:rsidR="005D7515">
              <w:rPr>
                <w:noProof/>
                <w:webHidden/>
              </w:rPr>
              <w:t>78</w:t>
            </w:r>
            <w:r>
              <w:rPr>
                <w:noProof/>
                <w:webHidden/>
              </w:rPr>
              <w:fldChar w:fldCharType="end"/>
            </w:r>
          </w:hyperlink>
        </w:p>
        <w:p w14:paraId="31C16A65" w14:textId="70E43279" w:rsidR="00B26D27" w:rsidRDefault="00B26D27">
          <w:pPr>
            <w:pStyle w:val="TOC3"/>
            <w:tabs>
              <w:tab w:val="right" w:leader="dot" w:pos="9628"/>
            </w:tabs>
            <w:rPr>
              <w:rFonts w:eastAsiaTheme="minorEastAsia"/>
              <w:noProof/>
              <w:kern w:val="2"/>
              <w:sz w:val="22"/>
              <w:lang w:eastAsia="en-GB"/>
              <w14:ligatures w14:val="standardContextual"/>
            </w:rPr>
          </w:pPr>
          <w:hyperlink w:anchor="_Toc179962328" w:history="1">
            <w:r w:rsidRPr="009F5677">
              <w:rPr>
                <w:rStyle w:val="Hyperlink"/>
                <w:noProof/>
              </w:rPr>
              <w:t>Urban species richness and well-being</w:t>
            </w:r>
            <w:r>
              <w:rPr>
                <w:noProof/>
                <w:webHidden/>
              </w:rPr>
              <w:tab/>
            </w:r>
            <w:r>
              <w:rPr>
                <w:noProof/>
                <w:webHidden/>
              </w:rPr>
              <w:fldChar w:fldCharType="begin"/>
            </w:r>
            <w:r>
              <w:rPr>
                <w:noProof/>
                <w:webHidden/>
              </w:rPr>
              <w:instrText xml:space="preserve"> PAGEREF _Toc179962328 \h </w:instrText>
            </w:r>
            <w:r>
              <w:rPr>
                <w:noProof/>
                <w:webHidden/>
              </w:rPr>
            </w:r>
            <w:r>
              <w:rPr>
                <w:noProof/>
                <w:webHidden/>
              </w:rPr>
              <w:fldChar w:fldCharType="separate"/>
            </w:r>
            <w:r w:rsidR="005D7515">
              <w:rPr>
                <w:noProof/>
                <w:webHidden/>
              </w:rPr>
              <w:t>78</w:t>
            </w:r>
            <w:r>
              <w:rPr>
                <w:noProof/>
                <w:webHidden/>
              </w:rPr>
              <w:fldChar w:fldCharType="end"/>
            </w:r>
          </w:hyperlink>
        </w:p>
        <w:p w14:paraId="641B6189" w14:textId="2C6D6EAA" w:rsidR="00B26D27" w:rsidRDefault="00B26D27">
          <w:pPr>
            <w:pStyle w:val="TOC3"/>
            <w:tabs>
              <w:tab w:val="right" w:leader="dot" w:pos="9628"/>
            </w:tabs>
            <w:rPr>
              <w:rFonts w:eastAsiaTheme="minorEastAsia"/>
              <w:noProof/>
              <w:kern w:val="2"/>
              <w:sz w:val="22"/>
              <w:lang w:eastAsia="en-GB"/>
              <w14:ligatures w14:val="standardContextual"/>
            </w:rPr>
          </w:pPr>
          <w:hyperlink w:anchor="_Toc179962329" w:history="1">
            <w:r w:rsidRPr="009F5677">
              <w:rPr>
                <w:rStyle w:val="Hyperlink"/>
                <w:noProof/>
              </w:rPr>
              <w:t>Built environment and well-being</w:t>
            </w:r>
            <w:r>
              <w:rPr>
                <w:noProof/>
                <w:webHidden/>
              </w:rPr>
              <w:tab/>
            </w:r>
            <w:r>
              <w:rPr>
                <w:noProof/>
                <w:webHidden/>
              </w:rPr>
              <w:fldChar w:fldCharType="begin"/>
            </w:r>
            <w:r>
              <w:rPr>
                <w:noProof/>
                <w:webHidden/>
              </w:rPr>
              <w:instrText xml:space="preserve"> PAGEREF _Toc179962329 \h </w:instrText>
            </w:r>
            <w:r>
              <w:rPr>
                <w:noProof/>
                <w:webHidden/>
              </w:rPr>
            </w:r>
            <w:r>
              <w:rPr>
                <w:noProof/>
                <w:webHidden/>
              </w:rPr>
              <w:fldChar w:fldCharType="separate"/>
            </w:r>
            <w:r w:rsidR="005D7515">
              <w:rPr>
                <w:noProof/>
                <w:webHidden/>
              </w:rPr>
              <w:t>79</w:t>
            </w:r>
            <w:r>
              <w:rPr>
                <w:noProof/>
                <w:webHidden/>
              </w:rPr>
              <w:fldChar w:fldCharType="end"/>
            </w:r>
          </w:hyperlink>
        </w:p>
        <w:p w14:paraId="0979A222" w14:textId="68750D17" w:rsidR="00B26D27" w:rsidRDefault="00B26D27">
          <w:pPr>
            <w:pStyle w:val="TOC3"/>
            <w:tabs>
              <w:tab w:val="right" w:leader="dot" w:pos="9628"/>
            </w:tabs>
            <w:rPr>
              <w:rFonts w:eastAsiaTheme="minorEastAsia"/>
              <w:noProof/>
              <w:kern w:val="2"/>
              <w:sz w:val="22"/>
              <w:lang w:eastAsia="en-GB"/>
              <w14:ligatures w14:val="standardContextual"/>
            </w:rPr>
          </w:pPr>
          <w:hyperlink w:anchor="_Toc179962330" w:history="1">
            <w:r w:rsidRPr="009F5677">
              <w:rPr>
                <w:rStyle w:val="Hyperlink"/>
                <w:noProof/>
              </w:rPr>
              <w:t>Urban elements and well-being</w:t>
            </w:r>
            <w:r>
              <w:rPr>
                <w:noProof/>
                <w:webHidden/>
              </w:rPr>
              <w:tab/>
            </w:r>
            <w:r>
              <w:rPr>
                <w:noProof/>
                <w:webHidden/>
              </w:rPr>
              <w:fldChar w:fldCharType="begin"/>
            </w:r>
            <w:r>
              <w:rPr>
                <w:noProof/>
                <w:webHidden/>
              </w:rPr>
              <w:instrText xml:space="preserve"> PAGEREF _Toc179962330 \h </w:instrText>
            </w:r>
            <w:r>
              <w:rPr>
                <w:noProof/>
                <w:webHidden/>
              </w:rPr>
            </w:r>
            <w:r>
              <w:rPr>
                <w:noProof/>
                <w:webHidden/>
              </w:rPr>
              <w:fldChar w:fldCharType="separate"/>
            </w:r>
            <w:r w:rsidR="005D7515">
              <w:rPr>
                <w:noProof/>
                <w:webHidden/>
              </w:rPr>
              <w:t>80</w:t>
            </w:r>
            <w:r>
              <w:rPr>
                <w:noProof/>
                <w:webHidden/>
              </w:rPr>
              <w:fldChar w:fldCharType="end"/>
            </w:r>
          </w:hyperlink>
        </w:p>
        <w:p w14:paraId="1A4DB245" w14:textId="66DA97E6" w:rsidR="00B26D27" w:rsidRDefault="00B26D27">
          <w:pPr>
            <w:pStyle w:val="TOC2"/>
            <w:tabs>
              <w:tab w:val="right" w:leader="dot" w:pos="9628"/>
            </w:tabs>
            <w:rPr>
              <w:rFonts w:eastAsiaTheme="minorEastAsia"/>
              <w:noProof/>
              <w:kern w:val="2"/>
              <w:sz w:val="22"/>
              <w:lang w:eastAsia="en-GB"/>
              <w14:ligatures w14:val="standardContextual"/>
            </w:rPr>
          </w:pPr>
          <w:hyperlink w:anchor="_Toc179962331" w:history="1">
            <w:r w:rsidRPr="009F5677">
              <w:rPr>
                <w:rStyle w:val="Hyperlink"/>
                <w:noProof/>
              </w:rPr>
              <w:t>Limitations</w:t>
            </w:r>
            <w:r>
              <w:rPr>
                <w:noProof/>
                <w:webHidden/>
              </w:rPr>
              <w:tab/>
            </w:r>
            <w:r>
              <w:rPr>
                <w:noProof/>
                <w:webHidden/>
              </w:rPr>
              <w:fldChar w:fldCharType="begin"/>
            </w:r>
            <w:r>
              <w:rPr>
                <w:noProof/>
                <w:webHidden/>
              </w:rPr>
              <w:instrText xml:space="preserve"> PAGEREF _Toc179962331 \h </w:instrText>
            </w:r>
            <w:r>
              <w:rPr>
                <w:noProof/>
                <w:webHidden/>
              </w:rPr>
            </w:r>
            <w:r>
              <w:rPr>
                <w:noProof/>
                <w:webHidden/>
              </w:rPr>
              <w:fldChar w:fldCharType="separate"/>
            </w:r>
            <w:r w:rsidR="005D7515">
              <w:rPr>
                <w:noProof/>
                <w:webHidden/>
              </w:rPr>
              <w:t>82</w:t>
            </w:r>
            <w:r>
              <w:rPr>
                <w:noProof/>
                <w:webHidden/>
              </w:rPr>
              <w:fldChar w:fldCharType="end"/>
            </w:r>
          </w:hyperlink>
        </w:p>
        <w:p w14:paraId="31BCB238" w14:textId="18858AD4" w:rsidR="00B26D27" w:rsidRDefault="00B26D27">
          <w:pPr>
            <w:pStyle w:val="TOC2"/>
            <w:tabs>
              <w:tab w:val="right" w:leader="dot" w:pos="9628"/>
            </w:tabs>
            <w:rPr>
              <w:rFonts w:eastAsiaTheme="minorEastAsia"/>
              <w:noProof/>
              <w:kern w:val="2"/>
              <w:sz w:val="22"/>
              <w:lang w:eastAsia="en-GB"/>
              <w14:ligatures w14:val="standardContextual"/>
            </w:rPr>
          </w:pPr>
          <w:hyperlink w:anchor="_Toc179962332" w:history="1">
            <w:r w:rsidRPr="009F5677">
              <w:rPr>
                <w:rStyle w:val="Hyperlink"/>
                <w:noProof/>
              </w:rPr>
              <w:t>Conclusion</w:t>
            </w:r>
            <w:r>
              <w:rPr>
                <w:noProof/>
                <w:webHidden/>
              </w:rPr>
              <w:tab/>
            </w:r>
            <w:r>
              <w:rPr>
                <w:noProof/>
                <w:webHidden/>
              </w:rPr>
              <w:fldChar w:fldCharType="begin"/>
            </w:r>
            <w:r>
              <w:rPr>
                <w:noProof/>
                <w:webHidden/>
              </w:rPr>
              <w:instrText xml:space="preserve"> PAGEREF _Toc179962332 \h </w:instrText>
            </w:r>
            <w:r>
              <w:rPr>
                <w:noProof/>
                <w:webHidden/>
              </w:rPr>
            </w:r>
            <w:r>
              <w:rPr>
                <w:noProof/>
                <w:webHidden/>
              </w:rPr>
              <w:fldChar w:fldCharType="separate"/>
            </w:r>
            <w:r w:rsidR="005D7515">
              <w:rPr>
                <w:noProof/>
                <w:webHidden/>
              </w:rPr>
              <w:t>83</w:t>
            </w:r>
            <w:r>
              <w:rPr>
                <w:noProof/>
                <w:webHidden/>
              </w:rPr>
              <w:fldChar w:fldCharType="end"/>
            </w:r>
          </w:hyperlink>
        </w:p>
        <w:p w14:paraId="2F0DEE2E" w14:textId="6F0B68D5" w:rsidR="00B26D27" w:rsidRDefault="00B26D27">
          <w:pPr>
            <w:pStyle w:val="TOC2"/>
            <w:tabs>
              <w:tab w:val="right" w:leader="dot" w:pos="9628"/>
            </w:tabs>
            <w:rPr>
              <w:rFonts w:eastAsiaTheme="minorEastAsia"/>
              <w:noProof/>
              <w:kern w:val="2"/>
              <w:sz w:val="22"/>
              <w:lang w:eastAsia="en-GB"/>
              <w14:ligatures w14:val="standardContextual"/>
            </w:rPr>
          </w:pPr>
          <w:hyperlink w:anchor="_Toc179962333" w:history="1">
            <w:r w:rsidRPr="009F5677">
              <w:rPr>
                <w:rStyle w:val="Hyperlink"/>
                <w:noProof/>
              </w:rPr>
              <w:t>References</w:t>
            </w:r>
            <w:r>
              <w:rPr>
                <w:noProof/>
                <w:webHidden/>
              </w:rPr>
              <w:tab/>
            </w:r>
            <w:r>
              <w:rPr>
                <w:noProof/>
                <w:webHidden/>
              </w:rPr>
              <w:fldChar w:fldCharType="begin"/>
            </w:r>
            <w:r>
              <w:rPr>
                <w:noProof/>
                <w:webHidden/>
              </w:rPr>
              <w:instrText xml:space="preserve"> PAGEREF _Toc179962333 \h </w:instrText>
            </w:r>
            <w:r>
              <w:rPr>
                <w:noProof/>
                <w:webHidden/>
              </w:rPr>
            </w:r>
            <w:r>
              <w:rPr>
                <w:noProof/>
                <w:webHidden/>
              </w:rPr>
              <w:fldChar w:fldCharType="separate"/>
            </w:r>
            <w:r w:rsidR="005D7515">
              <w:rPr>
                <w:noProof/>
                <w:webHidden/>
              </w:rPr>
              <w:t>84</w:t>
            </w:r>
            <w:r>
              <w:rPr>
                <w:noProof/>
                <w:webHidden/>
              </w:rPr>
              <w:fldChar w:fldCharType="end"/>
            </w:r>
          </w:hyperlink>
        </w:p>
        <w:p w14:paraId="44771A66" w14:textId="549C481A" w:rsidR="00B26D27" w:rsidRDefault="00B26D27">
          <w:pPr>
            <w:pStyle w:val="TOC1"/>
            <w:tabs>
              <w:tab w:val="right" w:leader="dot" w:pos="9628"/>
            </w:tabs>
            <w:rPr>
              <w:rFonts w:eastAsiaTheme="minorEastAsia"/>
              <w:noProof/>
              <w:kern w:val="2"/>
              <w:sz w:val="22"/>
              <w:lang w:eastAsia="en-GB"/>
              <w14:ligatures w14:val="standardContextual"/>
            </w:rPr>
          </w:pPr>
          <w:hyperlink w:anchor="_Toc179962334" w:history="1">
            <w:r w:rsidRPr="009F5677">
              <w:rPr>
                <w:rStyle w:val="Hyperlink"/>
                <w:noProof/>
              </w:rPr>
              <w:t>Chapter 5 - Paper</w:t>
            </w:r>
            <w:r>
              <w:rPr>
                <w:noProof/>
                <w:webHidden/>
              </w:rPr>
              <w:tab/>
            </w:r>
            <w:r>
              <w:rPr>
                <w:noProof/>
                <w:webHidden/>
              </w:rPr>
              <w:fldChar w:fldCharType="begin"/>
            </w:r>
            <w:r>
              <w:rPr>
                <w:noProof/>
                <w:webHidden/>
              </w:rPr>
              <w:instrText xml:space="preserve"> PAGEREF _Toc179962334 \h </w:instrText>
            </w:r>
            <w:r>
              <w:rPr>
                <w:noProof/>
                <w:webHidden/>
              </w:rPr>
            </w:r>
            <w:r>
              <w:rPr>
                <w:noProof/>
                <w:webHidden/>
              </w:rPr>
              <w:fldChar w:fldCharType="separate"/>
            </w:r>
            <w:r w:rsidR="005D7515">
              <w:rPr>
                <w:noProof/>
                <w:webHidden/>
              </w:rPr>
              <w:t>91</w:t>
            </w:r>
            <w:r>
              <w:rPr>
                <w:noProof/>
                <w:webHidden/>
              </w:rPr>
              <w:fldChar w:fldCharType="end"/>
            </w:r>
          </w:hyperlink>
        </w:p>
        <w:p w14:paraId="283CA408" w14:textId="239F52B4" w:rsidR="00B26D27" w:rsidRDefault="00B26D27">
          <w:pPr>
            <w:pStyle w:val="TOC2"/>
            <w:tabs>
              <w:tab w:val="right" w:leader="dot" w:pos="9628"/>
            </w:tabs>
            <w:rPr>
              <w:rFonts w:eastAsiaTheme="minorEastAsia"/>
              <w:noProof/>
              <w:kern w:val="2"/>
              <w:sz w:val="22"/>
              <w:lang w:eastAsia="en-GB"/>
              <w14:ligatures w14:val="standardContextual"/>
            </w:rPr>
          </w:pPr>
          <w:hyperlink w:anchor="_Toc179962335" w:history="1">
            <w:r w:rsidRPr="009F5677">
              <w:rPr>
                <w:rStyle w:val="Hyperlink"/>
                <w:noProof/>
              </w:rPr>
              <w:t>Abstract</w:t>
            </w:r>
            <w:r>
              <w:rPr>
                <w:noProof/>
                <w:webHidden/>
              </w:rPr>
              <w:tab/>
            </w:r>
            <w:r>
              <w:rPr>
                <w:noProof/>
                <w:webHidden/>
              </w:rPr>
              <w:fldChar w:fldCharType="begin"/>
            </w:r>
            <w:r>
              <w:rPr>
                <w:noProof/>
                <w:webHidden/>
              </w:rPr>
              <w:instrText xml:space="preserve"> PAGEREF _Toc179962335 \h </w:instrText>
            </w:r>
            <w:r>
              <w:rPr>
                <w:noProof/>
                <w:webHidden/>
              </w:rPr>
            </w:r>
            <w:r>
              <w:rPr>
                <w:noProof/>
                <w:webHidden/>
              </w:rPr>
              <w:fldChar w:fldCharType="separate"/>
            </w:r>
            <w:r w:rsidR="005D7515">
              <w:rPr>
                <w:noProof/>
                <w:webHidden/>
              </w:rPr>
              <w:t>91</w:t>
            </w:r>
            <w:r>
              <w:rPr>
                <w:noProof/>
                <w:webHidden/>
              </w:rPr>
              <w:fldChar w:fldCharType="end"/>
            </w:r>
          </w:hyperlink>
        </w:p>
        <w:p w14:paraId="396D8CBD" w14:textId="507B1F35" w:rsidR="00B26D27" w:rsidRDefault="00B26D27">
          <w:pPr>
            <w:pStyle w:val="TOC2"/>
            <w:tabs>
              <w:tab w:val="right" w:leader="dot" w:pos="9628"/>
            </w:tabs>
            <w:rPr>
              <w:rFonts w:eastAsiaTheme="minorEastAsia"/>
              <w:noProof/>
              <w:kern w:val="2"/>
              <w:sz w:val="22"/>
              <w:lang w:eastAsia="en-GB"/>
              <w14:ligatures w14:val="standardContextual"/>
            </w:rPr>
          </w:pPr>
          <w:hyperlink w:anchor="_Toc179962336" w:history="1">
            <w:r w:rsidRPr="009F5677">
              <w:rPr>
                <w:rStyle w:val="Hyperlink"/>
                <w:noProof/>
              </w:rPr>
              <w:t>Introduction</w:t>
            </w:r>
            <w:r>
              <w:rPr>
                <w:noProof/>
                <w:webHidden/>
              </w:rPr>
              <w:tab/>
            </w:r>
            <w:r>
              <w:rPr>
                <w:noProof/>
                <w:webHidden/>
              </w:rPr>
              <w:fldChar w:fldCharType="begin"/>
            </w:r>
            <w:r>
              <w:rPr>
                <w:noProof/>
                <w:webHidden/>
              </w:rPr>
              <w:instrText xml:space="preserve"> PAGEREF _Toc179962336 \h </w:instrText>
            </w:r>
            <w:r>
              <w:rPr>
                <w:noProof/>
                <w:webHidden/>
              </w:rPr>
            </w:r>
            <w:r>
              <w:rPr>
                <w:noProof/>
                <w:webHidden/>
              </w:rPr>
              <w:fldChar w:fldCharType="separate"/>
            </w:r>
            <w:r w:rsidR="005D7515">
              <w:rPr>
                <w:noProof/>
                <w:webHidden/>
              </w:rPr>
              <w:t>92</w:t>
            </w:r>
            <w:r>
              <w:rPr>
                <w:noProof/>
                <w:webHidden/>
              </w:rPr>
              <w:fldChar w:fldCharType="end"/>
            </w:r>
          </w:hyperlink>
        </w:p>
        <w:p w14:paraId="3ABD1397" w14:textId="65CD93EE" w:rsidR="00B26D27" w:rsidRDefault="00B26D27">
          <w:pPr>
            <w:pStyle w:val="TOC3"/>
            <w:tabs>
              <w:tab w:val="right" w:leader="dot" w:pos="9628"/>
            </w:tabs>
            <w:rPr>
              <w:rFonts w:eastAsiaTheme="minorEastAsia"/>
              <w:noProof/>
              <w:kern w:val="2"/>
              <w:sz w:val="22"/>
              <w:lang w:eastAsia="en-GB"/>
              <w14:ligatures w14:val="standardContextual"/>
            </w:rPr>
          </w:pPr>
          <w:hyperlink w:anchor="_Toc179962337" w:history="1">
            <w:r w:rsidRPr="009F5677">
              <w:rPr>
                <w:rStyle w:val="Hyperlink"/>
                <w:noProof/>
              </w:rPr>
              <w:t>The present study</w:t>
            </w:r>
            <w:r>
              <w:rPr>
                <w:noProof/>
                <w:webHidden/>
              </w:rPr>
              <w:tab/>
            </w:r>
            <w:r>
              <w:rPr>
                <w:noProof/>
                <w:webHidden/>
              </w:rPr>
              <w:fldChar w:fldCharType="begin"/>
            </w:r>
            <w:r>
              <w:rPr>
                <w:noProof/>
                <w:webHidden/>
              </w:rPr>
              <w:instrText xml:space="preserve"> PAGEREF _Toc179962337 \h </w:instrText>
            </w:r>
            <w:r>
              <w:rPr>
                <w:noProof/>
                <w:webHidden/>
              </w:rPr>
            </w:r>
            <w:r>
              <w:rPr>
                <w:noProof/>
                <w:webHidden/>
              </w:rPr>
              <w:fldChar w:fldCharType="separate"/>
            </w:r>
            <w:r w:rsidR="005D7515">
              <w:rPr>
                <w:noProof/>
                <w:webHidden/>
              </w:rPr>
              <w:t>96</w:t>
            </w:r>
            <w:r>
              <w:rPr>
                <w:noProof/>
                <w:webHidden/>
              </w:rPr>
              <w:fldChar w:fldCharType="end"/>
            </w:r>
          </w:hyperlink>
        </w:p>
        <w:p w14:paraId="02A55509" w14:textId="1F218B89" w:rsidR="00B26D27" w:rsidRDefault="00B26D27">
          <w:pPr>
            <w:pStyle w:val="TOC2"/>
            <w:tabs>
              <w:tab w:val="right" w:leader="dot" w:pos="9628"/>
            </w:tabs>
            <w:rPr>
              <w:rFonts w:eastAsiaTheme="minorEastAsia"/>
              <w:noProof/>
              <w:kern w:val="2"/>
              <w:sz w:val="22"/>
              <w:lang w:eastAsia="en-GB"/>
              <w14:ligatures w14:val="standardContextual"/>
            </w:rPr>
          </w:pPr>
          <w:hyperlink w:anchor="_Toc179962338" w:history="1">
            <w:r w:rsidRPr="009F5677">
              <w:rPr>
                <w:rStyle w:val="Hyperlink"/>
                <w:noProof/>
              </w:rPr>
              <w:t>Methodology</w:t>
            </w:r>
            <w:r>
              <w:rPr>
                <w:noProof/>
                <w:webHidden/>
              </w:rPr>
              <w:tab/>
            </w:r>
            <w:r>
              <w:rPr>
                <w:noProof/>
                <w:webHidden/>
              </w:rPr>
              <w:fldChar w:fldCharType="begin"/>
            </w:r>
            <w:r>
              <w:rPr>
                <w:noProof/>
                <w:webHidden/>
              </w:rPr>
              <w:instrText xml:space="preserve"> PAGEREF _Toc179962338 \h </w:instrText>
            </w:r>
            <w:r>
              <w:rPr>
                <w:noProof/>
                <w:webHidden/>
              </w:rPr>
            </w:r>
            <w:r>
              <w:rPr>
                <w:noProof/>
                <w:webHidden/>
              </w:rPr>
              <w:fldChar w:fldCharType="separate"/>
            </w:r>
            <w:r w:rsidR="005D7515">
              <w:rPr>
                <w:noProof/>
                <w:webHidden/>
              </w:rPr>
              <w:t>97</w:t>
            </w:r>
            <w:r>
              <w:rPr>
                <w:noProof/>
                <w:webHidden/>
              </w:rPr>
              <w:fldChar w:fldCharType="end"/>
            </w:r>
          </w:hyperlink>
        </w:p>
        <w:p w14:paraId="1BBBF132" w14:textId="110DF0CE" w:rsidR="00B26D27" w:rsidRDefault="00B26D27">
          <w:pPr>
            <w:pStyle w:val="TOC3"/>
            <w:tabs>
              <w:tab w:val="right" w:leader="dot" w:pos="9628"/>
            </w:tabs>
            <w:rPr>
              <w:rFonts w:eastAsiaTheme="minorEastAsia"/>
              <w:noProof/>
              <w:kern w:val="2"/>
              <w:sz w:val="22"/>
              <w:lang w:eastAsia="en-GB"/>
              <w14:ligatures w14:val="standardContextual"/>
            </w:rPr>
          </w:pPr>
          <w:hyperlink w:anchor="_Toc179962339" w:history="1">
            <w:r w:rsidRPr="009F5677">
              <w:rPr>
                <w:rStyle w:val="Hyperlink"/>
                <w:noProof/>
              </w:rPr>
              <w:t>Condition set up and video recording</w:t>
            </w:r>
            <w:r>
              <w:rPr>
                <w:noProof/>
                <w:webHidden/>
              </w:rPr>
              <w:tab/>
            </w:r>
            <w:r>
              <w:rPr>
                <w:noProof/>
                <w:webHidden/>
              </w:rPr>
              <w:fldChar w:fldCharType="begin"/>
            </w:r>
            <w:r>
              <w:rPr>
                <w:noProof/>
                <w:webHidden/>
              </w:rPr>
              <w:instrText xml:space="preserve"> PAGEREF _Toc179962339 \h </w:instrText>
            </w:r>
            <w:r>
              <w:rPr>
                <w:noProof/>
                <w:webHidden/>
              </w:rPr>
            </w:r>
            <w:r>
              <w:rPr>
                <w:noProof/>
                <w:webHidden/>
              </w:rPr>
              <w:fldChar w:fldCharType="separate"/>
            </w:r>
            <w:r w:rsidR="005D7515">
              <w:rPr>
                <w:noProof/>
                <w:webHidden/>
              </w:rPr>
              <w:t>97</w:t>
            </w:r>
            <w:r>
              <w:rPr>
                <w:noProof/>
                <w:webHidden/>
              </w:rPr>
              <w:fldChar w:fldCharType="end"/>
            </w:r>
          </w:hyperlink>
        </w:p>
        <w:p w14:paraId="1420C41D" w14:textId="717FB8A7" w:rsidR="00B26D27" w:rsidRDefault="00B26D27">
          <w:pPr>
            <w:pStyle w:val="TOC3"/>
            <w:tabs>
              <w:tab w:val="right" w:leader="dot" w:pos="9628"/>
            </w:tabs>
            <w:rPr>
              <w:rFonts w:eastAsiaTheme="minorEastAsia"/>
              <w:noProof/>
              <w:kern w:val="2"/>
              <w:sz w:val="22"/>
              <w:lang w:eastAsia="en-GB"/>
              <w14:ligatures w14:val="standardContextual"/>
            </w:rPr>
          </w:pPr>
          <w:hyperlink w:anchor="_Toc179962340" w:history="1">
            <w:r w:rsidRPr="009F5677">
              <w:rPr>
                <w:rStyle w:val="Hyperlink"/>
                <w:noProof/>
              </w:rPr>
              <w:t>Participants' recruitment and ethics statement</w:t>
            </w:r>
            <w:r>
              <w:rPr>
                <w:noProof/>
                <w:webHidden/>
              </w:rPr>
              <w:tab/>
            </w:r>
            <w:r>
              <w:rPr>
                <w:noProof/>
                <w:webHidden/>
              </w:rPr>
              <w:fldChar w:fldCharType="begin"/>
            </w:r>
            <w:r>
              <w:rPr>
                <w:noProof/>
                <w:webHidden/>
              </w:rPr>
              <w:instrText xml:space="preserve"> PAGEREF _Toc179962340 \h </w:instrText>
            </w:r>
            <w:r>
              <w:rPr>
                <w:noProof/>
                <w:webHidden/>
              </w:rPr>
            </w:r>
            <w:r>
              <w:rPr>
                <w:noProof/>
                <w:webHidden/>
              </w:rPr>
              <w:fldChar w:fldCharType="separate"/>
            </w:r>
            <w:r w:rsidR="005D7515">
              <w:rPr>
                <w:noProof/>
                <w:webHidden/>
              </w:rPr>
              <w:t>99</w:t>
            </w:r>
            <w:r>
              <w:rPr>
                <w:noProof/>
                <w:webHidden/>
              </w:rPr>
              <w:fldChar w:fldCharType="end"/>
            </w:r>
          </w:hyperlink>
        </w:p>
        <w:p w14:paraId="481058D0" w14:textId="7C41CFE9" w:rsidR="00B26D27" w:rsidRDefault="00B26D27">
          <w:pPr>
            <w:pStyle w:val="TOC3"/>
            <w:tabs>
              <w:tab w:val="right" w:leader="dot" w:pos="9628"/>
            </w:tabs>
            <w:rPr>
              <w:rFonts w:eastAsiaTheme="minorEastAsia"/>
              <w:noProof/>
              <w:kern w:val="2"/>
              <w:sz w:val="22"/>
              <w:lang w:eastAsia="en-GB"/>
              <w14:ligatures w14:val="standardContextual"/>
            </w:rPr>
          </w:pPr>
          <w:hyperlink w:anchor="_Toc179962341" w:history="1">
            <w:r w:rsidRPr="009F5677">
              <w:rPr>
                <w:rStyle w:val="Hyperlink"/>
                <w:noProof/>
              </w:rPr>
              <w:t>Experimental procedure</w:t>
            </w:r>
            <w:r>
              <w:rPr>
                <w:noProof/>
                <w:webHidden/>
              </w:rPr>
              <w:tab/>
            </w:r>
            <w:r>
              <w:rPr>
                <w:noProof/>
                <w:webHidden/>
              </w:rPr>
              <w:fldChar w:fldCharType="begin"/>
            </w:r>
            <w:r>
              <w:rPr>
                <w:noProof/>
                <w:webHidden/>
              </w:rPr>
              <w:instrText xml:space="preserve"> PAGEREF _Toc179962341 \h </w:instrText>
            </w:r>
            <w:r>
              <w:rPr>
                <w:noProof/>
                <w:webHidden/>
              </w:rPr>
            </w:r>
            <w:r>
              <w:rPr>
                <w:noProof/>
                <w:webHidden/>
              </w:rPr>
              <w:fldChar w:fldCharType="separate"/>
            </w:r>
            <w:r w:rsidR="005D7515">
              <w:rPr>
                <w:noProof/>
                <w:webHidden/>
              </w:rPr>
              <w:t>100</w:t>
            </w:r>
            <w:r>
              <w:rPr>
                <w:noProof/>
                <w:webHidden/>
              </w:rPr>
              <w:fldChar w:fldCharType="end"/>
            </w:r>
          </w:hyperlink>
        </w:p>
        <w:p w14:paraId="362BF9F5" w14:textId="576F6CCB" w:rsidR="00B26D27" w:rsidRDefault="00B26D27">
          <w:pPr>
            <w:pStyle w:val="TOC3"/>
            <w:tabs>
              <w:tab w:val="right" w:leader="dot" w:pos="9628"/>
            </w:tabs>
            <w:rPr>
              <w:rFonts w:eastAsiaTheme="minorEastAsia"/>
              <w:noProof/>
              <w:kern w:val="2"/>
              <w:sz w:val="22"/>
              <w:lang w:eastAsia="en-GB"/>
              <w14:ligatures w14:val="standardContextual"/>
            </w:rPr>
          </w:pPr>
          <w:hyperlink w:anchor="_Toc179962342" w:history="1">
            <w:r w:rsidRPr="009F5677">
              <w:rPr>
                <w:rStyle w:val="Hyperlink"/>
                <w:noProof/>
              </w:rPr>
              <w:t>Measures</w:t>
            </w:r>
            <w:r>
              <w:rPr>
                <w:noProof/>
                <w:webHidden/>
              </w:rPr>
              <w:tab/>
            </w:r>
            <w:r>
              <w:rPr>
                <w:noProof/>
                <w:webHidden/>
              </w:rPr>
              <w:fldChar w:fldCharType="begin"/>
            </w:r>
            <w:r>
              <w:rPr>
                <w:noProof/>
                <w:webHidden/>
              </w:rPr>
              <w:instrText xml:space="preserve"> PAGEREF _Toc179962342 \h </w:instrText>
            </w:r>
            <w:r>
              <w:rPr>
                <w:noProof/>
                <w:webHidden/>
              </w:rPr>
            </w:r>
            <w:r>
              <w:rPr>
                <w:noProof/>
                <w:webHidden/>
              </w:rPr>
              <w:fldChar w:fldCharType="separate"/>
            </w:r>
            <w:r w:rsidR="005D7515">
              <w:rPr>
                <w:noProof/>
                <w:webHidden/>
              </w:rPr>
              <w:t>101</w:t>
            </w:r>
            <w:r>
              <w:rPr>
                <w:noProof/>
                <w:webHidden/>
              </w:rPr>
              <w:fldChar w:fldCharType="end"/>
            </w:r>
          </w:hyperlink>
        </w:p>
        <w:p w14:paraId="5020F00A" w14:textId="2BADA9D1" w:rsidR="00B26D27" w:rsidRDefault="00B26D27">
          <w:pPr>
            <w:pStyle w:val="TOC3"/>
            <w:tabs>
              <w:tab w:val="right" w:leader="dot" w:pos="9628"/>
            </w:tabs>
            <w:rPr>
              <w:rFonts w:eastAsiaTheme="minorEastAsia"/>
              <w:noProof/>
              <w:kern w:val="2"/>
              <w:sz w:val="22"/>
              <w:lang w:eastAsia="en-GB"/>
              <w14:ligatures w14:val="standardContextual"/>
            </w:rPr>
          </w:pPr>
          <w:hyperlink w:anchor="_Toc179962343" w:history="1">
            <w:r w:rsidRPr="009F5677">
              <w:rPr>
                <w:rStyle w:val="Hyperlink"/>
                <w:noProof/>
              </w:rPr>
              <w:t>Statistical Analysis</w:t>
            </w:r>
            <w:r>
              <w:rPr>
                <w:noProof/>
                <w:webHidden/>
              </w:rPr>
              <w:tab/>
            </w:r>
            <w:r>
              <w:rPr>
                <w:noProof/>
                <w:webHidden/>
              </w:rPr>
              <w:fldChar w:fldCharType="begin"/>
            </w:r>
            <w:r>
              <w:rPr>
                <w:noProof/>
                <w:webHidden/>
              </w:rPr>
              <w:instrText xml:space="preserve"> PAGEREF _Toc179962343 \h </w:instrText>
            </w:r>
            <w:r>
              <w:rPr>
                <w:noProof/>
                <w:webHidden/>
              </w:rPr>
            </w:r>
            <w:r>
              <w:rPr>
                <w:noProof/>
                <w:webHidden/>
              </w:rPr>
              <w:fldChar w:fldCharType="separate"/>
            </w:r>
            <w:r w:rsidR="005D7515">
              <w:rPr>
                <w:noProof/>
                <w:webHidden/>
              </w:rPr>
              <w:t>102</w:t>
            </w:r>
            <w:r>
              <w:rPr>
                <w:noProof/>
                <w:webHidden/>
              </w:rPr>
              <w:fldChar w:fldCharType="end"/>
            </w:r>
          </w:hyperlink>
        </w:p>
        <w:p w14:paraId="1AA586C7" w14:textId="630F0953" w:rsidR="00B26D27" w:rsidRDefault="00B26D27">
          <w:pPr>
            <w:pStyle w:val="TOC2"/>
            <w:tabs>
              <w:tab w:val="right" w:leader="dot" w:pos="9628"/>
            </w:tabs>
            <w:rPr>
              <w:rFonts w:eastAsiaTheme="minorEastAsia"/>
              <w:noProof/>
              <w:kern w:val="2"/>
              <w:sz w:val="22"/>
              <w:lang w:eastAsia="en-GB"/>
              <w14:ligatures w14:val="standardContextual"/>
            </w:rPr>
          </w:pPr>
          <w:hyperlink w:anchor="_Toc179962344" w:history="1">
            <w:r w:rsidRPr="009F5677">
              <w:rPr>
                <w:rStyle w:val="Hyperlink"/>
                <w:noProof/>
              </w:rPr>
              <w:t>Results</w:t>
            </w:r>
            <w:r>
              <w:rPr>
                <w:noProof/>
                <w:webHidden/>
              </w:rPr>
              <w:tab/>
            </w:r>
            <w:r>
              <w:rPr>
                <w:noProof/>
                <w:webHidden/>
              </w:rPr>
              <w:fldChar w:fldCharType="begin"/>
            </w:r>
            <w:r>
              <w:rPr>
                <w:noProof/>
                <w:webHidden/>
              </w:rPr>
              <w:instrText xml:space="preserve"> PAGEREF _Toc179962344 \h </w:instrText>
            </w:r>
            <w:r>
              <w:rPr>
                <w:noProof/>
                <w:webHidden/>
              </w:rPr>
            </w:r>
            <w:r>
              <w:rPr>
                <w:noProof/>
                <w:webHidden/>
              </w:rPr>
              <w:fldChar w:fldCharType="separate"/>
            </w:r>
            <w:r w:rsidR="005D7515">
              <w:rPr>
                <w:noProof/>
                <w:webHidden/>
              </w:rPr>
              <w:t>103</w:t>
            </w:r>
            <w:r>
              <w:rPr>
                <w:noProof/>
                <w:webHidden/>
              </w:rPr>
              <w:fldChar w:fldCharType="end"/>
            </w:r>
          </w:hyperlink>
        </w:p>
        <w:p w14:paraId="5B303D49" w14:textId="4633E8DE" w:rsidR="00B26D27" w:rsidRDefault="00B26D27">
          <w:pPr>
            <w:pStyle w:val="TOC3"/>
            <w:tabs>
              <w:tab w:val="right" w:leader="dot" w:pos="9628"/>
            </w:tabs>
            <w:rPr>
              <w:rFonts w:eastAsiaTheme="minorEastAsia"/>
              <w:noProof/>
              <w:kern w:val="2"/>
              <w:sz w:val="22"/>
              <w:lang w:eastAsia="en-GB"/>
              <w14:ligatures w14:val="standardContextual"/>
            </w:rPr>
          </w:pPr>
          <w:hyperlink w:anchor="_Toc179962345" w:history="1">
            <w:r w:rsidRPr="009F5677">
              <w:rPr>
                <w:rStyle w:val="Hyperlink"/>
                <w:noProof/>
              </w:rPr>
              <w:t>Descriptive data</w:t>
            </w:r>
            <w:r>
              <w:rPr>
                <w:noProof/>
                <w:webHidden/>
              </w:rPr>
              <w:tab/>
            </w:r>
            <w:r>
              <w:rPr>
                <w:noProof/>
                <w:webHidden/>
              </w:rPr>
              <w:fldChar w:fldCharType="begin"/>
            </w:r>
            <w:r>
              <w:rPr>
                <w:noProof/>
                <w:webHidden/>
              </w:rPr>
              <w:instrText xml:space="preserve"> PAGEREF _Toc179962345 \h </w:instrText>
            </w:r>
            <w:r>
              <w:rPr>
                <w:noProof/>
                <w:webHidden/>
              </w:rPr>
            </w:r>
            <w:r>
              <w:rPr>
                <w:noProof/>
                <w:webHidden/>
              </w:rPr>
              <w:fldChar w:fldCharType="separate"/>
            </w:r>
            <w:r w:rsidR="005D7515">
              <w:rPr>
                <w:noProof/>
                <w:webHidden/>
              </w:rPr>
              <w:t>103</w:t>
            </w:r>
            <w:r>
              <w:rPr>
                <w:noProof/>
                <w:webHidden/>
              </w:rPr>
              <w:fldChar w:fldCharType="end"/>
            </w:r>
          </w:hyperlink>
        </w:p>
        <w:p w14:paraId="64ABEDD0" w14:textId="0BEB2C1A" w:rsidR="00B26D27" w:rsidRDefault="00B26D27">
          <w:pPr>
            <w:pStyle w:val="TOC3"/>
            <w:tabs>
              <w:tab w:val="right" w:leader="dot" w:pos="9628"/>
            </w:tabs>
            <w:rPr>
              <w:rFonts w:eastAsiaTheme="minorEastAsia"/>
              <w:noProof/>
              <w:kern w:val="2"/>
              <w:sz w:val="22"/>
              <w:lang w:eastAsia="en-GB"/>
              <w14:ligatures w14:val="standardContextual"/>
            </w:rPr>
          </w:pPr>
          <w:hyperlink w:anchor="_Toc179962346" w:history="1">
            <w:r w:rsidRPr="009F5677">
              <w:rPr>
                <w:rStyle w:val="Hyperlink"/>
                <w:noProof/>
              </w:rPr>
              <w:t>Affective responses to the biodiversity in the videos</w:t>
            </w:r>
            <w:r>
              <w:rPr>
                <w:noProof/>
                <w:webHidden/>
              </w:rPr>
              <w:tab/>
            </w:r>
            <w:r>
              <w:rPr>
                <w:noProof/>
                <w:webHidden/>
              </w:rPr>
              <w:fldChar w:fldCharType="begin"/>
            </w:r>
            <w:r>
              <w:rPr>
                <w:noProof/>
                <w:webHidden/>
              </w:rPr>
              <w:instrText xml:space="preserve"> PAGEREF _Toc179962346 \h </w:instrText>
            </w:r>
            <w:r>
              <w:rPr>
                <w:noProof/>
                <w:webHidden/>
              </w:rPr>
            </w:r>
            <w:r>
              <w:rPr>
                <w:noProof/>
                <w:webHidden/>
              </w:rPr>
              <w:fldChar w:fldCharType="separate"/>
            </w:r>
            <w:r w:rsidR="005D7515">
              <w:rPr>
                <w:noProof/>
                <w:webHidden/>
              </w:rPr>
              <w:t>104</w:t>
            </w:r>
            <w:r>
              <w:rPr>
                <w:noProof/>
                <w:webHidden/>
              </w:rPr>
              <w:fldChar w:fldCharType="end"/>
            </w:r>
          </w:hyperlink>
        </w:p>
        <w:p w14:paraId="32CF2BAA" w14:textId="6AF616CE" w:rsidR="00B26D27" w:rsidRDefault="00B26D27">
          <w:pPr>
            <w:pStyle w:val="TOC3"/>
            <w:tabs>
              <w:tab w:val="right" w:leader="dot" w:pos="9628"/>
            </w:tabs>
            <w:rPr>
              <w:rFonts w:eastAsiaTheme="minorEastAsia"/>
              <w:noProof/>
              <w:kern w:val="2"/>
              <w:sz w:val="22"/>
              <w:lang w:eastAsia="en-GB"/>
              <w14:ligatures w14:val="standardContextual"/>
            </w:rPr>
          </w:pPr>
          <w:hyperlink w:anchor="_Toc179962347" w:history="1">
            <w:r w:rsidRPr="009F5677">
              <w:rPr>
                <w:rStyle w:val="Hyperlink"/>
                <w:noProof/>
              </w:rPr>
              <w:t>Perceived level of biodiversity</w:t>
            </w:r>
            <w:r>
              <w:rPr>
                <w:noProof/>
                <w:webHidden/>
              </w:rPr>
              <w:tab/>
            </w:r>
            <w:r>
              <w:rPr>
                <w:noProof/>
                <w:webHidden/>
              </w:rPr>
              <w:fldChar w:fldCharType="begin"/>
            </w:r>
            <w:r>
              <w:rPr>
                <w:noProof/>
                <w:webHidden/>
              </w:rPr>
              <w:instrText xml:space="preserve"> PAGEREF _Toc179962347 \h </w:instrText>
            </w:r>
            <w:r>
              <w:rPr>
                <w:noProof/>
                <w:webHidden/>
              </w:rPr>
            </w:r>
            <w:r>
              <w:rPr>
                <w:noProof/>
                <w:webHidden/>
              </w:rPr>
              <w:fldChar w:fldCharType="separate"/>
            </w:r>
            <w:r w:rsidR="005D7515">
              <w:rPr>
                <w:noProof/>
                <w:webHidden/>
              </w:rPr>
              <w:t>106</w:t>
            </w:r>
            <w:r>
              <w:rPr>
                <w:noProof/>
                <w:webHidden/>
              </w:rPr>
              <w:fldChar w:fldCharType="end"/>
            </w:r>
          </w:hyperlink>
        </w:p>
        <w:p w14:paraId="50CAF033" w14:textId="0432FA92" w:rsidR="00B26D27" w:rsidRDefault="00B26D27">
          <w:pPr>
            <w:pStyle w:val="TOC3"/>
            <w:tabs>
              <w:tab w:val="right" w:leader="dot" w:pos="9628"/>
            </w:tabs>
            <w:rPr>
              <w:rFonts w:eastAsiaTheme="minorEastAsia"/>
              <w:noProof/>
              <w:kern w:val="2"/>
              <w:sz w:val="22"/>
              <w:lang w:eastAsia="en-GB"/>
              <w14:ligatures w14:val="standardContextual"/>
            </w:rPr>
          </w:pPr>
          <w:hyperlink w:anchor="_Toc179962348" w:history="1">
            <w:r w:rsidRPr="009F5677">
              <w:rPr>
                <w:rStyle w:val="Hyperlink"/>
                <w:noProof/>
              </w:rPr>
              <w:t>Appreciating individual elements of nature</w:t>
            </w:r>
            <w:r>
              <w:rPr>
                <w:noProof/>
                <w:webHidden/>
              </w:rPr>
              <w:tab/>
            </w:r>
            <w:r>
              <w:rPr>
                <w:noProof/>
                <w:webHidden/>
              </w:rPr>
              <w:fldChar w:fldCharType="begin"/>
            </w:r>
            <w:r>
              <w:rPr>
                <w:noProof/>
                <w:webHidden/>
              </w:rPr>
              <w:instrText xml:space="preserve"> PAGEREF _Toc179962348 \h </w:instrText>
            </w:r>
            <w:r>
              <w:rPr>
                <w:noProof/>
                <w:webHidden/>
              </w:rPr>
            </w:r>
            <w:r>
              <w:rPr>
                <w:noProof/>
                <w:webHidden/>
              </w:rPr>
              <w:fldChar w:fldCharType="separate"/>
            </w:r>
            <w:r w:rsidR="005D7515">
              <w:rPr>
                <w:noProof/>
                <w:webHidden/>
              </w:rPr>
              <w:t>107</w:t>
            </w:r>
            <w:r>
              <w:rPr>
                <w:noProof/>
                <w:webHidden/>
              </w:rPr>
              <w:fldChar w:fldCharType="end"/>
            </w:r>
          </w:hyperlink>
        </w:p>
        <w:p w14:paraId="146DAD65" w14:textId="087A91AD" w:rsidR="00B26D27" w:rsidRDefault="00B26D27">
          <w:pPr>
            <w:pStyle w:val="TOC3"/>
            <w:tabs>
              <w:tab w:val="right" w:leader="dot" w:pos="9628"/>
            </w:tabs>
            <w:rPr>
              <w:rFonts w:eastAsiaTheme="minorEastAsia"/>
              <w:noProof/>
              <w:kern w:val="2"/>
              <w:sz w:val="22"/>
              <w:lang w:eastAsia="en-GB"/>
              <w14:ligatures w14:val="standardContextual"/>
            </w:rPr>
          </w:pPr>
          <w:hyperlink w:anchor="_Toc179962349" w:history="1">
            <w:r w:rsidRPr="009F5677">
              <w:rPr>
                <w:rStyle w:val="Hyperlink"/>
                <w:noProof/>
              </w:rPr>
              <w:t>Time spent outdoors and nature connectedness</w:t>
            </w:r>
            <w:r>
              <w:rPr>
                <w:noProof/>
                <w:webHidden/>
              </w:rPr>
              <w:tab/>
            </w:r>
            <w:r>
              <w:rPr>
                <w:noProof/>
                <w:webHidden/>
              </w:rPr>
              <w:fldChar w:fldCharType="begin"/>
            </w:r>
            <w:r>
              <w:rPr>
                <w:noProof/>
                <w:webHidden/>
              </w:rPr>
              <w:instrText xml:space="preserve"> PAGEREF _Toc179962349 \h </w:instrText>
            </w:r>
            <w:r>
              <w:rPr>
                <w:noProof/>
                <w:webHidden/>
              </w:rPr>
            </w:r>
            <w:r>
              <w:rPr>
                <w:noProof/>
                <w:webHidden/>
              </w:rPr>
              <w:fldChar w:fldCharType="separate"/>
            </w:r>
            <w:r w:rsidR="005D7515">
              <w:rPr>
                <w:noProof/>
                <w:webHidden/>
              </w:rPr>
              <w:t>109</w:t>
            </w:r>
            <w:r>
              <w:rPr>
                <w:noProof/>
                <w:webHidden/>
              </w:rPr>
              <w:fldChar w:fldCharType="end"/>
            </w:r>
          </w:hyperlink>
        </w:p>
        <w:p w14:paraId="4EA1BF80" w14:textId="4B17EC15" w:rsidR="00B26D27" w:rsidRDefault="00B26D27">
          <w:pPr>
            <w:pStyle w:val="TOC2"/>
            <w:tabs>
              <w:tab w:val="right" w:leader="dot" w:pos="9628"/>
            </w:tabs>
            <w:rPr>
              <w:rFonts w:eastAsiaTheme="minorEastAsia"/>
              <w:noProof/>
              <w:kern w:val="2"/>
              <w:sz w:val="22"/>
              <w:lang w:eastAsia="en-GB"/>
              <w14:ligatures w14:val="standardContextual"/>
            </w:rPr>
          </w:pPr>
          <w:hyperlink w:anchor="_Toc179962350" w:history="1">
            <w:r w:rsidRPr="009F5677">
              <w:rPr>
                <w:rStyle w:val="Hyperlink"/>
                <w:noProof/>
              </w:rPr>
              <w:t>Discussion</w:t>
            </w:r>
            <w:r>
              <w:rPr>
                <w:noProof/>
                <w:webHidden/>
              </w:rPr>
              <w:tab/>
            </w:r>
            <w:r>
              <w:rPr>
                <w:noProof/>
                <w:webHidden/>
              </w:rPr>
              <w:fldChar w:fldCharType="begin"/>
            </w:r>
            <w:r>
              <w:rPr>
                <w:noProof/>
                <w:webHidden/>
              </w:rPr>
              <w:instrText xml:space="preserve"> PAGEREF _Toc179962350 \h </w:instrText>
            </w:r>
            <w:r>
              <w:rPr>
                <w:noProof/>
                <w:webHidden/>
              </w:rPr>
            </w:r>
            <w:r>
              <w:rPr>
                <w:noProof/>
                <w:webHidden/>
              </w:rPr>
              <w:fldChar w:fldCharType="separate"/>
            </w:r>
            <w:r w:rsidR="005D7515">
              <w:rPr>
                <w:noProof/>
                <w:webHidden/>
              </w:rPr>
              <w:t>109</w:t>
            </w:r>
            <w:r>
              <w:rPr>
                <w:noProof/>
                <w:webHidden/>
              </w:rPr>
              <w:fldChar w:fldCharType="end"/>
            </w:r>
          </w:hyperlink>
        </w:p>
        <w:p w14:paraId="2E3C7A1A" w14:textId="73725C0E" w:rsidR="00B26D27" w:rsidRDefault="00B26D27">
          <w:pPr>
            <w:pStyle w:val="TOC3"/>
            <w:tabs>
              <w:tab w:val="right" w:leader="dot" w:pos="9628"/>
            </w:tabs>
            <w:rPr>
              <w:rFonts w:eastAsiaTheme="minorEastAsia"/>
              <w:noProof/>
              <w:kern w:val="2"/>
              <w:sz w:val="22"/>
              <w:lang w:eastAsia="en-GB"/>
              <w14:ligatures w14:val="standardContextual"/>
            </w:rPr>
          </w:pPr>
          <w:hyperlink w:anchor="_Toc179962351" w:history="1">
            <w:r w:rsidRPr="009F5677">
              <w:rPr>
                <w:rStyle w:val="Hyperlink"/>
                <w:noProof/>
              </w:rPr>
              <w:t>Emotional responses to green space via video</w:t>
            </w:r>
            <w:r>
              <w:rPr>
                <w:noProof/>
                <w:webHidden/>
              </w:rPr>
              <w:tab/>
            </w:r>
            <w:r>
              <w:rPr>
                <w:noProof/>
                <w:webHidden/>
              </w:rPr>
              <w:fldChar w:fldCharType="begin"/>
            </w:r>
            <w:r>
              <w:rPr>
                <w:noProof/>
                <w:webHidden/>
              </w:rPr>
              <w:instrText xml:space="preserve"> PAGEREF _Toc179962351 \h </w:instrText>
            </w:r>
            <w:r>
              <w:rPr>
                <w:noProof/>
                <w:webHidden/>
              </w:rPr>
            </w:r>
            <w:r>
              <w:rPr>
                <w:noProof/>
                <w:webHidden/>
              </w:rPr>
              <w:fldChar w:fldCharType="separate"/>
            </w:r>
            <w:r w:rsidR="005D7515">
              <w:rPr>
                <w:noProof/>
                <w:webHidden/>
              </w:rPr>
              <w:t>109</w:t>
            </w:r>
            <w:r>
              <w:rPr>
                <w:noProof/>
                <w:webHidden/>
              </w:rPr>
              <w:fldChar w:fldCharType="end"/>
            </w:r>
          </w:hyperlink>
        </w:p>
        <w:p w14:paraId="612500CC" w14:textId="46830160" w:rsidR="00B26D27" w:rsidRDefault="00B26D27">
          <w:pPr>
            <w:pStyle w:val="TOC3"/>
            <w:tabs>
              <w:tab w:val="right" w:leader="dot" w:pos="9628"/>
            </w:tabs>
            <w:rPr>
              <w:rFonts w:eastAsiaTheme="minorEastAsia"/>
              <w:noProof/>
              <w:kern w:val="2"/>
              <w:sz w:val="22"/>
              <w:lang w:eastAsia="en-GB"/>
              <w14:ligatures w14:val="standardContextual"/>
            </w:rPr>
          </w:pPr>
          <w:hyperlink w:anchor="_Toc179962352" w:history="1">
            <w:r w:rsidRPr="009F5677">
              <w:rPr>
                <w:rStyle w:val="Hyperlink"/>
                <w:noProof/>
              </w:rPr>
              <w:t>Biodiversity levels and emotions</w:t>
            </w:r>
            <w:r>
              <w:rPr>
                <w:noProof/>
                <w:webHidden/>
              </w:rPr>
              <w:tab/>
            </w:r>
            <w:r>
              <w:rPr>
                <w:noProof/>
                <w:webHidden/>
              </w:rPr>
              <w:fldChar w:fldCharType="begin"/>
            </w:r>
            <w:r>
              <w:rPr>
                <w:noProof/>
                <w:webHidden/>
              </w:rPr>
              <w:instrText xml:space="preserve"> PAGEREF _Toc179962352 \h </w:instrText>
            </w:r>
            <w:r>
              <w:rPr>
                <w:noProof/>
                <w:webHidden/>
              </w:rPr>
            </w:r>
            <w:r>
              <w:rPr>
                <w:noProof/>
                <w:webHidden/>
              </w:rPr>
              <w:fldChar w:fldCharType="separate"/>
            </w:r>
            <w:r w:rsidR="005D7515">
              <w:rPr>
                <w:noProof/>
                <w:webHidden/>
              </w:rPr>
              <w:t>110</w:t>
            </w:r>
            <w:r>
              <w:rPr>
                <w:noProof/>
                <w:webHidden/>
              </w:rPr>
              <w:fldChar w:fldCharType="end"/>
            </w:r>
          </w:hyperlink>
        </w:p>
        <w:p w14:paraId="639C8BA4" w14:textId="00DFCA06" w:rsidR="00B26D27" w:rsidRDefault="00B26D27">
          <w:pPr>
            <w:pStyle w:val="TOC3"/>
            <w:tabs>
              <w:tab w:val="right" w:leader="dot" w:pos="9628"/>
            </w:tabs>
            <w:rPr>
              <w:rFonts w:eastAsiaTheme="minorEastAsia"/>
              <w:noProof/>
              <w:kern w:val="2"/>
              <w:sz w:val="22"/>
              <w:lang w:eastAsia="en-GB"/>
              <w14:ligatures w14:val="standardContextual"/>
            </w:rPr>
          </w:pPr>
          <w:hyperlink w:anchor="_Toc179962353" w:history="1">
            <w:r w:rsidRPr="009F5677">
              <w:rPr>
                <w:rStyle w:val="Hyperlink"/>
                <w:noProof/>
              </w:rPr>
              <w:t>Perceived biodiversity and affective response</w:t>
            </w:r>
            <w:r>
              <w:rPr>
                <w:noProof/>
                <w:webHidden/>
              </w:rPr>
              <w:tab/>
            </w:r>
            <w:r>
              <w:rPr>
                <w:noProof/>
                <w:webHidden/>
              </w:rPr>
              <w:fldChar w:fldCharType="begin"/>
            </w:r>
            <w:r>
              <w:rPr>
                <w:noProof/>
                <w:webHidden/>
              </w:rPr>
              <w:instrText xml:space="preserve"> PAGEREF _Toc179962353 \h </w:instrText>
            </w:r>
            <w:r>
              <w:rPr>
                <w:noProof/>
                <w:webHidden/>
              </w:rPr>
            </w:r>
            <w:r>
              <w:rPr>
                <w:noProof/>
                <w:webHidden/>
              </w:rPr>
              <w:fldChar w:fldCharType="separate"/>
            </w:r>
            <w:r w:rsidR="005D7515">
              <w:rPr>
                <w:noProof/>
                <w:webHidden/>
              </w:rPr>
              <w:t>111</w:t>
            </w:r>
            <w:r>
              <w:rPr>
                <w:noProof/>
                <w:webHidden/>
              </w:rPr>
              <w:fldChar w:fldCharType="end"/>
            </w:r>
          </w:hyperlink>
        </w:p>
        <w:p w14:paraId="07A60440" w14:textId="0E775B7D" w:rsidR="00B26D27" w:rsidRDefault="00B26D27">
          <w:pPr>
            <w:pStyle w:val="TOC3"/>
            <w:tabs>
              <w:tab w:val="right" w:leader="dot" w:pos="9628"/>
            </w:tabs>
            <w:rPr>
              <w:rFonts w:eastAsiaTheme="minorEastAsia"/>
              <w:noProof/>
              <w:kern w:val="2"/>
              <w:sz w:val="22"/>
              <w:lang w:eastAsia="en-GB"/>
              <w14:ligatures w14:val="standardContextual"/>
            </w:rPr>
          </w:pPr>
          <w:hyperlink w:anchor="_Toc179962354" w:history="1">
            <w:r w:rsidRPr="009F5677">
              <w:rPr>
                <w:rStyle w:val="Hyperlink"/>
                <w:noProof/>
              </w:rPr>
              <w:t>Limitations and recommendations for future research</w:t>
            </w:r>
            <w:r>
              <w:rPr>
                <w:noProof/>
                <w:webHidden/>
              </w:rPr>
              <w:tab/>
            </w:r>
            <w:r>
              <w:rPr>
                <w:noProof/>
                <w:webHidden/>
              </w:rPr>
              <w:fldChar w:fldCharType="begin"/>
            </w:r>
            <w:r>
              <w:rPr>
                <w:noProof/>
                <w:webHidden/>
              </w:rPr>
              <w:instrText xml:space="preserve"> PAGEREF _Toc179962354 \h </w:instrText>
            </w:r>
            <w:r>
              <w:rPr>
                <w:noProof/>
                <w:webHidden/>
              </w:rPr>
            </w:r>
            <w:r>
              <w:rPr>
                <w:noProof/>
                <w:webHidden/>
              </w:rPr>
              <w:fldChar w:fldCharType="separate"/>
            </w:r>
            <w:r w:rsidR="005D7515">
              <w:rPr>
                <w:noProof/>
                <w:webHidden/>
              </w:rPr>
              <w:t>112</w:t>
            </w:r>
            <w:r>
              <w:rPr>
                <w:noProof/>
                <w:webHidden/>
              </w:rPr>
              <w:fldChar w:fldCharType="end"/>
            </w:r>
          </w:hyperlink>
        </w:p>
        <w:p w14:paraId="06FDAD6C" w14:textId="61F01072" w:rsidR="00B26D27" w:rsidRDefault="00B26D27">
          <w:pPr>
            <w:pStyle w:val="TOC3"/>
            <w:tabs>
              <w:tab w:val="right" w:leader="dot" w:pos="9628"/>
            </w:tabs>
            <w:rPr>
              <w:rFonts w:eastAsiaTheme="minorEastAsia"/>
              <w:noProof/>
              <w:kern w:val="2"/>
              <w:sz w:val="22"/>
              <w:lang w:eastAsia="en-GB"/>
              <w14:ligatures w14:val="standardContextual"/>
            </w:rPr>
          </w:pPr>
          <w:hyperlink w:anchor="_Toc179962355" w:history="1">
            <w:r w:rsidRPr="009F5677">
              <w:rPr>
                <w:rStyle w:val="Hyperlink"/>
                <w:noProof/>
              </w:rPr>
              <w:t>Conclusions</w:t>
            </w:r>
            <w:r>
              <w:rPr>
                <w:noProof/>
                <w:webHidden/>
              </w:rPr>
              <w:tab/>
            </w:r>
            <w:r>
              <w:rPr>
                <w:noProof/>
                <w:webHidden/>
              </w:rPr>
              <w:fldChar w:fldCharType="begin"/>
            </w:r>
            <w:r>
              <w:rPr>
                <w:noProof/>
                <w:webHidden/>
              </w:rPr>
              <w:instrText xml:space="preserve"> PAGEREF _Toc179962355 \h </w:instrText>
            </w:r>
            <w:r>
              <w:rPr>
                <w:noProof/>
                <w:webHidden/>
              </w:rPr>
            </w:r>
            <w:r>
              <w:rPr>
                <w:noProof/>
                <w:webHidden/>
              </w:rPr>
              <w:fldChar w:fldCharType="separate"/>
            </w:r>
            <w:r w:rsidR="005D7515">
              <w:rPr>
                <w:noProof/>
                <w:webHidden/>
              </w:rPr>
              <w:t>113</w:t>
            </w:r>
            <w:r>
              <w:rPr>
                <w:noProof/>
                <w:webHidden/>
              </w:rPr>
              <w:fldChar w:fldCharType="end"/>
            </w:r>
          </w:hyperlink>
        </w:p>
        <w:p w14:paraId="4CF2B51E" w14:textId="2C4919F5" w:rsidR="00B26D27" w:rsidRDefault="00B26D27">
          <w:pPr>
            <w:pStyle w:val="TOC3"/>
            <w:tabs>
              <w:tab w:val="right" w:leader="dot" w:pos="9628"/>
            </w:tabs>
            <w:rPr>
              <w:rFonts w:eastAsiaTheme="minorEastAsia"/>
              <w:noProof/>
              <w:kern w:val="2"/>
              <w:sz w:val="22"/>
              <w:lang w:eastAsia="en-GB"/>
              <w14:ligatures w14:val="standardContextual"/>
            </w:rPr>
          </w:pPr>
          <w:hyperlink w:anchor="_Toc179962356" w:history="1">
            <w:r w:rsidRPr="009F5677">
              <w:rPr>
                <w:rStyle w:val="Hyperlink"/>
                <w:noProof/>
              </w:rPr>
              <w:t>Supporting information</w:t>
            </w:r>
            <w:r>
              <w:rPr>
                <w:noProof/>
                <w:webHidden/>
              </w:rPr>
              <w:tab/>
            </w:r>
            <w:r>
              <w:rPr>
                <w:noProof/>
                <w:webHidden/>
              </w:rPr>
              <w:fldChar w:fldCharType="begin"/>
            </w:r>
            <w:r>
              <w:rPr>
                <w:noProof/>
                <w:webHidden/>
              </w:rPr>
              <w:instrText xml:space="preserve"> PAGEREF _Toc179962356 \h </w:instrText>
            </w:r>
            <w:r>
              <w:rPr>
                <w:noProof/>
                <w:webHidden/>
              </w:rPr>
            </w:r>
            <w:r>
              <w:rPr>
                <w:noProof/>
                <w:webHidden/>
              </w:rPr>
              <w:fldChar w:fldCharType="separate"/>
            </w:r>
            <w:r w:rsidR="005D7515">
              <w:rPr>
                <w:noProof/>
                <w:webHidden/>
              </w:rPr>
              <w:t>114</w:t>
            </w:r>
            <w:r>
              <w:rPr>
                <w:noProof/>
                <w:webHidden/>
              </w:rPr>
              <w:fldChar w:fldCharType="end"/>
            </w:r>
          </w:hyperlink>
        </w:p>
        <w:p w14:paraId="161B122C" w14:textId="7A75B4B4" w:rsidR="00B26D27" w:rsidRDefault="00B26D27">
          <w:pPr>
            <w:pStyle w:val="TOC3"/>
            <w:tabs>
              <w:tab w:val="right" w:leader="dot" w:pos="9628"/>
            </w:tabs>
            <w:rPr>
              <w:rFonts w:eastAsiaTheme="minorEastAsia"/>
              <w:noProof/>
              <w:kern w:val="2"/>
              <w:sz w:val="22"/>
              <w:lang w:eastAsia="en-GB"/>
              <w14:ligatures w14:val="standardContextual"/>
            </w:rPr>
          </w:pPr>
          <w:hyperlink w:anchor="_Toc179962357" w:history="1">
            <w:r w:rsidRPr="009F5677">
              <w:rPr>
                <w:rStyle w:val="Hyperlink"/>
                <w:noProof/>
              </w:rPr>
              <w:t>Acknowledgements</w:t>
            </w:r>
            <w:r>
              <w:rPr>
                <w:noProof/>
                <w:webHidden/>
              </w:rPr>
              <w:tab/>
            </w:r>
            <w:r>
              <w:rPr>
                <w:noProof/>
                <w:webHidden/>
              </w:rPr>
              <w:fldChar w:fldCharType="begin"/>
            </w:r>
            <w:r>
              <w:rPr>
                <w:noProof/>
                <w:webHidden/>
              </w:rPr>
              <w:instrText xml:space="preserve"> PAGEREF _Toc179962357 \h </w:instrText>
            </w:r>
            <w:r>
              <w:rPr>
                <w:noProof/>
                <w:webHidden/>
              </w:rPr>
            </w:r>
            <w:r>
              <w:rPr>
                <w:noProof/>
                <w:webHidden/>
              </w:rPr>
              <w:fldChar w:fldCharType="separate"/>
            </w:r>
            <w:r w:rsidR="005D7515">
              <w:rPr>
                <w:noProof/>
                <w:webHidden/>
              </w:rPr>
              <w:t>114</w:t>
            </w:r>
            <w:r>
              <w:rPr>
                <w:noProof/>
                <w:webHidden/>
              </w:rPr>
              <w:fldChar w:fldCharType="end"/>
            </w:r>
          </w:hyperlink>
        </w:p>
        <w:p w14:paraId="2794E665" w14:textId="339A90FB" w:rsidR="00B26D27" w:rsidRDefault="00B26D27">
          <w:pPr>
            <w:pStyle w:val="TOC3"/>
            <w:tabs>
              <w:tab w:val="right" w:leader="dot" w:pos="9628"/>
            </w:tabs>
            <w:rPr>
              <w:rFonts w:eastAsiaTheme="minorEastAsia"/>
              <w:noProof/>
              <w:kern w:val="2"/>
              <w:sz w:val="22"/>
              <w:lang w:eastAsia="en-GB"/>
              <w14:ligatures w14:val="standardContextual"/>
            </w:rPr>
          </w:pPr>
          <w:hyperlink w:anchor="_Toc179962358" w:history="1">
            <w:r w:rsidRPr="009F5677">
              <w:rPr>
                <w:rStyle w:val="Hyperlink"/>
                <w:noProof/>
              </w:rPr>
              <w:t>References</w:t>
            </w:r>
            <w:r>
              <w:rPr>
                <w:noProof/>
                <w:webHidden/>
              </w:rPr>
              <w:tab/>
            </w:r>
            <w:r>
              <w:rPr>
                <w:noProof/>
                <w:webHidden/>
              </w:rPr>
              <w:fldChar w:fldCharType="begin"/>
            </w:r>
            <w:r>
              <w:rPr>
                <w:noProof/>
                <w:webHidden/>
              </w:rPr>
              <w:instrText xml:space="preserve"> PAGEREF _Toc179962358 \h </w:instrText>
            </w:r>
            <w:r>
              <w:rPr>
                <w:noProof/>
                <w:webHidden/>
              </w:rPr>
            </w:r>
            <w:r>
              <w:rPr>
                <w:noProof/>
                <w:webHidden/>
              </w:rPr>
              <w:fldChar w:fldCharType="separate"/>
            </w:r>
            <w:r w:rsidR="005D7515">
              <w:rPr>
                <w:noProof/>
                <w:webHidden/>
              </w:rPr>
              <w:t>115</w:t>
            </w:r>
            <w:r>
              <w:rPr>
                <w:noProof/>
                <w:webHidden/>
              </w:rPr>
              <w:fldChar w:fldCharType="end"/>
            </w:r>
          </w:hyperlink>
        </w:p>
        <w:p w14:paraId="16578450" w14:textId="7452DE1B" w:rsidR="00B26D27" w:rsidRDefault="00B26D27">
          <w:pPr>
            <w:pStyle w:val="TOC1"/>
            <w:tabs>
              <w:tab w:val="right" w:leader="dot" w:pos="9628"/>
            </w:tabs>
            <w:rPr>
              <w:rFonts w:eastAsiaTheme="minorEastAsia"/>
              <w:noProof/>
              <w:kern w:val="2"/>
              <w:sz w:val="22"/>
              <w:lang w:eastAsia="en-GB"/>
              <w14:ligatures w14:val="standardContextual"/>
            </w:rPr>
          </w:pPr>
          <w:hyperlink w:anchor="_Toc179962359" w:history="1">
            <w:r w:rsidRPr="009F5677">
              <w:rPr>
                <w:rStyle w:val="Hyperlink"/>
                <w:noProof/>
              </w:rPr>
              <w:t>Chapter 6 - Paper</w:t>
            </w:r>
            <w:r>
              <w:rPr>
                <w:noProof/>
                <w:webHidden/>
              </w:rPr>
              <w:tab/>
            </w:r>
            <w:r>
              <w:rPr>
                <w:noProof/>
                <w:webHidden/>
              </w:rPr>
              <w:fldChar w:fldCharType="begin"/>
            </w:r>
            <w:r>
              <w:rPr>
                <w:noProof/>
                <w:webHidden/>
              </w:rPr>
              <w:instrText xml:space="preserve"> PAGEREF _Toc179962359 \h </w:instrText>
            </w:r>
            <w:r>
              <w:rPr>
                <w:noProof/>
                <w:webHidden/>
              </w:rPr>
            </w:r>
            <w:r>
              <w:rPr>
                <w:noProof/>
                <w:webHidden/>
              </w:rPr>
              <w:fldChar w:fldCharType="separate"/>
            </w:r>
            <w:r w:rsidR="005D7515">
              <w:rPr>
                <w:noProof/>
                <w:webHidden/>
              </w:rPr>
              <w:t>122</w:t>
            </w:r>
            <w:r>
              <w:rPr>
                <w:noProof/>
                <w:webHidden/>
              </w:rPr>
              <w:fldChar w:fldCharType="end"/>
            </w:r>
          </w:hyperlink>
        </w:p>
        <w:p w14:paraId="367BBFD0" w14:textId="2D545421" w:rsidR="00B26D27" w:rsidRDefault="00B26D27">
          <w:pPr>
            <w:pStyle w:val="TOC2"/>
            <w:tabs>
              <w:tab w:val="right" w:leader="dot" w:pos="9628"/>
            </w:tabs>
            <w:rPr>
              <w:rFonts w:eastAsiaTheme="minorEastAsia"/>
              <w:noProof/>
              <w:kern w:val="2"/>
              <w:sz w:val="22"/>
              <w:lang w:eastAsia="en-GB"/>
              <w14:ligatures w14:val="standardContextual"/>
            </w:rPr>
          </w:pPr>
          <w:hyperlink w:anchor="_Toc179962360" w:history="1">
            <w:r w:rsidRPr="009F5677">
              <w:rPr>
                <w:rStyle w:val="Hyperlink"/>
                <w:noProof/>
              </w:rPr>
              <w:t>Abstract</w:t>
            </w:r>
            <w:r>
              <w:rPr>
                <w:noProof/>
                <w:webHidden/>
              </w:rPr>
              <w:tab/>
            </w:r>
            <w:r>
              <w:rPr>
                <w:noProof/>
                <w:webHidden/>
              </w:rPr>
              <w:fldChar w:fldCharType="begin"/>
            </w:r>
            <w:r>
              <w:rPr>
                <w:noProof/>
                <w:webHidden/>
              </w:rPr>
              <w:instrText xml:space="preserve"> PAGEREF _Toc179962360 \h </w:instrText>
            </w:r>
            <w:r>
              <w:rPr>
                <w:noProof/>
                <w:webHidden/>
              </w:rPr>
            </w:r>
            <w:r>
              <w:rPr>
                <w:noProof/>
                <w:webHidden/>
              </w:rPr>
              <w:fldChar w:fldCharType="separate"/>
            </w:r>
            <w:r w:rsidR="005D7515">
              <w:rPr>
                <w:noProof/>
                <w:webHidden/>
              </w:rPr>
              <w:t>122</w:t>
            </w:r>
            <w:r>
              <w:rPr>
                <w:noProof/>
                <w:webHidden/>
              </w:rPr>
              <w:fldChar w:fldCharType="end"/>
            </w:r>
          </w:hyperlink>
        </w:p>
        <w:p w14:paraId="447A64BB" w14:textId="4E644578" w:rsidR="00B26D27" w:rsidRDefault="00B26D27">
          <w:pPr>
            <w:pStyle w:val="TOC2"/>
            <w:tabs>
              <w:tab w:val="right" w:leader="dot" w:pos="9628"/>
            </w:tabs>
            <w:rPr>
              <w:rFonts w:eastAsiaTheme="minorEastAsia"/>
              <w:noProof/>
              <w:kern w:val="2"/>
              <w:sz w:val="22"/>
              <w:lang w:eastAsia="en-GB"/>
              <w14:ligatures w14:val="standardContextual"/>
            </w:rPr>
          </w:pPr>
          <w:hyperlink w:anchor="_Toc179962361" w:history="1">
            <w:r w:rsidRPr="009F5677">
              <w:rPr>
                <w:rStyle w:val="Hyperlink"/>
                <w:noProof/>
              </w:rPr>
              <w:t>Introduction</w:t>
            </w:r>
            <w:r>
              <w:rPr>
                <w:noProof/>
                <w:webHidden/>
              </w:rPr>
              <w:tab/>
            </w:r>
            <w:r>
              <w:rPr>
                <w:noProof/>
                <w:webHidden/>
              </w:rPr>
              <w:fldChar w:fldCharType="begin"/>
            </w:r>
            <w:r>
              <w:rPr>
                <w:noProof/>
                <w:webHidden/>
              </w:rPr>
              <w:instrText xml:space="preserve"> PAGEREF _Toc179962361 \h </w:instrText>
            </w:r>
            <w:r>
              <w:rPr>
                <w:noProof/>
                <w:webHidden/>
              </w:rPr>
            </w:r>
            <w:r>
              <w:rPr>
                <w:noProof/>
                <w:webHidden/>
              </w:rPr>
              <w:fldChar w:fldCharType="separate"/>
            </w:r>
            <w:r w:rsidR="005D7515">
              <w:rPr>
                <w:noProof/>
                <w:webHidden/>
              </w:rPr>
              <w:t>123</w:t>
            </w:r>
            <w:r>
              <w:rPr>
                <w:noProof/>
                <w:webHidden/>
              </w:rPr>
              <w:fldChar w:fldCharType="end"/>
            </w:r>
          </w:hyperlink>
        </w:p>
        <w:p w14:paraId="26772F6E" w14:textId="2B9D95CC" w:rsidR="00B26D27" w:rsidRDefault="00B26D27">
          <w:pPr>
            <w:pStyle w:val="TOC3"/>
            <w:tabs>
              <w:tab w:val="right" w:leader="dot" w:pos="9628"/>
            </w:tabs>
            <w:rPr>
              <w:rFonts w:eastAsiaTheme="minorEastAsia"/>
              <w:noProof/>
              <w:kern w:val="2"/>
              <w:sz w:val="22"/>
              <w:lang w:eastAsia="en-GB"/>
              <w14:ligatures w14:val="standardContextual"/>
            </w:rPr>
          </w:pPr>
          <w:hyperlink w:anchor="_Toc179962362" w:history="1">
            <w:r w:rsidRPr="009F5677">
              <w:rPr>
                <w:rStyle w:val="Hyperlink"/>
                <w:noProof/>
              </w:rPr>
              <w:t>Unresolved research questions on biodiversity and well-being</w:t>
            </w:r>
            <w:r>
              <w:rPr>
                <w:noProof/>
                <w:webHidden/>
              </w:rPr>
              <w:tab/>
            </w:r>
            <w:r>
              <w:rPr>
                <w:noProof/>
                <w:webHidden/>
              </w:rPr>
              <w:fldChar w:fldCharType="begin"/>
            </w:r>
            <w:r>
              <w:rPr>
                <w:noProof/>
                <w:webHidden/>
              </w:rPr>
              <w:instrText xml:space="preserve"> PAGEREF _Toc179962362 \h </w:instrText>
            </w:r>
            <w:r>
              <w:rPr>
                <w:noProof/>
                <w:webHidden/>
              </w:rPr>
            </w:r>
            <w:r>
              <w:rPr>
                <w:noProof/>
                <w:webHidden/>
              </w:rPr>
              <w:fldChar w:fldCharType="separate"/>
            </w:r>
            <w:r w:rsidR="005D7515">
              <w:rPr>
                <w:noProof/>
                <w:webHidden/>
              </w:rPr>
              <w:t>124</w:t>
            </w:r>
            <w:r>
              <w:rPr>
                <w:noProof/>
                <w:webHidden/>
              </w:rPr>
              <w:fldChar w:fldCharType="end"/>
            </w:r>
          </w:hyperlink>
        </w:p>
        <w:p w14:paraId="45634C1A" w14:textId="68B916BD" w:rsidR="00B26D27" w:rsidRDefault="00B26D27">
          <w:pPr>
            <w:pStyle w:val="TOC3"/>
            <w:tabs>
              <w:tab w:val="right" w:leader="dot" w:pos="9628"/>
            </w:tabs>
            <w:rPr>
              <w:rFonts w:eastAsiaTheme="minorEastAsia"/>
              <w:noProof/>
              <w:kern w:val="2"/>
              <w:sz w:val="22"/>
              <w:lang w:eastAsia="en-GB"/>
              <w14:ligatures w14:val="standardContextual"/>
            </w:rPr>
          </w:pPr>
          <w:hyperlink w:anchor="_Toc179962363" w:history="1">
            <w:r w:rsidRPr="009F5677">
              <w:rPr>
                <w:rStyle w:val="Hyperlink"/>
                <w:noProof/>
              </w:rPr>
              <w:t>The present study</w:t>
            </w:r>
            <w:r>
              <w:rPr>
                <w:noProof/>
                <w:webHidden/>
              </w:rPr>
              <w:tab/>
            </w:r>
            <w:r>
              <w:rPr>
                <w:noProof/>
                <w:webHidden/>
              </w:rPr>
              <w:fldChar w:fldCharType="begin"/>
            </w:r>
            <w:r>
              <w:rPr>
                <w:noProof/>
                <w:webHidden/>
              </w:rPr>
              <w:instrText xml:space="preserve"> PAGEREF _Toc179962363 \h </w:instrText>
            </w:r>
            <w:r>
              <w:rPr>
                <w:noProof/>
                <w:webHidden/>
              </w:rPr>
            </w:r>
            <w:r>
              <w:rPr>
                <w:noProof/>
                <w:webHidden/>
              </w:rPr>
              <w:fldChar w:fldCharType="separate"/>
            </w:r>
            <w:r w:rsidR="005D7515">
              <w:rPr>
                <w:noProof/>
                <w:webHidden/>
              </w:rPr>
              <w:t>126</w:t>
            </w:r>
            <w:r>
              <w:rPr>
                <w:noProof/>
                <w:webHidden/>
              </w:rPr>
              <w:fldChar w:fldCharType="end"/>
            </w:r>
          </w:hyperlink>
        </w:p>
        <w:p w14:paraId="0D6B63AE" w14:textId="41321B91" w:rsidR="00B26D27" w:rsidRDefault="00B26D27">
          <w:pPr>
            <w:pStyle w:val="TOC2"/>
            <w:tabs>
              <w:tab w:val="right" w:leader="dot" w:pos="9628"/>
            </w:tabs>
            <w:rPr>
              <w:rFonts w:eastAsiaTheme="minorEastAsia"/>
              <w:noProof/>
              <w:kern w:val="2"/>
              <w:sz w:val="22"/>
              <w:lang w:eastAsia="en-GB"/>
              <w14:ligatures w14:val="standardContextual"/>
            </w:rPr>
          </w:pPr>
          <w:hyperlink w:anchor="_Toc179962364" w:history="1">
            <w:r w:rsidRPr="009F5677">
              <w:rPr>
                <w:rStyle w:val="Hyperlink"/>
                <w:noProof/>
              </w:rPr>
              <w:t>Materials and Methods</w:t>
            </w:r>
            <w:r>
              <w:rPr>
                <w:noProof/>
                <w:webHidden/>
              </w:rPr>
              <w:tab/>
            </w:r>
            <w:r>
              <w:rPr>
                <w:noProof/>
                <w:webHidden/>
              </w:rPr>
              <w:fldChar w:fldCharType="begin"/>
            </w:r>
            <w:r>
              <w:rPr>
                <w:noProof/>
                <w:webHidden/>
              </w:rPr>
              <w:instrText xml:space="preserve"> PAGEREF _Toc179962364 \h </w:instrText>
            </w:r>
            <w:r>
              <w:rPr>
                <w:noProof/>
                <w:webHidden/>
              </w:rPr>
            </w:r>
            <w:r>
              <w:rPr>
                <w:noProof/>
                <w:webHidden/>
              </w:rPr>
              <w:fldChar w:fldCharType="separate"/>
            </w:r>
            <w:r w:rsidR="005D7515">
              <w:rPr>
                <w:noProof/>
                <w:webHidden/>
              </w:rPr>
              <w:t>126</w:t>
            </w:r>
            <w:r>
              <w:rPr>
                <w:noProof/>
                <w:webHidden/>
              </w:rPr>
              <w:fldChar w:fldCharType="end"/>
            </w:r>
          </w:hyperlink>
        </w:p>
        <w:p w14:paraId="6BDBC2B4" w14:textId="1C772B3A" w:rsidR="00B26D27" w:rsidRDefault="00B26D27">
          <w:pPr>
            <w:pStyle w:val="TOC3"/>
            <w:tabs>
              <w:tab w:val="right" w:leader="dot" w:pos="9628"/>
            </w:tabs>
            <w:rPr>
              <w:rFonts w:eastAsiaTheme="minorEastAsia"/>
              <w:noProof/>
              <w:kern w:val="2"/>
              <w:sz w:val="22"/>
              <w:lang w:eastAsia="en-GB"/>
              <w14:ligatures w14:val="standardContextual"/>
            </w:rPr>
          </w:pPr>
          <w:hyperlink w:anchor="_Toc179962365" w:history="1">
            <w:r w:rsidRPr="009F5677">
              <w:rPr>
                <w:rStyle w:val="Hyperlink"/>
                <w:noProof/>
              </w:rPr>
              <w:t>Treatment setup and virtual park development</w:t>
            </w:r>
            <w:r>
              <w:rPr>
                <w:noProof/>
                <w:webHidden/>
              </w:rPr>
              <w:tab/>
            </w:r>
            <w:r>
              <w:rPr>
                <w:noProof/>
                <w:webHidden/>
              </w:rPr>
              <w:fldChar w:fldCharType="begin"/>
            </w:r>
            <w:r>
              <w:rPr>
                <w:noProof/>
                <w:webHidden/>
              </w:rPr>
              <w:instrText xml:space="preserve"> PAGEREF _Toc179962365 \h </w:instrText>
            </w:r>
            <w:r>
              <w:rPr>
                <w:noProof/>
                <w:webHidden/>
              </w:rPr>
            </w:r>
            <w:r>
              <w:rPr>
                <w:noProof/>
                <w:webHidden/>
              </w:rPr>
              <w:fldChar w:fldCharType="separate"/>
            </w:r>
            <w:r w:rsidR="005D7515">
              <w:rPr>
                <w:noProof/>
                <w:webHidden/>
              </w:rPr>
              <w:t>127</w:t>
            </w:r>
            <w:r>
              <w:rPr>
                <w:noProof/>
                <w:webHidden/>
              </w:rPr>
              <w:fldChar w:fldCharType="end"/>
            </w:r>
          </w:hyperlink>
        </w:p>
        <w:p w14:paraId="68C971F1" w14:textId="6B367993" w:rsidR="00B26D27" w:rsidRDefault="00B26D27">
          <w:pPr>
            <w:pStyle w:val="TOC3"/>
            <w:tabs>
              <w:tab w:val="right" w:leader="dot" w:pos="9628"/>
            </w:tabs>
            <w:rPr>
              <w:rFonts w:eastAsiaTheme="minorEastAsia"/>
              <w:noProof/>
              <w:kern w:val="2"/>
              <w:sz w:val="22"/>
              <w:lang w:eastAsia="en-GB"/>
              <w14:ligatures w14:val="standardContextual"/>
            </w:rPr>
          </w:pPr>
          <w:hyperlink w:anchor="_Toc179962366" w:history="1">
            <w:r w:rsidRPr="009F5677">
              <w:rPr>
                <w:rStyle w:val="Hyperlink"/>
                <w:noProof/>
              </w:rPr>
              <w:t>Participant recruitment and Ethics approval</w:t>
            </w:r>
            <w:r>
              <w:rPr>
                <w:noProof/>
                <w:webHidden/>
              </w:rPr>
              <w:tab/>
            </w:r>
            <w:r>
              <w:rPr>
                <w:noProof/>
                <w:webHidden/>
              </w:rPr>
              <w:fldChar w:fldCharType="begin"/>
            </w:r>
            <w:r>
              <w:rPr>
                <w:noProof/>
                <w:webHidden/>
              </w:rPr>
              <w:instrText xml:space="preserve"> PAGEREF _Toc179962366 \h </w:instrText>
            </w:r>
            <w:r>
              <w:rPr>
                <w:noProof/>
                <w:webHidden/>
              </w:rPr>
            </w:r>
            <w:r>
              <w:rPr>
                <w:noProof/>
                <w:webHidden/>
              </w:rPr>
              <w:fldChar w:fldCharType="separate"/>
            </w:r>
            <w:r w:rsidR="005D7515">
              <w:rPr>
                <w:noProof/>
                <w:webHidden/>
              </w:rPr>
              <w:t>128</w:t>
            </w:r>
            <w:r>
              <w:rPr>
                <w:noProof/>
                <w:webHidden/>
              </w:rPr>
              <w:fldChar w:fldCharType="end"/>
            </w:r>
          </w:hyperlink>
        </w:p>
        <w:p w14:paraId="132522D0" w14:textId="723F10DD" w:rsidR="00B26D27" w:rsidRDefault="00B26D27">
          <w:pPr>
            <w:pStyle w:val="TOC3"/>
            <w:tabs>
              <w:tab w:val="right" w:leader="dot" w:pos="9628"/>
            </w:tabs>
            <w:rPr>
              <w:rFonts w:eastAsiaTheme="minorEastAsia"/>
              <w:noProof/>
              <w:kern w:val="2"/>
              <w:sz w:val="22"/>
              <w:lang w:eastAsia="en-GB"/>
              <w14:ligatures w14:val="standardContextual"/>
            </w:rPr>
          </w:pPr>
          <w:hyperlink w:anchor="_Toc179962367" w:history="1">
            <w:r w:rsidRPr="009F5677">
              <w:rPr>
                <w:rStyle w:val="Hyperlink"/>
                <w:noProof/>
              </w:rPr>
              <w:t>Measures</w:t>
            </w:r>
            <w:r>
              <w:rPr>
                <w:noProof/>
                <w:webHidden/>
              </w:rPr>
              <w:tab/>
            </w:r>
            <w:r>
              <w:rPr>
                <w:noProof/>
                <w:webHidden/>
              </w:rPr>
              <w:fldChar w:fldCharType="begin"/>
            </w:r>
            <w:r>
              <w:rPr>
                <w:noProof/>
                <w:webHidden/>
              </w:rPr>
              <w:instrText xml:space="preserve"> PAGEREF _Toc179962367 \h </w:instrText>
            </w:r>
            <w:r>
              <w:rPr>
                <w:noProof/>
                <w:webHidden/>
              </w:rPr>
            </w:r>
            <w:r>
              <w:rPr>
                <w:noProof/>
                <w:webHidden/>
              </w:rPr>
              <w:fldChar w:fldCharType="separate"/>
            </w:r>
            <w:r w:rsidR="005D7515">
              <w:rPr>
                <w:noProof/>
                <w:webHidden/>
              </w:rPr>
              <w:t>128</w:t>
            </w:r>
            <w:r>
              <w:rPr>
                <w:noProof/>
                <w:webHidden/>
              </w:rPr>
              <w:fldChar w:fldCharType="end"/>
            </w:r>
          </w:hyperlink>
        </w:p>
        <w:p w14:paraId="12B54D7F" w14:textId="6B6D09E7" w:rsidR="00B26D27" w:rsidRDefault="00B26D27">
          <w:pPr>
            <w:pStyle w:val="TOC3"/>
            <w:tabs>
              <w:tab w:val="right" w:leader="dot" w:pos="9628"/>
            </w:tabs>
            <w:rPr>
              <w:rFonts w:eastAsiaTheme="minorEastAsia"/>
              <w:noProof/>
              <w:kern w:val="2"/>
              <w:sz w:val="22"/>
              <w:lang w:eastAsia="en-GB"/>
              <w14:ligatures w14:val="standardContextual"/>
            </w:rPr>
          </w:pPr>
          <w:hyperlink w:anchor="_Toc179962368" w:history="1">
            <w:r w:rsidRPr="009F5677">
              <w:rPr>
                <w:rStyle w:val="Hyperlink"/>
                <w:noProof/>
              </w:rPr>
              <w:t>Experimental Procedures</w:t>
            </w:r>
            <w:r>
              <w:rPr>
                <w:noProof/>
                <w:webHidden/>
              </w:rPr>
              <w:tab/>
            </w:r>
            <w:r>
              <w:rPr>
                <w:noProof/>
                <w:webHidden/>
              </w:rPr>
              <w:fldChar w:fldCharType="begin"/>
            </w:r>
            <w:r>
              <w:rPr>
                <w:noProof/>
                <w:webHidden/>
              </w:rPr>
              <w:instrText xml:space="preserve"> PAGEREF _Toc179962368 \h </w:instrText>
            </w:r>
            <w:r>
              <w:rPr>
                <w:noProof/>
                <w:webHidden/>
              </w:rPr>
            </w:r>
            <w:r>
              <w:rPr>
                <w:noProof/>
                <w:webHidden/>
              </w:rPr>
              <w:fldChar w:fldCharType="separate"/>
            </w:r>
            <w:r w:rsidR="005D7515">
              <w:rPr>
                <w:noProof/>
                <w:webHidden/>
              </w:rPr>
              <w:t>129</w:t>
            </w:r>
            <w:r>
              <w:rPr>
                <w:noProof/>
                <w:webHidden/>
              </w:rPr>
              <w:fldChar w:fldCharType="end"/>
            </w:r>
          </w:hyperlink>
        </w:p>
        <w:p w14:paraId="506AC2FF" w14:textId="24B09927" w:rsidR="00B26D27" w:rsidRDefault="00B26D27">
          <w:pPr>
            <w:pStyle w:val="TOC3"/>
            <w:tabs>
              <w:tab w:val="right" w:leader="dot" w:pos="9628"/>
            </w:tabs>
            <w:rPr>
              <w:rFonts w:eastAsiaTheme="minorEastAsia"/>
              <w:noProof/>
              <w:kern w:val="2"/>
              <w:sz w:val="22"/>
              <w:lang w:eastAsia="en-GB"/>
              <w14:ligatures w14:val="standardContextual"/>
            </w:rPr>
          </w:pPr>
          <w:hyperlink w:anchor="_Toc179962369" w:history="1">
            <w:r w:rsidRPr="009F5677">
              <w:rPr>
                <w:rStyle w:val="Hyperlink"/>
                <w:noProof/>
              </w:rPr>
              <w:t>Statistical Analysis</w:t>
            </w:r>
            <w:r>
              <w:rPr>
                <w:noProof/>
                <w:webHidden/>
              </w:rPr>
              <w:tab/>
            </w:r>
            <w:r>
              <w:rPr>
                <w:noProof/>
                <w:webHidden/>
              </w:rPr>
              <w:fldChar w:fldCharType="begin"/>
            </w:r>
            <w:r>
              <w:rPr>
                <w:noProof/>
                <w:webHidden/>
              </w:rPr>
              <w:instrText xml:space="preserve"> PAGEREF _Toc179962369 \h </w:instrText>
            </w:r>
            <w:r>
              <w:rPr>
                <w:noProof/>
                <w:webHidden/>
              </w:rPr>
            </w:r>
            <w:r>
              <w:rPr>
                <w:noProof/>
                <w:webHidden/>
              </w:rPr>
              <w:fldChar w:fldCharType="separate"/>
            </w:r>
            <w:r w:rsidR="005D7515">
              <w:rPr>
                <w:noProof/>
                <w:webHidden/>
              </w:rPr>
              <w:t>130</w:t>
            </w:r>
            <w:r>
              <w:rPr>
                <w:noProof/>
                <w:webHidden/>
              </w:rPr>
              <w:fldChar w:fldCharType="end"/>
            </w:r>
          </w:hyperlink>
        </w:p>
        <w:p w14:paraId="2AC7A3E1" w14:textId="150979F1" w:rsidR="00B26D27" w:rsidRDefault="00B26D27">
          <w:pPr>
            <w:pStyle w:val="TOC2"/>
            <w:tabs>
              <w:tab w:val="right" w:leader="dot" w:pos="9628"/>
            </w:tabs>
            <w:rPr>
              <w:rFonts w:eastAsiaTheme="minorEastAsia"/>
              <w:noProof/>
              <w:kern w:val="2"/>
              <w:sz w:val="22"/>
              <w:lang w:eastAsia="en-GB"/>
              <w14:ligatures w14:val="standardContextual"/>
            </w:rPr>
          </w:pPr>
          <w:hyperlink w:anchor="_Toc179962370" w:history="1">
            <w:r w:rsidRPr="009F5677">
              <w:rPr>
                <w:rStyle w:val="Hyperlink"/>
                <w:noProof/>
              </w:rPr>
              <w:t>Results</w:t>
            </w:r>
            <w:r>
              <w:rPr>
                <w:noProof/>
                <w:webHidden/>
              </w:rPr>
              <w:tab/>
            </w:r>
            <w:r>
              <w:rPr>
                <w:noProof/>
                <w:webHidden/>
              </w:rPr>
              <w:fldChar w:fldCharType="begin"/>
            </w:r>
            <w:r>
              <w:rPr>
                <w:noProof/>
                <w:webHidden/>
              </w:rPr>
              <w:instrText xml:space="preserve"> PAGEREF _Toc179962370 \h </w:instrText>
            </w:r>
            <w:r>
              <w:rPr>
                <w:noProof/>
                <w:webHidden/>
              </w:rPr>
            </w:r>
            <w:r>
              <w:rPr>
                <w:noProof/>
                <w:webHidden/>
              </w:rPr>
              <w:fldChar w:fldCharType="separate"/>
            </w:r>
            <w:r w:rsidR="005D7515">
              <w:rPr>
                <w:noProof/>
                <w:webHidden/>
              </w:rPr>
              <w:t>131</w:t>
            </w:r>
            <w:r>
              <w:rPr>
                <w:noProof/>
                <w:webHidden/>
              </w:rPr>
              <w:fldChar w:fldCharType="end"/>
            </w:r>
          </w:hyperlink>
        </w:p>
        <w:p w14:paraId="47E6B027" w14:textId="5D7A5B7D" w:rsidR="00B26D27" w:rsidRDefault="00B26D27">
          <w:pPr>
            <w:pStyle w:val="TOC3"/>
            <w:tabs>
              <w:tab w:val="right" w:leader="dot" w:pos="9628"/>
            </w:tabs>
            <w:rPr>
              <w:rFonts w:eastAsiaTheme="minorEastAsia"/>
              <w:noProof/>
              <w:kern w:val="2"/>
              <w:sz w:val="22"/>
              <w:lang w:eastAsia="en-GB"/>
              <w14:ligatures w14:val="standardContextual"/>
            </w:rPr>
          </w:pPr>
          <w:hyperlink w:anchor="_Toc179962371" w:history="1">
            <w:r w:rsidRPr="009F5677">
              <w:rPr>
                <w:rStyle w:val="Hyperlink"/>
                <w:noProof/>
              </w:rPr>
              <w:t>Descriptive data (Experiments 1-4)</w:t>
            </w:r>
            <w:r>
              <w:rPr>
                <w:noProof/>
                <w:webHidden/>
              </w:rPr>
              <w:tab/>
            </w:r>
            <w:r>
              <w:rPr>
                <w:noProof/>
                <w:webHidden/>
              </w:rPr>
              <w:fldChar w:fldCharType="begin"/>
            </w:r>
            <w:r>
              <w:rPr>
                <w:noProof/>
                <w:webHidden/>
              </w:rPr>
              <w:instrText xml:space="preserve"> PAGEREF _Toc179962371 \h </w:instrText>
            </w:r>
            <w:r>
              <w:rPr>
                <w:noProof/>
                <w:webHidden/>
              </w:rPr>
            </w:r>
            <w:r>
              <w:rPr>
                <w:noProof/>
                <w:webHidden/>
              </w:rPr>
              <w:fldChar w:fldCharType="separate"/>
            </w:r>
            <w:r w:rsidR="005D7515">
              <w:rPr>
                <w:noProof/>
                <w:webHidden/>
              </w:rPr>
              <w:t>131</w:t>
            </w:r>
            <w:r>
              <w:rPr>
                <w:noProof/>
                <w:webHidden/>
              </w:rPr>
              <w:fldChar w:fldCharType="end"/>
            </w:r>
          </w:hyperlink>
        </w:p>
        <w:p w14:paraId="78009198" w14:textId="4EC65E37" w:rsidR="00B26D27" w:rsidRDefault="00B26D27">
          <w:pPr>
            <w:pStyle w:val="TOC3"/>
            <w:tabs>
              <w:tab w:val="right" w:leader="dot" w:pos="9628"/>
            </w:tabs>
            <w:rPr>
              <w:rFonts w:eastAsiaTheme="minorEastAsia"/>
              <w:noProof/>
              <w:kern w:val="2"/>
              <w:sz w:val="22"/>
              <w:lang w:eastAsia="en-GB"/>
              <w14:ligatures w14:val="standardContextual"/>
            </w:rPr>
          </w:pPr>
          <w:hyperlink w:anchor="_Toc179962372" w:history="1">
            <w:r w:rsidRPr="009F5677">
              <w:rPr>
                <w:rStyle w:val="Hyperlink"/>
                <w:noProof/>
              </w:rPr>
              <w:t>Experiment 1</w:t>
            </w:r>
            <w:r>
              <w:rPr>
                <w:noProof/>
                <w:webHidden/>
              </w:rPr>
              <w:tab/>
            </w:r>
            <w:r>
              <w:rPr>
                <w:noProof/>
                <w:webHidden/>
              </w:rPr>
              <w:fldChar w:fldCharType="begin"/>
            </w:r>
            <w:r>
              <w:rPr>
                <w:noProof/>
                <w:webHidden/>
              </w:rPr>
              <w:instrText xml:space="preserve"> PAGEREF _Toc179962372 \h </w:instrText>
            </w:r>
            <w:r>
              <w:rPr>
                <w:noProof/>
                <w:webHidden/>
              </w:rPr>
            </w:r>
            <w:r>
              <w:rPr>
                <w:noProof/>
                <w:webHidden/>
              </w:rPr>
              <w:fldChar w:fldCharType="separate"/>
            </w:r>
            <w:r w:rsidR="005D7515">
              <w:rPr>
                <w:noProof/>
                <w:webHidden/>
              </w:rPr>
              <w:t>132</w:t>
            </w:r>
            <w:r>
              <w:rPr>
                <w:noProof/>
                <w:webHidden/>
              </w:rPr>
              <w:fldChar w:fldCharType="end"/>
            </w:r>
          </w:hyperlink>
        </w:p>
        <w:p w14:paraId="48DE74B8" w14:textId="0C859EA9" w:rsidR="00B26D27" w:rsidRDefault="00B26D27">
          <w:pPr>
            <w:pStyle w:val="TOC3"/>
            <w:tabs>
              <w:tab w:val="right" w:leader="dot" w:pos="9628"/>
            </w:tabs>
            <w:rPr>
              <w:rFonts w:eastAsiaTheme="minorEastAsia"/>
              <w:noProof/>
              <w:kern w:val="2"/>
              <w:sz w:val="22"/>
              <w:lang w:eastAsia="en-GB"/>
              <w14:ligatures w14:val="standardContextual"/>
            </w:rPr>
          </w:pPr>
          <w:hyperlink w:anchor="_Toc179962373" w:history="1">
            <w:r w:rsidRPr="009F5677">
              <w:rPr>
                <w:rStyle w:val="Hyperlink"/>
                <w:noProof/>
              </w:rPr>
              <w:t>Experiment 2</w:t>
            </w:r>
            <w:r>
              <w:rPr>
                <w:noProof/>
                <w:webHidden/>
              </w:rPr>
              <w:tab/>
            </w:r>
            <w:r>
              <w:rPr>
                <w:noProof/>
                <w:webHidden/>
              </w:rPr>
              <w:fldChar w:fldCharType="begin"/>
            </w:r>
            <w:r>
              <w:rPr>
                <w:noProof/>
                <w:webHidden/>
              </w:rPr>
              <w:instrText xml:space="preserve"> PAGEREF _Toc179962373 \h </w:instrText>
            </w:r>
            <w:r>
              <w:rPr>
                <w:noProof/>
                <w:webHidden/>
              </w:rPr>
            </w:r>
            <w:r>
              <w:rPr>
                <w:noProof/>
                <w:webHidden/>
              </w:rPr>
              <w:fldChar w:fldCharType="separate"/>
            </w:r>
            <w:r w:rsidR="005D7515">
              <w:rPr>
                <w:noProof/>
                <w:webHidden/>
              </w:rPr>
              <w:t>134</w:t>
            </w:r>
            <w:r>
              <w:rPr>
                <w:noProof/>
                <w:webHidden/>
              </w:rPr>
              <w:fldChar w:fldCharType="end"/>
            </w:r>
          </w:hyperlink>
        </w:p>
        <w:p w14:paraId="1930A477" w14:textId="59E9567B" w:rsidR="00B26D27" w:rsidRDefault="00B26D27">
          <w:pPr>
            <w:pStyle w:val="TOC3"/>
            <w:tabs>
              <w:tab w:val="right" w:leader="dot" w:pos="9628"/>
            </w:tabs>
            <w:rPr>
              <w:rFonts w:eastAsiaTheme="minorEastAsia"/>
              <w:noProof/>
              <w:kern w:val="2"/>
              <w:sz w:val="22"/>
              <w:lang w:eastAsia="en-GB"/>
              <w14:ligatures w14:val="standardContextual"/>
            </w:rPr>
          </w:pPr>
          <w:hyperlink w:anchor="_Toc179962374" w:history="1">
            <w:r w:rsidRPr="009F5677">
              <w:rPr>
                <w:rStyle w:val="Hyperlink"/>
                <w:noProof/>
              </w:rPr>
              <w:t>Experiment 3</w:t>
            </w:r>
            <w:r>
              <w:rPr>
                <w:noProof/>
                <w:webHidden/>
              </w:rPr>
              <w:tab/>
            </w:r>
            <w:r>
              <w:rPr>
                <w:noProof/>
                <w:webHidden/>
              </w:rPr>
              <w:fldChar w:fldCharType="begin"/>
            </w:r>
            <w:r>
              <w:rPr>
                <w:noProof/>
                <w:webHidden/>
              </w:rPr>
              <w:instrText xml:space="preserve"> PAGEREF _Toc179962374 \h </w:instrText>
            </w:r>
            <w:r>
              <w:rPr>
                <w:noProof/>
                <w:webHidden/>
              </w:rPr>
            </w:r>
            <w:r>
              <w:rPr>
                <w:noProof/>
                <w:webHidden/>
              </w:rPr>
              <w:fldChar w:fldCharType="separate"/>
            </w:r>
            <w:r w:rsidR="005D7515">
              <w:rPr>
                <w:noProof/>
                <w:webHidden/>
              </w:rPr>
              <w:t>135</w:t>
            </w:r>
            <w:r>
              <w:rPr>
                <w:noProof/>
                <w:webHidden/>
              </w:rPr>
              <w:fldChar w:fldCharType="end"/>
            </w:r>
          </w:hyperlink>
        </w:p>
        <w:p w14:paraId="7A22391A" w14:textId="19F71EE5" w:rsidR="00B26D27" w:rsidRDefault="00B26D27">
          <w:pPr>
            <w:pStyle w:val="TOC3"/>
            <w:tabs>
              <w:tab w:val="right" w:leader="dot" w:pos="9628"/>
            </w:tabs>
            <w:rPr>
              <w:rFonts w:eastAsiaTheme="minorEastAsia"/>
              <w:noProof/>
              <w:kern w:val="2"/>
              <w:sz w:val="22"/>
              <w:lang w:eastAsia="en-GB"/>
              <w14:ligatures w14:val="standardContextual"/>
            </w:rPr>
          </w:pPr>
          <w:hyperlink w:anchor="_Toc179962375" w:history="1">
            <w:r w:rsidRPr="009F5677">
              <w:rPr>
                <w:rStyle w:val="Hyperlink"/>
                <w:noProof/>
              </w:rPr>
              <w:t>Experiment 4</w:t>
            </w:r>
            <w:r>
              <w:rPr>
                <w:noProof/>
                <w:webHidden/>
              </w:rPr>
              <w:tab/>
            </w:r>
            <w:r>
              <w:rPr>
                <w:noProof/>
                <w:webHidden/>
              </w:rPr>
              <w:fldChar w:fldCharType="begin"/>
            </w:r>
            <w:r>
              <w:rPr>
                <w:noProof/>
                <w:webHidden/>
              </w:rPr>
              <w:instrText xml:space="preserve"> PAGEREF _Toc179962375 \h </w:instrText>
            </w:r>
            <w:r>
              <w:rPr>
                <w:noProof/>
                <w:webHidden/>
              </w:rPr>
            </w:r>
            <w:r>
              <w:rPr>
                <w:noProof/>
                <w:webHidden/>
              </w:rPr>
              <w:fldChar w:fldCharType="separate"/>
            </w:r>
            <w:r w:rsidR="005D7515">
              <w:rPr>
                <w:noProof/>
                <w:webHidden/>
              </w:rPr>
              <w:t>136</w:t>
            </w:r>
            <w:r>
              <w:rPr>
                <w:noProof/>
                <w:webHidden/>
              </w:rPr>
              <w:fldChar w:fldCharType="end"/>
            </w:r>
          </w:hyperlink>
        </w:p>
        <w:p w14:paraId="0DF58C6A" w14:textId="69AA123F" w:rsidR="00B26D27" w:rsidRDefault="00B26D27">
          <w:pPr>
            <w:pStyle w:val="TOC3"/>
            <w:tabs>
              <w:tab w:val="right" w:leader="dot" w:pos="9628"/>
            </w:tabs>
            <w:rPr>
              <w:rFonts w:eastAsiaTheme="minorEastAsia"/>
              <w:noProof/>
              <w:kern w:val="2"/>
              <w:sz w:val="22"/>
              <w:lang w:eastAsia="en-GB"/>
              <w14:ligatures w14:val="standardContextual"/>
            </w:rPr>
          </w:pPr>
          <w:hyperlink w:anchor="_Toc179962376" w:history="1">
            <w:r w:rsidRPr="009F5677">
              <w:rPr>
                <w:rStyle w:val="Hyperlink"/>
                <w:noProof/>
              </w:rPr>
              <w:t>Noticing individual features of the parks (Experiments 1-4)</w:t>
            </w:r>
            <w:r>
              <w:rPr>
                <w:noProof/>
                <w:webHidden/>
              </w:rPr>
              <w:tab/>
            </w:r>
            <w:r>
              <w:rPr>
                <w:noProof/>
                <w:webHidden/>
              </w:rPr>
              <w:fldChar w:fldCharType="begin"/>
            </w:r>
            <w:r>
              <w:rPr>
                <w:noProof/>
                <w:webHidden/>
              </w:rPr>
              <w:instrText xml:space="preserve"> PAGEREF _Toc179962376 \h </w:instrText>
            </w:r>
            <w:r>
              <w:rPr>
                <w:noProof/>
                <w:webHidden/>
              </w:rPr>
            </w:r>
            <w:r>
              <w:rPr>
                <w:noProof/>
                <w:webHidden/>
              </w:rPr>
              <w:fldChar w:fldCharType="separate"/>
            </w:r>
            <w:r w:rsidR="005D7515">
              <w:rPr>
                <w:noProof/>
                <w:webHidden/>
              </w:rPr>
              <w:t>137</w:t>
            </w:r>
            <w:r>
              <w:rPr>
                <w:noProof/>
                <w:webHidden/>
              </w:rPr>
              <w:fldChar w:fldCharType="end"/>
            </w:r>
          </w:hyperlink>
        </w:p>
        <w:p w14:paraId="20187CA0" w14:textId="6670E7F8" w:rsidR="00B26D27" w:rsidRDefault="00B26D27">
          <w:pPr>
            <w:pStyle w:val="TOC2"/>
            <w:tabs>
              <w:tab w:val="right" w:leader="dot" w:pos="9628"/>
            </w:tabs>
            <w:rPr>
              <w:rFonts w:eastAsiaTheme="minorEastAsia"/>
              <w:noProof/>
              <w:kern w:val="2"/>
              <w:sz w:val="22"/>
              <w:lang w:eastAsia="en-GB"/>
              <w14:ligatures w14:val="standardContextual"/>
            </w:rPr>
          </w:pPr>
          <w:hyperlink w:anchor="_Toc179962377" w:history="1">
            <w:r w:rsidRPr="009F5677">
              <w:rPr>
                <w:rStyle w:val="Hyperlink"/>
                <w:noProof/>
              </w:rPr>
              <w:t>Discussion</w:t>
            </w:r>
            <w:r>
              <w:rPr>
                <w:noProof/>
                <w:webHidden/>
              </w:rPr>
              <w:tab/>
            </w:r>
            <w:r>
              <w:rPr>
                <w:noProof/>
                <w:webHidden/>
              </w:rPr>
              <w:fldChar w:fldCharType="begin"/>
            </w:r>
            <w:r>
              <w:rPr>
                <w:noProof/>
                <w:webHidden/>
              </w:rPr>
              <w:instrText xml:space="preserve"> PAGEREF _Toc179962377 \h </w:instrText>
            </w:r>
            <w:r>
              <w:rPr>
                <w:noProof/>
                <w:webHidden/>
              </w:rPr>
            </w:r>
            <w:r>
              <w:rPr>
                <w:noProof/>
                <w:webHidden/>
              </w:rPr>
              <w:fldChar w:fldCharType="separate"/>
            </w:r>
            <w:r w:rsidR="005D7515">
              <w:rPr>
                <w:noProof/>
                <w:webHidden/>
              </w:rPr>
              <w:t>138</w:t>
            </w:r>
            <w:r>
              <w:rPr>
                <w:noProof/>
                <w:webHidden/>
              </w:rPr>
              <w:fldChar w:fldCharType="end"/>
            </w:r>
          </w:hyperlink>
        </w:p>
        <w:p w14:paraId="6671CFDA" w14:textId="35BB0399" w:rsidR="00B26D27" w:rsidRDefault="00B26D27">
          <w:pPr>
            <w:pStyle w:val="TOC3"/>
            <w:tabs>
              <w:tab w:val="right" w:leader="dot" w:pos="9628"/>
            </w:tabs>
            <w:rPr>
              <w:rFonts w:eastAsiaTheme="minorEastAsia"/>
              <w:noProof/>
              <w:kern w:val="2"/>
              <w:sz w:val="22"/>
              <w:lang w:eastAsia="en-GB"/>
              <w14:ligatures w14:val="standardContextual"/>
            </w:rPr>
          </w:pPr>
          <w:hyperlink w:anchor="_Toc179962378" w:history="1">
            <w:r w:rsidRPr="009F5677">
              <w:rPr>
                <w:rStyle w:val="Hyperlink"/>
                <w:noProof/>
              </w:rPr>
              <w:t>Virtual parks improved emotional well-being</w:t>
            </w:r>
            <w:r>
              <w:rPr>
                <w:noProof/>
                <w:webHidden/>
              </w:rPr>
              <w:tab/>
            </w:r>
            <w:r>
              <w:rPr>
                <w:noProof/>
                <w:webHidden/>
              </w:rPr>
              <w:fldChar w:fldCharType="begin"/>
            </w:r>
            <w:r>
              <w:rPr>
                <w:noProof/>
                <w:webHidden/>
              </w:rPr>
              <w:instrText xml:space="preserve"> PAGEREF _Toc179962378 \h </w:instrText>
            </w:r>
            <w:r>
              <w:rPr>
                <w:noProof/>
                <w:webHidden/>
              </w:rPr>
            </w:r>
            <w:r>
              <w:rPr>
                <w:noProof/>
                <w:webHidden/>
              </w:rPr>
              <w:fldChar w:fldCharType="separate"/>
            </w:r>
            <w:r w:rsidR="005D7515">
              <w:rPr>
                <w:noProof/>
                <w:webHidden/>
              </w:rPr>
              <w:t>138</w:t>
            </w:r>
            <w:r>
              <w:rPr>
                <w:noProof/>
                <w:webHidden/>
              </w:rPr>
              <w:fldChar w:fldCharType="end"/>
            </w:r>
          </w:hyperlink>
        </w:p>
        <w:p w14:paraId="373FD435" w14:textId="5EC52EC9" w:rsidR="00B26D27" w:rsidRDefault="00B26D27">
          <w:pPr>
            <w:pStyle w:val="TOC3"/>
            <w:tabs>
              <w:tab w:val="right" w:leader="dot" w:pos="9628"/>
            </w:tabs>
            <w:rPr>
              <w:rFonts w:eastAsiaTheme="minorEastAsia"/>
              <w:noProof/>
              <w:kern w:val="2"/>
              <w:sz w:val="22"/>
              <w:lang w:eastAsia="en-GB"/>
              <w14:ligatures w14:val="standardContextual"/>
            </w:rPr>
          </w:pPr>
          <w:hyperlink w:anchor="_Toc179962379" w:history="1">
            <w:r w:rsidRPr="009F5677">
              <w:rPr>
                <w:rStyle w:val="Hyperlink"/>
                <w:noProof/>
              </w:rPr>
              <w:t>Actual biodiversity was not associated with better or worse emotional well-being</w:t>
            </w:r>
            <w:r>
              <w:rPr>
                <w:noProof/>
                <w:webHidden/>
              </w:rPr>
              <w:tab/>
            </w:r>
            <w:r>
              <w:rPr>
                <w:noProof/>
                <w:webHidden/>
              </w:rPr>
              <w:fldChar w:fldCharType="begin"/>
            </w:r>
            <w:r>
              <w:rPr>
                <w:noProof/>
                <w:webHidden/>
              </w:rPr>
              <w:instrText xml:space="preserve"> PAGEREF _Toc179962379 \h </w:instrText>
            </w:r>
            <w:r>
              <w:rPr>
                <w:noProof/>
                <w:webHidden/>
              </w:rPr>
            </w:r>
            <w:r>
              <w:rPr>
                <w:noProof/>
                <w:webHidden/>
              </w:rPr>
              <w:fldChar w:fldCharType="separate"/>
            </w:r>
            <w:r w:rsidR="005D7515">
              <w:rPr>
                <w:noProof/>
                <w:webHidden/>
              </w:rPr>
              <w:t>138</w:t>
            </w:r>
            <w:r>
              <w:rPr>
                <w:noProof/>
                <w:webHidden/>
              </w:rPr>
              <w:fldChar w:fldCharType="end"/>
            </w:r>
          </w:hyperlink>
        </w:p>
        <w:p w14:paraId="26BCD251" w14:textId="39937356" w:rsidR="00B26D27" w:rsidRDefault="00B26D27">
          <w:pPr>
            <w:pStyle w:val="TOC3"/>
            <w:tabs>
              <w:tab w:val="right" w:leader="dot" w:pos="9628"/>
            </w:tabs>
            <w:rPr>
              <w:rFonts w:eastAsiaTheme="minorEastAsia"/>
              <w:noProof/>
              <w:kern w:val="2"/>
              <w:sz w:val="22"/>
              <w:lang w:eastAsia="en-GB"/>
              <w14:ligatures w14:val="standardContextual"/>
            </w:rPr>
          </w:pPr>
          <w:hyperlink w:anchor="_Toc179962380" w:history="1">
            <w:r w:rsidRPr="009F5677">
              <w:rPr>
                <w:rStyle w:val="Hyperlink"/>
                <w:noProof/>
              </w:rPr>
              <w:t>Higher perceived biodiversity predicted higher positive affect</w:t>
            </w:r>
            <w:r>
              <w:rPr>
                <w:noProof/>
                <w:webHidden/>
              </w:rPr>
              <w:tab/>
            </w:r>
            <w:r>
              <w:rPr>
                <w:noProof/>
                <w:webHidden/>
              </w:rPr>
              <w:fldChar w:fldCharType="begin"/>
            </w:r>
            <w:r>
              <w:rPr>
                <w:noProof/>
                <w:webHidden/>
              </w:rPr>
              <w:instrText xml:space="preserve"> PAGEREF _Toc179962380 \h </w:instrText>
            </w:r>
            <w:r>
              <w:rPr>
                <w:noProof/>
                <w:webHidden/>
              </w:rPr>
            </w:r>
            <w:r>
              <w:rPr>
                <w:noProof/>
                <w:webHidden/>
              </w:rPr>
              <w:fldChar w:fldCharType="separate"/>
            </w:r>
            <w:r w:rsidR="005D7515">
              <w:rPr>
                <w:noProof/>
                <w:webHidden/>
              </w:rPr>
              <w:t>139</w:t>
            </w:r>
            <w:r>
              <w:rPr>
                <w:noProof/>
                <w:webHidden/>
              </w:rPr>
              <w:fldChar w:fldCharType="end"/>
            </w:r>
          </w:hyperlink>
        </w:p>
        <w:p w14:paraId="34DD37D5" w14:textId="4FA21527" w:rsidR="00B26D27" w:rsidRDefault="00B26D27">
          <w:pPr>
            <w:pStyle w:val="TOC3"/>
            <w:tabs>
              <w:tab w:val="right" w:leader="dot" w:pos="9628"/>
            </w:tabs>
            <w:rPr>
              <w:rFonts w:eastAsiaTheme="minorEastAsia"/>
              <w:noProof/>
              <w:kern w:val="2"/>
              <w:sz w:val="22"/>
              <w:lang w:eastAsia="en-GB"/>
              <w14:ligatures w14:val="standardContextual"/>
            </w:rPr>
          </w:pPr>
          <w:hyperlink w:anchor="_Toc179962381" w:history="1">
            <w:r w:rsidRPr="009F5677">
              <w:rPr>
                <w:rStyle w:val="Hyperlink"/>
                <w:noProof/>
              </w:rPr>
              <w:t>Cross-cultural findings</w:t>
            </w:r>
            <w:r>
              <w:rPr>
                <w:noProof/>
                <w:webHidden/>
              </w:rPr>
              <w:tab/>
            </w:r>
            <w:r>
              <w:rPr>
                <w:noProof/>
                <w:webHidden/>
              </w:rPr>
              <w:fldChar w:fldCharType="begin"/>
            </w:r>
            <w:r>
              <w:rPr>
                <w:noProof/>
                <w:webHidden/>
              </w:rPr>
              <w:instrText xml:space="preserve"> PAGEREF _Toc179962381 \h </w:instrText>
            </w:r>
            <w:r>
              <w:rPr>
                <w:noProof/>
                <w:webHidden/>
              </w:rPr>
            </w:r>
            <w:r>
              <w:rPr>
                <w:noProof/>
                <w:webHidden/>
              </w:rPr>
              <w:fldChar w:fldCharType="separate"/>
            </w:r>
            <w:r w:rsidR="005D7515">
              <w:rPr>
                <w:noProof/>
                <w:webHidden/>
              </w:rPr>
              <w:t>141</w:t>
            </w:r>
            <w:r>
              <w:rPr>
                <w:noProof/>
                <w:webHidden/>
              </w:rPr>
              <w:fldChar w:fldCharType="end"/>
            </w:r>
          </w:hyperlink>
        </w:p>
        <w:p w14:paraId="25B3A805" w14:textId="40F7AC48" w:rsidR="00B26D27" w:rsidRDefault="00B26D27">
          <w:pPr>
            <w:pStyle w:val="TOC2"/>
            <w:tabs>
              <w:tab w:val="right" w:leader="dot" w:pos="9628"/>
            </w:tabs>
            <w:rPr>
              <w:rFonts w:eastAsiaTheme="minorEastAsia"/>
              <w:noProof/>
              <w:kern w:val="2"/>
              <w:sz w:val="22"/>
              <w:lang w:eastAsia="en-GB"/>
              <w14:ligatures w14:val="standardContextual"/>
            </w:rPr>
          </w:pPr>
          <w:hyperlink w:anchor="_Toc179962382" w:history="1">
            <w:r w:rsidRPr="009F5677">
              <w:rPr>
                <w:rStyle w:val="Hyperlink"/>
                <w:noProof/>
              </w:rPr>
              <w:t>Limitations</w:t>
            </w:r>
            <w:r>
              <w:rPr>
                <w:noProof/>
                <w:webHidden/>
              </w:rPr>
              <w:tab/>
            </w:r>
            <w:r>
              <w:rPr>
                <w:noProof/>
                <w:webHidden/>
              </w:rPr>
              <w:fldChar w:fldCharType="begin"/>
            </w:r>
            <w:r>
              <w:rPr>
                <w:noProof/>
                <w:webHidden/>
              </w:rPr>
              <w:instrText xml:space="preserve"> PAGEREF _Toc179962382 \h </w:instrText>
            </w:r>
            <w:r>
              <w:rPr>
                <w:noProof/>
                <w:webHidden/>
              </w:rPr>
            </w:r>
            <w:r>
              <w:rPr>
                <w:noProof/>
                <w:webHidden/>
              </w:rPr>
              <w:fldChar w:fldCharType="separate"/>
            </w:r>
            <w:r w:rsidR="005D7515">
              <w:rPr>
                <w:noProof/>
                <w:webHidden/>
              </w:rPr>
              <w:t>142</w:t>
            </w:r>
            <w:r>
              <w:rPr>
                <w:noProof/>
                <w:webHidden/>
              </w:rPr>
              <w:fldChar w:fldCharType="end"/>
            </w:r>
          </w:hyperlink>
        </w:p>
        <w:p w14:paraId="78417FC9" w14:textId="50653EC0" w:rsidR="00B26D27" w:rsidRDefault="00B26D27">
          <w:pPr>
            <w:pStyle w:val="TOC2"/>
            <w:tabs>
              <w:tab w:val="right" w:leader="dot" w:pos="9628"/>
            </w:tabs>
            <w:rPr>
              <w:rFonts w:eastAsiaTheme="minorEastAsia"/>
              <w:noProof/>
              <w:kern w:val="2"/>
              <w:sz w:val="22"/>
              <w:lang w:eastAsia="en-GB"/>
              <w14:ligatures w14:val="standardContextual"/>
            </w:rPr>
          </w:pPr>
          <w:hyperlink w:anchor="_Toc179962383" w:history="1">
            <w:r w:rsidRPr="009F5677">
              <w:rPr>
                <w:rStyle w:val="Hyperlink"/>
                <w:noProof/>
              </w:rPr>
              <w:t>Conclusion</w:t>
            </w:r>
            <w:r>
              <w:rPr>
                <w:noProof/>
                <w:webHidden/>
              </w:rPr>
              <w:tab/>
            </w:r>
            <w:r>
              <w:rPr>
                <w:noProof/>
                <w:webHidden/>
              </w:rPr>
              <w:fldChar w:fldCharType="begin"/>
            </w:r>
            <w:r>
              <w:rPr>
                <w:noProof/>
                <w:webHidden/>
              </w:rPr>
              <w:instrText xml:space="preserve"> PAGEREF _Toc179962383 \h </w:instrText>
            </w:r>
            <w:r>
              <w:rPr>
                <w:noProof/>
                <w:webHidden/>
              </w:rPr>
            </w:r>
            <w:r>
              <w:rPr>
                <w:noProof/>
                <w:webHidden/>
              </w:rPr>
              <w:fldChar w:fldCharType="separate"/>
            </w:r>
            <w:r w:rsidR="005D7515">
              <w:rPr>
                <w:noProof/>
                <w:webHidden/>
              </w:rPr>
              <w:t>142</w:t>
            </w:r>
            <w:r>
              <w:rPr>
                <w:noProof/>
                <w:webHidden/>
              </w:rPr>
              <w:fldChar w:fldCharType="end"/>
            </w:r>
          </w:hyperlink>
        </w:p>
        <w:p w14:paraId="03D0362A" w14:textId="0C307E27" w:rsidR="00B26D27" w:rsidRDefault="00B26D27">
          <w:pPr>
            <w:pStyle w:val="TOC2"/>
            <w:tabs>
              <w:tab w:val="right" w:leader="dot" w:pos="9628"/>
            </w:tabs>
            <w:rPr>
              <w:rFonts w:eastAsiaTheme="minorEastAsia"/>
              <w:noProof/>
              <w:kern w:val="2"/>
              <w:sz w:val="22"/>
              <w:lang w:eastAsia="en-GB"/>
              <w14:ligatures w14:val="standardContextual"/>
            </w:rPr>
          </w:pPr>
          <w:hyperlink w:anchor="_Toc179962384" w:history="1">
            <w:r w:rsidRPr="009F5677">
              <w:rPr>
                <w:rStyle w:val="Hyperlink"/>
                <w:noProof/>
              </w:rPr>
              <w:t>Acknowledgements</w:t>
            </w:r>
            <w:r>
              <w:rPr>
                <w:noProof/>
                <w:webHidden/>
              </w:rPr>
              <w:tab/>
            </w:r>
            <w:r>
              <w:rPr>
                <w:noProof/>
                <w:webHidden/>
              </w:rPr>
              <w:fldChar w:fldCharType="begin"/>
            </w:r>
            <w:r>
              <w:rPr>
                <w:noProof/>
                <w:webHidden/>
              </w:rPr>
              <w:instrText xml:space="preserve"> PAGEREF _Toc179962384 \h </w:instrText>
            </w:r>
            <w:r>
              <w:rPr>
                <w:noProof/>
                <w:webHidden/>
              </w:rPr>
            </w:r>
            <w:r>
              <w:rPr>
                <w:noProof/>
                <w:webHidden/>
              </w:rPr>
              <w:fldChar w:fldCharType="separate"/>
            </w:r>
            <w:r w:rsidR="005D7515">
              <w:rPr>
                <w:noProof/>
                <w:webHidden/>
              </w:rPr>
              <w:t>143</w:t>
            </w:r>
            <w:r>
              <w:rPr>
                <w:noProof/>
                <w:webHidden/>
              </w:rPr>
              <w:fldChar w:fldCharType="end"/>
            </w:r>
          </w:hyperlink>
        </w:p>
        <w:p w14:paraId="65BA8B59" w14:textId="0D7E7E42" w:rsidR="00B26D27" w:rsidRDefault="00B26D27">
          <w:pPr>
            <w:pStyle w:val="TOC2"/>
            <w:tabs>
              <w:tab w:val="right" w:leader="dot" w:pos="9628"/>
            </w:tabs>
            <w:rPr>
              <w:rFonts w:eastAsiaTheme="minorEastAsia"/>
              <w:noProof/>
              <w:kern w:val="2"/>
              <w:sz w:val="22"/>
              <w:lang w:eastAsia="en-GB"/>
              <w14:ligatures w14:val="standardContextual"/>
            </w:rPr>
          </w:pPr>
          <w:hyperlink w:anchor="_Toc179962385" w:history="1">
            <w:r w:rsidRPr="009F5677">
              <w:rPr>
                <w:rStyle w:val="Hyperlink"/>
                <w:noProof/>
              </w:rPr>
              <w:t>References</w:t>
            </w:r>
            <w:r>
              <w:rPr>
                <w:noProof/>
                <w:webHidden/>
              </w:rPr>
              <w:tab/>
            </w:r>
            <w:r>
              <w:rPr>
                <w:noProof/>
                <w:webHidden/>
              </w:rPr>
              <w:fldChar w:fldCharType="begin"/>
            </w:r>
            <w:r>
              <w:rPr>
                <w:noProof/>
                <w:webHidden/>
              </w:rPr>
              <w:instrText xml:space="preserve"> PAGEREF _Toc179962385 \h </w:instrText>
            </w:r>
            <w:r>
              <w:rPr>
                <w:noProof/>
                <w:webHidden/>
              </w:rPr>
            </w:r>
            <w:r>
              <w:rPr>
                <w:noProof/>
                <w:webHidden/>
              </w:rPr>
              <w:fldChar w:fldCharType="separate"/>
            </w:r>
            <w:r w:rsidR="005D7515">
              <w:rPr>
                <w:noProof/>
                <w:webHidden/>
              </w:rPr>
              <w:t>143</w:t>
            </w:r>
            <w:r>
              <w:rPr>
                <w:noProof/>
                <w:webHidden/>
              </w:rPr>
              <w:fldChar w:fldCharType="end"/>
            </w:r>
          </w:hyperlink>
        </w:p>
        <w:p w14:paraId="4080C7F9" w14:textId="7298E604" w:rsidR="00B26D27" w:rsidRDefault="00B26D27">
          <w:pPr>
            <w:pStyle w:val="TOC1"/>
            <w:tabs>
              <w:tab w:val="right" w:leader="dot" w:pos="9628"/>
            </w:tabs>
            <w:rPr>
              <w:rFonts w:eastAsiaTheme="minorEastAsia"/>
              <w:noProof/>
              <w:kern w:val="2"/>
              <w:sz w:val="22"/>
              <w:lang w:eastAsia="en-GB"/>
              <w14:ligatures w14:val="standardContextual"/>
            </w:rPr>
          </w:pPr>
          <w:hyperlink w:anchor="_Toc179962386" w:history="1">
            <w:r w:rsidRPr="009F5677">
              <w:rPr>
                <w:rStyle w:val="Hyperlink"/>
                <w:noProof/>
              </w:rPr>
              <w:t>Chapter 7 - Paper</w:t>
            </w:r>
            <w:r>
              <w:rPr>
                <w:noProof/>
                <w:webHidden/>
              </w:rPr>
              <w:tab/>
            </w:r>
            <w:r>
              <w:rPr>
                <w:noProof/>
                <w:webHidden/>
              </w:rPr>
              <w:fldChar w:fldCharType="begin"/>
            </w:r>
            <w:r>
              <w:rPr>
                <w:noProof/>
                <w:webHidden/>
              </w:rPr>
              <w:instrText xml:space="preserve"> PAGEREF _Toc179962386 \h </w:instrText>
            </w:r>
            <w:r>
              <w:rPr>
                <w:noProof/>
                <w:webHidden/>
              </w:rPr>
            </w:r>
            <w:r>
              <w:rPr>
                <w:noProof/>
                <w:webHidden/>
              </w:rPr>
              <w:fldChar w:fldCharType="separate"/>
            </w:r>
            <w:r w:rsidR="005D7515">
              <w:rPr>
                <w:noProof/>
                <w:webHidden/>
              </w:rPr>
              <w:t>150</w:t>
            </w:r>
            <w:r>
              <w:rPr>
                <w:noProof/>
                <w:webHidden/>
              </w:rPr>
              <w:fldChar w:fldCharType="end"/>
            </w:r>
          </w:hyperlink>
        </w:p>
        <w:p w14:paraId="278471DA" w14:textId="0D55A8C5" w:rsidR="00B26D27" w:rsidRDefault="00B26D27">
          <w:pPr>
            <w:pStyle w:val="TOC2"/>
            <w:tabs>
              <w:tab w:val="right" w:leader="dot" w:pos="9628"/>
            </w:tabs>
            <w:rPr>
              <w:rFonts w:eastAsiaTheme="minorEastAsia"/>
              <w:noProof/>
              <w:kern w:val="2"/>
              <w:sz w:val="22"/>
              <w:lang w:eastAsia="en-GB"/>
              <w14:ligatures w14:val="standardContextual"/>
            </w:rPr>
          </w:pPr>
          <w:hyperlink w:anchor="_Toc179962387" w:history="1">
            <w:r w:rsidRPr="009F5677">
              <w:rPr>
                <w:rStyle w:val="Hyperlink"/>
                <w:noProof/>
              </w:rPr>
              <w:t>Abstract</w:t>
            </w:r>
            <w:r>
              <w:rPr>
                <w:noProof/>
                <w:webHidden/>
              </w:rPr>
              <w:tab/>
            </w:r>
            <w:r>
              <w:rPr>
                <w:noProof/>
                <w:webHidden/>
              </w:rPr>
              <w:fldChar w:fldCharType="begin"/>
            </w:r>
            <w:r>
              <w:rPr>
                <w:noProof/>
                <w:webHidden/>
              </w:rPr>
              <w:instrText xml:space="preserve"> PAGEREF _Toc179962387 \h </w:instrText>
            </w:r>
            <w:r>
              <w:rPr>
                <w:noProof/>
                <w:webHidden/>
              </w:rPr>
            </w:r>
            <w:r>
              <w:rPr>
                <w:noProof/>
                <w:webHidden/>
              </w:rPr>
              <w:fldChar w:fldCharType="separate"/>
            </w:r>
            <w:r w:rsidR="005D7515">
              <w:rPr>
                <w:noProof/>
                <w:webHidden/>
              </w:rPr>
              <w:t>150</w:t>
            </w:r>
            <w:r>
              <w:rPr>
                <w:noProof/>
                <w:webHidden/>
              </w:rPr>
              <w:fldChar w:fldCharType="end"/>
            </w:r>
          </w:hyperlink>
        </w:p>
        <w:p w14:paraId="1F107C3C" w14:textId="5FA41A79" w:rsidR="00B26D27" w:rsidRDefault="00B26D27">
          <w:pPr>
            <w:pStyle w:val="TOC2"/>
            <w:tabs>
              <w:tab w:val="right" w:leader="dot" w:pos="9628"/>
            </w:tabs>
            <w:rPr>
              <w:rFonts w:eastAsiaTheme="minorEastAsia"/>
              <w:noProof/>
              <w:kern w:val="2"/>
              <w:sz w:val="22"/>
              <w:lang w:eastAsia="en-GB"/>
              <w14:ligatures w14:val="standardContextual"/>
            </w:rPr>
          </w:pPr>
          <w:hyperlink w:anchor="_Toc179962388" w:history="1">
            <w:r w:rsidRPr="009F5677">
              <w:rPr>
                <w:rStyle w:val="Hyperlink"/>
                <w:noProof/>
              </w:rPr>
              <w:t>Introduction</w:t>
            </w:r>
            <w:r>
              <w:rPr>
                <w:noProof/>
                <w:webHidden/>
              </w:rPr>
              <w:tab/>
            </w:r>
            <w:r>
              <w:rPr>
                <w:noProof/>
                <w:webHidden/>
              </w:rPr>
              <w:fldChar w:fldCharType="begin"/>
            </w:r>
            <w:r>
              <w:rPr>
                <w:noProof/>
                <w:webHidden/>
              </w:rPr>
              <w:instrText xml:space="preserve"> PAGEREF _Toc179962388 \h </w:instrText>
            </w:r>
            <w:r>
              <w:rPr>
                <w:noProof/>
                <w:webHidden/>
              </w:rPr>
            </w:r>
            <w:r>
              <w:rPr>
                <w:noProof/>
                <w:webHidden/>
              </w:rPr>
              <w:fldChar w:fldCharType="separate"/>
            </w:r>
            <w:r w:rsidR="005D7515">
              <w:rPr>
                <w:noProof/>
                <w:webHidden/>
              </w:rPr>
              <w:t>151</w:t>
            </w:r>
            <w:r>
              <w:rPr>
                <w:noProof/>
                <w:webHidden/>
              </w:rPr>
              <w:fldChar w:fldCharType="end"/>
            </w:r>
          </w:hyperlink>
        </w:p>
        <w:p w14:paraId="567ABA93" w14:textId="214A098C" w:rsidR="00B26D27" w:rsidRDefault="00B26D27">
          <w:pPr>
            <w:pStyle w:val="TOC3"/>
            <w:tabs>
              <w:tab w:val="right" w:leader="dot" w:pos="9628"/>
            </w:tabs>
            <w:rPr>
              <w:rFonts w:eastAsiaTheme="minorEastAsia"/>
              <w:noProof/>
              <w:kern w:val="2"/>
              <w:sz w:val="22"/>
              <w:lang w:eastAsia="en-GB"/>
              <w14:ligatures w14:val="standardContextual"/>
            </w:rPr>
          </w:pPr>
          <w:hyperlink w:anchor="_Toc179962389" w:history="1">
            <w:r w:rsidRPr="009F5677">
              <w:rPr>
                <w:rStyle w:val="Hyperlink"/>
                <w:noProof/>
              </w:rPr>
              <w:t>Scope of the present study</w:t>
            </w:r>
            <w:r>
              <w:rPr>
                <w:noProof/>
                <w:webHidden/>
              </w:rPr>
              <w:tab/>
            </w:r>
            <w:r>
              <w:rPr>
                <w:noProof/>
                <w:webHidden/>
              </w:rPr>
              <w:fldChar w:fldCharType="begin"/>
            </w:r>
            <w:r>
              <w:rPr>
                <w:noProof/>
                <w:webHidden/>
              </w:rPr>
              <w:instrText xml:space="preserve"> PAGEREF _Toc179962389 \h </w:instrText>
            </w:r>
            <w:r>
              <w:rPr>
                <w:noProof/>
                <w:webHidden/>
              </w:rPr>
            </w:r>
            <w:r>
              <w:rPr>
                <w:noProof/>
                <w:webHidden/>
              </w:rPr>
              <w:fldChar w:fldCharType="separate"/>
            </w:r>
            <w:r w:rsidR="005D7515">
              <w:rPr>
                <w:noProof/>
                <w:webHidden/>
              </w:rPr>
              <w:t>153</w:t>
            </w:r>
            <w:r>
              <w:rPr>
                <w:noProof/>
                <w:webHidden/>
              </w:rPr>
              <w:fldChar w:fldCharType="end"/>
            </w:r>
          </w:hyperlink>
        </w:p>
        <w:p w14:paraId="3D547CC2" w14:textId="15B195AF" w:rsidR="00B26D27" w:rsidRDefault="00B26D27">
          <w:pPr>
            <w:pStyle w:val="TOC2"/>
            <w:tabs>
              <w:tab w:val="right" w:leader="dot" w:pos="9628"/>
            </w:tabs>
            <w:rPr>
              <w:rFonts w:eastAsiaTheme="minorEastAsia"/>
              <w:noProof/>
              <w:kern w:val="2"/>
              <w:sz w:val="22"/>
              <w:lang w:eastAsia="en-GB"/>
              <w14:ligatures w14:val="standardContextual"/>
            </w:rPr>
          </w:pPr>
          <w:hyperlink w:anchor="_Toc179962390" w:history="1">
            <w:r w:rsidRPr="009F5677">
              <w:rPr>
                <w:rStyle w:val="Hyperlink"/>
                <w:noProof/>
              </w:rPr>
              <w:t>Materials and methods</w:t>
            </w:r>
            <w:r>
              <w:rPr>
                <w:noProof/>
                <w:webHidden/>
              </w:rPr>
              <w:tab/>
            </w:r>
            <w:r>
              <w:rPr>
                <w:noProof/>
                <w:webHidden/>
              </w:rPr>
              <w:fldChar w:fldCharType="begin"/>
            </w:r>
            <w:r>
              <w:rPr>
                <w:noProof/>
                <w:webHidden/>
              </w:rPr>
              <w:instrText xml:space="preserve"> PAGEREF _Toc179962390 \h </w:instrText>
            </w:r>
            <w:r>
              <w:rPr>
                <w:noProof/>
                <w:webHidden/>
              </w:rPr>
            </w:r>
            <w:r>
              <w:rPr>
                <w:noProof/>
                <w:webHidden/>
              </w:rPr>
              <w:fldChar w:fldCharType="separate"/>
            </w:r>
            <w:r w:rsidR="005D7515">
              <w:rPr>
                <w:noProof/>
                <w:webHidden/>
              </w:rPr>
              <w:t>154</w:t>
            </w:r>
            <w:r>
              <w:rPr>
                <w:noProof/>
                <w:webHidden/>
              </w:rPr>
              <w:fldChar w:fldCharType="end"/>
            </w:r>
          </w:hyperlink>
        </w:p>
        <w:p w14:paraId="6D42F2C5" w14:textId="7865E77E" w:rsidR="00B26D27" w:rsidRDefault="00B26D27">
          <w:pPr>
            <w:pStyle w:val="TOC3"/>
            <w:tabs>
              <w:tab w:val="right" w:leader="dot" w:pos="9628"/>
            </w:tabs>
            <w:rPr>
              <w:rFonts w:eastAsiaTheme="minorEastAsia"/>
              <w:noProof/>
              <w:kern w:val="2"/>
              <w:sz w:val="22"/>
              <w:lang w:eastAsia="en-GB"/>
              <w14:ligatures w14:val="standardContextual"/>
            </w:rPr>
          </w:pPr>
          <w:hyperlink w:anchor="_Toc179962391" w:history="1">
            <w:r w:rsidRPr="009F5677">
              <w:rPr>
                <w:rStyle w:val="Hyperlink"/>
                <w:noProof/>
              </w:rPr>
              <w:t>Park treatment and biodiversity level</w:t>
            </w:r>
            <w:r>
              <w:rPr>
                <w:noProof/>
                <w:webHidden/>
              </w:rPr>
              <w:tab/>
            </w:r>
            <w:r>
              <w:rPr>
                <w:noProof/>
                <w:webHidden/>
              </w:rPr>
              <w:fldChar w:fldCharType="begin"/>
            </w:r>
            <w:r>
              <w:rPr>
                <w:noProof/>
                <w:webHidden/>
              </w:rPr>
              <w:instrText xml:space="preserve"> PAGEREF _Toc179962391 \h </w:instrText>
            </w:r>
            <w:r>
              <w:rPr>
                <w:noProof/>
                <w:webHidden/>
              </w:rPr>
            </w:r>
            <w:r>
              <w:rPr>
                <w:noProof/>
                <w:webHidden/>
              </w:rPr>
              <w:fldChar w:fldCharType="separate"/>
            </w:r>
            <w:r w:rsidR="005D7515">
              <w:rPr>
                <w:noProof/>
                <w:webHidden/>
              </w:rPr>
              <w:t>154</w:t>
            </w:r>
            <w:r>
              <w:rPr>
                <w:noProof/>
                <w:webHidden/>
              </w:rPr>
              <w:fldChar w:fldCharType="end"/>
            </w:r>
          </w:hyperlink>
        </w:p>
        <w:p w14:paraId="3C6856AB" w14:textId="0B15F9DC" w:rsidR="00B26D27" w:rsidRDefault="00B26D27">
          <w:pPr>
            <w:pStyle w:val="TOC3"/>
            <w:tabs>
              <w:tab w:val="right" w:leader="dot" w:pos="9628"/>
            </w:tabs>
            <w:rPr>
              <w:rFonts w:eastAsiaTheme="minorEastAsia"/>
              <w:noProof/>
              <w:kern w:val="2"/>
              <w:sz w:val="22"/>
              <w:lang w:eastAsia="en-GB"/>
              <w14:ligatures w14:val="standardContextual"/>
            </w:rPr>
          </w:pPr>
          <w:hyperlink w:anchor="_Toc179962392" w:history="1">
            <w:r w:rsidRPr="009F5677">
              <w:rPr>
                <w:rStyle w:val="Hyperlink"/>
                <w:noProof/>
              </w:rPr>
              <w:t>Participants and ethics statement</w:t>
            </w:r>
            <w:r>
              <w:rPr>
                <w:noProof/>
                <w:webHidden/>
              </w:rPr>
              <w:tab/>
            </w:r>
            <w:r>
              <w:rPr>
                <w:noProof/>
                <w:webHidden/>
              </w:rPr>
              <w:fldChar w:fldCharType="begin"/>
            </w:r>
            <w:r>
              <w:rPr>
                <w:noProof/>
                <w:webHidden/>
              </w:rPr>
              <w:instrText xml:space="preserve"> PAGEREF _Toc179962392 \h </w:instrText>
            </w:r>
            <w:r>
              <w:rPr>
                <w:noProof/>
                <w:webHidden/>
              </w:rPr>
            </w:r>
            <w:r>
              <w:rPr>
                <w:noProof/>
                <w:webHidden/>
              </w:rPr>
              <w:fldChar w:fldCharType="separate"/>
            </w:r>
            <w:r w:rsidR="005D7515">
              <w:rPr>
                <w:noProof/>
                <w:webHidden/>
              </w:rPr>
              <w:t>157</w:t>
            </w:r>
            <w:r>
              <w:rPr>
                <w:noProof/>
                <w:webHidden/>
              </w:rPr>
              <w:fldChar w:fldCharType="end"/>
            </w:r>
          </w:hyperlink>
        </w:p>
        <w:p w14:paraId="09D1B591" w14:textId="2A3095D1" w:rsidR="00B26D27" w:rsidRDefault="00B26D27">
          <w:pPr>
            <w:pStyle w:val="TOC3"/>
            <w:tabs>
              <w:tab w:val="right" w:leader="dot" w:pos="9628"/>
            </w:tabs>
            <w:rPr>
              <w:rFonts w:eastAsiaTheme="minorEastAsia"/>
              <w:noProof/>
              <w:kern w:val="2"/>
              <w:sz w:val="22"/>
              <w:lang w:eastAsia="en-GB"/>
              <w14:ligatures w14:val="standardContextual"/>
            </w:rPr>
          </w:pPr>
          <w:hyperlink w:anchor="_Toc179962393" w:history="1">
            <w:r w:rsidRPr="009F5677">
              <w:rPr>
                <w:rStyle w:val="Hyperlink"/>
                <w:noProof/>
              </w:rPr>
              <w:t>Measures</w:t>
            </w:r>
            <w:r>
              <w:rPr>
                <w:noProof/>
                <w:webHidden/>
              </w:rPr>
              <w:tab/>
            </w:r>
            <w:r>
              <w:rPr>
                <w:noProof/>
                <w:webHidden/>
              </w:rPr>
              <w:fldChar w:fldCharType="begin"/>
            </w:r>
            <w:r>
              <w:rPr>
                <w:noProof/>
                <w:webHidden/>
              </w:rPr>
              <w:instrText xml:space="preserve"> PAGEREF _Toc179962393 \h </w:instrText>
            </w:r>
            <w:r>
              <w:rPr>
                <w:noProof/>
                <w:webHidden/>
              </w:rPr>
            </w:r>
            <w:r>
              <w:rPr>
                <w:noProof/>
                <w:webHidden/>
              </w:rPr>
              <w:fldChar w:fldCharType="separate"/>
            </w:r>
            <w:r w:rsidR="005D7515">
              <w:rPr>
                <w:noProof/>
                <w:webHidden/>
              </w:rPr>
              <w:t>157</w:t>
            </w:r>
            <w:r>
              <w:rPr>
                <w:noProof/>
                <w:webHidden/>
              </w:rPr>
              <w:fldChar w:fldCharType="end"/>
            </w:r>
          </w:hyperlink>
        </w:p>
        <w:p w14:paraId="4D2F2E2D" w14:textId="5E3DE5EA" w:rsidR="00B26D27" w:rsidRDefault="00B26D27">
          <w:pPr>
            <w:pStyle w:val="TOC3"/>
            <w:tabs>
              <w:tab w:val="right" w:leader="dot" w:pos="9628"/>
            </w:tabs>
            <w:rPr>
              <w:rFonts w:eastAsiaTheme="minorEastAsia"/>
              <w:noProof/>
              <w:kern w:val="2"/>
              <w:sz w:val="22"/>
              <w:lang w:eastAsia="en-GB"/>
              <w14:ligatures w14:val="standardContextual"/>
            </w:rPr>
          </w:pPr>
          <w:hyperlink w:anchor="_Toc179962394" w:history="1">
            <w:r w:rsidRPr="009F5677">
              <w:rPr>
                <w:rStyle w:val="Hyperlink"/>
                <w:noProof/>
              </w:rPr>
              <w:t>Procedure</w:t>
            </w:r>
            <w:r>
              <w:rPr>
                <w:noProof/>
                <w:webHidden/>
              </w:rPr>
              <w:tab/>
            </w:r>
            <w:r>
              <w:rPr>
                <w:noProof/>
                <w:webHidden/>
              </w:rPr>
              <w:fldChar w:fldCharType="begin"/>
            </w:r>
            <w:r>
              <w:rPr>
                <w:noProof/>
                <w:webHidden/>
              </w:rPr>
              <w:instrText xml:space="preserve"> PAGEREF _Toc179962394 \h </w:instrText>
            </w:r>
            <w:r>
              <w:rPr>
                <w:noProof/>
                <w:webHidden/>
              </w:rPr>
            </w:r>
            <w:r>
              <w:rPr>
                <w:noProof/>
                <w:webHidden/>
              </w:rPr>
              <w:fldChar w:fldCharType="separate"/>
            </w:r>
            <w:r w:rsidR="005D7515">
              <w:rPr>
                <w:noProof/>
                <w:webHidden/>
              </w:rPr>
              <w:t>158</w:t>
            </w:r>
            <w:r>
              <w:rPr>
                <w:noProof/>
                <w:webHidden/>
              </w:rPr>
              <w:fldChar w:fldCharType="end"/>
            </w:r>
          </w:hyperlink>
        </w:p>
        <w:p w14:paraId="260B5E86" w14:textId="1102FEB7" w:rsidR="00B26D27" w:rsidRDefault="00B26D27">
          <w:pPr>
            <w:pStyle w:val="TOC3"/>
            <w:tabs>
              <w:tab w:val="right" w:leader="dot" w:pos="9628"/>
            </w:tabs>
            <w:rPr>
              <w:rFonts w:eastAsiaTheme="minorEastAsia"/>
              <w:noProof/>
              <w:kern w:val="2"/>
              <w:sz w:val="22"/>
              <w:lang w:eastAsia="en-GB"/>
              <w14:ligatures w14:val="standardContextual"/>
            </w:rPr>
          </w:pPr>
          <w:hyperlink w:anchor="_Toc179962395" w:history="1">
            <w:r w:rsidRPr="009F5677">
              <w:rPr>
                <w:rStyle w:val="Hyperlink"/>
                <w:noProof/>
              </w:rPr>
              <w:t>Data Processing</w:t>
            </w:r>
            <w:r>
              <w:rPr>
                <w:noProof/>
                <w:webHidden/>
              </w:rPr>
              <w:tab/>
            </w:r>
            <w:r>
              <w:rPr>
                <w:noProof/>
                <w:webHidden/>
              </w:rPr>
              <w:fldChar w:fldCharType="begin"/>
            </w:r>
            <w:r>
              <w:rPr>
                <w:noProof/>
                <w:webHidden/>
              </w:rPr>
              <w:instrText xml:space="preserve"> PAGEREF _Toc179962395 \h </w:instrText>
            </w:r>
            <w:r>
              <w:rPr>
                <w:noProof/>
                <w:webHidden/>
              </w:rPr>
            </w:r>
            <w:r>
              <w:rPr>
                <w:noProof/>
                <w:webHidden/>
              </w:rPr>
              <w:fldChar w:fldCharType="separate"/>
            </w:r>
            <w:r w:rsidR="005D7515">
              <w:rPr>
                <w:noProof/>
                <w:webHidden/>
              </w:rPr>
              <w:t>159</w:t>
            </w:r>
            <w:r>
              <w:rPr>
                <w:noProof/>
                <w:webHidden/>
              </w:rPr>
              <w:fldChar w:fldCharType="end"/>
            </w:r>
          </w:hyperlink>
        </w:p>
        <w:p w14:paraId="1D35FCEB" w14:textId="034633FD" w:rsidR="00B26D27" w:rsidRDefault="00B26D27">
          <w:pPr>
            <w:pStyle w:val="TOC3"/>
            <w:tabs>
              <w:tab w:val="right" w:leader="dot" w:pos="9628"/>
            </w:tabs>
            <w:rPr>
              <w:rFonts w:eastAsiaTheme="minorEastAsia"/>
              <w:noProof/>
              <w:kern w:val="2"/>
              <w:sz w:val="22"/>
              <w:lang w:eastAsia="en-GB"/>
              <w14:ligatures w14:val="standardContextual"/>
            </w:rPr>
          </w:pPr>
          <w:hyperlink w:anchor="_Toc179962396" w:history="1">
            <w:r w:rsidRPr="009F5677">
              <w:rPr>
                <w:rStyle w:val="Hyperlink"/>
                <w:noProof/>
              </w:rPr>
              <w:t>Statistical analysis</w:t>
            </w:r>
            <w:r>
              <w:rPr>
                <w:noProof/>
                <w:webHidden/>
              </w:rPr>
              <w:tab/>
            </w:r>
            <w:r>
              <w:rPr>
                <w:noProof/>
                <w:webHidden/>
              </w:rPr>
              <w:fldChar w:fldCharType="begin"/>
            </w:r>
            <w:r>
              <w:rPr>
                <w:noProof/>
                <w:webHidden/>
              </w:rPr>
              <w:instrText xml:space="preserve"> PAGEREF _Toc179962396 \h </w:instrText>
            </w:r>
            <w:r>
              <w:rPr>
                <w:noProof/>
                <w:webHidden/>
              </w:rPr>
            </w:r>
            <w:r>
              <w:rPr>
                <w:noProof/>
                <w:webHidden/>
              </w:rPr>
              <w:fldChar w:fldCharType="separate"/>
            </w:r>
            <w:r w:rsidR="005D7515">
              <w:rPr>
                <w:noProof/>
                <w:webHidden/>
              </w:rPr>
              <w:t>160</w:t>
            </w:r>
            <w:r>
              <w:rPr>
                <w:noProof/>
                <w:webHidden/>
              </w:rPr>
              <w:fldChar w:fldCharType="end"/>
            </w:r>
          </w:hyperlink>
        </w:p>
        <w:p w14:paraId="3B348CBA" w14:textId="37A6FC27" w:rsidR="00B26D27" w:rsidRDefault="00B26D27">
          <w:pPr>
            <w:pStyle w:val="TOC2"/>
            <w:tabs>
              <w:tab w:val="right" w:leader="dot" w:pos="9628"/>
            </w:tabs>
            <w:rPr>
              <w:rFonts w:eastAsiaTheme="minorEastAsia"/>
              <w:noProof/>
              <w:kern w:val="2"/>
              <w:sz w:val="22"/>
              <w:lang w:eastAsia="en-GB"/>
              <w14:ligatures w14:val="standardContextual"/>
            </w:rPr>
          </w:pPr>
          <w:hyperlink w:anchor="_Toc179962397" w:history="1">
            <w:r w:rsidRPr="009F5677">
              <w:rPr>
                <w:rStyle w:val="Hyperlink"/>
                <w:noProof/>
              </w:rPr>
              <w:t>Results</w:t>
            </w:r>
            <w:r>
              <w:rPr>
                <w:noProof/>
                <w:webHidden/>
              </w:rPr>
              <w:tab/>
            </w:r>
            <w:r>
              <w:rPr>
                <w:noProof/>
                <w:webHidden/>
              </w:rPr>
              <w:fldChar w:fldCharType="begin"/>
            </w:r>
            <w:r>
              <w:rPr>
                <w:noProof/>
                <w:webHidden/>
              </w:rPr>
              <w:instrText xml:space="preserve"> PAGEREF _Toc179962397 \h </w:instrText>
            </w:r>
            <w:r>
              <w:rPr>
                <w:noProof/>
                <w:webHidden/>
              </w:rPr>
            </w:r>
            <w:r>
              <w:rPr>
                <w:noProof/>
                <w:webHidden/>
              </w:rPr>
              <w:fldChar w:fldCharType="separate"/>
            </w:r>
            <w:r w:rsidR="005D7515">
              <w:rPr>
                <w:noProof/>
                <w:webHidden/>
              </w:rPr>
              <w:t>161</w:t>
            </w:r>
            <w:r>
              <w:rPr>
                <w:noProof/>
                <w:webHidden/>
              </w:rPr>
              <w:fldChar w:fldCharType="end"/>
            </w:r>
          </w:hyperlink>
        </w:p>
        <w:p w14:paraId="6A078EBD" w14:textId="624208F5" w:rsidR="00B26D27" w:rsidRDefault="00B26D27">
          <w:pPr>
            <w:pStyle w:val="TOC3"/>
            <w:tabs>
              <w:tab w:val="right" w:leader="dot" w:pos="9628"/>
            </w:tabs>
            <w:rPr>
              <w:rFonts w:eastAsiaTheme="minorEastAsia"/>
              <w:noProof/>
              <w:kern w:val="2"/>
              <w:sz w:val="22"/>
              <w:lang w:eastAsia="en-GB"/>
              <w14:ligatures w14:val="standardContextual"/>
            </w:rPr>
          </w:pPr>
          <w:hyperlink w:anchor="_Toc179962398" w:history="1">
            <w:r w:rsidRPr="009F5677">
              <w:rPr>
                <w:rStyle w:val="Hyperlink"/>
                <w:noProof/>
              </w:rPr>
              <w:t>Online sample</w:t>
            </w:r>
            <w:r>
              <w:rPr>
                <w:noProof/>
                <w:webHidden/>
              </w:rPr>
              <w:tab/>
            </w:r>
            <w:r>
              <w:rPr>
                <w:noProof/>
                <w:webHidden/>
              </w:rPr>
              <w:fldChar w:fldCharType="begin"/>
            </w:r>
            <w:r>
              <w:rPr>
                <w:noProof/>
                <w:webHidden/>
              </w:rPr>
              <w:instrText xml:space="preserve"> PAGEREF _Toc179962398 \h </w:instrText>
            </w:r>
            <w:r>
              <w:rPr>
                <w:noProof/>
                <w:webHidden/>
              </w:rPr>
            </w:r>
            <w:r>
              <w:rPr>
                <w:noProof/>
                <w:webHidden/>
              </w:rPr>
              <w:fldChar w:fldCharType="separate"/>
            </w:r>
            <w:r w:rsidR="005D7515">
              <w:rPr>
                <w:noProof/>
                <w:webHidden/>
              </w:rPr>
              <w:t>161</w:t>
            </w:r>
            <w:r>
              <w:rPr>
                <w:noProof/>
                <w:webHidden/>
              </w:rPr>
              <w:fldChar w:fldCharType="end"/>
            </w:r>
          </w:hyperlink>
        </w:p>
        <w:p w14:paraId="3EFBDA54" w14:textId="63168FBA" w:rsidR="00B26D27" w:rsidRDefault="00B26D27">
          <w:pPr>
            <w:pStyle w:val="TOC3"/>
            <w:tabs>
              <w:tab w:val="right" w:leader="dot" w:pos="9628"/>
            </w:tabs>
            <w:rPr>
              <w:rFonts w:eastAsiaTheme="minorEastAsia"/>
              <w:noProof/>
              <w:kern w:val="2"/>
              <w:sz w:val="22"/>
              <w:lang w:eastAsia="en-GB"/>
              <w14:ligatures w14:val="standardContextual"/>
            </w:rPr>
          </w:pPr>
          <w:hyperlink w:anchor="_Toc179962399" w:history="1">
            <w:r w:rsidRPr="009F5677">
              <w:rPr>
                <w:rStyle w:val="Hyperlink"/>
                <w:noProof/>
              </w:rPr>
              <w:t>Affective response to the perceived species richness</w:t>
            </w:r>
            <w:r>
              <w:rPr>
                <w:noProof/>
                <w:webHidden/>
              </w:rPr>
              <w:tab/>
            </w:r>
            <w:r>
              <w:rPr>
                <w:noProof/>
                <w:webHidden/>
              </w:rPr>
              <w:fldChar w:fldCharType="begin"/>
            </w:r>
            <w:r>
              <w:rPr>
                <w:noProof/>
                <w:webHidden/>
              </w:rPr>
              <w:instrText xml:space="preserve"> PAGEREF _Toc179962399 \h </w:instrText>
            </w:r>
            <w:r>
              <w:rPr>
                <w:noProof/>
                <w:webHidden/>
              </w:rPr>
            </w:r>
            <w:r>
              <w:rPr>
                <w:noProof/>
                <w:webHidden/>
              </w:rPr>
              <w:fldChar w:fldCharType="separate"/>
            </w:r>
            <w:r w:rsidR="005D7515">
              <w:rPr>
                <w:noProof/>
                <w:webHidden/>
              </w:rPr>
              <w:t>164</w:t>
            </w:r>
            <w:r>
              <w:rPr>
                <w:noProof/>
                <w:webHidden/>
              </w:rPr>
              <w:fldChar w:fldCharType="end"/>
            </w:r>
          </w:hyperlink>
        </w:p>
        <w:p w14:paraId="5EF3910B" w14:textId="21B02712" w:rsidR="00B26D27" w:rsidRDefault="00B26D27">
          <w:pPr>
            <w:pStyle w:val="TOC3"/>
            <w:tabs>
              <w:tab w:val="right" w:leader="dot" w:pos="9628"/>
            </w:tabs>
            <w:rPr>
              <w:rFonts w:eastAsiaTheme="minorEastAsia"/>
              <w:noProof/>
              <w:kern w:val="2"/>
              <w:sz w:val="22"/>
              <w:lang w:eastAsia="en-GB"/>
              <w14:ligatures w14:val="standardContextual"/>
            </w:rPr>
          </w:pPr>
          <w:hyperlink w:anchor="_Toc179962400" w:history="1">
            <w:r w:rsidRPr="009F5677">
              <w:rPr>
                <w:rStyle w:val="Hyperlink"/>
                <w:noProof/>
              </w:rPr>
              <w:t>Face-to-face sample</w:t>
            </w:r>
            <w:r>
              <w:rPr>
                <w:noProof/>
                <w:webHidden/>
              </w:rPr>
              <w:tab/>
            </w:r>
            <w:r>
              <w:rPr>
                <w:noProof/>
                <w:webHidden/>
              </w:rPr>
              <w:fldChar w:fldCharType="begin"/>
            </w:r>
            <w:r>
              <w:rPr>
                <w:noProof/>
                <w:webHidden/>
              </w:rPr>
              <w:instrText xml:space="preserve"> PAGEREF _Toc179962400 \h </w:instrText>
            </w:r>
            <w:r>
              <w:rPr>
                <w:noProof/>
                <w:webHidden/>
              </w:rPr>
            </w:r>
            <w:r>
              <w:rPr>
                <w:noProof/>
                <w:webHidden/>
              </w:rPr>
              <w:fldChar w:fldCharType="separate"/>
            </w:r>
            <w:r w:rsidR="005D7515">
              <w:rPr>
                <w:noProof/>
                <w:webHidden/>
              </w:rPr>
              <w:t>166</w:t>
            </w:r>
            <w:r>
              <w:rPr>
                <w:noProof/>
                <w:webHidden/>
              </w:rPr>
              <w:fldChar w:fldCharType="end"/>
            </w:r>
          </w:hyperlink>
        </w:p>
        <w:p w14:paraId="41104C9B" w14:textId="025A28AF" w:rsidR="00B26D27" w:rsidRDefault="00B26D27">
          <w:pPr>
            <w:pStyle w:val="TOC2"/>
            <w:tabs>
              <w:tab w:val="right" w:leader="dot" w:pos="9628"/>
            </w:tabs>
            <w:rPr>
              <w:rFonts w:eastAsiaTheme="minorEastAsia"/>
              <w:noProof/>
              <w:kern w:val="2"/>
              <w:sz w:val="22"/>
              <w:lang w:eastAsia="en-GB"/>
              <w14:ligatures w14:val="standardContextual"/>
            </w:rPr>
          </w:pPr>
          <w:hyperlink w:anchor="_Toc179962401" w:history="1">
            <w:r w:rsidRPr="009F5677">
              <w:rPr>
                <w:rStyle w:val="Hyperlink"/>
                <w:noProof/>
              </w:rPr>
              <w:t>Discussion</w:t>
            </w:r>
            <w:r>
              <w:rPr>
                <w:noProof/>
                <w:webHidden/>
              </w:rPr>
              <w:tab/>
            </w:r>
            <w:r>
              <w:rPr>
                <w:noProof/>
                <w:webHidden/>
              </w:rPr>
              <w:fldChar w:fldCharType="begin"/>
            </w:r>
            <w:r>
              <w:rPr>
                <w:noProof/>
                <w:webHidden/>
              </w:rPr>
              <w:instrText xml:space="preserve"> PAGEREF _Toc179962401 \h </w:instrText>
            </w:r>
            <w:r>
              <w:rPr>
                <w:noProof/>
                <w:webHidden/>
              </w:rPr>
            </w:r>
            <w:r>
              <w:rPr>
                <w:noProof/>
                <w:webHidden/>
              </w:rPr>
              <w:fldChar w:fldCharType="separate"/>
            </w:r>
            <w:r w:rsidR="005D7515">
              <w:rPr>
                <w:noProof/>
                <w:webHidden/>
              </w:rPr>
              <w:t>168</w:t>
            </w:r>
            <w:r>
              <w:rPr>
                <w:noProof/>
                <w:webHidden/>
              </w:rPr>
              <w:fldChar w:fldCharType="end"/>
            </w:r>
          </w:hyperlink>
        </w:p>
        <w:p w14:paraId="2957A895" w14:textId="1C64EFCF" w:rsidR="00B26D27" w:rsidRDefault="00B26D27">
          <w:pPr>
            <w:pStyle w:val="TOC3"/>
            <w:tabs>
              <w:tab w:val="right" w:leader="dot" w:pos="9628"/>
            </w:tabs>
            <w:rPr>
              <w:rFonts w:eastAsiaTheme="minorEastAsia"/>
              <w:noProof/>
              <w:kern w:val="2"/>
              <w:sz w:val="22"/>
              <w:lang w:eastAsia="en-GB"/>
              <w14:ligatures w14:val="standardContextual"/>
            </w:rPr>
          </w:pPr>
          <w:hyperlink w:anchor="_Toc179962402" w:history="1">
            <w:r w:rsidRPr="009F5677">
              <w:rPr>
                <w:rStyle w:val="Hyperlink"/>
                <w:noProof/>
              </w:rPr>
              <w:t>Short exposure to virtual green spaces improved emotional well-being</w:t>
            </w:r>
            <w:r>
              <w:rPr>
                <w:noProof/>
                <w:webHidden/>
              </w:rPr>
              <w:tab/>
            </w:r>
            <w:r>
              <w:rPr>
                <w:noProof/>
                <w:webHidden/>
              </w:rPr>
              <w:fldChar w:fldCharType="begin"/>
            </w:r>
            <w:r>
              <w:rPr>
                <w:noProof/>
                <w:webHidden/>
              </w:rPr>
              <w:instrText xml:space="preserve"> PAGEREF _Toc179962402 \h </w:instrText>
            </w:r>
            <w:r>
              <w:rPr>
                <w:noProof/>
                <w:webHidden/>
              </w:rPr>
            </w:r>
            <w:r>
              <w:rPr>
                <w:noProof/>
                <w:webHidden/>
              </w:rPr>
              <w:fldChar w:fldCharType="separate"/>
            </w:r>
            <w:r w:rsidR="005D7515">
              <w:rPr>
                <w:noProof/>
                <w:webHidden/>
              </w:rPr>
              <w:t>168</w:t>
            </w:r>
            <w:r>
              <w:rPr>
                <w:noProof/>
                <w:webHidden/>
              </w:rPr>
              <w:fldChar w:fldCharType="end"/>
            </w:r>
          </w:hyperlink>
        </w:p>
        <w:p w14:paraId="22EB208A" w14:textId="72A21BA3" w:rsidR="00B26D27" w:rsidRDefault="00B26D27">
          <w:pPr>
            <w:pStyle w:val="TOC3"/>
            <w:tabs>
              <w:tab w:val="right" w:leader="dot" w:pos="9628"/>
            </w:tabs>
            <w:rPr>
              <w:rFonts w:eastAsiaTheme="minorEastAsia"/>
              <w:noProof/>
              <w:kern w:val="2"/>
              <w:sz w:val="22"/>
              <w:lang w:eastAsia="en-GB"/>
              <w14:ligatures w14:val="standardContextual"/>
            </w:rPr>
          </w:pPr>
          <w:hyperlink w:anchor="_Toc179962403" w:history="1">
            <w:r w:rsidRPr="009F5677">
              <w:rPr>
                <w:rStyle w:val="Hyperlink"/>
                <w:noProof/>
              </w:rPr>
              <w:t>Actual and perceived species richness</w:t>
            </w:r>
            <w:r>
              <w:rPr>
                <w:noProof/>
                <w:webHidden/>
              </w:rPr>
              <w:tab/>
            </w:r>
            <w:r>
              <w:rPr>
                <w:noProof/>
                <w:webHidden/>
              </w:rPr>
              <w:fldChar w:fldCharType="begin"/>
            </w:r>
            <w:r>
              <w:rPr>
                <w:noProof/>
                <w:webHidden/>
              </w:rPr>
              <w:instrText xml:space="preserve"> PAGEREF _Toc179962403 \h </w:instrText>
            </w:r>
            <w:r>
              <w:rPr>
                <w:noProof/>
                <w:webHidden/>
              </w:rPr>
            </w:r>
            <w:r>
              <w:rPr>
                <w:noProof/>
                <w:webHidden/>
              </w:rPr>
              <w:fldChar w:fldCharType="separate"/>
            </w:r>
            <w:r w:rsidR="005D7515">
              <w:rPr>
                <w:noProof/>
                <w:webHidden/>
              </w:rPr>
              <w:t>169</w:t>
            </w:r>
            <w:r>
              <w:rPr>
                <w:noProof/>
                <w:webHidden/>
              </w:rPr>
              <w:fldChar w:fldCharType="end"/>
            </w:r>
          </w:hyperlink>
        </w:p>
        <w:p w14:paraId="314C21C1" w14:textId="782C753C" w:rsidR="00B26D27" w:rsidRDefault="00B26D27">
          <w:pPr>
            <w:pStyle w:val="TOC3"/>
            <w:tabs>
              <w:tab w:val="right" w:leader="dot" w:pos="9628"/>
            </w:tabs>
            <w:rPr>
              <w:rFonts w:eastAsiaTheme="minorEastAsia"/>
              <w:noProof/>
              <w:kern w:val="2"/>
              <w:sz w:val="22"/>
              <w:lang w:eastAsia="en-GB"/>
              <w14:ligatures w14:val="standardContextual"/>
            </w:rPr>
          </w:pPr>
          <w:hyperlink w:anchor="_Toc179962404" w:history="1">
            <w:r w:rsidRPr="009F5677">
              <w:rPr>
                <w:rStyle w:val="Hyperlink"/>
                <w:noProof/>
              </w:rPr>
              <w:t>Hearth rate variability</w:t>
            </w:r>
            <w:r>
              <w:rPr>
                <w:noProof/>
                <w:webHidden/>
              </w:rPr>
              <w:tab/>
            </w:r>
            <w:r>
              <w:rPr>
                <w:noProof/>
                <w:webHidden/>
              </w:rPr>
              <w:fldChar w:fldCharType="begin"/>
            </w:r>
            <w:r>
              <w:rPr>
                <w:noProof/>
                <w:webHidden/>
              </w:rPr>
              <w:instrText xml:space="preserve"> PAGEREF _Toc179962404 \h </w:instrText>
            </w:r>
            <w:r>
              <w:rPr>
                <w:noProof/>
                <w:webHidden/>
              </w:rPr>
            </w:r>
            <w:r>
              <w:rPr>
                <w:noProof/>
                <w:webHidden/>
              </w:rPr>
              <w:fldChar w:fldCharType="separate"/>
            </w:r>
            <w:r w:rsidR="005D7515">
              <w:rPr>
                <w:noProof/>
                <w:webHidden/>
              </w:rPr>
              <w:t>171</w:t>
            </w:r>
            <w:r>
              <w:rPr>
                <w:noProof/>
                <w:webHidden/>
              </w:rPr>
              <w:fldChar w:fldCharType="end"/>
            </w:r>
          </w:hyperlink>
        </w:p>
        <w:p w14:paraId="50B7B7DD" w14:textId="21ACDFF3" w:rsidR="00B26D27" w:rsidRDefault="00B26D27">
          <w:pPr>
            <w:pStyle w:val="TOC2"/>
            <w:tabs>
              <w:tab w:val="right" w:leader="dot" w:pos="9628"/>
            </w:tabs>
            <w:rPr>
              <w:rFonts w:eastAsiaTheme="minorEastAsia"/>
              <w:noProof/>
              <w:kern w:val="2"/>
              <w:sz w:val="22"/>
              <w:lang w:eastAsia="en-GB"/>
              <w14:ligatures w14:val="standardContextual"/>
            </w:rPr>
          </w:pPr>
          <w:hyperlink w:anchor="_Toc179962405" w:history="1">
            <w:r w:rsidRPr="009F5677">
              <w:rPr>
                <w:rStyle w:val="Hyperlink"/>
                <w:noProof/>
              </w:rPr>
              <w:t>Limitations</w:t>
            </w:r>
            <w:r>
              <w:rPr>
                <w:noProof/>
                <w:webHidden/>
              </w:rPr>
              <w:tab/>
            </w:r>
            <w:r>
              <w:rPr>
                <w:noProof/>
                <w:webHidden/>
              </w:rPr>
              <w:fldChar w:fldCharType="begin"/>
            </w:r>
            <w:r>
              <w:rPr>
                <w:noProof/>
                <w:webHidden/>
              </w:rPr>
              <w:instrText xml:space="preserve"> PAGEREF _Toc179962405 \h </w:instrText>
            </w:r>
            <w:r>
              <w:rPr>
                <w:noProof/>
                <w:webHidden/>
              </w:rPr>
            </w:r>
            <w:r>
              <w:rPr>
                <w:noProof/>
                <w:webHidden/>
              </w:rPr>
              <w:fldChar w:fldCharType="separate"/>
            </w:r>
            <w:r w:rsidR="005D7515">
              <w:rPr>
                <w:noProof/>
                <w:webHidden/>
              </w:rPr>
              <w:t>172</w:t>
            </w:r>
            <w:r>
              <w:rPr>
                <w:noProof/>
                <w:webHidden/>
              </w:rPr>
              <w:fldChar w:fldCharType="end"/>
            </w:r>
          </w:hyperlink>
        </w:p>
        <w:p w14:paraId="33156F74" w14:textId="4675156E" w:rsidR="00B26D27" w:rsidRDefault="00B26D27">
          <w:pPr>
            <w:pStyle w:val="TOC2"/>
            <w:tabs>
              <w:tab w:val="right" w:leader="dot" w:pos="9628"/>
            </w:tabs>
            <w:rPr>
              <w:rFonts w:eastAsiaTheme="minorEastAsia"/>
              <w:noProof/>
              <w:kern w:val="2"/>
              <w:sz w:val="22"/>
              <w:lang w:eastAsia="en-GB"/>
              <w14:ligatures w14:val="standardContextual"/>
            </w:rPr>
          </w:pPr>
          <w:hyperlink w:anchor="_Toc179962406" w:history="1">
            <w:r w:rsidRPr="009F5677">
              <w:rPr>
                <w:rStyle w:val="Hyperlink"/>
                <w:noProof/>
              </w:rPr>
              <w:t>Conclusion</w:t>
            </w:r>
            <w:r>
              <w:rPr>
                <w:noProof/>
                <w:webHidden/>
              </w:rPr>
              <w:tab/>
            </w:r>
            <w:r>
              <w:rPr>
                <w:noProof/>
                <w:webHidden/>
              </w:rPr>
              <w:fldChar w:fldCharType="begin"/>
            </w:r>
            <w:r>
              <w:rPr>
                <w:noProof/>
                <w:webHidden/>
              </w:rPr>
              <w:instrText xml:space="preserve"> PAGEREF _Toc179962406 \h </w:instrText>
            </w:r>
            <w:r>
              <w:rPr>
                <w:noProof/>
                <w:webHidden/>
              </w:rPr>
            </w:r>
            <w:r>
              <w:rPr>
                <w:noProof/>
                <w:webHidden/>
              </w:rPr>
              <w:fldChar w:fldCharType="separate"/>
            </w:r>
            <w:r w:rsidR="005D7515">
              <w:rPr>
                <w:noProof/>
                <w:webHidden/>
              </w:rPr>
              <w:t>173</w:t>
            </w:r>
            <w:r>
              <w:rPr>
                <w:noProof/>
                <w:webHidden/>
              </w:rPr>
              <w:fldChar w:fldCharType="end"/>
            </w:r>
          </w:hyperlink>
        </w:p>
        <w:p w14:paraId="58618AA2" w14:textId="0DD5402B" w:rsidR="00B26D27" w:rsidRDefault="00B26D27">
          <w:pPr>
            <w:pStyle w:val="TOC2"/>
            <w:tabs>
              <w:tab w:val="right" w:leader="dot" w:pos="9628"/>
            </w:tabs>
            <w:rPr>
              <w:rFonts w:eastAsiaTheme="minorEastAsia"/>
              <w:noProof/>
              <w:kern w:val="2"/>
              <w:sz w:val="22"/>
              <w:lang w:eastAsia="en-GB"/>
              <w14:ligatures w14:val="standardContextual"/>
            </w:rPr>
          </w:pPr>
          <w:hyperlink w:anchor="_Toc179962407" w:history="1">
            <w:r w:rsidRPr="009F5677">
              <w:rPr>
                <w:rStyle w:val="Hyperlink"/>
                <w:noProof/>
              </w:rPr>
              <w:t>References</w:t>
            </w:r>
            <w:r>
              <w:rPr>
                <w:noProof/>
                <w:webHidden/>
              </w:rPr>
              <w:tab/>
            </w:r>
            <w:r>
              <w:rPr>
                <w:noProof/>
                <w:webHidden/>
              </w:rPr>
              <w:fldChar w:fldCharType="begin"/>
            </w:r>
            <w:r>
              <w:rPr>
                <w:noProof/>
                <w:webHidden/>
              </w:rPr>
              <w:instrText xml:space="preserve"> PAGEREF _Toc179962407 \h </w:instrText>
            </w:r>
            <w:r>
              <w:rPr>
                <w:noProof/>
                <w:webHidden/>
              </w:rPr>
            </w:r>
            <w:r>
              <w:rPr>
                <w:noProof/>
                <w:webHidden/>
              </w:rPr>
              <w:fldChar w:fldCharType="separate"/>
            </w:r>
            <w:r w:rsidR="005D7515">
              <w:rPr>
                <w:noProof/>
                <w:webHidden/>
              </w:rPr>
              <w:t>173</w:t>
            </w:r>
            <w:r>
              <w:rPr>
                <w:noProof/>
                <w:webHidden/>
              </w:rPr>
              <w:fldChar w:fldCharType="end"/>
            </w:r>
          </w:hyperlink>
        </w:p>
        <w:p w14:paraId="31104C5C" w14:textId="2BB22C26" w:rsidR="00B26D27" w:rsidRDefault="00B26D27">
          <w:pPr>
            <w:pStyle w:val="TOC1"/>
            <w:tabs>
              <w:tab w:val="right" w:leader="dot" w:pos="9628"/>
            </w:tabs>
            <w:rPr>
              <w:rFonts w:eastAsiaTheme="minorEastAsia"/>
              <w:noProof/>
              <w:kern w:val="2"/>
              <w:sz w:val="22"/>
              <w:lang w:eastAsia="en-GB"/>
              <w14:ligatures w14:val="standardContextual"/>
            </w:rPr>
          </w:pPr>
          <w:hyperlink w:anchor="_Toc179962408" w:history="1">
            <w:r w:rsidRPr="009F5677">
              <w:rPr>
                <w:rStyle w:val="Hyperlink"/>
                <w:noProof/>
              </w:rPr>
              <w:t>Chapter 8  Summary and conclusion</w:t>
            </w:r>
            <w:r>
              <w:rPr>
                <w:noProof/>
                <w:webHidden/>
              </w:rPr>
              <w:tab/>
            </w:r>
            <w:r>
              <w:rPr>
                <w:noProof/>
                <w:webHidden/>
              </w:rPr>
              <w:fldChar w:fldCharType="begin"/>
            </w:r>
            <w:r>
              <w:rPr>
                <w:noProof/>
                <w:webHidden/>
              </w:rPr>
              <w:instrText xml:space="preserve"> PAGEREF _Toc179962408 \h </w:instrText>
            </w:r>
            <w:r>
              <w:rPr>
                <w:noProof/>
                <w:webHidden/>
              </w:rPr>
            </w:r>
            <w:r>
              <w:rPr>
                <w:noProof/>
                <w:webHidden/>
              </w:rPr>
              <w:fldChar w:fldCharType="separate"/>
            </w:r>
            <w:r w:rsidR="005D7515">
              <w:rPr>
                <w:noProof/>
                <w:webHidden/>
              </w:rPr>
              <w:t>181</w:t>
            </w:r>
            <w:r>
              <w:rPr>
                <w:noProof/>
                <w:webHidden/>
              </w:rPr>
              <w:fldChar w:fldCharType="end"/>
            </w:r>
          </w:hyperlink>
        </w:p>
        <w:p w14:paraId="594E214A" w14:textId="1CEF527D" w:rsidR="00B26D27" w:rsidRDefault="00B26D27">
          <w:pPr>
            <w:pStyle w:val="TOC2"/>
            <w:tabs>
              <w:tab w:val="right" w:leader="dot" w:pos="9628"/>
            </w:tabs>
            <w:rPr>
              <w:rFonts w:eastAsiaTheme="minorEastAsia"/>
              <w:noProof/>
              <w:kern w:val="2"/>
              <w:sz w:val="22"/>
              <w:lang w:eastAsia="en-GB"/>
              <w14:ligatures w14:val="standardContextual"/>
            </w:rPr>
          </w:pPr>
          <w:hyperlink w:anchor="_Toc179962409" w:history="1">
            <w:r w:rsidRPr="009F5677">
              <w:rPr>
                <w:rStyle w:val="Hyperlink"/>
                <w:noProof/>
              </w:rPr>
              <w:t>Summary of the findings</w:t>
            </w:r>
            <w:r>
              <w:rPr>
                <w:noProof/>
                <w:webHidden/>
              </w:rPr>
              <w:tab/>
            </w:r>
            <w:r>
              <w:rPr>
                <w:noProof/>
                <w:webHidden/>
              </w:rPr>
              <w:fldChar w:fldCharType="begin"/>
            </w:r>
            <w:r>
              <w:rPr>
                <w:noProof/>
                <w:webHidden/>
              </w:rPr>
              <w:instrText xml:space="preserve"> PAGEREF _Toc179962409 \h </w:instrText>
            </w:r>
            <w:r>
              <w:rPr>
                <w:noProof/>
                <w:webHidden/>
              </w:rPr>
            </w:r>
            <w:r>
              <w:rPr>
                <w:noProof/>
                <w:webHidden/>
              </w:rPr>
              <w:fldChar w:fldCharType="separate"/>
            </w:r>
            <w:r w:rsidR="005D7515">
              <w:rPr>
                <w:noProof/>
                <w:webHidden/>
              </w:rPr>
              <w:t>181</w:t>
            </w:r>
            <w:r>
              <w:rPr>
                <w:noProof/>
                <w:webHidden/>
              </w:rPr>
              <w:fldChar w:fldCharType="end"/>
            </w:r>
          </w:hyperlink>
        </w:p>
        <w:p w14:paraId="255FF2BE" w14:textId="255217C7" w:rsidR="00B26D27" w:rsidRDefault="00B26D27">
          <w:pPr>
            <w:pStyle w:val="TOC3"/>
            <w:tabs>
              <w:tab w:val="right" w:leader="dot" w:pos="9628"/>
            </w:tabs>
            <w:rPr>
              <w:rFonts w:eastAsiaTheme="minorEastAsia"/>
              <w:noProof/>
              <w:kern w:val="2"/>
              <w:sz w:val="22"/>
              <w:lang w:eastAsia="en-GB"/>
              <w14:ligatures w14:val="standardContextual"/>
            </w:rPr>
          </w:pPr>
          <w:hyperlink w:anchor="_Toc179962410" w:history="1">
            <w:r w:rsidRPr="009F5677">
              <w:rPr>
                <w:rStyle w:val="Hyperlink"/>
                <w:noProof/>
              </w:rPr>
              <w:t>Increasing (plant) species richness of a green space did not seem to also increase the mental well-being it can provide.</w:t>
            </w:r>
            <w:r>
              <w:rPr>
                <w:noProof/>
                <w:webHidden/>
              </w:rPr>
              <w:tab/>
            </w:r>
            <w:r>
              <w:rPr>
                <w:noProof/>
                <w:webHidden/>
              </w:rPr>
              <w:fldChar w:fldCharType="begin"/>
            </w:r>
            <w:r>
              <w:rPr>
                <w:noProof/>
                <w:webHidden/>
              </w:rPr>
              <w:instrText xml:space="preserve"> PAGEREF _Toc179962410 \h </w:instrText>
            </w:r>
            <w:r>
              <w:rPr>
                <w:noProof/>
                <w:webHidden/>
              </w:rPr>
            </w:r>
            <w:r>
              <w:rPr>
                <w:noProof/>
                <w:webHidden/>
              </w:rPr>
              <w:fldChar w:fldCharType="separate"/>
            </w:r>
            <w:r w:rsidR="005D7515">
              <w:rPr>
                <w:noProof/>
                <w:webHidden/>
              </w:rPr>
              <w:t>181</w:t>
            </w:r>
            <w:r>
              <w:rPr>
                <w:noProof/>
                <w:webHidden/>
              </w:rPr>
              <w:fldChar w:fldCharType="end"/>
            </w:r>
          </w:hyperlink>
        </w:p>
        <w:p w14:paraId="6CF03B36" w14:textId="2CEF49F5" w:rsidR="00B26D27" w:rsidRDefault="00B26D27">
          <w:pPr>
            <w:pStyle w:val="TOC3"/>
            <w:tabs>
              <w:tab w:val="right" w:leader="dot" w:pos="9628"/>
            </w:tabs>
            <w:rPr>
              <w:rFonts w:eastAsiaTheme="minorEastAsia"/>
              <w:noProof/>
              <w:kern w:val="2"/>
              <w:sz w:val="22"/>
              <w:lang w:eastAsia="en-GB"/>
              <w14:ligatures w14:val="standardContextual"/>
            </w:rPr>
          </w:pPr>
          <w:hyperlink w:anchor="_Toc179962411" w:history="1">
            <w:r w:rsidRPr="009F5677">
              <w:rPr>
                <w:rStyle w:val="Hyperlink"/>
                <w:noProof/>
              </w:rPr>
              <w:t>The subjectively perceived species richness seems to have a positive effect on the psychological state, when the broader context is kept under control.</w:t>
            </w:r>
            <w:r>
              <w:rPr>
                <w:noProof/>
                <w:webHidden/>
              </w:rPr>
              <w:tab/>
            </w:r>
            <w:r>
              <w:rPr>
                <w:noProof/>
                <w:webHidden/>
              </w:rPr>
              <w:fldChar w:fldCharType="begin"/>
            </w:r>
            <w:r>
              <w:rPr>
                <w:noProof/>
                <w:webHidden/>
              </w:rPr>
              <w:instrText xml:space="preserve"> PAGEREF _Toc179962411 \h </w:instrText>
            </w:r>
            <w:r>
              <w:rPr>
                <w:noProof/>
                <w:webHidden/>
              </w:rPr>
            </w:r>
            <w:r>
              <w:rPr>
                <w:noProof/>
                <w:webHidden/>
              </w:rPr>
              <w:fldChar w:fldCharType="separate"/>
            </w:r>
            <w:r w:rsidR="005D7515">
              <w:rPr>
                <w:noProof/>
                <w:webHidden/>
              </w:rPr>
              <w:t>182</w:t>
            </w:r>
            <w:r>
              <w:rPr>
                <w:noProof/>
                <w:webHidden/>
              </w:rPr>
              <w:fldChar w:fldCharType="end"/>
            </w:r>
          </w:hyperlink>
        </w:p>
        <w:p w14:paraId="571C7ECD" w14:textId="0A58B717" w:rsidR="00B26D27" w:rsidRDefault="00B26D27">
          <w:pPr>
            <w:pStyle w:val="TOC3"/>
            <w:tabs>
              <w:tab w:val="right" w:leader="dot" w:pos="9628"/>
            </w:tabs>
            <w:rPr>
              <w:rFonts w:eastAsiaTheme="minorEastAsia"/>
              <w:noProof/>
              <w:kern w:val="2"/>
              <w:sz w:val="22"/>
              <w:lang w:eastAsia="en-GB"/>
              <w14:ligatures w14:val="standardContextual"/>
            </w:rPr>
          </w:pPr>
          <w:hyperlink w:anchor="_Toc179962412" w:history="1">
            <w:r w:rsidRPr="009F5677">
              <w:rPr>
                <w:rStyle w:val="Hyperlink"/>
                <w:noProof/>
              </w:rPr>
              <w:t>The subjective estimations of the species richness did not always match the actual species richness.</w:t>
            </w:r>
            <w:r>
              <w:rPr>
                <w:noProof/>
                <w:webHidden/>
              </w:rPr>
              <w:tab/>
            </w:r>
            <w:r>
              <w:rPr>
                <w:noProof/>
                <w:webHidden/>
              </w:rPr>
              <w:fldChar w:fldCharType="begin"/>
            </w:r>
            <w:r>
              <w:rPr>
                <w:noProof/>
                <w:webHidden/>
              </w:rPr>
              <w:instrText xml:space="preserve"> PAGEREF _Toc179962412 \h </w:instrText>
            </w:r>
            <w:r>
              <w:rPr>
                <w:noProof/>
                <w:webHidden/>
              </w:rPr>
            </w:r>
            <w:r>
              <w:rPr>
                <w:noProof/>
                <w:webHidden/>
              </w:rPr>
              <w:fldChar w:fldCharType="separate"/>
            </w:r>
            <w:r w:rsidR="005D7515">
              <w:rPr>
                <w:noProof/>
                <w:webHidden/>
              </w:rPr>
              <w:t>183</w:t>
            </w:r>
            <w:r>
              <w:rPr>
                <w:noProof/>
                <w:webHidden/>
              </w:rPr>
              <w:fldChar w:fldCharType="end"/>
            </w:r>
          </w:hyperlink>
        </w:p>
        <w:p w14:paraId="7B3965CC" w14:textId="7A3CF52D" w:rsidR="00B26D27" w:rsidRDefault="00B26D27">
          <w:pPr>
            <w:pStyle w:val="TOC3"/>
            <w:tabs>
              <w:tab w:val="right" w:leader="dot" w:pos="9628"/>
            </w:tabs>
            <w:rPr>
              <w:rFonts w:eastAsiaTheme="minorEastAsia"/>
              <w:noProof/>
              <w:kern w:val="2"/>
              <w:sz w:val="22"/>
              <w:lang w:eastAsia="en-GB"/>
              <w14:ligatures w14:val="standardContextual"/>
            </w:rPr>
          </w:pPr>
          <w:hyperlink w:anchor="_Toc179962413" w:history="1">
            <w:r w:rsidRPr="009F5677">
              <w:rPr>
                <w:rStyle w:val="Hyperlink"/>
                <w:noProof/>
              </w:rPr>
              <w:t>Noticing elements of the species richness could improve psychological well-being</w:t>
            </w:r>
            <w:r>
              <w:rPr>
                <w:noProof/>
                <w:webHidden/>
              </w:rPr>
              <w:tab/>
            </w:r>
            <w:r>
              <w:rPr>
                <w:noProof/>
                <w:webHidden/>
              </w:rPr>
              <w:fldChar w:fldCharType="begin"/>
            </w:r>
            <w:r>
              <w:rPr>
                <w:noProof/>
                <w:webHidden/>
              </w:rPr>
              <w:instrText xml:space="preserve"> PAGEREF _Toc179962413 \h </w:instrText>
            </w:r>
            <w:r>
              <w:rPr>
                <w:noProof/>
                <w:webHidden/>
              </w:rPr>
            </w:r>
            <w:r>
              <w:rPr>
                <w:noProof/>
                <w:webHidden/>
              </w:rPr>
              <w:fldChar w:fldCharType="separate"/>
            </w:r>
            <w:r w:rsidR="005D7515">
              <w:rPr>
                <w:noProof/>
                <w:webHidden/>
              </w:rPr>
              <w:t>183</w:t>
            </w:r>
            <w:r>
              <w:rPr>
                <w:noProof/>
                <w:webHidden/>
              </w:rPr>
              <w:fldChar w:fldCharType="end"/>
            </w:r>
          </w:hyperlink>
        </w:p>
        <w:p w14:paraId="64032F74" w14:textId="1DA1CC53" w:rsidR="00B26D27" w:rsidRDefault="00B26D27">
          <w:pPr>
            <w:pStyle w:val="TOC2"/>
            <w:tabs>
              <w:tab w:val="right" w:leader="dot" w:pos="9628"/>
            </w:tabs>
            <w:rPr>
              <w:rFonts w:eastAsiaTheme="minorEastAsia"/>
              <w:noProof/>
              <w:kern w:val="2"/>
              <w:sz w:val="22"/>
              <w:lang w:eastAsia="en-GB"/>
              <w14:ligatures w14:val="standardContextual"/>
            </w:rPr>
          </w:pPr>
          <w:hyperlink w:anchor="_Toc179962414" w:history="1">
            <w:r w:rsidRPr="009F5677">
              <w:rPr>
                <w:rStyle w:val="Hyperlink"/>
                <w:noProof/>
              </w:rPr>
              <w:t>A critical reflection on the results chapters</w:t>
            </w:r>
            <w:r>
              <w:rPr>
                <w:noProof/>
                <w:webHidden/>
              </w:rPr>
              <w:tab/>
            </w:r>
            <w:r>
              <w:rPr>
                <w:noProof/>
                <w:webHidden/>
              </w:rPr>
              <w:fldChar w:fldCharType="begin"/>
            </w:r>
            <w:r>
              <w:rPr>
                <w:noProof/>
                <w:webHidden/>
              </w:rPr>
              <w:instrText xml:space="preserve"> PAGEREF _Toc179962414 \h </w:instrText>
            </w:r>
            <w:r>
              <w:rPr>
                <w:noProof/>
                <w:webHidden/>
              </w:rPr>
            </w:r>
            <w:r>
              <w:rPr>
                <w:noProof/>
                <w:webHidden/>
              </w:rPr>
              <w:fldChar w:fldCharType="separate"/>
            </w:r>
            <w:r w:rsidR="005D7515">
              <w:rPr>
                <w:noProof/>
                <w:webHidden/>
              </w:rPr>
              <w:t>184</w:t>
            </w:r>
            <w:r>
              <w:rPr>
                <w:noProof/>
                <w:webHidden/>
              </w:rPr>
              <w:fldChar w:fldCharType="end"/>
            </w:r>
          </w:hyperlink>
        </w:p>
        <w:p w14:paraId="69406827" w14:textId="010F3DC0" w:rsidR="00B26D27" w:rsidRDefault="00B26D27">
          <w:pPr>
            <w:pStyle w:val="TOC3"/>
            <w:tabs>
              <w:tab w:val="right" w:leader="dot" w:pos="9628"/>
            </w:tabs>
            <w:rPr>
              <w:rFonts w:eastAsiaTheme="minorEastAsia"/>
              <w:noProof/>
              <w:kern w:val="2"/>
              <w:sz w:val="22"/>
              <w:lang w:eastAsia="en-GB"/>
              <w14:ligatures w14:val="standardContextual"/>
            </w:rPr>
          </w:pPr>
          <w:hyperlink w:anchor="_Toc179962415" w:history="1">
            <w:r w:rsidRPr="009F5677">
              <w:rPr>
                <w:rStyle w:val="Hyperlink"/>
                <w:noProof/>
              </w:rPr>
              <w:t>Critical reflection on chapter 4</w:t>
            </w:r>
            <w:r>
              <w:rPr>
                <w:noProof/>
                <w:webHidden/>
              </w:rPr>
              <w:tab/>
            </w:r>
            <w:r>
              <w:rPr>
                <w:noProof/>
                <w:webHidden/>
              </w:rPr>
              <w:fldChar w:fldCharType="begin"/>
            </w:r>
            <w:r>
              <w:rPr>
                <w:noProof/>
                <w:webHidden/>
              </w:rPr>
              <w:instrText xml:space="preserve"> PAGEREF _Toc179962415 \h </w:instrText>
            </w:r>
            <w:r>
              <w:rPr>
                <w:noProof/>
                <w:webHidden/>
              </w:rPr>
            </w:r>
            <w:r>
              <w:rPr>
                <w:noProof/>
                <w:webHidden/>
              </w:rPr>
              <w:fldChar w:fldCharType="separate"/>
            </w:r>
            <w:r w:rsidR="005D7515">
              <w:rPr>
                <w:noProof/>
                <w:webHidden/>
              </w:rPr>
              <w:t>184</w:t>
            </w:r>
            <w:r>
              <w:rPr>
                <w:noProof/>
                <w:webHidden/>
              </w:rPr>
              <w:fldChar w:fldCharType="end"/>
            </w:r>
          </w:hyperlink>
        </w:p>
        <w:p w14:paraId="66E89966" w14:textId="26ADC558" w:rsidR="00B26D27" w:rsidRDefault="00B26D27">
          <w:pPr>
            <w:pStyle w:val="TOC3"/>
            <w:tabs>
              <w:tab w:val="right" w:leader="dot" w:pos="9628"/>
            </w:tabs>
            <w:rPr>
              <w:rFonts w:eastAsiaTheme="minorEastAsia"/>
              <w:noProof/>
              <w:kern w:val="2"/>
              <w:sz w:val="22"/>
              <w:lang w:eastAsia="en-GB"/>
              <w14:ligatures w14:val="standardContextual"/>
            </w:rPr>
          </w:pPr>
          <w:hyperlink w:anchor="_Toc179962416" w:history="1">
            <w:r w:rsidRPr="009F5677">
              <w:rPr>
                <w:rStyle w:val="Hyperlink"/>
                <w:noProof/>
              </w:rPr>
              <w:t>Critical reflection on Chapter 5</w:t>
            </w:r>
            <w:r>
              <w:rPr>
                <w:noProof/>
                <w:webHidden/>
              </w:rPr>
              <w:tab/>
            </w:r>
            <w:r>
              <w:rPr>
                <w:noProof/>
                <w:webHidden/>
              </w:rPr>
              <w:fldChar w:fldCharType="begin"/>
            </w:r>
            <w:r>
              <w:rPr>
                <w:noProof/>
                <w:webHidden/>
              </w:rPr>
              <w:instrText xml:space="preserve"> PAGEREF _Toc179962416 \h </w:instrText>
            </w:r>
            <w:r>
              <w:rPr>
                <w:noProof/>
                <w:webHidden/>
              </w:rPr>
            </w:r>
            <w:r>
              <w:rPr>
                <w:noProof/>
                <w:webHidden/>
              </w:rPr>
              <w:fldChar w:fldCharType="separate"/>
            </w:r>
            <w:r w:rsidR="005D7515">
              <w:rPr>
                <w:noProof/>
                <w:webHidden/>
              </w:rPr>
              <w:t>186</w:t>
            </w:r>
            <w:r>
              <w:rPr>
                <w:noProof/>
                <w:webHidden/>
              </w:rPr>
              <w:fldChar w:fldCharType="end"/>
            </w:r>
          </w:hyperlink>
        </w:p>
        <w:p w14:paraId="0451DA37" w14:textId="78FDA005" w:rsidR="00B26D27" w:rsidRDefault="00B26D27">
          <w:pPr>
            <w:pStyle w:val="TOC3"/>
            <w:tabs>
              <w:tab w:val="right" w:leader="dot" w:pos="9628"/>
            </w:tabs>
            <w:rPr>
              <w:rFonts w:eastAsiaTheme="minorEastAsia"/>
              <w:noProof/>
              <w:kern w:val="2"/>
              <w:sz w:val="22"/>
              <w:lang w:eastAsia="en-GB"/>
              <w14:ligatures w14:val="standardContextual"/>
            </w:rPr>
          </w:pPr>
          <w:hyperlink w:anchor="_Toc179962417" w:history="1">
            <w:r w:rsidRPr="009F5677">
              <w:rPr>
                <w:rStyle w:val="Hyperlink"/>
                <w:noProof/>
              </w:rPr>
              <w:t>Critical reflection on chapter 6</w:t>
            </w:r>
            <w:r>
              <w:rPr>
                <w:noProof/>
                <w:webHidden/>
              </w:rPr>
              <w:tab/>
            </w:r>
            <w:r>
              <w:rPr>
                <w:noProof/>
                <w:webHidden/>
              </w:rPr>
              <w:fldChar w:fldCharType="begin"/>
            </w:r>
            <w:r>
              <w:rPr>
                <w:noProof/>
                <w:webHidden/>
              </w:rPr>
              <w:instrText xml:space="preserve"> PAGEREF _Toc179962417 \h </w:instrText>
            </w:r>
            <w:r>
              <w:rPr>
                <w:noProof/>
                <w:webHidden/>
              </w:rPr>
            </w:r>
            <w:r>
              <w:rPr>
                <w:noProof/>
                <w:webHidden/>
              </w:rPr>
              <w:fldChar w:fldCharType="separate"/>
            </w:r>
            <w:r w:rsidR="005D7515">
              <w:rPr>
                <w:noProof/>
                <w:webHidden/>
              </w:rPr>
              <w:t>188</w:t>
            </w:r>
            <w:r>
              <w:rPr>
                <w:noProof/>
                <w:webHidden/>
              </w:rPr>
              <w:fldChar w:fldCharType="end"/>
            </w:r>
          </w:hyperlink>
        </w:p>
        <w:p w14:paraId="532D22A2" w14:textId="4C94626D" w:rsidR="00B26D27" w:rsidRDefault="00B26D27">
          <w:pPr>
            <w:pStyle w:val="TOC2"/>
            <w:tabs>
              <w:tab w:val="right" w:leader="dot" w:pos="9628"/>
            </w:tabs>
            <w:rPr>
              <w:rFonts w:eastAsiaTheme="minorEastAsia"/>
              <w:noProof/>
              <w:kern w:val="2"/>
              <w:sz w:val="22"/>
              <w:lang w:eastAsia="en-GB"/>
              <w14:ligatures w14:val="standardContextual"/>
            </w:rPr>
          </w:pPr>
          <w:hyperlink w:anchor="_Toc179962418" w:history="1">
            <w:r w:rsidRPr="009F5677">
              <w:rPr>
                <w:rStyle w:val="Hyperlink"/>
                <w:noProof/>
              </w:rPr>
              <w:t>Strengths and Limitations</w:t>
            </w:r>
            <w:r>
              <w:rPr>
                <w:noProof/>
                <w:webHidden/>
              </w:rPr>
              <w:tab/>
            </w:r>
            <w:r>
              <w:rPr>
                <w:noProof/>
                <w:webHidden/>
              </w:rPr>
              <w:fldChar w:fldCharType="begin"/>
            </w:r>
            <w:r>
              <w:rPr>
                <w:noProof/>
                <w:webHidden/>
              </w:rPr>
              <w:instrText xml:space="preserve"> PAGEREF _Toc179962418 \h </w:instrText>
            </w:r>
            <w:r>
              <w:rPr>
                <w:noProof/>
                <w:webHidden/>
              </w:rPr>
            </w:r>
            <w:r>
              <w:rPr>
                <w:noProof/>
                <w:webHidden/>
              </w:rPr>
              <w:fldChar w:fldCharType="separate"/>
            </w:r>
            <w:r w:rsidR="005D7515">
              <w:rPr>
                <w:noProof/>
                <w:webHidden/>
              </w:rPr>
              <w:t>191</w:t>
            </w:r>
            <w:r>
              <w:rPr>
                <w:noProof/>
                <w:webHidden/>
              </w:rPr>
              <w:fldChar w:fldCharType="end"/>
            </w:r>
          </w:hyperlink>
        </w:p>
        <w:p w14:paraId="0596729A" w14:textId="1675D460" w:rsidR="00B26D27" w:rsidRDefault="00B26D27">
          <w:pPr>
            <w:pStyle w:val="TOC2"/>
            <w:tabs>
              <w:tab w:val="right" w:leader="dot" w:pos="9628"/>
            </w:tabs>
            <w:rPr>
              <w:rFonts w:eastAsiaTheme="minorEastAsia"/>
              <w:noProof/>
              <w:kern w:val="2"/>
              <w:sz w:val="22"/>
              <w:lang w:eastAsia="en-GB"/>
              <w14:ligatures w14:val="standardContextual"/>
            </w:rPr>
          </w:pPr>
          <w:hyperlink w:anchor="_Toc179962419" w:history="1">
            <w:r w:rsidRPr="009F5677">
              <w:rPr>
                <w:rStyle w:val="Hyperlink"/>
                <w:noProof/>
              </w:rPr>
              <w:t>Implications</w:t>
            </w:r>
            <w:r>
              <w:rPr>
                <w:noProof/>
                <w:webHidden/>
              </w:rPr>
              <w:tab/>
            </w:r>
            <w:r>
              <w:rPr>
                <w:noProof/>
                <w:webHidden/>
              </w:rPr>
              <w:fldChar w:fldCharType="begin"/>
            </w:r>
            <w:r>
              <w:rPr>
                <w:noProof/>
                <w:webHidden/>
              </w:rPr>
              <w:instrText xml:space="preserve"> PAGEREF _Toc179962419 \h </w:instrText>
            </w:r>
            <w:r>
              <w:rPr>
                <w:noProof/>
                <w:webHidden/>
              </w:rPr>
            </w:r>
            <w:r>
              <w:rPr>
                <w:noProof/>
                <w:webHidden/>
              </w:rPr>
              <w:fldChar w:fldCharType="separate"/>
            </w:r>
            <w:r w:rsidR="005D7515">
              <w:rPr>
                <w:noProof/>
                <w:webHidden/>
              </w:rPr>
              <w:t>192</w:t>
            </w:r>
            <w:r>
              <w:rPr>
                <w:noProof/>
                <w:webHidden/>
              </w:rPr>
              <w:fldChar w:fldCharType="end"/>
            </w:r>
          </w:hyperlink>
        </w:p>
        <w:p w14:paraId="77B737F0" w14:textId="5C7A95E2" w:rsidR="00B26D27" w:rsidRDefault="00B26D27">
          <w:pPr>
            <w:pStyle w:val="TOC2"/>
            <w:tabs>
              <w:tab w:val="right" w:leader="dot" w:pos="9628"/>
            </w:tabs>
            <w:rPr>
              <w:rFonts w:eastAsiaTheme="minorEastAsia"/>
              <w:noProof/>
              <w:kern w:val="2"/>
              <w:sz w:val="22"/>
              <w:lang w:eastAsia="en-GB"/>
              <w14:ligatures w14:val="standardContextual"/>
            </w:rPr>
          </w:pPr>
          <w:hyperlink w:anchor="_Toc179962420" w:history="1">
            <w:r w:rsidRPr="009F5677">
              <w:rPr>
                <w:rStyle w:val="Hyperlink"/>
                <w:noProof/>
              </w:rPr>
              <w:t>Future research directions</w:t>
            </w:r>
            <w:r>
              <w:rPr>
                <w:noProof/>
                <w:webHidden/>
              </w:rPr>
              <w:tab/>
            </w:r>
            <w:r>
              <w:rPr>
                <w:noProof/>
                <w:webHidden/>
              </w:rPr>
              <w:fldChar w:fldCharType="begin"/>
            </w:r>
            <w:r>
              <w:rPr>
                <w:noProof/>
                <w:webHidden/>
              </w:rPr>
              <w:instrText xml:space="preserve"> PAGEREF _Toc179962420 \h </w:instrText>
            </w:r>
            <w:r>
              <w:rPr>
                <w:noProof/>
                <w:webHidden/>
              </w:rPr>
            </w:r>
            <w:r>
              <w:rPr>
                <w:noProof/>
                <w:webHidden/>
              </w:rPr>
              <w:fldChar w:fldCharType="separate"/>
            </w:r>
            <w:r w:rsidR="005D7515">
              <w:rPr>
                <w:noProof/>
                <w:webHidden/>
              </w:rPr>
              <w:t>194</w:t>
            </w:r>
            <w:r>
              <w:rPr>
                <w:noProof/>
                <w:webHidden/>
              </w:rPr>
              <w:fldChar w:fldCharType="end"/>
            </w:r>
          </w:hyperlink>
        </w:p>
        <w:p w14:paraId="4AE9E2A8" w14:textId="7AAB742D" w:rsidR="00B26D27" w:rsidRDefault="00B26D27">
          <w:pPr>
            <w:pStyle w:val="TOC2"/>
            <w:tabs>
              <w:tab w:val="right" w:leader="dot" w:pos="9628"/>
            </w:tabs>
            <w:rPr>
              <w:rFonts w:eastAsiaTheme="minorEastAsia"/>
              <w:noProof/>
              <w:kern w:val="2"/>
              <w:sz w:val="22"/>
              <w:lang w:eastAsia="en-GB"/>
              <w14:ligatures w14:val="standardContextual"/>
            </w:rPr>
          </w:pPr>
          <w:hyperlink w:anchor="_Toc179962421" w:history="1">
            <w:r w:rsidRPr="009F5677">
              <w:rPr>
                <w:rStyle w:val="Hyperlink"/>
                <w:noProof/>
              </w:rPr>
              <w:t>Concluding thoughts</w:t>
            </w:r>
            <w:r>
              <w:rPr>
                <w:noProof/>
                <w:webHidden/>
              </w:rPr>
              <w:tab/>
            </w:r>
            <w:r>
              <w:rPr>
                <w:noProof/>
                <w:webHidden/>
              </w:rPr>
              <w:fldChar w:fldCharType="begin"/>
            </w:r>
            <w:r>
              <w:rPr>
                <w:noProof/>
                <w:webHidden/>
              </w:rPr>
              <w:instrText xml:space="preserve"> PAGEREF _Toc179962421 \h </w:instrText>
            </w:r>
            <w:r>
              <w:rPr>
                <w:noProof/>
                <w:webHidden/>
              </w:rPr>
            </w:r>
            <w:r>
              <w:rPr>
                <w:noProof/>
                <w:webHidden/>
              </w:rPr>
              <w:fldChar w:fldCharType="separate"/>
            </w:r>
            <w:r w:rsidR="005D7515">
              <w:rPr>
                <w:noProof/>
                <w:webHidden/>
              </w:rPr>
              <w:t>197</w:t>
            </w:r>
            <w:r>
              <w:rPr>
                <w:noProof/>
                <w:webHidden/>
              </w:rPr>
              <w:fldChar w:fldCharType="end"/>
            </w:r>
          </w:hyperlink>
        </w:p>
        <w:p w14:paraId="09A9133D" w14:textId="1F1EF488" w:rsidR="00B26D27" w:rsidRDefault="00B26D27">
          <w:pPr>
            <w:pStyle w:val="TOC1"/>
            <w:tabs>
              <w:tab w:val="right" w:leader="dot" w:pos="9628"/>
            </w:tabs>
            <w:rPr>
              <w:rFonts w:eastAsiaTheme="minorEastAsia"/>
              <w:noProof/>
              <w:kern w:val="2"/>
              <w:sz w:val="22"/>
              <w:lang w:eastAsia="en-GB"/>
              <w14:ligatures w14:val="standardContextual"/>
            </w:rPr>
          </w:pPr>
          <w:hyperlink w:anchor="_Toc179962422" w:history="1">
            <w:r w:rsidRPr="009F5677">
              <w:rPr>
                <w:rStyle w:val="Hyperlink"/>
                <w:noProof/>
              </w:rPr>
              <w:t>General reference list</w:t>
            </w:r>
            <w:r>
              <w:rPr>
                <w:noProof/>
                <w:webHidden/>
              </w:rPr>
              <w:tab/>
            </w:r>
            <w:r>
              <w:rPr>
                <w:noProof/>
                <w:webHidden/>
              </w:rPr>
              <w:fldChar w:fldCharType="begin"/>
            </w:r>
            <w:r>
              <w:rPr>
                <w:noProof/>
                <w:webHidden/>
              </w:rPr>
              <w:instrText xml:space="preserve"> PAGEREF _Toc179962422 \h </w:instrText>
            </w:r>
            <w:r>
              <w:rPr>
                <w:noProof/>
                <w:webHidden/>
              </w:rPr>
            </w:r>
            <w:r>
              <w:rPr>
                <w:noProof/>
                <w:webHidden/>
              </w:rPr>
              <w:fldChar w:fldCharType="separate"/>
            </w:r>
            <w:r w:rsidR="005D7515">
              <w:rPr>
                <w:noProof/>
                <w:webHidden/>
              </w:rPr>
              <w:t>198</w:t>
            </w:r>
            <w:r>
              <w:rPr>
                <w:noProof/>
                <w:webHidden/>
              </w:rPr>
              <w:fldChar w:fldCharType="end"/>
            </w:r>
          </w:hyperlink>
        </w:p>
        <w:p w14:paraId="3653B439" w14:textId="1E8DBE19" w:rsidR="00B26D27" w:rsidRDefault="00B26D27">
          <w:pPr>
            <w:pStyle w:val="TOC1"/>
            <w:tabs>
              <w:tab w:val="right" w:leader="dot" w:pos="9628"/>
            </w:tabs>
            <w:rPr>
              <w:rFonts w:eastAsiaTheme="minorEastAsia"/>
              <w:noProof/>
              <w:kern w:val="2"/>
              <w:sz w:val="22"/>
              <w:lang w:eastAsia="en-GB"/>
              <w14:ligatures w14:val="standardContextual"/>
            </w:rPr>
          </w:pPr>
          <w:hyperlink w:anchor="_Toc179962423" w:history="1">
            <w:r w:rsidRPr="009F5677">
              <w:rPr>
                <w:rStyle w:val="Hyperlink"/>
                <w:noProof/>
              </w:rPr>
              <w:t>Appendix</w:t>
            </w:r>
            <w:r>
              <w:rPr>
                <w:noProof/>
                <w:webHidden/>
              </w:rPr>
              <w:tab/>
            </w:r>
            <w:r>
              <w:rPr>
                <w:noProof/>
                <w:webHidden/>
              </w:rPr>
              <w:fldChar w:fldCharType="begin"/>
            </w:r>
            <w:r>
              <w:rPr>
                <w:noProof/>
                <w:webHidden/>
              </w:rPr>
              <w:instrText xml:space="preserve"> PAGEREF _Toc179962423 \h </w:instrText>
            </w:r>
            <w:r>
              <w:rPr>
                <w:noProof/>
                <w:webHidden/>
              </w:rPr>
            </w:r>
            <w:r>
              <w:rPr>
                <w:noProof/>
                <w:webHidden/>
              </w:rPr>
              <w:fldChar w:fldCharType="separate"/>
            </w:r>
            <w:r w:rsidR="005D7515">
              <w:rPr>
                <w:noProof/>
                <w:webHidden/>
              </w:rPr>
              <w:t>230</w:t>
            </w:r>
            <w:r>
              <w:rPr>
                <w:noProof/>
                <w:webHidden/>
              </w:rPr>
              <w:fldChar w:fldCharType="end"/>
            </w:r>
          </w:hyperlink>
        </w:p>
        <w:p w14:paraId="4435B6DD" w14:textId="5065B14E" w:rsidR="00B26D27" w:rsidRDefault="00B26D27">
          <w:pPr>
            <w:pStyle w:val="TOC2"/>
            <w:tabs>
              <w:tab w:val="right" w:leader="dot" w:pos="9628"/>
            </w:tabs>
            <w:rPr>
              <w:rFonts w:eastAsiaTheme="minorEastAsia"/>
              <w:noProof/>
              <w:kern w:val="2"/>
              <w:sz w:val="22"/>
              <w:lang w:eastAsia="en-GB"/>
              <w14:ligatures w14:val="standardContextual"/>
            </w:rPr>
          </w:pPr>
          <w:hyperlink w:anchor="_Toc179962424" w:history="1">
            <w:r w:rsidRPr="009F5677">
              <w:rPr>
                <w:rStyle w:val="Hyperlink"/>
                <w:noProof/>
              </w:rPr>
              <w:t>Publications and copyright</w:t>
            </w:r>
            <w:r>
              <w:rPr>
                <w:noProof/>
                <w:webHidden/>
              </w:rPr>
              <w:tab/>
            </w:r>
            <w:r>
              <w:rPr>
                <w:noProof/>
                <w:webHidden/>
              </w:rPr>
              <w:fldChar w:fldCharType="begin"/>
            </w:r>
            <w:r>
              <w:rPr>
                <w:noProof/>
                <w:webHidden/>
              </w:rPr>
              <w:instrText xml:space="preserve"> PAGEREF _Toc179962424 \h </w:instrText>
            </w:r>
            <w:r>
              <w:rPr>
                <w:noProof/>
                <w:webHidden/>
              </w:rPr>
            </w:r>
            <w:r>
              <w:rPr>
                <w:noProof/>
                <w:webHidden/>
              </w:rPr>
              <w:fldChar w:fldCharType="separate"/>
            </w:r>
            <w:r w:rsidR="005D7515">
              <w:rPr>
                <w:noProof/>
                <w:webHidden/>
              </w:rPr>
              <w:t>230</w:t>
            </w:r>
            <w:r>
              <w:rPr>
                <w:noProof/>
                <w:webHidden/>
              </w:rPr>
              <w:fldChar w:fldCharType="end"/>
            </w:r>
          </w:hyperlink>
        </w:p>
        <w:p w14:paraId="5BB5130D" w14:textId="73CD1AC2" w:rsidR="00B26D27" w:rsidRDefault="00B26D27">
          <w:pPr>
            <w:pStyle w:val="TOC2"/>
            <w:tabs>
              <w:tab w:val="right" w:leader="dot" w:pos="9628"/>
            </w:tabs>
            <w:rPr>
              <w:rFonts w:eastAsiaTheme="minorEastAsia"/>
              <w:noProof/>
              <w:kern w:val="2"/>
              <w:sz w:val="22"/>
              <w:lang w:eastAsia="en-GB"/>
              <w14:ligatures w14:val="standardContextual"/>
            </w:rPr>
          </w:pPr>
          <w:hyperlink w:anchor="_Toc179962425" w:history="1">
            <w:r w:rsidRPr="009F5677">
              <w:rPr>
                <w:rStyle w:val="Hyperlink"/>
                <w:noProof/>
              </w:rPr>
              <w:t>Chapter 3 - Methodology Appendix</w:t>
            </w:r>
            <w:r>
              <w:rPr>
                <w:noProof/>
                <w:webHidden/>
              </w:rPr>
              <w:tab/>
            </w:r>
            <w:r>
              <w:rPr>
                <w:noProof/>
                <w:webHidden/>
              </w:rPr>
              <w:fldChar w:fldCharType="begin"/>
            </w:r>
            <w:r>
              <w:rPr>
                <w:noProof/>
                <w:webHidden/>
              </w:rPr>
              <w:instrText xml:space="preserve"> PAGEREF _Toc179962425 \h </w:instrText>
            </w:r>
            <w:r>
              <w:rPr>
                <w:noProof/>
                <w:webHidden/>
              </w:rPr>
            </w:r>
            <w:r>
              <w:rPr>
                <w:noProof/>
                <w:webHidden/>
              </w:rPr>
              <w:fldChar w:fldCharType="separate"/>
            </w:r>
            <w:r w:rsidR="005D7515">
              <w:rPr>
                <w:noProof/>
                <w:webHidden/>
              </w:rPr>
              <w:t>232</w:t>
            </w:r>
            <w:r>
              <w:rPr>
                <w:noProof/>
                <w:webHidden/>
              </w:rPr>
              <w:fldChar w:fldCharType="end"/>
            </w:r>
          </w:hyperlink>
        </w:p>
        <w:p w14:paraId="4CA8C099" w14:textId="4A51A99C" w:rsidR="00B26D27" w:rsidRDefault="00B26D27">
          <w:pPr>
            <w:pStyle w:val="TOC3"/>
            <w:tabs>
              <w:tab w:val="right" w:leader="dot" w:pos="9628"/>
            </w:tabs>
            <w:rPr>
              <w:rFonts w:eastAsiaTheme="minorEastAsia"/>
              <w:noProof/>
              <w:kern w:val="2"/>
              <w:sz w:val="22"/>
              <w:lang w:eastAsia="en-GB"/>
              <w14:ligatures w14:val="standardContextual"/>
            </w:rPr>
          </w:pPr>
          <w:hyperlink w:anchor="_Toc179962426" w:history="1">
            <w:r w:rsidRPr="009F5677">
              <w:rPr>
                <w:rStyle w:val="Hyperlink"/>
                <w:noProof/>
              </w:rPr>
              <w:t>Complete experimental protocol – Face to face</w:t>
            </w:r>
            <w:r>
              <w:rPr>
                <w:noProof/>
                <w:webHidden/>
              </w:rPr>
              <w:tab/>
            </w:r>
            <w:r>
              <w:rPr>
                <w:noProof/>
                <w:webHidden/>
              </w:rPr>
              <w:fldChar w:fldCharType="begin"/>
            </w:r>
            <w:r>
              <w:rPr>
                <w:noProof/>
                <w:webHidden/>
              </w:rPr>
              <w:instrText xml:space="preserve"> PAGEREF _Toc179962426 \h </w:instrText>
            </w:r>
            <w:r>
              <w:rPr>
                <w:noProof/>
                <w:webHidden/>
              </w:rPr>
            </w:r>
            <w:r>
              <w:rPr>
                <w:noProof/>
                <w:webHidden/>
              </w:rPr>
              <w:fldChar w:fldCharType="separate"/>
            </w:r>
            <w:r w:rsidR="005D7515">
              <w:rPr>
                <w:noProof/>
                <w:webHidden/>
              </w:rPr>
              <w:t>232</w:t>
            </w:r>
            <w:r>
              <w:rPr>
                <w:noProof/>
                <w:webHidden/>
              </w:rPr>
              <w:fldChar w:fldCharType="end"/>
            </w:r>
          </w:hyperlink>
        </w:p>
        <w:p w14:paraId="00F1967C" w14:textId="2781F937" w:rsidR="00B26D27" w:rsidRDefault="00B26D27">
          <w:pPr>
            <w:pStyle w:val="TOC3"/>
            <w:tabs>
              <w:tab w:val="right" w:leader="dot" w:pos="9628"/>
            </w:tabs>
            <w:rPr>
              <w:rFonts w:eastAsiaTheme="minorEastAsia"/>
              <w:noProof/>
              <w:kern w:val="2"/>
              <w:sz w:val="22"/>
              <w:lang w:eastAsia="en-GB"/>
              <w14:ligatures w14:val="standardContextual"/>
            </w:rPr>
          </w:pPr>
          <w:hyperlink w:anchor="_Toc179962427" w:history="1">
            <w:r w:rsidRPr="009F5677">
              <w:rPr>
                <w:rStyle w:val="Hyperlink"/>
                <w:noProof/>
              </w:rPr>
              <w:t>Schematic literature review of electroencephalographic studies</w:t>
            </w:r>
            <w:r>
              <w:rPr>
                <w:noProof/>
                <w:webHidden/>
              </w:rPr>
              <w:tab/>
            </w:r>
            <w:r>
              <w:rPr>
                <w:noProof/>
                <w:webHidden/>
              </w:rPr>
              <w:fldChar w:fldCharType="begin"/>
            </w:r>
            <w:r>
              <w:rPr>
                <w:noProof/>
                <w:webHidden/>
              </w:rPr>
              <w:instrText xml:space="preserve"> PAGEREF _Toc179962427 \h </w:instrText>
            </w:r>
            <w:r>
              <w:rPr>
                <w:noProof/>
                <w:webHidden/>
              </w:rPr>
            </w:r>
            <w:r>
              <w:rPr>
                <w:noProof/>
                <w:webHidden/>
              </w:rPr>
              <w:fldChar w:fldCharType="separate"/>
            </w:r>
            <w:r w:rsidR="005D7515">
              <w:rPr>
                <w:noProof/>
                <w:webHidden/>
              </w:rPr>
              <w:t>233</w:t>
            </w:r>
            <w:r>
              <w:rPr>
                <w:noProof/>
                <w:webHidden/>
              </w:rPr>
              <w:fldChar w:fldCharType="end"/>
            </w:r>
          </w:hyperlink>
        </w:p>
        <w:p w14:paraId="4F26D1E9" w14:textId="205A9E4E" w:rsidR="00B26D27" w:rsidRDefault="00B26D27">
          <w:pPr>
            <w:pStyle w:val="TOC2"/>
            <w:tabs>
              <w:tab w:val="right" w:leader="dot" w:pos="9628"/>
            </w:tabs>
            <w:rPr>
              <w:rFonts w:eastAsiaTheme="minorEastAsia"/>
              <w:noProof/>
              <w:kern w:val="2"/>
              <w:sz w:val="22"/>
              <w:lang w:eastAsia="en-GB"/>
              <w14:ligatures w14:val="standardContextual"/>
            </w:rPr>
          </w:pPr>
          <w:hyperlink w:anchor="_Toc179962428" w:history="1">
            <w:r w:rsidRPr="009F5677">
              <w:rPr>
                <w:rStyle w:val="Hyperlink"/>
                <w:noProof/>
              </w:rPr>
              <w:t>Chapter 4 – Supporting information</w:t>
            </w:r>
            <w:r>
              <w:rPr>
                <w:noProof/>
                <w:webHidden/>
              </w:rPr>
              <w:tab/>
            </w:r>
            <w:r>
              <w:rPr>
                <w:noProof/>
                <w:webHidden/>
              </w:rPr>
              <w:fldChar w:fldCharType="begin"/>
            </w:r>
            <w:r>
              <w:rPr>
                <w:noProof/>
                <w:webHidden/>
              </w:rPr>
              <w:instrText xml:space="preserve"> PAGEREF _Toc179962428 \h </w:instrText>
            </w:r>
            <w:r>
              <w:rPr>
                <w:noProof/>
                <w:webHidden/>
              </w:rPr>
            </w:r>
            <w:r>
              <w:rPr>
                <w:noProof/>
                <w:webHidden/>
              </w:rPr>
              <w:fldChar w:fldCharType="separate"/>
            </w:r>
            <w:r w:rsidR="005D7515">
              <w:rPr>
                <w:noProof/>
                <w:webHidden/>
              </w:rPr>
              <w:t>234</w:t>
            </w:r>
            <w:r>
              <w:rPr>
                <w:noProof/>
                <w:webHidden/>
              </w:rPr>
              <w:fldChar w:fldCharType="end"/>
            </w:r>
          </w:hyperlink>
        </w:p>
        <w:p w14:paraId="1F4FC0B3" w14:textId="2FF996C9" w:rsidR="00B26D27" w:rsidRDefault="00B26D27">
          <w:pPr>
            <w:pStyle w:val="TOC2"/>
            <w:tabs>
              <w:tab w:val="right" w:leader="dot" w:pos="9628"/>
            </w:tabs>
            <w:rPr>
              <w:rFonts w:eastAsiaTheme="minorEastAsia"/>
              <w:noProof/>
              <w:kern w:val="2"/>
              <w:sz w:val="22"/>
              <w:lang w:eastAsia="en-GB"/>
              <w14:ligatures w14:val="standardContextual"/>
            </w:rPr>
          </w:pPr>
          <w:hyperlink w:anchor="_Toc179962429" w:history="1">
            <w:r w:rsidRPr="009F5677">
              <w:rPr>
                <w:rStyle w:val="Hyperlink"/>
                <w:noProof/>
              </w:rPr>
              <w:t>Chapter 5 – Supporting information</w:t>
            </w:r>
            <w:r>
              <w:rPr>
                <w:noProof/>
                <w:webHidden/>
              </w:rPr>
              <w:tab/>
            </w:r>
            <w:r>
              <w:rPr>
                <w:noProof/>
                <w:webHidden/>
              </w:rPr>
              <w:fldChar w:fldCharType="begin"/>
            </w:r>
            <w:r>
              <w:rPr>
                <w:noProof/>
                <w:webHidden/>
              </w:rPr>
              <w:instrText xml:space="preserve"> PAGEREF _Toc179962429 \h </w:instrText>
            </w:r>
            <w:r>
              <w:rPr>
                <w:noProof/>
                <w:webHidden/>
              </w:rPr>
            </w:r>
            <w:r>
              <w:rPr>
                <w:noProof/>
                <w:webHidden/>
              </w:rPr>
              <w:fldChar w:fldCharType="separate"/>
            </w:r>
            <w:r w:rsidR="005D7515">
              <w:rPr>
                <w:noProof/>
                <w:webHidden/>
              </w:rPr>
              <w:t>239</w:t>
            </w:r>
            <w:r>
              <w:rPr>
                <w:noProof/>
                <w:webHidden/>
              </w:rPr>
              <w:fldChar w:fldCharType="end"/>
            </w:r>
          </w:hyperlink>
        </w:p>
        <w:p w14:paraId="51A044EE" w14:textId="0D4454B4" w:rsidR="00B26D27" w:rsidRDefault="00B26D27">
          <w:pPr>
            <w:pStyle w:val="TOC3"/>
            <w:tabs>
              <w:tab w:val="right" w:leader="dot" w:pos="9628"/>
            </w:tabs>
            <w:rPr>
              <w:rFonts w:eastAsiaTheme="minorEastAsia"/>
              <w:noProof/>
              <w:kern w:val="2"/>
              <w:sz w:val="22"/>
              <w:lang w:eastAsia="en-GB"/>
              <w14:ligatures w14:val="standardContextual"/>
            </w:rPr>
          </w:pPr>
          <w:hyperlink w:anchor="_Toc179962430" w:history="1">
            <w:r w:rsidRPr="009F5677">
              <w:rPr>
                <w:rStyle w:val="Hyperlink"/>
                <w:noProof/>
              </w:rPr>
              <w:t>Survey text -Link to the preview version</w:t>
            </w:r>
            <w:r>
              <w:rPr>
                <w:noProof/>
                <w:webHidden/>
              </w:rPr>
              <w:tab/>
            </w:r>
            <w:r>
              <w:rPr>
                <w:noProof/>
                <w:webHidden/>
              </w:rPr>
              <w:fldChar w:fldCharType="begin"/>
            </w:r>
            <w:r>
              <w:rPr>
                <w:noProof/>
                <w:webHidden/>
              </w:rPr>
              <w:instrText xml:space="preserve"> PAGEREF _Toc179962430 \h </w:instrText>
            </w:r>
            <w:r>
              <w:rPr>
                <w:noProof/>
                <w:webHidden/>
              </w:rPr>
            </w:r>
            <w:r>
              <w:rPr>
                <w:noProof/>
                <w:webHidden/>
              </w:rPr>
              <w:fldChar w:fldCharType="separate"/>
            </w:r>
            <w:r w:rsidR="005D7515">
              <w:rPr>
                <w:noProof/>
                <w:webHidden/>
              </w:rPr>
              <w:t>244</w:t>
            </w:r>
            <w:r>
              <w:rPr>
                <w:noProof/>
                <w:webHidden/>
              </w:rPr>
              <w:fldChar w:fldCharType="end"/>
            </w:r>
          </w:hyperlink>
        </w:p>
        <w:p w14:paraId="0C813741" w14:textId="10AEF837" w:rsidR="00B26D27" w:rsidRDefault="00B26D27">
          <w:pPr>
            <w:pStyle w:val="TOC3"/>
            <w:tabs>
              <w:tab w:val="right" w:leader="dot" w:pos="9628"/>
            </w:tabs>
            <w:rPr>
              <w:rFonts w:eastAsiaTheme="minorEastAsia"/>
              <w:noProof/>
              <w:kern w:val="2"/>
              <w:sz w:val="22"/>
              <w:lang w:eastAsia="en-GB"/>
              <w14:ligatures w14:val="standardContextual"/>
            </w:rPr>
          </w:pPr>
          <w:hyperlink w:anchor="_Toc179962431" w:history="1">
            <w:r w:rsidRPr="009F5677">
              <w:rPr>
                <w:rStyle w:val="Hyperlink"/>
                <w:noProof/>
              </w:rPr>
              <w:t>Survey text</w:t>
            </w:r>
            <w:r>
              <w:rPr>
                <w:noProof/>
                <w:webHidden/>
              </w:rPr>
              <w:tab/>
            </w:r>
            <w:r>
              <w:rPr>
                <w:noProof/>
                <w:webHidden/>
              </w:rPr>
              <w:fldChar w:fldCharType="begin"/>
            </w:r>
            <w:r>
              <w:rPr>
                <w:noProof/>
                <w:webHidden/>
              </w:rPr>
              <w:instrText xml:space="preserve"> PAGEREF _Toc179962431 \h </w:instrText>
            </w:r>
            <w:r>
              <w:rPr>
                <w:noProof/>
                <w:webHidden/>
              </w:rPr>
            </w:r>
            <w:r>
              <w:rPr>
                <w:noProof/>
                <w:webHidden/>
              </w:rPr>
              <w:fldChar w:fldCharType="separate"/>
            </w:r>
            <w:r w:rsidR="005D7515">
              <w:rPr>
                <w:noProof/>
                <w:webHidden/>
              </w:rPr>
              <w:t>244</w:t>
            </w:r>
            <w:r>
              <w:rPr>
                <w:noProof/>
                <w:webHidden/>
              </w:rPr>
              <w:fldChar w:fldCharType="end"/>
            </w:r>
          </w:hyperlink>
        </w:p>
        <w:p w14:paraId="54317574" w14:textId="3438A99D" w:rsidR="00B26D27" w:rsidRDefault="00B26D27">
          <w:pPr>
            <w:pStyle w:val="TOC2"/>
            <w:tabs>
              <w:tab w:val="right" w:leader="dot" w:pos="9628"/>
            </w:tabs>
            <w:rPr>
              <w:rFonts w:eastAsiaTheme="minorEastAsia"/>
              <w:noProof/>
              <w:kern w:val="2"/>
              <w:sz w:val="22"/>
              <w:lang w:eastAsia="en-GB"/>
              <w14:ligatures w14:val="standardContextual"/>
            </w:rPr>
          </w:pPr>
          <w:hyperlink w:anchor="_Toc179962432" w:history="1">
            <w:r w:rsidRPr="009F5677">
              <w:rPr>
                <w:rStyle w:val="Hyperlink"/>
                <w:noProof/>
              </w:rPr>
              <w:t>Chapter 6 – Supporting information</w:t>
            </w:r>
            <w:r>
              <w:rPr>
                <w:noProof/>
                <w:webHidden/>
              </w:rPr>
              <w:tab/>
            </w:r>
            <w:r>
              <w:rPr>
                <w:noProof/>
                <w:webHidden/>
              </w:rPr>
              <w:fldChar w:fldCharType="begin"/>
            </w:r>
            <w:r>
              <w:rPr>
                <w:noProof/>
                <w:webHidden/>
              </w:rPr>
              <w:instrText xml:space="preserve"> PAGEREF _Toc179962432 \h </w:instrText>
            </w:r>
            <w:r>
              <w:rPr>
                <w:noProof/>
                <w:webHidden/>
              </w:rPr>
            </w:r>
            <w:r>
              <w:rPr>
                <w:noProof/>
                <w:webHidden/>
              </w:rPr>
              <w:fldChar w:fldCharType="separate"/>
            </w:r>
            <w:r w:rsidR="005D7515">
              <w:rPr>
                <w:noProof/>
                <w:webHidden/>
              </w:rPr>
              <w:t>255</w:t>
            </w:r>
            <w:r>
              <w:rPr>
                <w:noProof/>
                <w:webHidden/>
              </w:rPr>
              <w:fldChar w:fldCharType="end"/>
            </w:r>
          </w:hyperlink>
        </w:p>
        <w:p w14:paraId="0873CFDE" w14:textId="58A9F330" w:rsidR="00B26D27" w:rsidRDefault="00B26D27">
          <w:pPr>
            <w:pStyle w:val="TOC3"/>
            <w:tabs>
              <w:tab w:val="right" w:leader="dot" w:pos="9628"/>
            </w:tabs>
            <w:rPr>
              <w:rFonts w:eastAsiaTheme="minorEastAsia"/>
              <w:noProof/>
              <w:kern w:val="2"/>
              <w:sz w:val="22"/>
              <w:lang w:eastAsia="en-GB"/>
              <w14:ligatures w14:val="standardContextual"/>
            </w:rPr>
          </w:pPr>
          <w:hyperlink w:anchor="_Toc179962433" w:history="1">
            <w:r w:rsidRPr="009F5677">
              <w:rPr>
                <w:rStyle w:val="Hyperlink"/>
                <w:noProof/>
              </w:rPr>
              <w:t>Survey text</w:t>
            </w:r>
            <w:r>
              <w:rPr>
                <w:noProof/>
                <w:webHidden/>
              </w:rPr>
              <w:tab/>
            </w:r>
            <w:r>
              <w:rPr>
                <w:noProof/>
                <w:webHidden/>
              </w:rPr>
              <w:fldChar w:fldCharType="begin"/>
            </w:r>
            <w:r>
              <w:rPr>
                <w:noProof/>
                <w:webHidden/>
              </w:rPr>
              <w:instrText xml:space="preserve"> PAGEREF _Toc179962433 \h </w:instrText>
            </w:r>
            <w:r>
              <w:rPr>
                <w:noProof/>
                <w:webHidden/>
              </w:rPr>
            </w:r>
            <w:r>
              <w:rPr>
                <w:noProof/>
                <w:webHidden/>
              </w:rPr>
              <w:fldChar w:fldCharType="separate"/>
            </w:r>
            <w:r w:rsidR="005D7515">
              <w:rPr>
                <w:noProof/>
                <w:webHidden/>
              </w:rPr>
              <w:t>260</w:t>
            </w:r>
            <w:r>
              <w:rPr>
                <w:noProof/>
                <w:webHidden/>
              </w:rPr>
              <w:fldChar w:fldCharType="end"/>
            </w:r>
          </w:hyperlink>
        </w:p>
        <w:p w14:paraId="5DFA1A44" w14:textId="41913EC4" w:rsidR="00B26D27" w:rsidRDefault="00B26D27">
          <w:pPr>
            <w:pStyle w:val="TOC2"/>
            <w:tabs>
              <w:tab w:val="right" w:leader="dot" w:pos="9628"/>
            </w:tabs>
            <w:rPr>
              <w:rFonts w:eastAsiaTheme="minorEastAsia"/>
              <w:noProof/>
              <w:kern w:val="2"/>
              <w:sz w:val="22"/>
              <w:lang w:eastAsia="en-GB"/>
              <w14:ligatures w14:val="standardContextual"/>
            </w:rPr>
          </w:pPr>
          <w:hyperlink w:anchor="_Toc179962434" w:history="1">
            <w:r w:rsidRPr="009F5677">
              <w:rPr>
                <w:rStyle w:val="Hyperlink"/>
                <w:noProof/>
              </w:rPr>
              <w:t>Chapter 7 – supporting information</w:t>
            </w:r>
            <w:r>
              <w:rPr>
                <w:noProof/>
                <w:webHidden/>
              </w:rPr>
              <w:tab/>
            </w:r>
            <w:r>
              <w:rPr>
                <w:noProof/>
                <w:webHidden/>
              </w:rPr>
              <w:fldChar w:fldCharType="begin"/>
            </w:r>
            <w:r>
              <w:rPr>
                <w:noProof/>
                <w:webHidden/>
              </w:rPr>
              <w:instrText xml:space="preserve"> PAGEREF _Toc179962434 \h </w:instrText>
            </w:r>
            <w:r>
              <w:rPr>
                <w:noProof/>
                <w:webHidden/>
              </w:rPr>
            </w:r>
            <w:r>
              <w:rPr>
                <w:noProof/>
                <w:webHidden/>
              </w:rPr>
              <w:fldChar w:fldCharType="separate"/>
            </w:r>
            <w:r w:rsidR="005D7515">
              <w:rPr>
                <w:noProof/>
                <w:webHidden/>
              </w:rPr>
              <w:t>281</w:t>
            </w:r>
            <w:r>
              <w:rPr>
                <w:noProof/>
                <w:webHidden/>
              </w:rPr>
              <w:fldChar w:fldCharType="end"/>
            </w:r>
          </w:hyperlink>
        </w:p>
        <w:p w14:paraId="5ECE7965" w14:textId="72998C1F" w:rsidR="00B26D27" w:rsidRDefault="00B26D27">
          <w:pPr>
            <w:pStyle w:val="TOC3"/>
            <w:tabs>
              <w:tab w:val="right" w:leader="dot" w:pos="9628"/>
            </w:tabs>
            <w:rPr>
              <w:rFonts w:eastAsiaTheme="minorEastAsia"/>
              <w:noProof/>
              <w:kern w:val="2"/>
              <w:sz w:val="22"/>
              <w:lang w:eastAsia="en-GB"/>
              <w14:ligatures w14:val="standardContextual"/>
            </w:rPr>
          </w:pPr>
          <w:hyperlink w:anchor="_Toc179962435" w:history="1">
            <w:r w:rsidRPr="009F5677">
              <w:rPr>
                <w:rStyle w:val="Hyperlink"/>
                <w:noProof/>
              </w:rPr>
              <w:t>Face to face - Participant information sheet</w:t>
            </w:r>
            <w:r>
              <w:rPr>
                <w:noProof/>
                <w:webHidden/>
              </w:rPr>
              <w:tab/>
            </w:r>
            <w:r>
              <w:rPr>
                <w:noProof/>
                <w:webHidden/>
              </w:rPr>
              <w:fldChar w:fldCharType="begin"/>
            </w:r>
            <w:r>
              <w:rPr>
                <w:noProof/>
                <w:webHidden/>
              </w:rPr>
              <w:instrText xml:space="preserve"> PAGEREF _Toc179962435 \h </w:instrText>
            </w:r>
            <w:r>
              <w:rPr>
                <w:noProof/>
                <w:webHidden/>
              </w:rPr>
            </w:r>
            <w:r>
              <w:rPr>
                <w:noProof/>
                <w:webHidden/>
              </w:rPr>
              <w:fldChar w:fldCharType="separate"/>
            </w:r>
            <w:r w:rsidR="005D7515">
              <w:rPr>
                <w:noProof/>
                <w:webHidden/>
              </w:rPr>
              <w:t>281</w:t>
            </w:r>
            <w:r>
              <w:rPr>
                <w:noProof/>
                <w:webHidden/>
              </w:rPr>
              <w:fldChar w:fldCharType="end"/>
            </w:r>
          </w:hyperlink>
        </w:p>
        <w:p w14:paraId="3213F79A" w14:textId="358012EF" w:rsidR="00B26D27" w:rsidRDefault="00B26D27">
          <w:pPr>
            <w:pStyle w:val="TOC3"/>
            <w:tabs>
              <w:tab w:val="right" w:leader="dot" w:pos="9628"/>
            </w:tabs>
            <w:rPr>
              <w:rFonts w:eastAsiaTheme="minorEastAsia"/>
              <w:noProof/>
              <w:kern w:val="2"/>
              <w:sz w:val="22"/>
              <w:lang w:eastAsia="en-GB"/>
              <w14:ligatures w14:val="standardContextual"/>
            </w:rPr>
          </w:pPr>
          <w:hyperlink w:anchor="_Toc179962436" w:history="1">
            <w:r w:rsidRPr="009F5677">
              <w:rPr>
                <w:rStyle w:val="Hyperlink"/>
                <w:noProof/>
                <w:lang w:eastAsia="en-GB"/>
              </w:rPr>
              <w:t>Face-to-face Consent Form</w:t>
            </w:r>
            <w:r>
              <w:rPr>
                <w:noProof/>
                <w:webHidden/>
              </w:rPr>
              <w:tab/>
            </w:r>
            <w:r>
              <w:rPr>
                <w:noProof/>
                <w:webHidden/>
              </w:rPr>
              <w:fldChar w:fldCharType="begin"/>
            </w:r>
            <w:r>
              <w:rPr>
                <w:noProof/>
                <w:webHidden/>
              </w:rPr>
              <w:instrText xml:space="preserve"> PAGEREF _Toc179962436 \h </w:instrText>
            </w:r>
            <w:r>
              <w:rPr>
                <w:noProof/>
                <w:webHidden/>
              </w:rPr>
            </w:r>
            <w:r>
              <w:rPr>
                <w:noProof/>
                <w:webHidden/>
              </w:rPr>
              <w:fldChar w:fldCharType="separate"/>
            </w:r>
            <w:r w:rsidR="005D7515">
              <w:rPr>
                <w:noProof/>
                <w:webHidden/>
              </w:rPr>
              <w:t>283</w:t>
            </w:r>
            <w:r>
              <w:rPr>
                <w:noProof/>
                <w:webHidden/>
              </w:rPr>
              <w:fldChar w:fldCharType="end"/>
            </w:r>
          </w:hyperlink>
        </w:p>
        <w:p w14:paraId="430E959A" w14:textId="75A81A3C" w:rsidR="00B26D27" w:rsidRDefault="00B26D27">
          <w:pPr>
            <w:pStyle w:val="TOC3"/>
            <w:tabs>
              <w:tab w:val="right" w:leader="dot" w:pos="9628"/>
            </w:tabs>
            <w:rPr>
              <w:rFonts w:eastAsiaTheme="minorEastAsia"/>
              <w:noProof/>
              <w:kern w:val="2"/>
              <w:sz w:val="22"/>
              <w:lang w:eastAsia="en-GB"/>
              <w14:ligatures w14:val="standardContextual"/>
            </w:rPr>
          </w:pPr>
          <w:hyperlink w:anchor="_Toc179962437" w:history="1">
            <w:r w:rsidRPr="009F5677">
              <w:rPr>
                <w:rStyle w:val="Hyperlink"/>
                <w:noProof/>
              </w:rPr>
              <w:t>Survey text</w:t>
            </w:r>
            <w:r>
              <w:rPr>
                <w:noProof/>
                <w:webHidden/>
              </w:rPr>
              <w:tab/>
            </w:r>
            <w:r>
              <w:rPr>
                <w:noProof/>
                <w:webHidden/>
              </w:rPr>
              <w:fldChar w:fldCharType="begin"/>
            </w:r>
            <w:r>
              <w:rPr>
                <w:noProof/>
                <w:webHidden/>
              </w:rPr>
              <w:instrText xml:space="preserve"> PAGEREF _Toc179962437 \h </w:instrText>
            </w:r>
            <w:r>
              <w:rPr>
                <w:noProof/>
                <w:webHidden/>
              </w:rPr>
            </w:r>
            <w:r>
              <w:rPr>
                <w:noProof/>
                <w:webHidden/>
              </w:rPr>
              <w:fldChar w:fldCharType="separate"/>
            </w:r>
            <w:r w:rsidR="005D7515">
              <w:rPr>
                <w:noProof/>
                <w:webHidden/>
              </w:rPr>
              <w:t>285</w:t>
            </w:r>
            <w:r>
              <w:rPr>
                <w:noProof/>
                <w:webHidden/>
              </w:rPr>
              <w:fldChar w:fldCharType="end"/>
            </w:r>
          </w:hyperlink>
        </w:p>
        <w:p w14:paraId="5124214A" w14:textId="17C59718" w:rsidR="00260DE5" w:rsidRPr="00C05886" w:rsidRDefault="00260DE5">
          <w:r w:rsidRPr="00C05886">
            <w:rPr>
              <w:b/>
              <w:bCs/>
            </w:rPr>
            <w:fldChar w:fldCharType="end"/>
          </w:r>
        </w:p>
      </w:sdtContent>
    </w:sdt>
    <w:p w14:paraId="3B06D12C" w14:textId="77777777" w:rsidR="00260DE5" w:rsidRPr="00C05886" w:rsidRDefault="00260DE5">
      <w:pPr>
        <w:spacing w:line="259" w:lineRule="auto"/>
        <w:jc w:val="left"/>
      </w:pPr>
      <w:r w:rsidRPr="00C05886">
        <w:br w:type="page"/>
      </w:r>
    </w:p>
    <w:p w14:paraId="0C9A5C12" w14:textId="77777777" w:rsidR="00505B49" w:rsidRPr="00C05886" w:rsidRDefault="00505B49">
      <w:pPr>
        <w:spacing w:line="259" w:lineRule="auto"/>
        <w:rPr>
          <w:rFonts w:asciiTheme="majorHAnsi" w:eastAsiaTheme="majorEastAsia" w:hAnsiTheme="majorHAnsi" w:cstheme="majorBidi"/>
          <w:sz w:val="56"/>
          <w:szCs w:val="32"/>
        </w:rPr>
      </w:pPr>
    </w:p>
    <w:p w14:paraId="04D8BD6E" w14:textId="1E6912C8" w:rsidR="00601862" w:rsidRPr="00C05886" w:rsidRDefault="00C12E53" w:rsidP="00173BB8">
      <w:pPr>
        <w:pStyle w:val="Heading1"/>
      </w:pPr>
      <w:bookmarkStart w:id="3" w:name="_Toc179962268"/>
      <w:r w:rsidRPr="00C05886">
        <w:t xml:space="preserve">Chapter 1 </w:t>
      </w:r>
      <w:r w:rsidR="00173BB8" w:rsidRPr="00C05886">
        <w:br/>
      </w:r>
      <w:r w:rsidR="00CF2447" w:rsidRPr="00C05886">
        <w:t>Introduction</w:t>
      </w:r>
      <w:bookmarkEnd w:id="3"/>
    </w:p>
    <w:p w14:paraId="4694C8CD" w14:textId="4346083B" w:rsidR="00A824B0" w:rsidRPr="00C05886" w:rsidRDefault="00A824B0" w:rsidP="00C12E53">
      <w:pPr>
        <w:pStyle w:val="Heading2"/>
      </w:pPr>
      <w:bookmarkStart w:id="4" w:name="_Toc179962269"/>
      <w:r w:rsidRPr="00C05886">
        <w:t>Background and context</w:t>
      </w:r>
      <w:bookmarkEnd w:id="4"/>
    </w:p>
    <w:p w14:paraId="48EC2B25" w14:textId="59E00D84" w:rsidR="000F6367" w:rsidRPr="00C05886" w:rsidRDefault="00A824B0" w:rsidP="00A824B0">
      <w:r w:rsidRPr="00C05886">
        <w:t xml:space="preserve">This thesis investigated the specific relationship between </w:t>
      </w:r>
      <w:r w:rsidR="0078506C" w:rsidRPr="00C05886">
        <w:t xml:space="preserve">mental well-being and </w:t>
      </w:r>
      <w:r w:rsidRPr="00C05886">
        <w:t xml:space="preserve">urban </w:t>
      </w:r>
      <w:r w:rsidR="00B51195" w:rsidRPr="00C05886">
        <w:t>species richness</w:t>
      </w:r>
      <w:r w:rsidRPr="00C05886">
        <w:t xml:space="preserve">, here defined as the </w:t>
      </w:r>
      <w:r w:rsidR="00DD1570" w:rsidRPr="00C05886">
        <w:t xml:space="preserve">number </w:t>
      </w:r>
      <w:r w:rsidRPr="00C05886">
        <w:t xml:space="preserve">of species in </w:t>
      </w:r>
      <w:r w:rsidR="006B12B6" w:rsidRPr="00C05886">
        <w:t>an</w:t>
      </w:r>
      <w:r w:rsidRPr="00C05886">
        <w:t xml:space="preserve"> </w:t>
      </w:r>
      <w:r w:rsidR="005877F6" w:rsidRPr="00C05886">
        <w:t xml:space="preserve">urban </w:t>
      </w:r>
      <w:r w:rsidRPr="00C05886">
        <w:t>green</w:t>
      </w:r>
      <w:r w:rsidR="002D5BA0" w:rsidRPr="00C05886">
        <w:t xml:space="preserve"> </w:t>
      </w:r>
      <w:r w:rsidRPr="00C05886">
        <w:t xml:space="preserve">space. </w:t>
      </w:r>
    </w:p>
    <w:p w14:paraId="68EBBEC8" w14:textId="00820777" w:rsidR="00835005" w:rsidRPr="00C05886" w:rsidRDefault="009F5C51" w:rsidP="000F6367">
      <w:r w:rsidRPr="00C05886">
        <w:rPr>
          <w:rFonts w:cstheme="minorHAnsi"/>
          <w:szCs w:val="24"/>
        </w:rPr>
        <w:t>Research show</w:t>
      </w:r>
      <w:r w:rsidR="00835005" w:rsidRPr="00C05886">
        <w:rPr>
          <w:rFonts w:cstheme="minorHAnsi"/>
          <w:szCs w:val="24"/>
        </w:rPr>
        <w:t>ed</w:t>
      </w:r>
      <w:r w:rsidRPr="00C05886">
        <w:rPr>
          <w:rFonts w:cstheme="minorHAnsi"/>
          <w:szCs w:val="24"/>
        </w:rPr>
        <w:t xml:space="preserve"> that</w:t>
      </w:r>
      <w:r w:rsidR="00146546" w:rsidRPr="00C05886">
        <w:rPr>
          <w:rFonts w:cstheme="minorHAnsi"/>
          <w:szCs w:val="24"/>
        </w:rPr>
        <w:t xml:space="preserve"> urban green</w:t>
      </w:r>
      <w:r w:rsidR="002D5BA0" w:rsidRPr="00C05886">
        <w:rPr>
          <w:rFonts w:cstheme="minorHAnsi"/>
          <w:szCs w:val="24"/>
        </w:rPr>
        <w:t xml:space="preserve"> </w:t>
      </w:r>
      <w:r w:rsidR="00146546" w:rsidRPr="00C05886">
        <w:rPr>
          <w:rFonts w:cstheme="minorHAnsi"/>
          <w:szCs w:val="24"/>
        </w:rPr>
        <w:t xml:space="preserve">spaces, </w:t>
      </w:r>
      <w:r w:rsidR="00562921" w:rsidRPr="00C05886">
        <w:rPr>
          <w:rFonts w:cstheme="minorHAnsi"/>
          <w:szCs w:val="24"/>
        </w:rPr>
        <w:t>including</w:t>
      </w:r>
      <w:r w:rsidR="00146546" w:rsidRPr="00C05886">
        <w:rPr>
          <w:rFonts w:cstheme="minorHAnsi"/>
          <w:szCs w:val="24"/>
        </w:rPr>
        <w:t xml:space="preserve"> parks, woodlands</w:t>
      </w:r>
      <w:r w:rsidR="0078506C" w:rsidRPr="00C05886">
        <w:rPr>
          <w:rFonts w:cstheme="minorHAnsi"/>
          <w:szCs w:val="24"/>
        </w:rPr>
        <w:t xml:space="preserve">, </w:t>
      </w:r>
      <w:r w:rsidR="00146546" w:rsidRPr="00C05886">
        <w:rPr>
          <w:rFonts w:cstheme="minorHAnsi"/>
          <w:szCs w:val="24"/>
        </w:rPr>
        <w:t>gardens</w:t>
      </w:r>
      <w:r w:rsidR="00562921" w:rsidRPr="00C05886">
        <w:rPr>
          <w:rFonts w:cstheme="minorHAnsi"/>
          <w:szCs w:val="24"/>
        </w:rPr>
        <w:t xml:space="preserve"> and others</w:t>
      </w:r>
      <w:r w:rsidR="00146546" w:rsidRPr="00C05886">
        <w:rPr>
          <w:rFonts w:cstheme="minorHAnsi"/>
          <w:szCs w:val="24"/>
        </w:rPr>
        <w:t xml:space="preserve">, provide </w:t>
      </w:r>
      <w:r w:rsidR="00562921" w:rsidRPr="00C05886">
        <w:rPr>
          <w:rFonts w:cstheme="minorHAnsi"/>
          <w:szCs w:val="24"/>
        </w:rPr>
        <w:t>recovery and restoration</w:t>
      </w:r>
      <w:r w:rsidR="00146546" w:rsidRPr="00C05886">
        <w:rPr>
          <w:rFonts w:cstheme="minorHAnsi"/>
          <w:szCs w:val="24"/>
        </w:rPr>
        <w:t xml:space="preserve"> from stressful city life</w:t>
      </w:r>
      <w:r w:rsidR="00835005" w:rsidRPr="00C05886">
        <w:rPr>
          <w:rFonts w:cstheme="minorHAnsi"/>
          <w:szCs w:val="24"/>
        </w:rPr>
        <w:t xml:space="preserve"> </w:t>
      </w:r>
      <w:r w:rsidR="00872E1A" w:rsidRPr="00C05886">
        <w:rPr>
          <w:rFonts w:cstheme="minorHAnsi"/>
          <w:szCs w:val="24"/>
        </w:rPr>
        <w:fldChar w:fldCharType="begin"/>
      </w:r>
      <w:r w:rsidR="000309A4" w:rsidRPr="00C05886">
        <w:rPr>
          <w:rFonts w:cstheme="minorHAnsi"/>
          <w:szCs w:val="24"/>
        </w:rPr>
        <w:instrText xml:space="preserve"> ADDIN ZOTERO_ITEM CSL_CITATION {"citationID":"a2HEyv4A","properties":{"formattedCitation":"(Frumkin {\\i{}et al.}, 2017)","plainCitation":"(Frumkin et al., 2017)","noteIndex":0},"citationItems":[{"id":6963,"uris":["http://zotero.org/users/10951124/items/8MTPBJ48"],"itemData":{"id":6963,"type":"article-journal","abstract":"Background: At a time of increasing disconnectedness from nature, scientific interest in the potential health benefits of nature contact has grown. Research in recent decades has yielded substantial evidence, but large gaps remain in our understanding. Objectives: We propose a research agenda on nature contact and health, identifying principal domains of research and key questions that, if answered, would provide the basis for evidence-based public health interventions. Discussion: We identify research questions in seven domains: a) mechanistic biomedical studies","container-title":"Environmental Health Perspectives (Online)","DOI":"10.1289/EHP1663","ISSN":"00916765","issue":"7","note":"publisher-place: Research Triangle Park","title":"Nature Contact and Human Health: A Research Agenda","volume":"125","author":[{"family":"Frumkin","given":"Howard"},{"family":"Bratman","given":"Gregory"},{"family":"Breslow","given":"Sara"},{"family":"Cochran","given":"Bobby"},{"family":"Kahn","given":"Peter"},{"family":"Lawler","given":"Joshua"},{"family":"Levin","given":"Phillip"},{"family":"Tandon","given":"Pooja"},{"family":"Varanasi","given":"Usha"},{"family":"Wolf","given":"Kathleen"},{"family":"Wood","given":"Spencer"}],"issued":{"date-parts":[["2017"]]}}}],"schema":"https://github.com/citation-style-language/schema/raw/master/csl-citation.json"} </w:instrText>
      </w:r>
      <w:r w:rsidR="00872E1A" w:rsidRPr="00C05886">
        <w:rPr>
          <w:rFonts w:cstheme="minorHAnsi"/>
          <w:szCs w:val="24"/>
        </w:rPr>
        <w:fldChar w:fldCharType="separate"/>
      </w:r>
      <w:r w:rsidR="000309A4" w:rsidRPr="00C05886">
        <w:rPr>
          <w:rFonts w:ascii="Calibri" w:hAnsi="Calibri" w:cs="Calibri"/>
          <w:szCs w:val="24"/>
        </w:rPr>
        <w:t xml:space="preserve">(Frumkin </w:t>
      </w:r>
      <w:r w:rsidR="000309A4" w:rsidRPr="00C05886">
        <w:rPr>
          <w:rFonts w:ascii="Calibri" w:hAnsi="Calibri" w:cs="Calibri"/>
          <w:i/>
          <w:iCs/>
          <w:szCs w:val="24"/>
        </w:rPr>
        <w:t>et al.</w:t>
      </w:r>
      <w:r w:rsidR="000309A4" w:rsidRPr="00C05886">
        <w:rPr>
          <w:rFonts w:ascii="Calibri" w:hAnsi="Calibri" w:cs="Calibri"/>
          <w:szCs w:val="24"/>
        </w:rPr>
        <w:t>, 2017)</w:t>
      </w:r>
      <w:r w:rsidR="00872E1A" w:rsidRPr="00C05886">
        <w:rPr>
          <w:rFonts w:cstheme="minorHAnsi"/>
          <w:szCs w:val="24"/>
        </w:rPr>
        <w:fldChar w:fldCharType="end"/>
      </w:r>
      <w:r w:rsidR="00146546" w:rsidRPr="00C05886">
        <w:rPr>
          <w:rFonts w:cstheme="minorHAnsi"/>
          <w:szCs w:val="24"/>
        </w:rPr>
        <w:t>. However, research also suggest</w:t>
      </w:r>
      <w:r w:rsidR="00562921" w:rsidRPr="00C05886">
        <w:rPr>
          <w:rFonts w:cstheme="minorHAnsi"/>
          <w:szCs w:val="24"/>
        </w:rPr>
        <w:t>ed</w:t>
      </w:r>
      <w:r w:rsidR="00146546" w:rsidRPr="00C05886">
        <w:rPr>
          <w:rFonts w:cstheme="minorHAnsi"/>
          <w:szCs w:val="24"/>
        </w:rPr>
        <w:t xml:space="preserve"> that not all </w:t>
      </w:r>
      <w:r w:rsidR="00FA5668" w:rsidRPr="00C05886">
        <w:rPr>
          <w:rFonts w:cstheme="minorHAnsi"/>
          <w:szCs w:val="24"/>
        </w:rPr>
        <w:t xml:space="preserve">green spaces are at the same quality </w:t>
      </w:r>
      <w:r w:rsidR="00B31625" w:rsidRPr="00C05886">
        <w:rPr>
          <w:rFonts w:cstheme="minorHAnsi"/>
          <w:szCs w:val="24"/>
        </w:rPr>
        <w:t xml:space="preserve">level </w:t>
      </w:r>
      <w:r w:rsidR="00FA5668" w:rsidRPr="00C05886">
        <w:rPr>
          <w:rFonts w:cstheme="minorHAnsi"/>
          <w:szCs w:val="24"/>
        </w:rPr>
        <w:t>and can equally improve well-being</w:t>
      </w:r>
      <w:r w:rsidR="00146546" w:rsidRPr="00C05886">
        <w:rPr>
          <w:rFonts w:cstheme="minorHAnsi"/>
          <w:szCs w:val="24"/>
        </w:rPr>
        <w:t xml:space="preserve"> </w:t>
      </w:r>
      <w:r w:rsidR="00562921" w:rsidRPr="00C05886">
        <w:rPr>
          <w:rFonts w:cstheme="minorHAnsi"/>
          <w:color w:val="FF0000"/>
          <w:szCs w:val="24"/>
        </w:rPr>
        <w:t xml:space="preserve"> </w:t>
      </w:r>
      <w:r w:rsidR="00562921" w:rsidRPr="00C05886">
        <w:rPr>
          <w:rFonts w:cstheme="minorHAnsi"/>
          <w:color w:val="FF0000"/>
          <w:szCs w:val="24"/>
        </w:rPr>
        <w:fldChar w:fldCharType="begin"/>
      </w:r>
      <w:r w:rsidR="009947CC" w:rsidRPr="00C05886">
        <w:rPr>
          <w:rFonts w:cstheme="minorHAnsi"/>
          <w:color w:val="FF0000"/>
          <w:szCs w:val="24"/>
        </w:rPr>
        <w:instrText xml:space="preserve"> ADDIN ZOTERO_ITEM CSL_CITATION {"citationID":"tAR2wDoy","properties":{"formattedCitation":"(Wood {\\i{}et al.}, 2018)","plainCitation":"(Wood et al., 2018)","noteIndex":0},"citationItems":[{"id":6137,"uris":["http://zotero.org/users/10951124/items/MSVULKE3"],"itemData":{"id":6137,"type":"article-journal","abstract":"© 2018 Wood, Harsant, Dallimer, Cronin de Chavez, McEachan and Hassall. Contemporary epidemiological methods testing the associations between green space and psychological well-being treat all vegetation cover as equal. However, there is very good reason to expect that variations in ecological \"quality\" (number of species, integrity of ecological processes) may influence the link between access to green space and benefits to human health and well-being. We test the relationship between green space quality and restorative benefit in an inner city urban population in Bradford, United Kingdom. We selected 12 urban parks for study where we carried out botanical and faunal surveys to quantify biodiversity and assessed the site facilities of the green space (cleanliness, provision of amenities). We also conducted 128 surveys with park users to quantify psychological restoration based on four self-reported measure of general restoration, attention-grabbing distractions, being away from everyday life, and site preference. We present three key results. First, there is a positive association between site facilities and biodiversity. Second, restorative benefit is predicted by biodiversity, which explained 43% of the variance in restorative benefit across the parks, with minimal input from other variables. Third, the benefits accrued through access to green space were unrelated to age, gender, and ethnic background. The results add to a small but growing body of evidence that emphasize the role of nature in contributing to the well-being of urban populations and, hence, the need to consider biodiversity in the design of landscapes that enhance multiple ecosystem services.","container-title":"Frontiers in Psychology","DOI":"10.3389/fpsyg.2018.02320","issue":"NOV","title":"Not all green space is created equal: Biodiversity predicts psychological restorative benefits from urban green space","volume":"9","author":[{"family":"Wood","given":"E."},{"family":"Harsant","given":"A."},{"family":"Dallimer","given":"M."},{"family":"Chavez","given":"A.C.","non-dropping-particle":"de"},{"family":"McEachan","given":"R.R.C."},{"family":"Hassall","given":"C."}],"issued":{"date-parts":[["2018"]]}}}],"schema":"https://github.com/citation-style-language/schema/raw/master/csl-citation.json"} </w:instrText>
      </w:r>
      <w:r w:rsidR="00562921" w:rsidRPr="00C05886">
        <w:rPr>
          <w:rFonts w:cstheme="minorHAnsi"/>
          <w:color w:val="FF0000"/>
          <w:szCs w:val="24"/>
        </w:rPr>
        <w:fldChar w:fldCharType="separate"/>
      </w:r>
      <w:r w:rsidR="009947CC" w:rsidRPr="00C05886">
        <w:rPr>
          <w:rFonts w:ascii="Calibri" w:hAnsi="Calibri" w:cs="Calibri"/>
          <w:szCs w:val="24"/>
        </w:rPr>
        <w:t xml:space="preserve">(Wood </w:t>
      </w:r>
      <w:r w:rsidR="009947CC" w:rsidRPr="00C05886">
        <w:rPr>
          <w:rFonts w:ascii="Calibri" w:hAnsi="Calibri" w:cs="Calibri"/>
          <w:i/>
          <w:iCs/>
          <w:szCs w:val="24"/>
        </w:rPr>
        <w:t>et al.</w:t>
      </w:r>
      <w:r w:rsidR="009947CC" w:rsidRPr="00C05886">
        <w:rPr>
          <w:rFonts w:ascii="Calibri" w:hAnsi="Calibri" w:cs="Calibri"/>
          <w:szCs w:val="24"/>
        </w:rPr>
        <w:t>, 2018)</w:t>
      </w:r>
      <w:r w:rsidR="00562921" w:rsidRPr="00C05886">
        <w:rPr>
          <w:rFonts w:cstheme="minorHAnsi"/>
          <w:color w:val="FF0000"/>
          <w:szCs w:val="24"/>
        </w:rPr>
        <w:fldChar w:fldCharType="end"/>
      </w:r>
      <w:r w:rsidR="0078506C" w:rsidRPr="00C05886">
        <w:rPr>
          <w:rFonts w:cstheme="minorHAnsi"/>
          <w:szCs w:val="24"/>
        </w:rPr>
        <w:t>.</w:t>
      </w:r>
      <w:r w:rsidR="00146546" w:rsidRPr="00C05886">
        <w:rPr>
          <w:rFonts w:cstheme="minorHAnsi"/>
          <w:color w:val="FF0000"/>
          <w:szCs w:val="24"/>
        </w:rPr>
        <w:t xml:space="preserve"> </w:t>
      </w:r>
      <w:r w:rsidR="00562921" w:rsidRPr="00C05886">
        <w:t xml:space="preserve">Differences in self-reported well-being here were found between green spaces with different </w:t>
      </w:r>
      <w:r w:rsidR="005A7088" w:rsidRPr="00C05886">
        <w:t>sizes</w:t>
      </w:r>
      <w:r w:rsidR="00562921" w:rsidRPr="00C05886">
        <w:t xml:space="preserve">, facilities, access, </w:t>
      </w:r>
      <w:r w:rsidR="0078506C" w:rsidRPr="00C05886">
        <w:t xml:space="preserve">and </w:t>
      </w:r>
      <w:r w:rsidR="00562921" w:rsidRPr="00C05886">
        <w:t xml:space="preserve">management. However, </w:t>
      </w:r>
      <w:r w:rsidR="00DD1570" w:rsidRPr="00C05886">
        <w:t xml:space="preserve">since </w:t>
      </w:r>
      <w:r w:rsidR="00562921" w:rsidRPr="00C05886">
        <w:t>there is no green space without a</w:t>
      </w:r>
      <w:r w:rsidR="00DD1570" w:rsidRPr="00C05886">
        <w:t xml:space="preserve"> minimum of plants and animals, </w:t>
      </w:r>
      <w:r w:rsidR="00562921" w:rsidRPr="00C05886">
        <w:t xml:space="preserve">differences in the number of species </w:t>
      </w:r>
      <w:r w:rsidR="00D612DA">
        <w:t>in</w:t>
      </w:r>
      <w:r w:rsidR="00D612DA" w:rsidRPr="00C05886">
        <w:t xml:space="preserve"> </w:t>
      </w:r>
      <w:r w:rsidR="003E07AE" w:rsidRPr="00C05886">
        <w:t xml:space="preserve">a green space could affect well-being. </w:t>
      </w:r>
    </w:p>
    <w:p w14:paraId="418CEBFA" w14:textId="1128EC5A" w:rsidR="003E07AE" w:rsidRPr="00C05886" w:rsidRDefault="00562921" w:rsidP="00835005">
      <w:r w:rsidRPr="00C05886">
        <w:rPr>
          <w:rFonts w:cstheme="minorHAnsi"/>
          <w:szCs w:val="24"/>
        </w:rPr>
        <w:t>T</w:t>
      </w:r>
      <w:r w:rsidR="00146546" w:rsidRPr="00C05886">
        <w:rPr>
          <w:rFonts w:cstheme="minorHAnsi"/>
          <w:szCs w:val="24"/>
        </w:rPr>
        <w:t xml:space="preserve">he </w:t>
      </w:r>
      <w:r w:rsidR="00DD1570" w:rsidRPr="00C05886">
        <w:rPr>
          <w:rFonts w:cstheme="minorHAnsi"/>
          <w:szCs w:val="24"/>
        </w:rPr>
        <w:t>species richness</w:t>
      </w:r>
      <w:r w:rsidR="00146546" w:rsidRPr="00C05886">
        <w:rPr>
          <w:rFonts w:cstheme="minorHAnsi"/>
          <w:szCs w:val="24"/>
        </w:rPr>
        <w:t xml:space="preserve"> </w:t>
      </w:r>
      <w:r w:rsidR="00B31625" w:rsidRPr="00C05886">
        <w:rPr>
          <w:rFonts w:cstheme="minorHAnsi"/>
          <w:szCs w:val="24"/>
        </w:rPr>
        <w:t>in</w:t>
      </w:r>
      <w:r w:rsidR="00FA5668" w:rsidRPr="00C05886">
        <w:rPr>
          <w:rFonts w:cstheme="minorHAnsi"/>
          <w:szCs w:val="24"/>
        </w:rPr>
        <w:t xml:space="preserve"> a green space has been related</w:t>
      </w:r>
      <w:r w:rsidR="00146546" w:rsidRPr="00C05886">
        <w:rPr>
          <w:rFonts w:cstheme="minorHAnsi"/>
          <w:szCs w:val="24"/>
        </w:rPr>
        <w:t xml:space="preserve"> </w:t>
      </w:r>
      <w:r w:rsidR="00B31625" w:rsidRPr="00C05886">
        <w:rPr>
          <w:rFonts w:cstheme="minorHAnsi"/>
          <w:szCs w:val="24"/>
        </w:rPr>
        <w:t>to</w:t>
      </w:r>
      <w:r w:rsidR="00146546" w:rsidRPr="00C05886">
        <w:rPr>
          <w:rFonts w:cstheme="minorHAnsi"/>
          <w:szCs w:val="24"/>
        </w:rPr>
        <w:t xml:space="preserve"> mood improvement and physiological stress reduction, although </w:t>
      </w:r>
      <w:r w:rsidR="00FA5668" w:rsidRPr="00C05886">
        <w:rPr>
          <w:rFonts w:cstheme="minorHAnsi"/>
          <w:szCs w:val="24"/>
        </w:rPr>
        <w:t>the evidence provided by previous studies is</w:t>
      </w:r>
      <w:r w:rsidR="00146546" w:rsidRPr="00C05886">
        <w:rPr>
          <w:rFonts w:cstheme="minorHAnsi"/>
          <w:szCs w:val="24"/>
        </w:rPr>
        <w:t xml:space="preserve"> often hard to compare</w:t>
      </w:r>
      <w:r w:rsidR="00BC3140" w:rsidRPr="00C05886">
        <w:rPr>
          <w:rFonts w:cstheme="minorHAnsi"/>
          <w:szCs w:val="24"/>
        </w:rPr>
        <w:t>.</w:t>
      </w:r>
      <w:r w:rsidR="000F6367" w:rsidRPr="00C05886">
        <w:t xml:space="preserve"> </w:t>
      </w:r>
      <w:r w:rsidR="003E07AE" w:rsidRPr="00C05886">
        <w:rPr>
          <w:rFonts w:cstheme="minorHAnsi"/>
          <w:szCs w:val="24"/>
        </w:rPr>
        <w:t xml:space="preserve">Several studies, including research from Sheffield, found that better mental well-being was reported by participants who spent time in green spaces with higher </w:t>
      </w:r>
      <w:r w:rsidR="00DD1570" w:rsidRPr="00C05886">
        <w:rPr>
          <w:rFonts w:cstheme="minorHAnsi"/>
          <w:szCs w:val="24"/>
        </w:rPr>
        <w:t xml:space="preserve">species richness </w:t>
      </w:r>
      <w:r w:rsidR="003E07AE" w:rsidRPr="00C05886">
        <w:rPr>
          <w:rFonts w:cstheme="minorHAnsi"/>
          <w:szCs w:val="24"/>
        </w:rPr>
        <w:fldChar w:fldCharType="begin" w:fldLock="1"/>
      </w:r>
      <w:r w:rsidR="00A35208">
        <w:rPr>
          <w:rFonts w:cstheme="minorHAnsi"/>
          <w:szCs w:val="24"/>
        </w:rPr>
        <w:instrText xml:space="preserve"> ADDIN ZOTERO_ITEM CSL_CITATION {"citationID":"wqJTIjlg","properties":{"formattedCitation":"(Fuller {\\i{}et al.}, 2007; Clark {\\i{}et al.}, 2014; Carrus {\\i{}et al.}, 2015; Wolf {\\i{}et al.}, 2017; Wood {\\i{}et al.}, 2018; Cameron {\\i{}et al.}, 2020)","plainCitation":"(Fuller et al., 2007; Clark et al., 2014; Carrus et al., 2015; Wolf et al., 2017; Wood et al., 2018; Cameron et al., 2020)","noteIndex":0},"citationItems":[{"id":5311,"uris":["http://zotero.org/users/10951124/items/7YKDXNX8"],"itemData":{"id":5311,"type":"article-journal","abstract":"The world's human population is becoming concentrated into cities, giving rise to concerns that it is becoming increasingly isolated from nature. Urban public greenspaces form the arena of many people's daily contact with nature and such contact has measurable physical and psychological benefits. Here we show that these psychological benefits increase with the species richness of urban greenspaces. Moreover, we demonstrate that greenspace users can more or less accurately perceive species richness depending on the taxonomic group in question. These results indicate that successful management of urban greenspaces should emphasize biological complexity to enhance human well-being in addition to biodiversity conservation. © 2007 The Royal Society.","container-title":"Biology letters","DOI":"10.1098/rsbl.2007.0149","ISSN":"1744-9561","issue":"4","note":"PMID: 17504734","page":"390-394","title":"Psychological benefits of greenspace increase with biodiversity.","volume":"3","author":[{"family":"Fuller","given":"Richard A."},{"family":"Irvine","given":"Katherine N."},{"family":"Devine-Wright","given":"Patrick"},{"family":"Warren","given":"Philip H."},{"family":"Gaston","given":"Kevin J."}],"editor":[{"family":"Fuller","given":"Richard A"}],"issued":{"date-parts":[["2007"]]}}},{"id":"6pP8vKpK/Aw3n6qZr","uris":["http://www.mendeley.com/documents/?uuid=cedeb483-dcc3-4aa6-9a6c-19eacf1b80af"],"itemData":{"DOI":"10.1016/j.tree.2014.01.009","ISSN":"0169-5347","abstract":"&lt;p&gt;Direct contact with biodiversity is culturally important in a range of contexts. Many people even join conservation organisations to protect biodiversity that they will never encounter first-hand. Despite this, we have little idea how biodiversity affects people's well-being and health through these cultural pathways. Human health is sensitive to apparently trivial psychological stimuli, negatively affected by the risk of environmental degradation, and positively affected by contact with natural spaces. This suggests that well-being and health should be affected by biodiversity change, but few studies have begun to explore these relationships. Here, we develop a framework for linking biodiversity change with human cultural values, well-being, and health. We argue that better understanding these relations might be profoundly important for biodiversity conservation and public health.&lt;/p&gt;","author":[{"dropping-particle":"","family":"Clark","given":"Natalie E","non-dropping-particle":"","parse-names":false,"suffix":""},{"dropping-particle":"","family":"Lovell","given":"Rebecca","non-dropping-particle":"","parse-names":false,"suffix":""},{"dropping-particle":"","family":"Wheeler","given":"Benedict W","non-dropping-particle":"","parse-names":false,"suffix":""},{"dropping-particle":"","family":"Higgins","given":"Sahran L","non-dropping-particle":"","parse-names":false,"suffix":""},{"dropping-particle":"","family":"Depledge","given":"Michael H","non-dropping-particle":"","parse-names":false,"suffix":""},{"dropping-particle":"","family":"Norris","given":"Ken","non-dropping-particle":"","parse-names":false,"suffix":""}],"container-title":"Trends in Ecology &amp; Evolution","id":"ITEM-2","issue":"4","issued":{"date-parts":[["2014"]]},"note":"qui si propone una mediazione culturale sull'impatto della biodiversità sul benessere. sono proposte 4 vie indirette: \n1) meno biodiversità= meno beni culturali;\n2) meno beni culturali= meno valori culturali\n3) meno valori=meno benessere\n4) meno benessere= più malattie","page":"198-204","title":"Biodiversity, cultural pathways, and human health: a framework","type":"article-journal","volume":"29"}},{"id":6088,"uris":["http://zotero.org/users/10951124/items/U3H7UD62"],"itemData":{"id":6088,"type":"article-journal","abstract":"© 2014 Elsevier B.V. The literature on human experience in green environments had widely showed the positive outcomes of getting in contact with nature. This study addresses the issue of whether urban residents' evaluations of urban and peri-urban natural settings and the positive outcomes deriving from contact with such settings vary as a function of their biodiversity. A field study assessed benefits and subjective well-being reported by urban residents visiting four different typologies of green spaces, selected on the basis of urban forestry expert criteria according to a 2. ×. 2 factorial design. The biodiversity level (low vs. high) was crossed with the setting location (urban vs. peri-urban) as follows: urban squares with green elements, urban parks, pinewood forest plantations, and peri-urban natural protected areas. A questionnaire including measures of length and frequency of visits, perceived restorativeness, and self-reported benefits of the visit to the green spaces was administered in situ to 569 residents of four Italian medium-to-large size cities: Bari, Florence, Rome and Padua. Results showed the positive role of biodiversity upon perceived restorative properties and self-reported benefits for urban and peri-urban green spaces. Consistently with the hypotheses reported herein, a mediation role of perceived restorativeness in the relation between experience of natural settings (i.e. higher level of biodiversity) and self-reported benefits was found. The design and management implications of the findings are discussed.","container-title":"Landscape and Urban Planning","DOI":"10.1016/j.landurbplan.2014.10.022","page":"221-228","title":"Go greener, feel better? The positive effects of biodiversity on the well-being of individuals visiting urban and peri-urban green areas","volume":"134","author":[{"family":"Carrus","given":"G."},{"family":"Scopelliti","given":"M."},{"family":"Lafortezza","given":"R."},{"family":"Colangelo","given":"G."},{"family":"Ferrini","given":"F."},{"family":"Salbitano","given":"F."},{"family":"Agrimi","given":"M."},{"family":"Portoghesi","given":"L."},{"family":"Semenzato","given":"P."},{"family":"Sanesi","given":"G."}],"issued":{"date-parts":[["2015"]]}}},{"id":4925,"uris":["http://zotero.org/users/10951124/items/T2WHLDQG"],"itemData":{"id":4925,"type":"article-journal","container-title":"PloS one","DOI":"10.1371/journal.pone.0170225","issue":"1","page":"e0170225-e0170225","title":"Is Variety the Spice of Life? An Experimental Investigation into the Effects of Species Richness on Self-Reported Mental Well-Being.","volume":"12","author":[{"family":"Wolf","given":"Lukas J"},{"family":"Zu Ermgassen","given":"Sophus"},{"family":"Balmford","given":"Andrew"},{"family":"White","given":"Mathew"},{"family":"Weinstein","given":"Netta"}],"editor":[{"family":"Wolf","given":"Lukas J"}],"issued":{"date-parts":[["2017"]]}}},{"id":6137,"uris":["http://zotero.org/users/10951124/items/MSVULKE3"],"itemData":{"id":6137,"type":"article-journal","abstract":"© 2018 Wood, Harsant, Dallimer, Cronin de Chavez, McEachan and Hassall. Contemporary epidemiological methods testing the associations between green space and psychological well-being treat all vegetation cover as equal. However, there is very good reason to expect that variations in ecological \"quality\" (number of species, integrity of ecological processes) may influence the link between access to green space and benefits to human health and well-being. We test the relationship between green space quality and restorative benefit in an inner city urban population in Bradford, United Kingdom. We selected 12 urban parks for study where we carried out botanical and faunal surveys to quantify biodiversity and assessed the site facilities of the green space (cleanliness, provision of amenities). We also conducted 128 surveys with park users to quantify psychological restoration based on four self-reported measure of general restoration, attention-grabbing distractions, being away from everyday life, and site preference. We present three key results. First, there is a positive association between site facilities and biodiversity. Second, restorative benefit is predicted by biodiversity, which explained 43% of the variance in restorative benefit across the parks, with minimal input from other variables. Third, the benefits accrued through access to green space were unrelated to age, gender, and ethnic background. The results add to a small but growing body of evidence that emphasize the role of nature in contributing to the well-being of urban populations and, hence, the need to consider biodiversity in the design of landscapes that enhance multiple ecosystem services.","container-title":"Frontiers in Psychology","DOI":"10.3389/fpsyg.2018.02320","issue":"NOV","title":"Not all green space is created equal: Biodiversity predicts psychological restorative benefits from urban green space","volume":"9","author":[{"family":"Wood","given":"E."},{"family":"Harsant","given":"A."},{"family":"Dallimer","given":"M."},{"family":"Chavez","given":"A.C.","non-dropping-particle":"de"},{"family":"McEachan","given":"R.R.C."},{"family":"Hassall","given":"C."}],"issued":{"date-parts":[["2018"]]}}},{"id":5002,"uris":["http://zotero.org/users/10951124/items/CAJX7VIQ"],"itemData":{"id":5002,"type":"article-journal","abstract":"Urban green space can help mitigate the negative impacts of urban living and provide positive effects on citizens’ mood, health and well-being. Questions remain, however, as to whether all types of green space are equally beneficial, and if not, what landscape forms or key features optimise the desired benefits. For example, it has been cited that urban landscapes rich in wildlife (high biodiversity) may promote more positive emotions and enhance well-being. This research utilised a mobile phone App, employed to assess people’s emotions when they entered any one of 945 green spaces within the city of Sheffield, UK. Emotional responses were correlated to key traits of the individual green spaces, including levels of biodiversity the participant perceived around them. For a subsample of these green spaces, actual levels of biodiversity were assessed through avian and habitat surveys. Results demonstrated strong correlations between levels of avian biodiversity within a green space and human emotional response to that space. Respondents reported being happier in sites with greater avian biodiversity (p &lt; 0.01, r = 0.78) and a greater variety of habitats (p &lt; 0.02, r = 0.72). Relationships were strengthened when emotions were linked to perceptions of overall biodiversity (p &lt; 0.001, r = 0.89). So, when participants thought the site was wildlife rich, they reported more positive emotions, even when actual avian biodiversity levels were not necessarily enhanced. The data strengthens the arguments that nature enhances well-being through positive affect, and that increased ‘engagement with nature’ may help support human health within urban environments. The results have strong implications for city planning with respect to the design, management and use of city green spaces.","container-title":"Urban Ecosystems","DOI":"10.1007/s11252-020-00929-z","ISSN":"15731642","note":"publisher: Urban Ecosystems","title":"Where the wild things are! Do urban green spaces with greater avian biodiversity promote more positive emotions in humans?","author":[{"family":"Cameron","given":"Ross W.F."},{"family":"Brindley","given":"Paul"},{"family":"Mears","given":"Meghann"},{"family":"McEwan","given":"Kirsten"},{"family":"Ferguson","given":"Fiona"},{"family":"Sheffield","given":"David"},{"family":"Jorgensen","given":"Anna"},{"family":"Riley","given":"Julie"},{"family":"Goodrick","given":"Jon"},{"family":"Ballard","given":"Liz"},{"family":"Richardson","given":"Miles"}],"issued":{"date-parts":[["2020"]]}}}],"schema":"https://github.com/citation-style-language/schema/raw/master/csl-citation.json"} </w:instrText>
      </w:r>
      <w:r w:rsidR="003E07AE" w:rsidRPr="00C05886">
        <w:rPr>
          <w:rFonts w:cstheme="minorHAnsi"/>
          <w:szCs w:val="24"/>
        </w:rPr>
        <w:fldChar w:fldCharType="separate"/>
      </w:r>
      <w:r w:rsidR="009947CC" w:rsidRPr="00C05886">
        <w:rPr>
          <w:rFonts w:ascii="Calibri" w:hAnsi="Calibri" w:cs="Calibri"/>
          <w:szCs w:val="24"/>
        </w:rPr>
        <w:t xml:space="preserve">(Fuller </w:t>
      </w:r>
      <w:r w:rsidR="009947CC" w:rsidRPr="00C05886">
        <w:rPr>
          <w:rFonts w:ascii="Calibri" w:hAnsi="Calibri" w:cs="Calibri"/>
          <w:i/>
          <w:iCs/>
          <w:szCs w:val="24"/>
        </w:rPr>
        <w:t>et al.</w:t>
      </w:r>
      <w:r w:rsidR="009947CC" w:rsidRPr="00C05886">
        <w:rPr>
          <w:rFonts w:ascii="Calibri" w:hAnsi="Calibri" w:cs="Calibri"/>
          <w:szCs w:val="24"/>
        </w:rPr>
        <w:t xml:space="preserve">, 2007; Clark </w:t>
      </w:r>
      <w:r w:rsidR="009947CC" w:rsidRPr="00C05886">
        <w:rPr>
          <w:rFonts w:ascii="Calibri" w:hAnsi="Calibri" w:cs="Calibri"/>
          <w:i/>
          <w:iCs/>
          <w:szCs w:val="24"/>
        </w:rPr>
        <w:t>et al.</w:t>
      </w:r>
      <w:r w:rsidR="009947CC" w:rsidRPr="00C05886">
        <w:rPr>
          <w:rFonts w:ascii="Calibri" w:hAnsi="Calibri" w:cs="Calibri"/>
          <w:szCs w:val="24"/>
        </w:rPr>
        <w:t xml:space="preserve">, 2014; Carrus </w:t>
      </w:r>
      <w:r w:rsidR="009947CC" w:rsidRPr="00C05886">
        <w:rPr>
          <w:rFonts w:ascii="Calibri" w:hAnsi="Calibri" w:cs="Calibri"/>
          <w:i/>
          <w:iCs/>
          <w:szCs w:val="24"/>
        </w:rPr>
        <w:t>et al.</w:t>
      </w:r>
      <w:r w:rsidR="009947CC" w:rsidRPr="00C05886">
        <w:rPr>
          <w:rFonts w:ascii="Calibri" w:hAnsi="Calibri" w:cs="Calibri"/>
          <w:szCs w:val="24"/>
        </w:rPr>
        <w:t xml:space="preserve">, 2015; Wolf </w:t>
      </w:r>
      <w:r w:rsidR="009947CC" w:rsidRPr="00C05886">
        <w:rPr>
          <w:rFonts w:ascii="Calibri" w:hAnsi="Calibri" w:cs="Calibri"/>
          <w:i/>
          <w:iCs/>
          <w:szCs w:val="24"/>
        </w:rPr>
        <w:t>et al.</w:t>
      </w:r>
      <w:r w:rsidR="009947CC" w:rsidRPr="00C05886">
        <w:rPr>
          <w:rFonts w:ascii="Calibri" w:hAnsi="Calibri" w:cs="Calibri"/>
          <w:szCs w:val="24"/>
        </w:rPr>
        <w:t xml:space="preserve">, 2017; Wood </w:t>
      </w:r>
      <w:r w:rsidR="009947CC" w:rsidRPr="00C05886">
        <w:rPr>
          <w:rFonts w:ascii="Calibri" w:hAnsi="Calibri" w:cs="Calibri"/>
          <w:i/>
          <w:iCs/>
          <w:szCs w:val="24"/>
        </w:rPr>
        <w:t>et al.</w:t>
      </w:r>
      <w:r w:rsidR="009947CC" w:rsidRPr="00C05886">
        <w:rPr>
          <w:rFonts w:ascii="Calibri" w:hAnsi="Calibri" w:cs="Calibri"/>
          <w:szCs w:val="24"/>
        </w:rPr>
        <w:t xml:space="preserve">, 2018; Cameron </w:t>
      </w:r>
      <w:r w:rsidR="009947CC" w:rsidRPr="00C05886">
        <w:rPr>
          <w:rFonts w:ascii="Calibri" w:hAnsi="Calibri" w:cs="Calibri"/>
          <w:i/>
          <w:iCs/>
          <w:szCs w:val="24"/>
        </w:rPr>
        <w:t>et al.</w:t>
      </w:r>
      <w:r w:rsidR="009947CC" w:rsidRPr="00C05886">
        <w:rPr>
          <w:rFonts w:ascii="Calibri" w:hAnsi="Calibri" w:cs="Calibri"/>
          <w:szCs w:val="24"/>
        </w:rPr>
        <w:t>, 2020)</w:t>
      </w:r>
      <w:r w:rsidR="003E07AE" w:rsidRPr="00C05886">
        <w:rPr>
          <w:rFonts w:cstheme="minorHAnsi"/>
          <w:szCs w:val="24"/>
        </w:rPr>
        <w:fldChar w:fldCharType="end"/>
      </w:r>
      <w:r w:rsidR="003E07AE" w:rsidRPr="00C05886">
        <w:rPr>
          <w:rFonts w:cstheme="minorHAnsi"/>
          <w:szCs w:val="24"/>
        </w:rPr>
        <w:t>. However</w:t>
      </w:r>
      <w:r w:rsidR="00D612DA">
        <w:rPr>
          <w:rFonts w:cstheme="minorHAnsi"/>
          <w:szCs w:val="24"/>
        </w:rPr>
        <w:t>,</w:t>
      </w:r>
      <w:r w:rsidR="003E07AE" w:rsidRPr="00C05886">
        <w:rPr>
          <w:rFonts w:cstheme="minorHAnsi"/>
          <w:szCs w:val="24"/>
        </w:rPr>
        <w:t xml:space="preserve"> these results were not always consistent, as sometimes the number of species was not connected to any improvement in physiological </w:t>
      </w:r>
      <w:r w:rsidR="003E07AE" w:rsidRPr="00C05886">
        <w:rPr>
          <w:rFonts w:cstheme="minorHAnsi"/>
          <w:szCs w:val="24"/>
        </w:rPr>
        <w:fldChar w:fldCharType="begin" w:fldLock="1"/>
      </w:r>
      <w:r w:rsidR="00A35208">
        <w:rPr>
          <w:rFonts w:cstheme="minorHAnsi"/>
          <w:szCs w:val="24"/>
        </w:rPr>
        <w:instrText xml:space="preserve"> ADDIN ZOTERO_ITEM CSL_CITATION {"citationID":"kqN1cuz5","properties":{"formattedCitation":"(Chang {\\i{}et al.}, 2016; Hussain {\\i{}et al.}, 2019)","plainCitation":"(Chang et al., 2016; Hussain et al., 2019)","noteIndex":0},"citationItems":[{"id":"6pP8vKpK/VTgHAEj8","uris":["http://www.mendeley.com/documents/?uuid=6bb84e6a-0d76-4fed-afcb-89a5292829b1"],"itemData":{"DOI":"10.3390/su8101049","abstract":"Promoting ecological health and human wellbeing are two fundamental goals in landscape sustainability. Green spaces are thought to improve users' psychological and physical wellbeing through the contact with nature. However, the results of some studies that rely on self-reports suggest that when the level of naturalness in a green space reaches a certain point, the beneficial effects diminish and in some cases can cause negative responses. We explored this possibility through an experimental study in which we use physiological measures rather than perceptions to assess people's wellbeing. We investigate how people are affected by outdoor settings with varying degrees of biodiversity and whether the correlation between biodiversity and physiological wellbeing is negative or positive. We used multiple measures of insect diversity as an indicator for biodiversity, and biofeedback measures as indicators of wellbeing. Our findings suggest that people are equally affected by more biodiverse and...","author":[{"dropping-particle":"","family":"Chang","given":"Kaowen","non-dropping-particle":"","parse-names":false,"suffix":""},{"dropping-particle":"","family":"Sullivan","given":"William","non-dropping-particle":"","parse-names":false,"suffix":""},{"dropping-particle":"","family":"Lin","given":"Ying-Hsuan","non-dropping-particle":"","parse-names":false,"suffix":""},{"dropping-particle":"","family":"Su","given":"Weichia","non-dropping-particle":"","parse-names":false,"suffix":""},{"dropping-particle":"","family":"Chang","given":"Chun-Yen","non-dropping-particle":"","parse-names":false,"suffix":""}],"container-title":"Sustainability","id":"ITEM-1","issue":"10","issued":{"date-parts":[["2016"]]},"page":"1049","publisher-place":"Basel","title":"The Effect of Biodiversity on Green Space Users' Wellbeing-An Empirical Investigation Using Physiological Evidence","type":"article-journal","volume":"8"}},{"id":6235,"uris":["http://zotero.org/users/10951124/items/ZL85EA8V"],"itemData":{"id":6235,"type":"article-journal","abstract":"© 2019, The Author(s). Associations between biodiversity, human health and well-being have never been discussed with reference to agriculturally managed, species-rich mountainous meadows. We evaluated these associations between extensively managed (one mowing a year, no fertilization) and abandoned (no mowing since more than 80 years, no fertilization) semi-dry meadows located in the Austrian and Swiss Alps. We quantified the richness and abundance of plants, grasshoppers, true bugs, bumblebees, syrphids and landscape characteristics in the surroundings of the meadows. Associations between these biodiversity attributes and short-term psychological and physiological human health effects were assessed with 22 participants (10 males, 12 females; mean age 27 years). Participants´ pulse rate, systolic blood pressure (SBP) and diastolic blood pressure (DBP) were not affected during visits to managed or abandoned meadows. However, perceived health benefits (e.g., stress reduction, attention restoration) were higher during their stays in managed than in abandoned meadows. Also, the attractiveness of the surrounding landscape and the recreation suitability were rated higher when visiting managed meadows. Perceived naturalness was positively correlated with plant richness and flower cover. A positive correlation was found between SBP and forest cover, but SBP was negatively correlated with the open landscape. A negative association was found between grasshoppers and recreational and landscape perceptions. We suggest to discuss biodiversity attributes not only in connection with agricultural management but also with cultural ecosystem services and health benefits to raise more awareness for multifaceted interrelationships between ecosystems and humans.","container-title":"Scientific Reports","DOI":"10.1038/s41598-019-51571-5","issue":"1","title":"Management of mountainous meadows associated with biodiversity attributes, perceived health benefits and cultural ecosystem services","volume":"9","author":[{"family":"Hussain","given":"R.I."},{"family":"Walcher","given":"R."},{"family":"Eder","given":"R."},{"family":"Allex","given":"B."},{"family":"Wallner","given":"P."},{"family":"Hutter","given":"H.-P."},{"family":"Bauer","given":"N."},{"family":"Arnberger","given":"A."},{"family":"Zaller","given":"J.G."},{"family":"Frank","given":"T."}],"issued":{"date-parts":[["2019"]]}}}],"schema":"https://github.com/citation-style-language/schema/raw/master/csl-citation.json"} </w:instrText>
      </w:r>
      <w:r w:rsidR="003E07AE" w:rsidRPr="00C05886">
        <w:rPr>
          <w:rFonts w:cstheme="minorHAnsi"/>
          <w:szCs w:val="24"/>
        </w:rPr>
        <w:fldChar w:fldCharType="separate"/>
      </w:r>
      <w:r w:rsidR="009F0A3D" w:rsidRPr="00C05886">
        <w:rPr>
          <w:rFonts w:ascii="Calibri" w:hAnsi="Calibri" w:cs="Calibri"/>
          <w:szCs w:val="24"/>
        </w:rPr>
        <w:t xml:space="preserve">(Chang </w:t>
      </w:r>
      <w:r w:rsidR="009F0A3D" w:rsidRPr="00C05886">
        <w:rPr>
          <w:rFonts w:ascii="Calibri" w:hAnsi="Calibri" w:cs="Calibri"/>
          <w:i/>
          <w:iCs/>
          <w:szCs w:val="24"/>
        </w:rPr>
        <w:t>et al.</w:t>
      </w:r>
      <w:r w:rsidR="009F0A3D" w:rsidRPr="00C05886">
        <w:rPr>
          <w:rFonts w:ascii="Calibri" w:hAnsi="Calibri" w:cs="Calibri"/>
          <w:szCs w:val="24"/>
        </w:rPr>
        <w:t xml:space="preserve">, 2016; Hussain </w:t>
      </w:r>
      <w:r w:rsidR="009F0A3D" w:rsidRPr="00C05886">
        <w:rPr>
          <w:rFonts w:ascii="Calibri" w:hAnsi="Calibri" w:cs="Calibri"/>
          <w:i/>
          <w:iCs/>
          <w:szCs w:val="24"/>
        </w:rPr>
        <w:t>et al.</w:t>
      </w:r>
      <w:r w:rsidR="009F0A3D" w:rsidRPr="00C05886">
        <w:rPr>
          <w:rFonts w:ascii="Calibri" w:hAnsi="Calibri" w:cs="Calibri"/>
          <w:szCs w:val="24"/>
        </w:rPr>
        <w:t>, 2019)</w:t>
      </w:r>
      <w:r w:rsidR="003E07AE" w:rsidRPr="00C05886">
        <w:rPr>
          <w:rFonts w:cstheme="minorHAnsi"/>
          <w:szCs w:val="24"/>
        </w:rPr>
        <w:fldChar w:fldCharType="end"/>
      </w:r>
      <w:r w:rsidR="003E07AE" w:rsidRPr="00C05886">
        <w:rPr>
          <w:rFonts w:cstheme="minorHAnsi"/>
          <w:szCs w:val="24"/>
        </w:rPr>
        <w:t xml:space="preserve"> and psychological </w:t>
      </w:r>
      <w:r w:rsidR="003E07AE" w:rsidRPr="00C05886">
        <w:rPr>
          <w:rFonts w:cstheme="minorHAnsi"/>
          <w:szCs w:val="24"/>
        </w:rPr>
        <w:fldChar w:fldCharType="begin" w:fldLock="1"/>
      </w:r>
      <w:r w:rsidR="00783D7F" w:rsidRPr="00C05886">
        <w:rPr>
          <w:rFonts w:cstheme="minorHAnsi"/>
          <w:szCs w:val="24"/>
        </w:rPr>
        <w:instrText xml:space="preserve"> ADDIN ZOTERO_ITEM CSL_CITATION {"citationID":"ar024Pxr","properties":{"formattedCitation":"(Dallimer {\\i{}et al.}, 2012)","plainCitation":"(Dallimer et al., 2012)","noteIndex":0},"citationItems":[{"id":5841,"uris":["http://zotero.org/users/10951124/items/KQUVK8G6"],"itemData":{"id":5841,"type":"article-journal","abstract":"Over half of the world's human population lives in cities, and for many, urban greenspaces are the only places where they encounter biodiversity. This is of particular concern because there is growing evidence that human well-being is enhanced by exposure to nature. However, the specific qualities of greenspaces that offer the greatest benefits remain poorly understood. One possibility is that humans respond positively to increased levels of biodiversity. Here, we demonstrate the lack of a consistent relationship between actual plant, butterfly, and bird species richness and the psychological well-being of urban greenspace visitors. Instead, well-being shows a positive relationship with the richness that the greenspace users perceived to be present. One plausible explanation for this discrepancy, which we investigate, is that people generally have poor biodiversity-identification skills. The apparent importance of perceived species richness and the mismatch between reality and perception pose a serious challenge for aligning conservation and human well-being agendas.","container-title":"BioScience","DOI":"10.1525/bio.2012.62.1.9","ISSN":"00063568","issue":"1","page":"47-55","title":"Biodiversity and the Feel-Good Factor: Understanding Associations between Self-Reported Human Well-being and Species Richness","volume":"62","author":[{"family":"Dallimer","given":"Martin"},{"family":"Irvine","given":"Katherine N."},{"family":"Skinner","given":"Andrew M.J. J"},{"family":"Davies","given":"Zoe G."},{"family":"Rouquette","given":"James R."},{"family":"Maltby","given":"Lorraine L."},{"family":"Warren","given":"Philip H."},{"family":"Armsworth","given":"Paul R."},{"family":"Gaston","given":"Kevin J."}],"issued":{"date-parts":[["2012"]]}}}],"schema":"https://github.com/citation-style-language/schema/raw/master/csl-citation.json"} </w:instrText>
      </w:r>
      <w:r w:rsidR="003E07AE" w:rsidRPr="00C05886">
        <w:rPr>
          <w:rFonts w:cstheme="minorHAnsi"/>
          <w:szCs w:val="24"/>
        </w:rPr>
        <w:fldChar w:fldCharType="separate"/>
      </w:r>
      <w:r w:rsidR="00783D7F" w:rsidRPr="00C05886">
        <w:rPr>
          <w:rFonts w:ascii="Calibri" w:hAnsi="Calibri" w:cs="Calibri"/>
          <w:szCs w:val="24"/>
        </w:rPr>
        <w:t xml:space="preserve">(Dallimer </w:t>
      </w:r>
      <w:r w:rsidR="00783D7F" w:rsidRPr="00C05886">
        <w:rPr>
          <w:rFonts w:ascii="Calibri" w:hAnsi="Calibri" w:cs="Calibri"/>
          <w:i/>
          <w:iCs/>
          <w:szCs w:val="24"/>
        </w:rPr>
        <w:t>et al.</w:t>
      </w:r>
      <w:r w:rsidR="00783D7F" w:rsidRPr="00C05886">
        <w:rPr>
          <w:rFonts w:ascii="Calibri" w:hAnsi="Calibri" w:cs="Calibri"/>
          <w:szCs w:val="24"/>
        </w:rPr>
        <w:t>, 2012)</w:t>
      </w:r>
      <w:r w:rsidR="003E07AE" w:rsidRPr="00C05886">
        <w:rPr>
          <w:rFonts w:cstheme="minorHAnsi"/>
          <w:szCs w:val="24"/>
        </w:rPr>
        <w:fldChar w:fldCharType="end"/>
      </w:r>
      <w:r w:rsidR="003E07AE" w:rsidRPr="00C05886">
        <w:rPr>
          <w:rFonts w:cstheme="minorHAnsi"/>
          <w:szCs w:val="24"/>
        </w:rPr>
        <w:t xml:space="preserve"> well-being. </w:t>
      </w:r>
    </w:p>
    <w:p w14:paraId="23B646D0" w14:textId="7A7D3EF2" w:rsidR="00234315" w:rsidRPr="00C05886" w:rsidRDefault="000F6367" w:rsidP="004F79BE">
      <w:r w:rsidRPr="00C05886">
        <w:t xml:space="preserve">Although the relationship between well-being and urban </w:t>
      </w:r>
      <w:r w:rsidR="00DD1570" w:rsidRPr="00C05886">
        <w:t xml:space="preserve">species richness </w:t>
      </w:r>
      <w:r w:rsidR="002D5BA0" w:rsidRPr="00C05886">
        <w:t xml:space="preserve">seems generally positive, most of the evidence seems more reflective of the “green is better than grey” paradigm, rather than </w:t>
      </w:r>
      <w:r w:rsidR="005A7088" w:rsidRPr="00C05886">
        <w:t>highlighting</w:t>
      </w:r>
      <w:r w:rsidR="002D5BA0" w:rsidRPr="00C05886">
        <w:t xml:space="preserve"> a specific improvement </w:t>
      </w:r>
      <w:r w:rsidR="005A7088" w:rsidRPr="00C05886">
        <w:t>in</w:t>
      </w:r>
      <w:r w:rsidR="002D5BA0" w:rsidRPr="00C05886">
        <w:t xml:space="preserve"> well-being due to </w:t>
      </w:r>
      <w:r w:rsidR="00DD1570" w:rsidRPr="00C05886">
        <w:t>species richness</w:t>
      </w:r>
      <w:r w:rsidR="002D5BA0" w:rsidRPr="00C05886">
        <w:t xml:space="preserve">. One of the reasons is that these studies have compared not just different levels of </w:t>
      </w:r>
      <w:r w:rsidR="00296B75" w:rsidRPr="00C05886">
        <w:t>species richness</w:t>
      </w:r>
      <w:r w:rsidR="002D5BA0" w:rsidRPr="00C05886">
        <w:t>, but also different green spaces</w:t>
      </w:r>
      <w:r w:rsidR="004F79BE" w:rsidRPr="00C05886">
        <w:t xml:space="preserve"> which may have been more or less restorative due to other components of the landscape. </w:t>
      </w:r>
      <w:r w:rsidR="004F79BE" w:rsidRPr="00C05886">
        <w:lastRenderedPageBreak/>
        <w:t xml:space="preserve">For example, a large park could show more landscape types (and micro-habitats) than a small one. </w:t>
      </w:r>
      <w:r w:rsidR="00EB3D3F" w:rsidRPr="00C05886">
        <w:t xml:space="preserve">It is possible that this variety of habitats may be visually appealing to the viewer, which could trigger positive emotions by itself. Therefore, it is difficult to determine the exact amount of this effect that can be specifically attributed to </w:t>
      </w:r>
      <w:r w:rsidR="00296B75" w:rsidRPr="00C05886">
        <w:t>species richness</w:t>
      </w:r>
      <w:r w:rsidR="00EB3D3F" w:rsidRPr="00C05886">
        <w:t>.</w:t>
      </w:r>
    </w:p>
    <w:p w14:paraId="6309EE65" w14:textId="2D50A918" w:rsidR="00E74EE8" w:rsidRPr="00C05886" w:rsidRDefault="00783D7F" w:rsidP="00A824B0">
      <w:r w:rsidRPr="00C05886">
        <w:t>There is also the possibility that spaces</w:t>
      </w:r>
      <w:r w:rsidR="00146546" w:rsidRPr="00C05886">
        <w:t xml:space="preserve"> </w:t>
      </w:r>
      <w:r w:rsidR="00296B75" w:rsidRPr="00C05886">
        <w:t xml:space="preserve">with high species richness </w:t>
      </w:r>
      <w:r w:rsidR="00146546" w:rsidRPr="00C05886">
        <w:t xml:space="preserve">could also be detrimental </w:t>
      </w:r>
      <w:r w:rsidR="005A7088" w:rsidRPr="00C05886">
        <w:t>to</w:t>
      </w:r>
      <w:r w:rsidR="00146546" w:rsidRPr="00C05886">
        <w:t xml:space="preserve"> mental well-being </w:t>
      </w:r>
      <w:r w:rsidRPr="00C05886">
        <w:fldChar w:fldCharType="begin"/>
      </w:r>
      <w:r w:rsidRPr="00C05886">
        <w:instrText xml:space="preserve"> ADDIN ZOTERO_ITEM CSL_CITATION {"citationID":"cG7B0jDX","properties":{"formattedCitation":"(Dallimer {\\i{}et al.}, 2012)","plainCitation":"(Dallimer et al., 2012)","noteIndex":0},"citationItems":[{"id":5841,"uris":["http://zotero.org/users/10951124/items/KQUVK8G6"],"itemData":{"id":5841,"type":"article-journal","abstract":"Over half of the world's human population lives in cities, and for many, urban greenspaces are the only places where they encounter biodiversity. This is of particular concern because there is growing evidence that human well-being is enhanced by exposure to nature. However, the specific qualities of greenspaces that offer the greatest benefits remain poorly understood. One possibility is that humans respond positively to increased levels of biodiversity. Here, we demonstrate the lack of a consistent relationship between actual plant, butterfly, and bird species richness and the psychological well-being of urban greenspace visitors. Instead, well-being shows a positive relationship with the richness that the greenspace users perceived to be present. One plausible explanation for this discrepancy, which we investigate, is that people generally have poor biodiversity-identification skills. The apparent importance of perceived species richness and the mismatch between reality and perception pose a serious challenge for aligning conservation and human well-being agendas.","container-title":"BioScience","DOI":"10.1525/bio.2012.62.1.9","ISSN":"00063568","issue":"1","page":"47-55","title":"Biodiversity and the Feel-Good Factor: Understanding Associations between Self-Reported Human Well-being and Species Richness","volume":"62","author":[{"family":"Dallimer","given":"Martin"},{"family":"Irvine","given":"Katherine N."},{"family":"Skinner","given":"Andrew M.J. J"},{"family":"Davies","given":"Zoe G."},{"family":"Rouquette","given":"James R."},{"family":"Maltby","given":"Lorraine L."},{"family":"Warren","given":"Philip H."},{"family":"Armsworth","given":"Paul R."},{"family":"Gaston","given":"Kevin J."}],"issued":{"date-parts":[["2012"]]}}}],"schema":"https://github.com/citation-style-language/schema/raw/master/csl-citation.json"} </w:instrText>
      </w:r>
      <w:r w:rsidRPr="00C05886">
        <w:fldChar w:fldCharType="separate"/>
      </w:r>
      <w:r w:rsidRPr="00C05886">
        <w:rPr>
          <w:rFonts w:ascii="Calibri" w:hAnsi="Calibri" w:cs="Calibri"/>
          <w:szCs w:val="24"/>
        </w:rPr>
        <w:t xml:space="preserve">(Dallimer </w:t>
      </w:r>
      <w:r w:rsidRPr="00C05886">
        <w:rPr>
          <w:rFonts w:ascii="Calibri" w:hAnsi="Calibri" w:cs="Calibri"/>
          <w:i/>
          <w:iCs/>
          <w:szCs w:val="24"/>
        </w:rPr>
        <w:t>et al.</w:t>
      </w:r>
      <w:r w:rsidRPr="00C05886">
        <w:rPr>
          <w:rFonts w:ascii="Calibri" w:hAnsi="Calibri" w:cs="Calibri"/>
          <w:szCs w:val="24"/>
        </w:rPr>
        <w:t>, 2012)</w:t>
      </w:r>
      <w:r w:rsidRPr="00C05886">
        <w:fldChar w:fldCharType="end"/>
      </w:r>
      <w:r w:rsidR="00146546" w:rsidRPr="00C05886">
        <w:t xml:space="preserve">, </w:t>
      </w:r>
      <w:r w:rsidRPr="00C05886">
        <w:t xml:space="preserve">which </w:t>
      </w:r>
      <w:r w:rsidR="00296B75" w:rsidRPr="00C05886">
        <w:t>adds to the complexity of</w:t>
      </w:r>
      <w:r w:rsidRPr="00C05886">
        <w:t xml:space="preserve"> </w:t>
      </w:r>
      <w:r w:rsidR="005A7088" w:rsidRPr="00C05886">
        <w:t xml:space="preserve">the </w:t>
      </w:r>
      <w:r w:rsidR="00296B75" w:rsidRPr="00C05886">
        <w:t>species richness</w:t>
      </w:r>
      <w:r w:rsidRPr="00C05886">
        <w:t>/well-being relationship</w:t>
      </w:r>
      <w:r w:rsidR="00296B75" w:rsidRPr="00C05886">
        <w:t xml:space="preserve"> as</w:t>
      </w:r>
      <w:r w:rsidR="00EB3D3F" w:rsidRPr="00C05886">
        <w:t xml:space="preserve"> the reason </w:t>
      </w:r>
      <w:r w:rsidR="00296B75" w:rsidRPr="00C05886">
        <w:t>for reduced well-being may lie with</w:t>
      </w:r>
      <w:r w:rsidR="00EB3D3F" w:rsidRPr="00C05886">
        <w:t xml:space="preserve"> the number of species </w:t>
      </w:r>
      <w:r w:rsidR="00296B75" w:rsidRPr="00C05886">
        <w:t xml:space="preserve">as well as with </w:t>
      </w:r>
      <w:r w:rsidR="00EB3D3F" w:rsidRPr="00C05886">
        <w:t>other spatial characteristics (e.g. aesthetics, lighting, safety etc)</w:t>
      </w:r>
      <w:r w:rsidR="00296B75" w:rsidRPr="00C05886">
        <w:t>.</w:t>
      </w:r>
    </w:p>
    <w:p w14:paraId="69C80D4F" w14:textId="2A86DA15" w:rsidR="00D4754C" w:rsidRPr="00C05886" w:rsidRDefault="00D4754C" w:rsidP="00C12E53">
      <w:pPr>
        <w:pStyle w:val="Heading2"/>
      </w:pPr>
      <w:bookmarkStart w:id="5" w:name="_Toc179962270"/>
      <w:r w:rsidRPr="00C05886">
        <w:t>Aims and objectives</w:t>
      </w:r>
      <w:bookmarkEnd w:id="0"/>
      <w:bookmarkEnd w:id="5"/>
    </w:p>
    <w:p w14:paraId="1290C607" w14:textId="7E1F4284" w:rsidR="00D4754C" w:rsidRPr="00C05886" w:rsidRDefault="00190524" w:rsidP="00D4754C">
      <w:r w:rsidRPr="00C05886">
        <w:t>As stated above, t</w:t>
      </w:r>
      <w:r w:rsidR="00D4754C" w:rsidRPr="00C05886">
        <w:t xml:space="preserve">he first aim of this </w:t>
      </w:r>
      <w:r w:rsidRPr="00C05886">
        <w:rPr>
          <w:rFonts w:cstheme="minorHAnsi"/>
          <w:szCs w:val="24"/>
        </w:rPr>
        <w:t>thesis</w:t>
      </w:r>
      <w:r w:rsidR="00D4754C" w:rsidRPr="00C05886">
        <w:rPr>
          <w:rFonts w:cstheme="minorHAnsi"/>
          <w:szCs w:val="24"/>
        </w:rPr>
        <w:t xml:space="preserve"> </w:t>
      </w:r>
      <w:r w:rsidRPr="00C05886">
        <w:rPr>
          <w:rFonts w:cstheme="minorHAnsi"/>
          <w:szCs w:val="24"/>
        </w:rPr>
        <w:t>was</w:t>
      </w:r>
      <w:r w:rsidR="00D4754C" w:rsidRPr="00C05886">
        <w:t xml:space="preserve"> </w:t>
      </w:r>
      <w:r w:rsidR="005A7088" w:rsidRPr="00C05886">
        <w:t>to investigate</w:t>
      </w:r>
      <w:r w:rsidR="00D4754C" w:rsidRPr="00C05886">
        <w:t xml:space="preserve"> the role that one specific aspect of </w:t>
      </w:r>
      <w:r w:rsidRPr="00C05886">
        <w:t xml:space="preserve">green spaces, </w:t>
      </w:r>
      <w:r w:rsidR="00BB5CDE" w:rsidRPr="00C05886">
        <w:t>species richness</w:t>
      </w:r>
      <w:r w:rsidR="00D4754C" w:rsidRPr="00C05886">
        <w:t xml:space="preserve">, may play in providing recovery from psychophysiological stress. New </w:t>
      </w:r>
      <w:r w:rsidR="00D4754C" w:rsidRPr="00C05886">
        <w:rPr>
          <w:rFonts w:cstheme="minorHAnsi"/>
          <w:szCs w:val="24"/>
        </w:rPr>
        <w:t xml:space="preserve">experimental evidence </w:t>
      </w:r>
      <w:r w:rsidRPr="00C05886">
        <w:rPr>
          <w:rFonts w:cstheme="minorHAnsi"/>
          <w:szCs w:val="24"/>
        </w:rPr>
        <w:t>was produced</w:t>
      </w:r>
      <w:r w:rsidR="00D4754C" w:rsidRPr="00C05886">
        <w:rPr>
          <w:rFonts w:cstheme="minorHAnsi"/>
          <w:szCs w:val="24"/>
        </w:rPr>
        <w:t xml:space="preserve"> by exposing participants to artificially enhanced levels of species richness while monitoring</w:t>
      </w:r>
      <w:r w:rsidRPr="00C05886">
        <w:rPr>
          <w:rFonts w:cstheme="minorHAnsi"/>
          <w:szCs w:val="24"/>
        </w:rPr>
        <w:t xml:space="preserve"> </w:t>
      </w:r>
      <w:r w:rsidR="00D4754C" w:rsidRPr="00C05886">
        <w:rPr>
          <w:rFonts w:cstheme="minorHAnsi"/>
          <w:szCs w:val="24"/>
        </w:rPr>
        <w:t>psychological (</w:t>
      </w:r>
      <w:r w:rsidRPr="00C05886">
        <w:rPr>
          <w:rFonts w:cstheme="minorHAnsi"/>
          <w:szCs w:val="24"/>
        </w:rPr>
        <w:t xml:space="preserve">e.g. </w:t>
      </w:r>
      <w:r w:rsidR="00D4754C" w:rsidRPr="00C05886">
        <w:rPr>
          <w:rFonts w:cstheme="minorHAnsi"/>
          <w:szCs w:val="24"/>
        </w:rPr>
        <w:t xml:space="preserve">mood) </w:t>
      </w:r>
      <w:r w:rsidRPr="00C05886">
        <w:rPr>
          <w:rFonts w:cstheme="minorHAnsi"/>
          <w:szCs w:val="24"/>
        </w:rPr>
        <w:t xml:space="preserve">and physiological (heart rate variability) </w:t>
      </w:r>
      <w:r w:rsidR="00D4754C" w:rsidRPr="00C05886">
        <w:rPr>
          <w:rFonts w:cstheme="minorHAnsi"/>
          <w:szCs w:val="24"/>
        </w:rPr>
        <w:t>parameters associated with improved</w:t>
      </w:r>
      <w:r w:rsidRPr="00C05886">
        <w:rPr>
          <w:rFonts w:cstheme="minorHAnsi"/>
          <w:szCs w:val="24"/>
        </w:rPr>
        <w:t xml:space="preserve"> mental</w:t>
      </w:r>
      <w:r w:rsidR="00D4754C" w:rsidRPr="00C05886">
        <w:rPr>
          <w:rFonts w:cstheme="minorHAnsi"/>
          <w:szCs w:val="24"/>
        </w:rPr>
        <w:t xml:space="preserve"> well-being.</w:t>
      </w:r>
      <w:r w:rsidR="00D4754C" w:rsidRPr="00C05886">
        <w:t xml:space="preserve"> </w:t>
      </w:r>
    </w:p>
    <w:p w14:paraId="2FCC2F6D" w14:textId="23B36EE5" w:rsidR="00D4754C" w:rsidRPr="00C05886" w:rsidRDefault="00D4754C" w:rsidP="00C44644">
      <w:pPr>
        <w:rPr>
          <w:color w:val="FF0000"/>
        </w:rPr>
      </w:pPr>
      <w:r w:rsidRPr="00C05886">
        <w:t xml:space="preserve">Secondly, </w:t>
      </w:r>
      <w:r w:rsidR="00190524" w:rsidRPr="00C05886">
        <w:t xml:space="preserve">building on previous research that showed how subjective perceptions of </w:t>
      </w:r>
      <w:r w:rsidR="00BB5CDE" w:rsidRPr="00C05886">
        <w:t xml:space="preserve">species richness </w:t>
      </w:r>
      <w:r w:rsidR="00190524" w:rsidRPr="00C05886">
        <w:t xml:space="preserve">could moderate or generate mental well-being, new data on </w:t>
      </w:r>
      <w:r w:rsidR="00BB5CDE" w:rsidRPr="00C05886">
        <w:t xml:space="preserve">the </w:t>
      </w:r>
      <w:r w:rsidR="00190524" w:rsidRPr="00C05886">
        <w:t xml:space="preserve">perceived </w:t>
      </w:r>
      <w:r w:rsidR="00BB5CDE" w:rsidRPr="00C05886">
        <w:t xml:space="preserve">number of species was </w:t>
      </w:r>
      <w:r w:rsidR="00190524" w:rsidRPr="00C05886">
        <w:t>collected while the</w:t>
      </w:r>
      <w:r w:rsidR="00BB5CDE" w:rsidRPr="00C05886">
        <w:t xml:space="preserve"> actual</w:t>
      </w:r>
      <w:r w:rsidR="00190524" w:rsidRPr="00C05886">
        <w:t xml:space="preserve"> </w:t>
      </w:r>
      <w:r w:rsidR="00BB5CDE" w:rsidRPr="00C05886">
        <w:t>number of species</w:t>
      </w:r>
      <w:r w:rsidR="00190524" w:rsidRPr="00C05886">
        <w:t xml:space="preserve"> was experimentally controlled. Additionally, </w:t>
      </w:r>
      <w:r w:rsidRPr="00C05886">
        <w:t>th</w:t>
      </w:r>
      <w:r w:rsidR="00190524" w:rsidRPr="00C05886">
        <w:t>e</w:t>
      </w:r>
      <w:r w:rsidRPr="00C05886">
        <w:t xml:space="preserve"> research </w:t>
      </w:r>
      <w:r w:rsidR="005A7088" w:rsidRPr="00C05886">
        <w:t>controlled for</w:t>
      </w:r>
      <w:r w:rsidR="00190524" w:rsidRPr="00C05886">
        <w:t xml:space="preserve"> </w:t>
      </w:r>
      <w:r w:rsidRPr="00C05886">
        <w:t xml:space="preserve">the social dimension of the </w:t>
      </w:r>
      <w:r w:rsidR="00BB5CDE" w:rsidRPr="00C05886">
        <w:t>species richness</w:t>
      </w:r>
      <w:r w:rsidRPr="00C05886">
        <w:t>/well-being relationship</w:t>
      </w:r>
      <w:r w:rsidR="00190524" w:rsidRPr="00C05886">
        <w:t xml:space="preserve">, as </w:t>
      </w:r>
      <w:r w:rsidRPr="00C05886">
        <w:t>social predictors</w:t>
      </w:r>
      <w:r w:rsidR="00190524" w:rsidRPr="00C05886">
        <w:t xml:space="preserve"> (</w:t>
      </w:r>
      <w:r w:rsidRPr="00C05886">
        <w:t>such as gender, age, education and ideas concerning nature</w:t>
      </w:r>
      <w:r w:rsidR="00190524" w:rsidRPr="00C05886">
        <w:t>)</w:t>
      </w:r>
      <w:r w:rsidR="005250E5" w:rsidRPr="00C05886">
        <w:t xml:space="preserve"> </w:t>
      </w:r>
      <w:r w:rsidR="00BB5CDE" w:rsidRPr="00C05886">
        <w:t xml:space="preserve">could </w:t>
      </w:r>
      <w:r w:rsidR="005250E5" w:rsidRPr="00C05886">
        <w:t>have a role in it.</w:t>
      </w:r>
    </w:p>
    <w:p w14:paraId="2D8BA35D" w14:textId="77777777" w:rsidR="00D4754C" w:rsidRPr="00C05886" w:rsidRDefault="00D4754C" w:rsidP="00C12E53">
      <w:pPr>
        <w:pStyle w:val="Heading2"/>
      </w:pPr>
      <w:bookmarkStart w:id="6" w:name="_Toc71643001"/>
      <w:bookmarkStart w:id="7" w:name="_Toc179962271"/>
      <w:r w:rsidRPr="00C05886">
        <w:t>Rationale and Novelty</w:t>
      </w:r>
      <w:bookmarkEnd w:id="6"/>
      <w:bookmarkEnd w:id="7"/>
    </w:p>
    <w:p w14:paraId="61070531" w14:textId="623734FA" w:rsidR="00D4754C" w:rsidRPr="00C05886" w:rsidRDefault="005250E5" w:rsidP="00D4754C">
      <w:r w:rsidRPr="00C05886">
        <w:t xml:space="preserve">As </w:t>
      </w:r>
      <w:r w:rsidR="00B31625" w:rsidRPr="00C05886">
        <w:t>mentioned,</w:t>
      </w:r>
      <w:r w:rsidR="00835005" w:rsidRPr="00C05886">
        <w:t xml:space="preserve"> this PhD responds to a lack of experimental evidence on </w:t>
      </w:r>
      <w:r w:rsidR="00BB5CDE" w:rsidRPr="00C05886">
        <w:t xml:space="preserve">species richness </w:t>
      </w:r>
      <w:r w:rsidR="00835005" w:rsidRPr="00C05886">
        <w:t>and well-being</w:t>
      </w:r>
      <w:r w:rsidR="00B31625" w:rsidRPr="00C05886">
        <w:t>.</w:t>
      </w:r>
      <w:r w:rsidRPr="00C05886">
        <w:t xml:space="preserve"> </w:t>
      </w:r>
      <w:r w:rsidR="00B31625" w:rsidRPr="00C05886">
        <w:t>A few</w:t>
      </w:r>
      <w:r w:rsidR="00D4754C" w:rsidRPr="00C05886">
        <w:t xml:space="preserve"> studies have </w:t>
      </w:r>
      <w:r w:rsidR="00D54E78" w:rsidRPr="00C05886">
        <w:t>controlled</w:t>
      </w:r>
      <w:r w:rsidR="00D4754C" w:rsidRPr="00C05886">
        <w:t xml:space="preserve"> for the </w:t>
      </w:r>
      <w:r w:rsidR="00BB5CDE" w:rsidRPr="00C05886">
        <w:t>number of species</w:t>
      </w:r>
      <w:r w:rsidR="00B31625" w:rsidRPr="00C05886">
        <w:t xml:space="preserve"> experimentally</w:t>
      </w:r>
      <w:r w:rsidRPr="00C05886">
        <w:t xml:space="preserve"> </w:t>
      </w:r>
      <w:r w:rsidRPr="00C05886">
        <w:fldChar w:fldCharType="begin"/>
      </w:r>
      <w:r w:rsidR="003E681B" w:rsidRPr="00C05886">
        <w:instrText xml:space="preserve"> ADDIN ZOTERO_ITEM CSL_CITATION {"citationID":"ECt2l4np","properties":{"formattedCitation":"(Assaf Shwartz {\\i{}et al.}, 2014; Southon {\\i{}et al.}, 2017; Wolf {\\i{}et al.}, 2017)","plainCitation":"(Assaf Shwartz et al., 2014; Southon et al., 2017; Wolf et al., 2017)","noteIndex":0},"citationItems":[{"id":6245,"uris":["http://zotero.org/users/10951124/items/ER322ZT3"],"itemData":{"id":6245,"type":"article-journal","abstract":"&lt;p&gt;Urbanization is presenting a growing problem for biodiversity conservation, notably by increasingly isolating over half of the world’s population from the experience of nature. This separation of people from nature is an important environmental issue, as it could fundamentally influence the way people value nature and their willingness to conserve it. Here we provide the first experimental study that jointly explores how urban biodiversity can be enhanced and how these changes may influence some aspects of people–biodiversity interactions.&lt;/p&gt; &lt;p&gt;We significantly increased the diversity of flowers, birds and pollinators in small public gardens (Paris, France) by providing additional resources (i.e., planting flower-meadows and placing nesting-boxes). Semi-structured interviews were conducted &lt;/p&gt; &lt;p&gt; with 1116 regular garden users before and after the manipulation. Close-ended questionnaires were completed exploring the respondents’ biodiversity perception and their sensitivity to the changes in biodiversity. Our results highlight a people–biodiversity paradox between people’s perceptions and biodiversity awareness. Respondents expressed a strong preference for a rich diversity of species (excluding insects) and related this diversity to their well-being in the gardens. However, they did not notice the diversity of species. Respondents underestimated species richness and only noticed the changes in native flower richness in those gardens where advertisement and public involvement were organized. More experimental interdisciplinary studies are needed to further explore the people–biodiversity interactions. This would help expose the role that urban biodiversity plays in people’s daily life and the importance of this interaction for raising public support for general conservation policies.&lt;/p&gt;","container-title":"Biological Conservation","DOI":"10.1016/j.biocon.2014.01.009","ISSN":"0006-3207","page":"82-90","title":"Enhancing urban biodiversity and its influence on city-dwellers: An experiment","volume":"171","author":[{"family":"Shwartz","given":"Assaf"},{"family":"Turbé","given":"Anne"},{"family":"Simon","given":"Laurent"},{"family":"Julliard","given":"Romain"}],"issued":{"date-parts":[["2014"]]}}},{"id":9700,"uris":["http://zotero.org/users/10951124/items/C6RQBJMZ"],"itemData":{"id":9700,"type":"article-journal","abstract":"We used photo-elicitation studies and a controlled perennial meadow creation experiment at ten urban green-spaces in southern England (five experimental sites and five control sites) to assess green-space visitors’ responses to urban meadows. Multiple meadows, which varied in their structural diversity (height) and plant species richness, were created at each experimental site. Photo elicitation demonstrated that meadows were generally preferred to herbaceous borders and formal bedding planting. Moreover, our experimental meadows had higher preference scores than a treatment that replicated mown amenity grassland, and meadow creation improved site quality and appreciation across a wide range of people. Meadows that contained more plant species and some structural diversity (i.e. were tall or of medium height) were most preferred. The magnitude of these preferences was lower amongst people that used the sites the most, probably due to a strong attachment to the site, i.e. sense of place. People with greater eco-centricity (i.e. those who used the countryside more frequently, had greater ability to identify plant species and exhibited more support for conservation) responded more positively to meadow vegetation. Crucially a wide range of respondents was willing to tolerate the appearance of meadows outside the flowering season, especially when provided with information on their biodiversity and aesthetic benefits and potential cost savings (from reduced cutting frequencies). Re-designing urban green-spaces and parks through the creation of species rich meadows can provide a win–win strategy for biodiversity and people, and potentially improve connections between the two.","container-title":"Landscape and Urban Planning","DOI":"10.1016/j.landurbplan.2016.08.003","ISSN":"0169-2046","journalAbbreviation":"Landscape and Urban Planning","page":"105-118","title":"Biodiverse perennial meadows have aesthetic value and increase residents’ perceptions of site quality in urban green-space","volume":"158","author":[{"family":"Southon","given":"Georgina E."},{"family":"Jorgensen","given":"Anna"},{"family":"Dunnett","given":"Nigel"},{"family":"Hoyle","given":"Helen"},{"family":"Evans","given":"Karl L."}],"issued":{"date-parts":[["2017",2,1]]}}},{"id":4925,"uris":["http://zotero.org/users/10951124/items/T2WHLDQG"],"itemData":{"id":4925,"type":"article-journal","container-title":"PloS one","DOI":"10.1371/journal.pone.0170225","issue":"1","page":"e0170225-e0170225","title":"Is Variety the Spice of Life? An Experimental Investigation into the Effects of Species Richness on Self-Reported Mental Well-Being.","volume":"12","author":[{"family":"Wolf","given":"Lukas J"},{"family":"Zu Ermgassen","given":"Sophus"},{"family":"Balmford","given":"Andrew"},{"family":"White","given":"Mathew"},{"family":"Weinstein","given":"Netta"}],"editor":[{"family":"Wolf","given":"Lukas J"}],"issued":{"date-parts":[["2017"]]}}}],"schema":"https://github.com/citation-style-language/schema/raw/master/csl-citation.json"} </w:instrText>
      </w:r>
      <w:r w:rsidRPr="00C05886">
        <w:fldChar w:fldCharType="separate"/>
      </w:r>
      <w:r w:rsidR="003E681B" w:rsidRPr="00C05886">
        <w:rPr>
          <w:rFonts w:ascii="Calibri" w:hAnsi="Calibri" w:cs="Calibri"/>
          <w:szCs w:val="24"/>
        </w:rPr>
        <w:t xml:space="preserve">(Assaf Shwartz </w:t>
      </w:r>
      <w:r w:rsidR="003E681B" w:rsidRPr="00C05886">
        <w:rPr>
          <w:rFonts w:ascii="Calibri" w:hAnsi="Calibri" w:cs="Calibri"/>
          <w:i/>
          <w:iCs/>
          <w:szCs w:val="24"/>
        </w:rPr>
        <w:t>et al.</w:t>
      </w:r>
      <w:r w:rsidR="003E681B" w:rsidRPr="00C05886">
        <w:rPr>
          <w:rFonts w:ascii="Calibri" w:hAnsi="Calibri" w:cs="Calibri"/>
          <w:szCs w:val="24"/>
        </w:rPr>
        <w:t xml:space="preserve">, 2014; Southon </w:t>
      </w:r>
      <w:r w:rsidR="003E681B" w:rsidRPr="00C05886">
        <w:rPr>
          <w:rFonts w:ascii="Calibri" w:hAnsi="Calibri" w:cs="Calibri"/>
          <w:i/>
          <w:iCs/>
          <w:szCs w:val="24"/>
        </w:rPr>
        <w:t>et al.</w:t>
      </w:r>
      <w:r w:rsidR="003E681B" w:rsidRPr="00C05886">
        <w:rPr>
          <w:rFonts w:ascii="Calibri" w:hAnsi="Calibri" w:cs="Calibri"/>
          <w:szCs w:val="24"/>
        </w:rPr>
        <w:t xml:space="preserve">, 2017; Wolf </w:t>
      </w:r>
      <w:r w:rsidR="003E681B" w:rsidRPr="00C05886">
        <w:rPr>
          <w:rFonts w:ascii="Calibri" w:hAnsi="Calibri" w:cs="Calibri"/>
          <w:i/>
          <w:iCs/>
          <w:szCs w:val="24"/>
        </w:rPr>
        <w:t>et al.</w:t>
      </w:r>
      <w:r w:rsidR="003E681B" w:rsidRPr="00C05886">
        <w:rPr>
          <w:rFonts w:ascii="Calibri" w:hAnsi="Calibri" w:cs="Calibri"/>
          <w:szCs w:val="24"/>
        </w:rPr>
        <w:t>, 2017)</w:t>
      </w:r>
      <w:r w:rsidRPr="00C05886">
        <w:fldChar w:fldCharType="end"/>
      </w:r>
      <w:r w:rsidR="00D4754C" w:rsidRPr="00C05886">
        <w:t>,</w:t>
      </w:r>
      <w:r w:rsidRPr="00C05886">
        <w:t xml:space="preserve"> </w:t>
      </w:r>
      <w:r w:rsidR="00D54E78" w:rsidRPr="00C05886">
        <w:t xml:space="preserve">but measured the well-being response </w:t>
      </w:r>
      <w:r w:rsidR="00215327" w:rsidRPr="00C05886">
        <w:t>elicited by</w:t>
      </w:r>
      <w:r w:rsidR="00D54E78" w:rsidRPr="00C05886">
        <w:t xml:space="preserve"> different settings, introducing a </w:t>
      </w:r>
      <w:r w:rsidR="00A7585F" w:rsidRPr="00C05886">
        <w:t>potential confounder</w:t>
      </w:r>
      <w:r w:rsidR="00D54E78" w:rsidRPr="00C05886">
        <w:t xml:space="preserve"> between the effect of the </w:t>
      </w:r>
      <w:r w:rsidR="00BB5CDE" w:rsidRPr="00C05886">
        <w:t xml:space="preserve">number of species </w:t>
      </w:r>
      <w:r w:rsidR="00D54E78" w:rsidRPr="00C05886">
        <w:t xml:space="preserve">and other components of the landscape (e.g. aesthetics). Another study used varying numbers of plant species in the same setting </w:t>
      </w:r>
      <w:r w:rsidR="00D54E78" w:rsidRPr="00C05886">
        <w:fldChar w:fldCharType="begin"/>
      </w:r>
      <w:r w:rsidR="00D54E78" w:rsidRPr="00C05886">
        <w:instrText xml:space="preserve"> ADDIN ZOTERO_ITEM CSL_CITATION {"citationID":"9iz4Hapg","properties":{"formattedCitation":"(Lindemann-Matthies and Matthies, 2018)","plainCitation":"(Lindemann-Matthies and Matthies, 2018)","noteIndex":0},"citationItems":[{"id":9126,"uris":["http://zotero.org/users/10951124/items/9ILWYPEK"],"itemData":{"id":9126,"type":"article-journal","container-title":"Web Ecol.","DOI":"10.5194/we-18-121-2018","ISSN":"1399-1183","issue":"2","note":"publisher: Copernicus Publications","page":"121-128","title":"The influence of plant species richness on stress recovery of humans","volume":"18","author":[{"family":"Lindemann-Matthies","given":"P"},{"family":"Matthies","given":"D"}],"issued":{"date-parts":[["2018",8,29]]}}}],"schema":"https://github.com/citation-style-language/schema/raw/master/csl-citation.json"} </w:instrText>
      </w:r>
      <w:r w:rsidR="00D54E78" w:rsidRPr="00C05886">
        <w:fldChar w:fldCharType="separate"/>
      </w:r>
      <w:r w:rsidR="00D54E78" w:rsidRPr="00C05886">
        <w:rPr>
          <w:rFonts w:ascii="Calibri" w:hAnsi="Calibri" w:cs="Calibri"/>
        </w:rPr>
        <w:t>(Lindemann-Matthies and Matthies, 2018)</w:t>
      </w:r>
      <w:r w:rsidR="00D54E78" w:rsidRPr="00C05886">
        <w:fldChar w:fldCharType="end"/>
      </w:r>
      <w:r w:rsidR="00D54E78" w:rsidRPr="00C05886">
        <w:t xml:space="preserve"> but only measured the response to the plant richness in terms of blood pressure.</w:t>
      </w:r>
    </w:p>
    <w:p w14:paraId="655F23E8" w14:textId="203C9B3B" w:rsidR="00D4754C" w:rsidRPr="00C05886" w:rsidRDefault="00D54E78" w:rsidP="00D4754C">
      <w:r w:rsidRPr="00C05886">
        <w:t>In this PhD project, the number of species was carefully controlled (e.g. by maintaining the same number of individuals per each species)</w:t>
      </w:r>
      <w:r w:rsidR="00FE7602" w:rsidRPr="00C05886">
        <w:t>. In</w:t>
      </w:r>
      <w:r w:rsidRPr="00C05886">
        <w:t xml:space="preserve"> each experiment</w:t>
      </w:r>
      <w:r w:rsidR="00FE7602" w:rsidRPr="00C05886">
        <w:t>,</w:t>
      </w:r>
      <w:r w:rsidRPr="00C05886">
        <w:t xml:space="preserve"> </w:t>
      </w:r>
      <w:r w:rsidR="00FE7602" w:rsidRPr="00C05886">
        <w:t>t</w:t>
      </w:r>
      <w:r w:rsidRPr="00C05886">
        <w:t xml:space="preserve">he number of </w:t>
      </w:r>
      <w:r w:rsidR="00FE7602" w:rsidRPr="00C05886">
        <w:t xml:space="preserve">species was increased </w:t>
      </w:r>
      <w:r w:rsidRPr="00C05886">
        <w:lastRenderedPageBreak/>
        <w:t xml:space="preserve">in </w:t>
      </w:r>
      <w:r w:rsidR="005A7088" w:rsidRPr="00C05886">
        <w:t xml:space="preserve">a </w:t>
      </w:r>
      <w:r w:rsidRPr="00C05886">
        <w:t xml:space="preserve">single and specific setting and the </w:t>
      </w:r>
      <w:r w:rsidR="00FE7602" w:rsidRPr="00C05886">
        <w:t xml:space="preserve">well-being response was measured </w:t>
      </w:r>
      <w:r w:rsidRPr="00C05886">
        <w:t xml:space="preserve">on </w:t>
      </w:r>
      <w:r w:rsidR="005A7088" w:rsidRPr="00C05886">
        <w:t>several</w:t>
      </w:r>
      <w:r w:rsidRPr="00C05886">
        <w:t xml:space="preserve"> psychological indicators of </w:t>
      </w:r>
      <w:r w:rsidR="005A7088" w:rsidRPr="00C05886">
        <w:t>emotional</w:t>
      </w:r>
      <w:r w:rsidRPr="00C05886">
        <w:t xml:space="preserve"> well-being</w:t>
      </w:r>
      <w:r w:rsidR="00FE7602" w:rsidRPr="00C05886">
        <w:t>. One experiment also</w:t>
      </w:r>
      <w:r w:rsidRPr="00C05886">
        <w:t xml:space="preserve"> </w:t>
      </w:r>
      <w:r w:rsidR="00FE7602" w:rsidRPr="00C05886">
        <w:t>measured</w:t>
      </w:r>
      <w:r w:rsidRPr="00C05886">
        <w:t xml:space="preserve"> the heart rate variability</w:t>
      </w:r>
      <w:r w:rsidR="00FE7602" w:rsidRPr="00C05886">
        <w:t xml:space="preserve"> as a physiological indicator of stress and recovery</w:t>
      </w:r>
      <w:r w:rsidRPr="00C05886">
        <w:t>.</w:t>
      </w:r>
      <w:r w:rsidR="0090173B" w:rsidRPr="00C05886">
        <w:t xml:space="preserve"> </w:t>
      </w:r>
      <w:r w:rsidR="00FE7602" w:rsidRPr="00C05886">
        <w:t>These choices</w:t>
      </w:r>
      <w:r w:rsidR="0090173B" w:rsidRPr="00C05886">
        <w:t xml:space="preserve"> increased the robustness of the findings on how the </w:t>
      </w:r>
      <w:r w:rsidR="00BB5CDE" w:rsidRPr="00C05886">
        <w:t>species richness</w:t>
      </w:r>
      <w:r w:rsidR="0090173B" w:rsidRPr="00C05886">
        <w:t xml:space="preserve"> was related to well-being.</w:t>
      </w:r>
    </w:p>
    <w:p w14:paraId="2875A7A5" w14:textId="75B918A7" w:rsidR="003D078D" w:rsidRPr="00C05886" w:rsidRDefault="00754505" w:rsidP="00D4754C">
      <w:r w:rsidRPr="00C05886">
        <w:t xml:space="preserve">Although species of </w:t>
      </w:r>
      <w:r w:rsidR="00EB0D7F">
        <w:t>semi-domesticated</w:t>
      </w:r>
      <w:r w:rsidR="00BB5CDE" w:rsidRPr="00C05886">
        <w:t xml:space="preserve"> </w:t>
      </w:r>
      <w:r w:rsidRPr="00C05886">
        <w:t>birds and mammals were considered, this research</w:t>
      </w:r>
      <w:r w:rsidR="00D4754C" w:rsidRPr="00C05886">
        <w:t xml:space="preserve"> </w:t>
      </w:r>
      <w:r w:rsidRPr="00C05886">
        <w:t xml:space="preserve">project mainly </w:t>
      </w:r>
      <w:r w:rsidR="00D4754C" w:rsidRPr="00C05886">
        <w:t>focus</w:t>
      </w:r>
      <w:r w:rsidRPr="00C05886">
        <w:t>ed</w:t>
      </w:r>
      <w:r w:rsidR="00D4754C" w:rsidRPr="00C05886">
        <w:t xml:space="preserve"> on the role of plant species richness</w:t>
      </w:r>
      <w:r w:rsidRPr="00C05886">
        <w:t>.</w:t>
      </w:r>
      <w:r w:rsidR="00D4754C" w:rsidRPr="00C05886">
        <w:t xml:space="preserve"> </w:t>
      </w:r>
      <w:r w:rsidRPr="00C05886">
        <w:t>P</w:t>
      </w:r>
      <w:r w:rsidR="00D4754C" w:rsidRPr="00C05886">
        <w:t xml:space="preserve">lants </w:t>
      </w:r>
      <w:r w:rsidRPr="00C05886">
        <w:t xml:space="preserve">are not only </w:t>
      </w:r>
      <w:r w:rsidR="00D4754C" w:rsidRPr="00C05886">
        <w:t>the biological foundation of habitats</w:t>
      </w:r>
      <w:r w:rsidR="00D87843" w:rsidRPr="00C05886">
        <w:t xml:space="preserve"> </w:t>
      </w:r>
      <w:r w:rsidR="00D87843" w:rsidRPr="00C05886">
        <w:fldChar w:fldCharType="begin"/>
      </w:r>
      <w:r w:rsidR="00D87843" w:rsidRPr="00C05886">
        <w:instrText xml:space="preserve"> ADDIN ZOTERO_ITEM CSL_CITATION {"citationID":"cv8RXs4m","properties":{"formattedCitation":"(Cardinale {\\i{}et al.}, 2012)","plainCitation":"(Cardinale et al., 2012)","noteIndex":0},"citationItems":[{"id":10903,"uris":["http://zotero.org/users/10951124/items/3AQ99WI9"],"itemData":{"id":10903,"type":"article-journal","container-title":"Nature","DOI":"10.1038/nature11148","ISSN":"0028-0836, 1476-4687","issue":"7401","journalAbbreviation":"Nature","language":"en","page":"59-67","source":"DOI.org (Crossref)","title":"Biodiversity loss and its impact on humanity","volume":"486","author":[{"family":"Cardinale","given":"Bradley J."},{"family":"Duffy","given":"J. Emmett"},{"family":"Gonzalez","given":"Andrew"},{"family":"Hooper","given":"David U."},{"family":"Perrings","given":"Charles"},{"family":"Venail","given":"Patrick"},{"family":"Narwani","given":"Anita"},{"family":"Mace","given":"Georgina M."},{"family":"Tilman","given":"David"},{"family":"Wardle","given":"David A."},{"family":"Kinzig","given":"Ann P."},{"family":"Daily","given":"Gretchen C."},{"family":"Loreau","given":"Michel"},{"family":"Grace","given":"James B."},{"family":"Larigauderie","given":"Anne"},{"family":"Srivastava","given":"Diane S."},{"family":"Naeem","given":"Shahid"}],"issued":{"date-parts":[["2012",6,7]]}}}],"schema":"https://github.com/citation-style-language/schema/raw/master/csl-citation.json"} </w:instrText>
      </w:r>
      <w:r w:rsidR="00D87843" w:rsidRPr="00C05886">
        <w:fldChar w:fldCharType="separate"/>
      </w:r>
      <w:r w:rsidR="00D87843" w:rsidRPr="00C05886">
        <w:rPr>
          <w:rFonts w:ascii="Calibri" w:hAnsi="Calibri" w:cs="Calibri"/>
          <w:szCs w:val="24"/>
        </w:rPr>
        <w:t xml:space="preserve">(Cardinale </w:t>
      </w:r>
      <w:r w:rsidR="00D87843" w:rsidRPr="00C05886">
        <w:rPr>
          <w:rFonts w:ascii="Calibri" w:hAnsi="Calibri" w:cs="Calibri"/>
          <w:i/>
          <w:iCs/>
          <w:szCs w:val="24"/>
        </w:rPr>
        <w:t>et al.</w:t>
      </w:r>
      <w:r w:rsidR="00D87843" w:rsidRPr="00C05886">
        <w:rPr>
          <w:rFonts w:ascii="Calibri" w:hAnsi="Calibri" w:cs="Calibri"/>
          <w:szCs w:val="24"/>
        </w:rPr>
        <w:t>, 2012)</w:t>
      </w:r>
      <w:r w:rsidR="00D87843" w:rsidRPr="00C05886">
        <w:fldChar w:fldCharType="end"/>
      </w:r>
      <w:r w:rsidR="00D4754C" w:rsidRPr="00C05886">
        <w:t xml:space="preserve"> </w:t>
      </w:r>
      <w:r w:rsidRPr="00C05886">
        <w:t>but also</w:t>
      </w:r>
      <w:r w:rsidR="00D4754C" w:rsidRPr="00C05886">
        <w:t xml:space="preserve"> the main component of </w:t>
      </w:r>
      <w:r w:rsidR="005A7088" w:rsidRPr="00C05886">
        <w:t xml:space="preserve">the </w:t>
      </w:r>
      <w:r w:rsidR="00D4754C" w:rsidRPr="00C05886">
        <w:t>design and management of urban green spaces</w:t>
      </w:r>
      <w:r w:rsidRPr="00C05886">
        <w:t>. Further</w:t>
      </w:r>
      <w:r w:rsidR="00D4754C" w:rsidRPr="00C05886">
        <w:t xml:space="preserve">, plants </w:t>
      </w:r>
      <w:r w:rsidRPr="00C05886">
        <w:t>as a</w:t>
      </w:r>
      <w:r w:rsidR="00D4754C" w:rsidRPr="00C05886">
        <w:t xml:space="preserve"> biological group can be </w:t>
      </w:r>
      <w:r w:rsidRPr="00C05886">
        <w:t>easily</w:t>
      </w:r>
      <w:r w:rsidR="00D4754C" w:rsidRPr="00C05886">
        <w:t xml:space="preserve"> controlled </w:t>
      </w:r>
      <w:r w:rsidRPr="00C05886">
        <w:t xml:space="preserve">in terms of </w:t>
      </w:r>
      <w:r w:rsidR="005A7088" w:rsidRPr="00C05886">
        <w:t>the number</w:t>
      </w:r>
      <w:r w:rsidRPr="00C05886">
        <w:t xml:space="preserve"> of species</w:t>
      </w:r>
      <w:r w:rsidR="00D4754C" w:rsidRPr="00C05886">
        <w:t xml:space="preserve">. </w:t>
      </w:r>
      <w:r w:rsidRPr="00C05886">
        <w:t>By</w:t>
      </w:r>
      <w:r w:rsidR="00D4754C" w:rsidRPr="00C05886">
        <w:t xml:space="preserve"> assessing whether plant richness </w:t>
      </w:r>
      <w:r w:rsidR="00D87843" w:rsidRPr="00C05886">
        <w:t>is</w:t>
      </w:r>
      <w:r w:rsidR="00D4754C" w:rsidRPr="00C05886">
        <w:t xml:space="preserve"> a relevant factor in providing </w:t>
      </w:r>
      <w:r w:rsidRPr="00C05886">
        <w:t>mental well-being</w:t>
      </w:r>
      <w:r w:rsidR="00D4754C" w:rsidRPr="00C05886">
        <w:t>,</w:t>
      </w:r>
      <w:r w:rsidR="00EF44B1" w:rsidRPr="00C05886">
        <w:t xml:space="preserve"> this research ha</w:t>
      </w:r>
      <w:r w:rsidR="00215327" w:rsidRPr="00C05886">
        <w:t>s</w:t>
      </w:r>
      <w:r w:rsidR="00EF44B1" w:rsidRPr="00C05886">
        <w:t xml:space="preserve"> the potential to inform future landscape management. Further, investigating the response to </w:t>
      </w:r>
      <w:r w:rsidR="005A7088" w:rsidRPr="00C05886">
        <w:t>plant</w:t>
      </w:r>
      <w:r w:rsidR="00EF44B1" w:rsidRPr="00C05886">
        <w:t xml:space="preserve"> richness </w:t>
      </w:r>
      <w:r w:rsidR="00547338" w:rsidRPr="00C05886">
        <w:t>was important</w:t>
      </w:r>
      <w:r w:rsidR="00EF44B1" w:rsidRPr="00C05886">
        <w:t xml:space="preserve"> to check</w:t>
      </w:r>
      <w:r w:rsidR="00D4754C" w:rsidRPr="00C05886">
        <w:t xml:space="preserve"> if there </w:t>
      </w:r>
      <w:r w:rsidR="00EF44B1" w:rsidRPr="00C05886">
        <w:t>was</w:t>
      </w:r>
      <w:r w:rsidR="00D4754C" w:rsidRPr="00C05886">
        <w:t xml:space="preserve"> a dose-response</w:t>
      </w:r>
      <w:r w:rsidR="00A7585F" w:rsidRPr="00C05886">
        <w:t xml:space="preserve"> </w:t>
      </w:r>
      <w:r w:rsidR="00215327" w:rsidRPr="00C05886">
        <w:t>relationship</w:t>
      </w:r>
      <w:r w:rsidR="00BB5CDE" w:rsidRPr="00C05886">
        <w:t xml:space="preserve"> b</w:t>
      </w:r>
      <w:r w:rsidR="00215327" w:rsidRPr="00C05886">
        <w:t>etween biodiversity and well-being</w:t>
      </w:r>
      <w:r w:rsidR="00BB5CDE" w:rsidRPr="00C05886">
        <w:t xml:space="preserve"> </w:t>
      </w:r>
      <w:r w:rsidR="00BB5CDE" w:rsidRPr="00C05886">
        <w:fldChar w:fldCharType="begin"/>
      </w:r>
      <w:r w:rsidR="00BB5CDE" w:rsidRPr="00C05886">
        <w:instrText xml:space="preserve"> ADDIN ZOTERO_ITEM CSL_CITATION {"citationID":"aKykh0ZL","properties":{"formattedCitation":"(Shanahan {\\i{}et al.}, 2016)","plainCitation":"(Shanahan et al., 2016)","noteIndex":0},"citationItems":[{"id":4911,"uris":["http://zotero.org/users/10951124/items/VVP4IPG3"],"itemData":{"id":4911,"type":"article-journal","abstract":"Nature within cities will have a central role in helping address key global public health challenges associated with urbanization. However, there is almost no guidance on how much or how frequently people need to engage with nature, and what types or characteristics of nature need to be incorporated in cities for the best health outcomes. Here we use a nature dose framework to examine the associations between the duration, frequency and intensity of exposure to nature and health in an urban population. We show that people who made long visits to green spaces had lower rates of depression and high blood pressure, and those who visited more frequently had greater social cohesion. Higher levels of physical activity were linked to both duration and frequency of green space visits. A dose-response analysis for depression and high blood pressure suggest that visits to outdoor green spaces of 30 minutes or more during the course of a week could reduce the population prevalence of these illnesses by up to 7% and 9% respectively. Given that the societal costs of depression alone in Australia are estimated at AUD$12.6 billion per annum, savings to public health budgets across all health outcomes could be immense.","container-title":"Scientific Reports","DOI":"10.1038/srep28551","ISSN":"20452322","title":"Health Benefits from Nature Experiences Depend on Dose","volume":"6","author":[{"family":"Shanahan","given":"Danielle F."},{"family":"Bush","given":"Robert"},{"family":"Gaston","given":"Kevin J."},{"family":"Lin","given":"Brenda B."},{"family":"Dean","given":"Julie"},{"family":"Barber","given":"Elizabeth"},{"family":"Fuller","given":"Richard A."}],"issued":{"date-parts":[["2016"]]}}}],"schema":"https://github.com/citation-style-language/schema/raw/master/csl-citation.json"} </w:instrText>
      </w:r>
      <w:r w:rsidR="00BB5CDE" w:rsidRPr="00C05886">
        <w:fldChar w:fldCharType="separate"/>
      </w:r>
      <w:r w:rsidR="00BB5CDE" w:rsidRPr="00C05886">
        <w:rPr>
          <w:rFonts w:ascii="Calibri" w:hAnsi="Calibri" w:cs="Calibri"/>
          <w:szCs w:val="24"/>
        </w:rPr>
        <w:t xml:space="preserve">(Shanahan </w:t>
      </w:r>
      <w:r w:rsidR="00BB5CDE" w:rsidRPr="00C05886">
        <w:rPr>
          <w:rFonts w:ascii="Calibri" w:hAnsi="Calibri" w:cs="Calibri"/>
          <w:i/>
          <w:iCs/>
          <w:szCs w:val="24"/>
        </w:rPr>
        <w:t>et al.</w:t>
      </w:r>
      <w:r w:rsidR="00BB5CDE" w:rsidRPr="00C05886">
        <w:rPr>
          <w:rFonts w:ascii="Calibri" w:hAnsi="Calibri" w:cs="Calibri"/>
          <w:szCs w:val="24"/>
        </w:rPr>
        <w:t>, 2016)</w:t>
      </w:r>
      <w:r w:rsidR="00BB5CDE" w:rsidRPr="00C05886">
        <w:fldChar w:fldCharType="end"/>
      </w:r>
      <w:r w:rsidR="00D4754C" w:rsidRPr="00C05886">
        <w:t xml:space="preserve">, </w:t>
      </w:r>
      <w:r w:rsidR="00EF44B1" w:rsidRPr="00C05886">
        <w:t xml:space="preserve">and whether this </w:t>
      </w:r>
      <w:r w:rsidR="00547338" w:rsidRPr="00C05886">
        <w:t xml:space="preserve">relationship </w:t>
      </w:r>
      <w:r w:rsidR="00EF44B1" w:rsidRPr="00C05886">
        <w:t>was</w:t>
      </w:r>
      <w:r w:rsidR="00D4754C" w:rsidRPr="00C05886">
        <w:t xml:space="preserve"> direct (i.e. the higher the plant richness, the greater the benefits), or indirec</w:t>
      </w:r>
      <w:r w:rsidR="00EF44B1" w:rsidRPr="00C05886">
        <w:t>t</w:t>
      </w:r>
      <w:r w:rsidR="00D4754C" w:rsidRPr="00C05886">
        <w:t xml:space="preserve"> (e.g. the higher the </w:t>
      </w:r>
      <w:r w:rsidR="00EF44B1" w:rsidRPr="00C05886">
        <w:t>perceived number of species, the higher the mental well-being</w:t>
      </w:r>
      <w:r w:rsidR="00D4754C" w:rsidRPr="00C05886">
        <w:t xml:space="preserve">). </w:t>
      </w:r>
    </w:p>
    <w:p w14:paraId="3B61D946" w14:textId="773F88CC" w:rsidR="00FD10DA" w:rsidRPr="00C05886" w:rsidRDefault="00FD10DA" w:rsidP="005D7515">
      <w:pPr>
        <w:pStyle w:val="Heading3"/>
      </w:pPr>
      <w:bookmarkStart w:id="8" w:name="_Toc179962272"/>
      <w:r w:rsidRPr="00C05886">
        <w:t>Impact of Covid-19 on this research</w:t>
      </w:r>
      <w:bookmarkEnd w:id="8"/>
    </w:p>
    <w:p w14:paraId="00DC5B19" w14:textId="5FFEDBA3" w:rsidR="00D4754C" w:rsidRPr="00C05886" w:rsidRDefault="00FD10DA" w:rsidP="00D4754C">
      <w:r w:rsidRPr="00C05886">
        <w:t>T</w:t>
      </w:r>
      <w:r w:rsidR="00D4754C" w:rsidRPr="00C05886">
        <w:t xml:space="preserve">he </w:t>
      </w:r>
      <w:r w:rsidR="003D078D" w:rsidRPr="00C05886">
        <w:t>restrictions</w:t>
      </w:r>
      <w:r w:rsidR="00D4754C" w:rsidRPr="00C05886">
        <w:t xml:space="preserve"> </w:t>
      </w:r>
      <w:r w:rsidR="003D078D" w:rsidRPr="00C05886">
        <w:t>im</w:t>
      </w:r>
      <w:r w:rsidR="00D4754C" w:rsidRPr="00C05886">
        <w:t xml:space="preserve">posed </w:t>
      </w:r>
      <w:r w:rsidR="00215327" w:rsidRPr="00C05886">
        <w:t>during</w:t>
      </w:r>
      <w:r w:rsidR="00D4754C" w:rsidRPr="00C05886">
        <w:t xml:space="preserve"> the COVID-19 pandemic </w:t>
      </w:r>
      <w:r w:rsidR="003D078D" w:rsidRPr="00C05886">
        <w:t xml:space="preserve">limited the feasibility of face-to-face experiments. </w:t>
      </w:r>
      <w:r w:rsidRPr="00C05886">
        <w:t>This research project was planned between October 2020 and May 2021, a time characterised by two national lockdowns (in November and January) and uncertainty about the duration of the pandemic. Yet</w:t>
      </w:r>
      <w:r w:rsidR="003D078D" w:rsidRPr="00C05886">
        <w:t xml:space="preserve">, it was during the lockdowns that many people realised </w:t>
      </w:r>
      <w:r w:rsidR="00215327" w:rsidRPr="00C05886">
        <w:t>the importance</w:t>
      </w:r>
      <w:r w:rsidR="003D078D" w:rsidRPr="00C05886">
        <w:t xml:space="preserve"> </w:t>
      </w:r>
      <w:r w:rsidR="00547338" w:rsidRPr="00C05886">
        <w:t>of having</w:t>
      </w:r>
      <w:r w:rsidR="003D078D" w:rsidRPr="00C05886">
        <w:t xml:space="preserve"> a garden to look at from the window and the value of having a park in the </w:t>
      </w:r>
      <w:r w:rsidR="00215327" w:rsidRPr="00C05886">
        <w:t>neighbourhood</w:t>
      </w:r>
      <w:r w:rsidR="003D078D" w:rsidRPr="00C05886">
        <w:t xml:space="preserve">. This created an </w:t>
      </w:r>
      <w:r w:rsidR="00D4754C" w:rsidRPr="00C05886">
        <w:t>opportunity to evaluat</w:t>
      </w:r>
      <w:r w:rsidR="003D078D" w:rsidRPr="00C05886">
        <w:t>e the effect</w:t>
      </w:r>
      <w:r w:rsidR="00D4754C" w:rsidRPr="00C05886">
        <w:t xml:space="preserve"> of </w:t>
      </w:r>
      <w:r w:rsidR="005D7F57" w:rsidRPr="00C05886">
        <w:t xml:space="preserve">species richness </w:t>
      </w:r>
      <w:r w:rsidR="003D078D" w:rsidRPr="00C05886">
        <w:t>on</w:t>
      </w:r>
      <w:r w:rsidR="00D4754C" w:rsidRPr="00C05886">
        <w:t xml:space="preserve"> </w:t>
      </w:r>
      <w:r w:rsidR="003D078D" w:rsidRPr="00C05886">
        <w:t>mental well-being when</w:t>
      </w:r>
      <w:r w:rsidR="003C1C8A" w:rsidRPr="00C05886">
        <w:t xml:space="preserve"> the exposure to it is indirect and virtual</w:t>
      </w:r>
      <w:r w:rsidR="00D4754C" w:rsidRPr="00C05886">
        <w:t xml:space="preserve">. </w:t>
      </w:r>
      <w:r w:rsidR="003C1C8A" w:rsidRPr="00C05886">
        <w:t>This was achieved by</w:t>
      </w:r>
      <w:r w:rsidR="00D4754C" w:rsidRPr="00C05886">
        <w:t xml:space="preserve"> substituting the direct green space exposure with 360-degree </w:t>
      </w:r>
      <w:r w:rsidR="003C1C8A" w:rsidRPr="00C05886">
        <w:t>videos and photos</w:t>
      </w:r>
      <w:r w:rsidR="00D4754C" w:rsidRPr="00C05886">
        <w:t xml:space="preserve"> of the experimental area, translat</w:t>
      </w:r>
      <w:r w:rsidR="003C1C8A" w:rsidRPr="00C05886">
        <w:t>ing</w:t>
      </w:r>
      <w:r w:rsidR="00D4754C" w:rsidRPr="00C05886">
        <w:t xml:space="preserve"> the experiment into a web-</w:t>
      </w:r>
      <w:r w:rsidR="003C1C8A" w:rsidRPr="00C05886">
        <w:t xml:space="preserve">operated, </w:t>
      </w:r>
      <w:r w:rsidR="00547338" w:rsidRPr="00C05886">
        <w:t>socially distanced</w:t>
      </w:r>
      <w:r w:rsidR="003C1C8A" w:rsidRPr="00C05886">
        <w:t>,</w:t>
      </w:r>
      <w:r w:rsidR="00D4754C" w:rsidRPr="00C05886">
        <w:t xml:space="preserve"> approach. Even when </w:t>
      </w:r>
      <w:r w:rsidR="003C1C8A" w:rsidRPr="00C05886">
        <w:t>experienced</w:t>
      </w:r>
      <w:r w:rsidR="00D4754C" w:rsidRPr="00C05886">
        <w:t xml:space="preserve"> on a </w:t>
      </w:r>
      <w:r w:rsidR="003C1C8A" w:rsidRPr="00C05886">
        <w:t xml:space="preserve">flat </w:t>
      </w:r>
      <w:r w:rsidR="00D4754C" w:rsidRPr="00C05886">
        <w:t xml:space="preserve">screen (rather than with a headset), 360-degree </w:t>
      </w:r>
      <w:r w:rsidR="003C1C8A" w:rsidRPr="00C05886">
        <w:t>media</w:t>
      </w:r>
      <w:r w:rsidR="00D4754C" w:rsidRPr="00C05886">
        <w:t xml:space="preserve"> offer more interactivity, allowing the viewer to rotate the point of view and zoom</w:t>
      </w:r>
      <w:r w:rsidR="00CD3BAA" w:rsidRPr="00C05886">
        <w:t xml:space="preserve"> </w:t>
      </w:r>
      <w:r w:rsidR="00CD3BAA" w:rsidRPr="00C05886">
        <w:fldChar w:fldCharType="begin"/>
      </w:r>
      <w:r w:rsidR="00CD3BAA" w:rsidRPr="00C05886">
        <w:instrText xml:space="preserve"> ADDIN ZOTERO_ITEM CSL_CITATION {"citationID":"Gm0q6nxM","properties":{"formattedCitation":"(Reece {\\i{}et al.}, 2022)","plainCitation":"(Reece et al., 2022)","noteIndex":0},"citationItems":[{"id":10423,"uris":["http://zotero.org/users/10951124/items/BGW7K4QU"],"itemData":{"id":10423,"type":"article-journal","abstract":"Improving the mental health of urban residents is a global public health priority. This study builds on existing work that demonstrates the ability of virtual exposure to restorative environments to improve population mental health. It compares the restorative effects of green, blue and historic environments delivered by both flat screen and immersive virtual reality technology, and triangulates data from psychological, physiological and qualitative sources. Results from the subjective measure analyses showed that exposures to all the experimental videos were associated with self-reported reduced anxiety and improved mood, although the historic environment was associated with a smaller reduction of anxiety (p &lt; 0.01). These results were supported by the qualitative accounts. For two of the electroencephalography (EEG) frequency bands, higher levels of activity were observed for historic environments. In relation to the mode of delivery, the subjective measures did not suggest any effect, while for the EEG analyses there was evidence of a significant effect of technology across three out of four frequency bands. In conclusion, this study adds to the evidence that the benefits of restorative environments can be delivered through virtual exposure and suggests that virtual reality may provide greater levels of immersion than flat screen viewing.","container-title":"International Journal of Environmental Research and Public Health","DOI":"10.3390/ijerph19159457","ISSN":"1660-4601","issue":"15","journalAbbreviation":"IJERPH","language":"en","page":"9457","source":"DOI.org (Crossref)","title":"Exposure to Green, Blue and Historic Environments and Mental Well-Being: A Comparison between Virtual Reality Head-Mounted Display and Flat Screen Exposure","title-short":"Exposure to Green, Blue and Historic Environments and Mental Well-Being","volume":"19","author":[{"family":"Reece","given":"Rebecca"},{"family":"Bornioli","given":"Anna"},{"family":"Bray","given":"Isabelle"},{"family":"Newbutt","given":"Nigel"},{"family":"Satenstein","given":"David"},{"family":"Alford","given":"Chris"}],"issued":{"date-parts":[["2022",8,2]]}}}],"schema":"https://github.com/citation-style-language/schema/raw/master/csl-citation.json"} </w:instrText>
      </w:r>
      <w:r w:rsidR="00CD3BAA" w:rsidRPr="00C05886">
        <w:fldChar w:fldCharType="separate"/>
      </w:r>
      <w:r w:rsidR="00CD3BAA" w:rsidRPr="00C05886">
        <w:rPr>
          <w:rFonts w:ascii="Calibri" w:hAnsi="Calibri" w:cs="Calibri"/>
          <w:szCs w:val="24"/>
        </w:rPr>
        <w:t xml:space="preserve">(Reece </w:t>
      </w:r>
      <w:r w:rsidR="00CD3BAA" w:rsidRPr="00C05886">
        <w:rPr>
          <w:rFonts w:ascii="Calibri" w:hAnsi="Calibri" w:cs="Calibri"/>
          <w:i/>
          <w:iCs/>
          <w:szCs w:val="24"/>
        </w:rPr>
        <w:t>et al.</w:t>
      </w:r>
      <w:r w:rsidR="00CD3BAA" w:rsidRPr="00C05886">
        <w:rPr>
          <w:rFonts w:ascii="Calibri" w:hAnsi="Calibri" w:cs="Calibri"/>
          <w:szCs w:val="24"/>
        </w:rPr>
        <w:t>, 2022)</w:t>
      </w:r>
      <w:r w:rsidR="00CD3BAA" w:rsidRPr="00C05886">
        <w:fldChar w:fldCharType="end"/>
      </w:r>
      <w:r w:rsidR="00D4754C" w:rsidRPr="00C05886">
        <w:t>. This allow</w:t>
      </w:r>
      <w:r w:rsidR="00CD3BAA" w:rsidRPr="00C05886">
        <w:t>ed</w:t>
      </w:r>
      <w:r w:rsidR="00D4754C" w:rsidRPr="00C05886">
        <w:t xml:space="preserve"> the research to continue </w:t>
      </w:r>
      <w:r w:rsidR="00CD3BAA" w:rsidRPr="00C05886">
        <w:t>during the pandemic</w:t>
      </w:r>
      <w:r w:rsidR="00E06D21" w:rsidRPr="00C05886">
        <w:t>, though with limitation</w:t>
      </w:r>
      <w:r w:rsidR="00944080" w:rsidRPr="00C05886">
        <w:t>s</w:t>
      </w:r>
      <w:r w:rsidR="00E06D21" w:rsidRPr="00C05886">
        <w:t xml:space="preserve"> </w:t>
      </w:r>
      <w:r w:rsidR="00944080" w:rsidRPr="00C05886">
        <w:t>concerning</w:t>
      </w:r>
      <w:r w:rsidR="00E06D21" w:rsidRPr="00C05886">
        <w:t xml:space="preserve"> the target population (e.g. convenience samples were used)</w:t>
      </w:r>
      <w:r w:rsidR="00944080" w:rsidRPr="00C05886">
        <w:t xml:space="preserve"> and the response from the participants which could have been biased by the lockdown experience</w:t>
      </w:r>
      <w:r w:rsidR="00CD3BAA" w:rsidRPr="00C05886">
        <w:t>.</w:t>
      </w:r>
    </w:p>
    <w:p w14:paraId="338089AB" w14:textId="6D73972B" w:rsidR="008D28B5" w:rsidRPr="00C05886" w:rsidRDefault="00294AB6" w:rsidP="00234315">
      <w:r w:rsidRPr="00C05886">
        <w:t xml:space="preserve">The focus on virtual exposure to </w:t>
      </w:r>
      <w:r w:rsidR="00E06D21" w:rsidRPr="00C05886">
        <w:t xml:space="preserve">species richness </w:t>
      </w:r>
      <w:r w:rsidRPr="00C05886">
        <w:t>was one of the novelty elements of this project. V</w:t>
      </w:r>
      <w:r w:rsidR="00234315" w:rsidRPr="00C05886">
        <w:t>isual media have been widely used in research</w:t>
      </w:r>
      <w:r w:rsidRPr="00C05886">
        <w:t xml:space="preserve">, as they allow better control </w:t>
      </w:r>
      <w:r w:rsidR="00547338" w:rsidRPr="00C05886">
        <w:t>of</w:t>
      </w:r>
      <w:r w:rsidRPr="00C05886">
        <w:t xml:space="preserve"> the experimental </w:t>
      </w:r>
      <w:r w:rsidRPr="00C05886">
        <w:lastRenderedPageBreak/>
        <w:t>conditions – e.g. the flowers shown in a video will not wither during the data collection</w:t>
      </w:r>
      <w:r w:rsidR="00234315" w:rsidRPr="00C05886">
        <w:t xml:space="preserve">. </w:t>
      </w:r>
      <w:r w:rsidRPr="00C05886">
        <w:t xml:space="preserve">The effect of virtual exposure to green space is measurable, as </w:t>
      </w:r>
      <w:r w:rsidR="00215327" w:rsidRPr="00C05886">
        <w:t>demonstrated</w:t>
      </w:r>
      <w:r w:rsidRPr="00C05886">
        <w:t xml:space="preserve"> by the early work of</w:t>
      </w:r>
      <w:r w:rsidR="00234315" w:rsidRPr="00C05886">
        <w:t xml:space="preserve"> Ulrich and colleagues </w:t>
      </w:r>
      <w:r w:rsidR="00234315" w:rsidRPr="00C05886">
        <w:fldChar w:fldCharType="begin" w:fldLock="1"/>
      </w:r>
      <w:r w:rsidR="00D63253" w:rsidRPr="00C05886">
        <w:instrText xml:space="preserve"> ADDIN ZOTERO_ITEM CSL_CITATION {"citationID":"vqXvyVu6","properties":{"formattedCitation":"(Ulrich {\\i{}et al.}, 1991)","plainCitation":"(Ulrich et al., 1991)","noteIndex":0},"citationItems":[{"id":6345,"uris":["http://zotero.org/users/10951124/items/FZSVSHF3"],"itemData":{"id":6345,"type":"article-journal","abstract":"Different conceptual perspectives converge to predict that if individuals are stressed, an encounter with most unthreatening natural environments will have a stress reducing or restorative influence, whereas many urban environments will hamper recuperation. Hypotheses regarding emotional, attentional and physiological aspects of stress reducing influences of nature are derived from a psycho-evolutionary theory. To investigate these hypotheses, 120 subjects first viewed a stressful movie, and then were exposed to color/sound videotapes of one of six different natural and urban settings. Data concerning stress recovery during the environmental presentations were obtained from self-ratings of affective states and a battery of physiological measures: heart period, muscle tension, skin conductance and pulse transit time, a non-invasive measure that correlates with systolic blood pressure. Findings from the physiological and verbal measures converged to indicate that recovery was faster and more complete when subjects were exposed to natural rather than urban environments. The pattern of physiological findings raised the possibility that responses to nature had a salient parasympathetic nervous system component; however, there was no evidence of pronounced parasympathetic involvement in responses to the urban settings. There were directional differences in cardiac responses to the natural vs urban settings, suggesting that attention/intake was higher during the natural exposures. However, both the stressor film and the nature settings elicited high levels of involuntary or automatic attention, which contradicts the notion that restorative influences of nature stem from involuntary attention or fascination. Findings were consistent with the predictions of the psycho-evolutionary theory that restorative influences of nature involve a shift towards a more positively-toned emotional state, positive changes in physiological activity levels, and that these changes are accompanied by sustained attention/intake. Content differences in terms of natural vs human-made properties appeared decisive in accounting for the differences in recuperation and perceptual intake. © 1991 Academic Press Limited.","container-title":"Journal of Environmental Psychology","DOI":"10.1016/S0272-4944(05)80184-7","ISSN":"15229610","issue":"3","page":"201-230","title":"Stress recovery during exposure to natural and urban environments","volume":"11","author":[{"family":"Ulrich","given":"Roger S."},{"family":"Simons","given":"Robert F."},{"family":"Losito","given":"Barbara D."},{"family":"Fiorito","given":"Evelyn"},{"family":"Miles","given":"Mark A."},{"family":"Zelson","given":"Michael"}],"issued":{"date-parts":[["1991"]]}}}],"schema":"https://github.com/citation-style-language/schema/raw/master/csl-citation.json"} </w:instrText>
      </w:r>
      <w:r w:rsidR="00234315" w:rsidRPr="00C05886">
        <w:fldChar w:fldCharType="separate"/>
      </w:r>
      <w:r w:rsidR="00D63253" w:rsidRPr="00C05886">
        <w:rPr>
          <w:rFonts w:ascii="Calibri" w:hAnsi="Calibri" w:cs="Calibri"/>
          <w:szCs w:val="24"/>
        </w:rPr>
        <w:t xml:space="preserve">(Ulrich </w:t>
      </w:r>
      <w:r w:rsidR="00D63253" w:rsidRPr="00C05886">
        <w:rPr>
          <w:rFonts w:ascii="Calibri" w:hAnsi="Calibri" w:cs="Calibri"/>
          <w:i/>
          <w:iCs/>
          <w:szCs w:val="24"/>
        </w:rPr>
        <w:t>et al.</w:t>
      </w:r>
      <w:r w:rsidR="00D63253" w:rsidRPr="00C05886">
        <w:rPr>
          <w:rFonts w:ascii="Calibri" w:hAnsi="Calibri" w:cs="Calibri"/>
          <w:szCs w:val="24"/>
        </w:rPr>
        <w:t>, 1991)</w:t>
      </w:r>
      <w:r w:rsidR="00234315" w:rsidRPr="00C05886">
        <w:fldChar w:fldCharType="end"/>
      </w:r>
      <w:r w:rsidR="00234315" w:rsidRPr="00C05886">
        <w:t xml:space="preserve">,  </w:t>
      </w:r>
      <w:r w:rsidRPr="00C05886">
        <w:t xml:space="preserve">and as consistently </w:t>
      </w:r>
      <w:r w:rsidR="00215327" w:rsidRPr="00C05886">
        <w:t>confirmed</w:t>
      </w:r>
      <w:r w:rsidRPr="00C05886">
        <w:t xml:space="preserve"> by restorative</w:t>
      </w:r>
      <w:r w:rsidR="00EF5364" w:rsidRPr="00C05886">
        <w:t xml:space="preserve"> studies ever since </w:t>
      </w:r>
      <w:r w:rsidR="00234315" w:rsidRPr="00C05886">
        <w:fldChar w:fldCharType="begin" w:fldLock="1"/>
      </w:r>
      <w:r w:rsidR="003E681B" w:rsidRPr="00C05886">
        <w:instrText xml:space="preserve"> ADDIN ZOTERO_ITEM CSL_CITATION {"citationID":"aJ5rfZqx","properties":{"formattedCitation":"(Van Den Berg, Jorgensen and Wilson, 2014)","plainCitation":"(Van Den Berg, Jorgensen and Wilson, 2014)","dontUpdate":true,"noteIndex":0},"citationItems":[{"id":7023,"uris":["http://zotero.org/users/10951124/items/9KGD5Q28"],"itemData":{"id":7023,"type":"article-journal","abstract":"A growing body of research suggests that natural settings are more effective in providing restoration from depleted emotional and cognitive resources than built settings. However, there is a lack of evidence-based guidelines on which options for urban green space design and management are most effective in providing restoration. To address this need, the present study examined the restorative impacts of urban public spaces differing in naturalness. After having been pre-stressed by watching a scary movie, 102 participants were randomly assigned to viewing one of four photo/video presentations depicting an urban street, parkland, tended woodland, or wild woods. Self-reported mood and restorative state were measured at baseline, after the stressor and after viewing the environment. After controlling for stress reactivity, participants in the natural conditions showed stronger recovery on all dependent measures than those in the urban street condition. Differences in recovery among the natural settings did not reach significance. Keyword analysis revealed that the wild woods were described as more arousing than the parkland and tended woodland. There was substantial variation in recovery of vitality within natural conditions, which was related to perceptions of naturalness. In general, the findings suggest that restoration in urban public spaces depends on individual perceptions and needs as well as physical characteristics of the setting.","container-title":"Landscape and Urban Planning","DOI":"10.1016/j.landurbplan.2014.04.012","ISSN":"0169-2046","issue":"C","page":"173-181","title":"Evaluating restoration in urban green spaces: Does setting type make a difference?","volume":"127","author":[{"family":"Van Den Berg","given":"Agnes E"},{"family":"Jorgensen","given":"Anna"},{"family":"Wilson","given":"Edward R"}],"issued":{"date-parts":[["2014"]]}}}],"schema":"https://github.com/citation-style-language/schema/raw/master/csl-citation.json"} </w:instrText>
      </w:r>
      <w:r w:rsidR="00234315" w:rsidRPr="00C05886">
        <w:fldChar w:fldCharType="separate"/>
      </w:r>
      <w:r w:rsidR="00FB3282" w:rsidRPr="00C05886">
        <w:rPr>
          <w:rFonts w:ascii="Calibri" w:hAnsi="Calibri" w:cs="Calibri"/>
        </w:rPr>
        <w:t>(e.g. Van Den Berg, Jorgensen and Wilson, 2014)</w:t>
      </w:r>
      <w:r w:rsidR="00234315" w:rsidRPr="00C05886">
        <w:fldChar w:fldCharType="end"/>
      </w:r>
      <w:r w:rsidRPr="00C05886">
        <w:t>.</w:t>
      </w:r>
      <w:r w:rsidR="00EF5364" w:rsidRPr="00C05886">
        <w:t xml:space="preserve"> </w:t>
      </w:r>
      <w:r w:rsidR="00234315" w:rsidRPr="00C05886">
        <w:t xml:space="preserve">In particular, </w:t>
      </w:r>
      <w:r w:rsidR="003E681B" w:rsidRPr="00C05886">
        <w:t xml:space="preserve">Wolf et al. (2017) </w:t>
      </w:r>
      <w:r w:rsidR="00EF5364" w:rsidRPr="00C05886">
        <w:t>showed that videos with higher species richness were associated with higher mental well-being than videos which featured only one species.</w:t>
      </w:r>
      <w:r w:rsidR="008D28B5" w:rsidRPr="00C05886">
        <w:t xml:space="preserve"> </w:t>
      </w:r>
      <w:r w:rsidR="00234315" w:rsidRPr="00C05886">
        <w:t xml:space="preserve">However, it has been argued that </w:t>
      </w:r>
      <w:r w:rsidR="008D28B5" w:rsidRPr="00C05886">
        <w:t>direct contact</w:t>
      </w:r>
      <w:r w:rsidR="00234315" w:rsidRPr="00C05886">
        <w:t xml:space="preserve"> </w:t>
      </w:r>
      <w:r w:rsidR="008D28B5" w:rsidRPr="00C05886">
        <w:t>with real</w:t>
      </w:r>
      <w:r w:rsidR="00234315" w:rsidRPr="00C05886">
        <w:t xml:space="preserve"> nature remains more beneficial </w:t>
      </w:r>
      <w:r w:rsidR="00234315" w:rsidRPr="00C05886">
        <w:fldChar w:fldCharType="begin" w:fldLock="1"/>
      </w:r>
      <w:r w:rsidR="00A35208">
        <w:instrText xml:space="preserve"> ADDIN ZOTERO_ITEM CSL_CITATION {"citationID":"MfSjl4S4","properties":{"formattedCitation":"(Mcmahan and Estes, 2015)","plainCitation":"(Mcmahan and Estes, 2015)","noteIndex":0},"citationItems":[{"id":"6pP8vKpK/ClFy9cmA","uris":["http://www.mendeley.com/documents/?uuid=0b65aed6-06f5-422c-941d-f052814549a0"],"itemData":{"DOI":"10.1080/17439760.2014.994224","ISSN":"1743-9760","abstract":"&lt;p&gt;A growing body of empirical research suggests that brief contact with natural environments improves emotional well-being. The current study synthesizes this body of research using meta-analytic techniques and assesses the mean effect size of exposure to natural environments on both positive and negative affect. Thirty-two studies with a total of 2356 participants were included. Across these studies, exposure to natural environments was associated with a moderate increase in positive affect and a smaller, yet consistent, decrease in negative affect relative to comparison conditions. Significant heterogeneity was found for the effect of nature on positive affect, and type of emotion assessment, type of exposure to nature, location of study, and mean age of sample were found to moderate this effect. The implications of these findings for existing theory and research are discussed, with particular emphasis placed on potential avenues for fruitful future research examining the effects of nature on well-being.&lt;/p&gt;","author":[{"dropping-particle":"","family":"Mcmahan","given":"Ethan A","non-dropping-particle":"","parse-names":false,"suffix":""},{"dropping-particle":"","family":"Estes","given":"David","non-dropping-particle":"","parse-names":false,"suffix":""}],"container-title":"The Journal of Positive Psychology","id":"ITEM-1","issue":"6","issued":{"date-parts":[["2015"]]},"note":"una buona metanalisi che al tempo stesso conferma e smentisce BH ART e SRT. Le conferma dal punto di vista degli effetti positivi sullo stato emotivo, ma contrasta su quelli negativi. \n\nsuggerisce un approccio psicologico funzionale dove le risposte emotive agli stimoli ambientali siano funzionali alla presenza di vantaggi o pericoli","page":"507-519","title":"The effect of contact with natural environments on positive and negative affect: A meta-analysis","type":"article-journal","volume":"10"}}],"schema":"https://github.com/citation-style-language/schema/raw/master/csl-citation.json"} </w:instrText>
      </w:r>
      <w:r w:rsidR="00234315" w:rsidRPr="00C05886">
        <w:fldChar w:fldCharType="separate"/>
      </w:r>
      <w:r w:rsidR="005250E5" w:rsidRPr="00C05886">
        <w:rPr>
          <w:rFonts w:ascii="Calibri" w:hAnsi="Calibri" w:cs="Calibri"/>
        </w:rPr>
        <w:t>(Mcmahan and Estes, 2015)</w:t>
      </w:r>
      <w:r w:rsidR="00234315" w:rsidRPr="00C05886">
        <w:fldChar w:fldCharType="end"/>
      </w:r>
      <w:r w:rsidR="00234315" w:rsidRPr="00C05886">
        <w:t xml:space="preserve">. </w:t>
      </w:r>
      <w:r w:rsidR="008D28B5" w:rsidRPr="00C05886">
        <w:t xml:space="preserve">Although real nature </w:t>
      </w:r>
      <w:r w:rsidR="00A7585F" w:rsidRPr="00C05886">
        <w:t>may be more relaxing and uplifting</w:t>
      </w:r>
      <w:r w:rsidR="008D28B5" w:rsidRPr="00C05886">
        <w:t xml:space="preserve">, the </w:t>
      </w:r>
      <w:r w:rsidR="00A7585F" w:rsidRPr="00C05886">
        <w:t>benefits generated</w:t>
      </w:r>
      <w:r w:rsidR="008D28B5" w:rsidRPr="00C05886">
        <w:t xml:space="preserve"> by virtual </w:t>
      </w:r>
      <w:r w:rsidR="00A7585F" w:rsidRPr="00C05886">
        <w:t>nature</w:t>
      </w:r>
      <w:r w:rsidR="008D28B5" w:rsidRPr="00C05886">
        <w:t xml:space="preserve"> could provide a</w:t>
      </w:r>
      <w:r w:rsidR="00A7585F" w:rsidRPr="00C05886">
        <w:t>n</w:t>
      </w:r>
      <w:r w:rsidR="008D28B5" w:rsidRPr="00C05886">
        <w:t xml:space="preserve"> alternative </w:t>
      </w:r>
      <w:r w:rsidR="00A7585F" w:rsidRPr="00C05886">
        <w:t>for</w:t>
      </w:r>
      <w:r w:rsidR="008D28B5" w:rsidRPr="00C05886">
        <w:t xml:space="preserve"> improving the well-being of those who cannot access green spaces</w:t>
      </w:r>
      <w:r w:rsidR="00A7585F" w:rsidRPr="00C05886">
        <w:t xml:space="preserve"> easily</w:t>
      </w:r>
      <w:r w:rsidR="008D28B5" w:rsidRPr="00C05886">
        <w:t xml:space="preserve">, as was the case in many countries during the </w:t>
      </w:r>
      <w:r w:rsidR="00547338" w:rsidRPr="00C05886">
        <w:t>COVID-19</w:t>
      </w:r>
      <w:r w:rsidR="008D28B5" w:rsidRPr="00C05886">
        <w:t xml:space="preserve"> lockdown. </w:t>
      </w:r>
      <w:r w:rsidR="00E364D8" w:rsidRPr="00C05886">
        <w:t>Potentially</w:t>
      </w:r>
      <w:r w:rsidR="008D28B5" w:rsidRPr="00C05886">
        <w:t xml:space="preserve">, virtual exposure could benefit those who live in heavily urbanised areas and/or suffer from physical limitations </w:t>
      </w:r>
      <w:r w:rsidR="008D28B5" w:rsidRPr="00C05886">
        <w:fldChar w:fldCharType="begin" w:fldLock="1"/>
      </w:r>
      <w:r w:rsidR="00A35208">
        <w:instrText xml:space="preserve"> ADDIN ZOTERO_ITEM CSL_CITATION {"citationID":"Cd3Xwf2n","properties":{"formattedCitation":"(Mcmahan and Estes, 2015)","plainCitation":"(Mcmahan and Estes, 2015)","noteIndex":0},"citationItems":[{"id":"6pP8vKpK/ClFy9cmA","uris":["http://www.mendeley.com/documents/?uuid=0b65aed6-06f5-422c-941d-f052814549a0"],"itemData":{"DOI":"10.1080/17439760.2014.994224","ISSN":"1743-9760","abstract":"&lt;p&gt;A growing body of empirical research suggests that brief contact with natural environments improves emotional well-being. The current study synthesizes this body of research using meta-analytic techniques and assesses the mean effect size of exposure to natural environments on both positive and negative affect. Thirty-two studies with a total of 2356 participants were included. Across these studies, exposure to natural environments was associated with a moderate increase in positive affect and a smaller, yet consistent, decrease in negative affect relative to comparison conditions. Significant heterogeneity was found for the effect of nature on positive affect, and type of emotion assessment, type of exposure to nature, location of study, and mean age of sample were found to moderate this effect. The implications of these findings for existing theory and research are discussed, with particular emphasis placed on potential avenues for fruitful future research examining the effects of nature on well-being.&lt;/p&gt;","author":[{"dropping-particle":"","family":"Mcmahan","given":"Ethan A","non-dropping-particle":"","parse-names":false,"suffix":""},{"dropping-particle":"","family":"Estes","given":"David","non-dropping-particle":"","parse-names":false,"suffix":""}],"container-title":"The Journal of Positive Psychology","id":"ITEM-1","issue":"6","issued":{"date-parts":[["2015"]]},"note":"una buona metanalisi che al tempo stesso conferma e smentisce BH ART e SRT. Le conferma dal punto di vista degli effetti positivi sullo stato emotivo, ma contrasta su quelli negativi. \n\nsuggerisce un approccio psicologico funzionale dove le risposte emotive agli stimoli ambientali siano funzionali alla presenza di vantaggi o pericoli","page":"507-519","title":"The effect of contact with natural environments on positive and negative affect: A meta-analysis","type":"article-journal","volume":"10"}}],"schema":"https://github.com/citation-style-language/schema/raw/master/csl-citation.json"} </w:instrText>
      </w:r>
      <w:r w:rsidR="008D28B5" w:rsidRPr="00C05886">
        <w:fldChar w:fldCharType="separate"/>
      </w:r>
      <w:r w:rsidR="008D28B5" w:rsidRPr="00C05886">
        <w:rPr>
          <w:rFonts w:ascii="Calibri" w:hAnsi="Calibri" w:cs="Calibri"/>
        </w:rPr>
        <w:t>(</w:t>
      </w:r>
      <w:r w:rsidR="00EB0D7F">
        <w:rPr>
          <w:rFonts w:ascii="Calibri" w:hAnsi="Calibri" w:cs="Calibri"/>
        </w:rPr>
        <w:t>McMahan</w:t>
      </w:r>
      <w:r w:rsidR="00EB0D7F" w:rsidRPr="00C05886">
        <w:rPr>
          <w:rFonts w:ascii="Calibri" w:hAnsi="Calibri" w:cs="Calibri"/>
        </w:rPr>
        <w:t xml:space="preserve"> </w:t>
      </w:r>
      <w:r w:rsidR="008D28B5" w:rsidRPr="00C05886">
        <w:rPr>
          <w:rFonts w:ascii="Calibri" w:hAnsi="Calibri" w:cs="Calibri"/>
        </w:rPr>
        <w:t>and Estes, 2015)</w:t>
      </w:r>
      <w:r w:rsidR="008D28B5" w:rsidRPr="00C05886">
        <w:fldChar w:fldCharType="end"/>
      </w:r>
      <w:r w:rsidR="008D28B5" w:rsidRPr="00C05886">
        <w:t>.</w:t>
      </w:r>
    </w:p>
    <w:p w14:paraId="7D15ECCA" w14:textId="13C9DE44" w:rsidR="00D4754C" w:rsidRPr="00C05886" w:rsidRDefault="00D4754C" w:rsidP="00C12E53">
      <w:pPr>
        <w:pStyle w:val="Heading2"/>
      </w:pPr>
      <w:bookmarkStart w:id="9" w:name="_Toc71643002"/>
      <w:bookmarkStart w:id="10" w:name="_Toc179962273"/>
      <w:r w:rsidRPr="00C05886">
        <w:t>Hypotheses and research questions</w:t>
      </w:r>
      <w:bookmarkEnd w:id="9"/>
      <w:bookmarkEnd w:id="10"/>
    </w:p>
    <w:p w14:paraId="4D2A0AFD" w14:textId="231EC2F6" w:rsidR="00D4754C" w:rsidRPr="00C05886" w:rsidRDefault="00D4754C" w:rsidP="00D4754C">
      <w:r w:rsidRPr="00C05886">
        <w:t xml:space="preserve">Building </w:t>
      </w:r>
      <w:r w:rsidR="00547338" w:rsidRPr="00C05886">
        <w:t>upon</w:t>
      </w:r>
      <w:r w:rsidRPr="00C05886">
        <w:t xml:space="preserve"> previous </w:t>
      </w:r>
      <w:r w:rsidR="00547338" w:rsidRPr="00C05886">
        <w:t>research work</w:t>
      </w:r>
      <w:r w:rsidRPr="00C05886">
        <w:t>, the research question</w:t>
      </w:r>
      <w:r w:rsidR="0012188D" w:rsidRPr="00C05886">
        <w:t>s</w:t>
      </w:r>
      <w:r w:rsidRPr="00C05886">
        <w:t xml:space="preserve"> </w:t>
      </w:r>
      <w:r w:rsidR="0012188D" w:rsidRPr="00C05886">
        <w:t>can be</w:t>
      </w:r>
      <w:r w:rsidRPr="00C05886">
        <w:t xml:space="preserve"> formulated as follows:</w:t>
      </w:r>
    </w:p>
    <w:p w14:paraId="60F4690B" w14:textId="067B3500" w:rsidR="00D4754C" w:rsidRPr="00C05886" w:rsidRDefault="00D4754C" w:rsidP="008B4014">
      <w:pPr>
        <w:pStyle w:val="ListParagraph"/>
        <w:numPr>
          <w:ilvl w:val="0"/>
          <w:numId w:val="8"/>
        </w:numPr>
      </w:pPr>
      <w:r w:rsidRPr="00C05886">
        <w:t>Does</w:t>
      </w:r>
      <w:r w:rsidR="00E965A1" w:rsidRPr="00C05886">
        <w:t xml:space="preserve"> increasing the (plant) species richness of green space also </w:t>
      </w:r>
      <w:r w:rsidR="00547338" w:rsidRPr="00C05886">
        <w:t>increase</w:t>
      </w:r>
      <w:r w:rsidR="00E965A1" w:rsidRPr="00C05886">
        <w:t xml:space="preserve"> the mental well-being </w:t>
      </w:r>
      <w:r w:rsidR="00547338" w:rsidRPr="00C05886">
        <w:t xml:space="preserve">it can </w:t>
      </w:r>
      <w:r w:rsidR="00E965A1" w:rsidRPr="00C05886">
        <w:t>provide</w:t>
      </w:r>
      <w:r w:rsidRPr="00C05886">
        <w:t xml:space="preserve">? </w:t>
      </w:r>
    </w:p>
    <w:p w14:paraId="4C157E63" w14:textId="31DA814C" w:rsidR="00CC7A33" w:rsidRPr="00C05886" w:rsidRDefault="00CC7A33" w:rsidP="008B4014">
      <w:pPr>
        <w:pStyle w:val="ListParagraph"/>
        <w:numPr>
          <w:ilvl w:val="0"/>
          <w:numId w:val="8"/>
        </w:numPr>
      </w:pPr>
      <w:r w:rsidRPr="00C05886">
        <w:t xml:space="preserve">Does </w:t>
      </w:r>
      <w:bookmarkStart w:id="11" w:name="_Hlk155944323"/>
      <w:r w:rsidRPr="00C05886">
        <w:t>the subjectively perceived species richness have a positive effect on the psychological state, when the broader context is kept under control?</w:t>
      </w:r>
      <w:bookmarkEnd w:id="11"/>
    </w:p>
    <w:p w14:paraId="3BD3143E" w14:textId="4BEE53D4" w:rsidR="00982F12" w:rsidRPr="00C05886" w:rsidRDefault="00982F12" w:rsidP="00310771">
      <w:pPr>
        <w:pStyle w:val="ListParagraph"/>
        <w:numPr>
          <w:ilvl w:val="0"/>
          <w:numId w:val="8"/>
        </w:numPr>
      </w:pPr>
      <w:bookmarkStart w:id="12" w:name="_Hlk155944425"/>
      <w:r w:rsidRPr="00C05886">
        <w:t xml:space="preserve">Do the </w:t>
      </w:r>
      <w:r w:rsidR="00E965A1" w:rsidRPr="00C05886">
        <w:t>subjective</w:t>
      </w:r>
      <w:r w:rsidR="004862FE" w:rsidRPr="00C05886">
        <w:t xml:space="preserve"> estimations of the</w:t>
      </w:r>
      <w:r w:rsidRPr="00C05886">
        <w:t xml:space="preserve"> species richness match the actual species richness?</w:t>
      </w:r>
      <w:bookmarkStart w:id="13" w:name="_Hlk155944499"/>
      <w:bookmarkEnd w:id="12"/>
    </w:p>
    <w:p w14:paraId="563D7F4D" w14:textId="4AB7AF9D" w:rsidR="0012188D" w:rsidRPr="00C05886" w:rsidRDefault="00982F12" w:rsidP="00310771">
      <w:pPr>
        <w:pStyle w:val="ListParagraph"/>
        <w:numPr>
          <w:ilvl w:val="0"/>
          <w:numId w:val="8"/>
        </w:numPr>
      </w:pPr>
      <w:bookmarkStart w:id="14" w:name="_Hlk155944704"/>
      <w:bookmarkEnd w:id="13"/>
      <w:r w:rsidRPr="00C05886">
        <w:t>D</w:t>
      </w:r>
      <w:r w:rsidR="00E965A1" w:rsidRPr="00C05886">
        <w:t>oes noticing biodiversity improve psychological well-being</w:t>
      </w:r>
      <w:r w:rsidRPr="00C05886">
        <w:t>?</w:t>
      </w:r>
      <w:bookmarkEnd w:id="14"/>
    </w:p>
    <w:p w14:paraId="5DEB039F" w14:textId="472C23E7" w:rsidR="0001326E" w:rsidRPr="00C05886" w:rsidRDefault="00EF19CB" w:rsidP="00C12E53">
      <w:pPr>
        <w:pStyle w:val="Heading2"/>
      </w:pPr>
      <w:bookmarkStart w:id="15" w:name="_Toc179962274"/>
      <w:r w:rsidRPr="00C05886">
        <w:t>How to read</w:t>
      </w:r>
      <w:r w:rsidR="0001326E" w:rsidRPr="00C05886">
        <w:t xml:space="preserve"> th</w:t>
      </w:r>
      <w:r w:rsidRPr="00C05886">
        <w:t>is</w:t>
      </w:r>
      <w:r w:rsidR="0001326E" w:rsidRPr="00C05886">
        <w:t xml:space="preserve"> thesis</w:t>
      </w:r>
      <w:bookmarkEnd w:id="15"/>
    </w:p>
    <w:p w14:paraId="7C0EC672" w14:textId="1ECB5946" w:rsidR="0001326E" w:rsidRPr="00C05886" w:rsidRDefault="0001326E" w:rsidP="00EF19CB">
      <w:r w:rsidRPr="00C05886">
        <w:t xml:space="preserve">This thesis is in the “by publication” format. According to the </w:t>
      </w:r>
      <w:r w:rsidR="0012188D" w:rsidRPr="00C05886">
        <w:t>U</w:t>
      </w:r>
      <w:r w:rsidRPr="00C05886">
        <w:t>niversity of Sheffield’s code of practice</w:t>
      </w:r>
      <w:r w:rsidR="0012188D" w:rsidRPr="00C05886">
        <w:t xml:space="preserve"> (2023-2024)</w:t>
      </w:r>
      <w:r w:rsidRPr="00C05886">
        <w:t xml:space="preserve">, </w:t>
      </w:r>
      <w:r w:rsidR="00547338" w:rsidRPr="00C05886">
        <w:t xml:space="preserve">a </w:t>
      </w:r>
      <w:r w:rsidRPr="00C05886">
        <w:t>thesis in this format include</w:t>
      </w:r>
      <w:r w:rsidR="00547338" w:rsidRPr="00C05886">
        <w:t>s</w:t>
      </w:r>
      <w:r w:rsidRPr="00C05886">
        <w:t xml:space="preserve"> published and unpublished materials in the form of papers. The aim is to familiarise the student with the process of writing papers.</w:t>
      </w:r>
    </w:p>
    <w:p w14:paraId="452F6EF7" w14:textId="0C58223C" w:rsidR="005847D0" w:rsidRPr="00C05886" w:rsidRDefault="0001326E" w:rsidP="00EF19CB">
      <w:r w:rsidRPr="00C05886">
        <w:t xml:space="preserve">Since this is still a </w:t>
      </w:r>
      <w:r w:rsidR="0012188D" w:rsidRPr="00C05886">
        <w:t>relatively</w:t>
      </w:r>
      <w:r w:rsidRPr="00C05886">
        <w:t xml:space="preserve"> </w:t>
      </w:r>
      <w:r w:rsidR="0012188D" w:rsidRPr="00C05886">
        <w:t>uncommon</w:t>
      </w:r>
      <w:r w:rsidRPr="00C05886">
        <w:t xml:space="preserve"> format for a thesis in </w:t>
      </w:r>
      <w:r w:rsidR="0012188D" w:rsidRPr="00C05886">
        <w:t>L</w:t>
      </w:r>
      <w:r w:rsidRPr="00C05886">
        <w:t xml:space="preserve">andscape </w:t>
      </w:r>
      <w:r w:rsidR="0012188D" w:rsidRPr="00C05886">
        <w:t>A</w:t>
      </w:r>
      <w:r w:rsidRPr="00C05886">
        <w:t xml:space="preserve">rchitecture, </w:t>
      </w:r>
      <w:r w:rsidR="00EF19CB" w:rsidRPr="00C05886">
        <w:t xml:space="preserve">a few directions are necessary. The thesis is made of three </w:t>
      </w:r>
      <w:r w:rsidR="00E364D8" w:rsidRPr="00C05886">
        <w:t>introductory</w:t>
      </w:r>
      <w:r w:rsidR="00EF19CB" w:rsidRPr="00C05886">
        <w:t xml:space="preserve"> chapters, a core of four </w:t>
      </w:r>
      <w:r w:rsidR="000A1F4A" w:rsidRPr="00C05886">
        <w:t>“</w:t>
      </w:r>
      <w:r w:rsidR="00EF19CB" w:rsidRPr="00C05886">
        <w:t>paper</w:t>
      </w:r>
      <w:r w:rsidR="00B47392" w:rsidRPr="00C05886">
        <w:t>-</w:t>
      </w:r>
      <w:r w:rsidR="00EF19CB" w:rsidRPr="00C05886">
        <w:t>chapters</w:t>
      </w:r>
      <w:r w:rsidR="000A1F4A" w:rsidRPr="00C05886">
        <w:t>”</w:t>
      </w:r>
      <w:r w:rsidR="00EF19CB" w:rsidRPr="00C05886">
        <w:t xml:space="preserve">, and a conclusive chapter. Since each of the four papers provides a measure of literature review, methods, discussion and conclusion, the equivalent chapters in the thesis have been tailored a bit differently, </w:t>
      </w:r>
      <w:r w:rsidR="00B47392" w:rsidRPr="00C05886">
        <w:t xml:space="preserve">aiming to 1) avoid excessive </w:t>
      </w:r>
      <w:r w:rsidR="00E364D8" w:rsidRPr="00C05886">
        <w:t>repetition</w:t>
      </w:r>
      <w:r w:rsidR="00B47392" w:rsidRPr="00C05886">
        <w:t xml:space="preserve">, 2) cover those theoretical and critical analyses that </w:t>
      </w:r>
      <w:r w:rsidR="00E364D8" w:rsidRPr="00C05886">
        <w:t>could not find space</w:t>
      </w:r>
      <w:r w:rsidR="00B47392" w:rsidRPr="00C05886">
        <w:t xml:space="preserve"> </w:t>
      </w:r>
      <w:r w:rsidR="00E364D8" w:rsidRPr="00C05886">
        <w:t>in</w:t>
      </w:r>
      <w:r w:rsidR="00B47392" w:rsidRPr="00C05886">
        <w:t xml:space="preserve"> the paper-chapters. </w:t>
      </w:r>
      <w:r w:rsidR="00E364D8" w:rsidRPr="00C05886">
        <w:t>This is due</w:t>
      </w:r>
      <w:r w:rsidR="0012188D" w:rsidRPr="00C05886">
        <w:t xml:space="preserve"> to</w:t>
      </w:r>
      <w:r w:rsidR="00B47392" w:rsidRPr="00C05886">
        <w:t xml:space="preserve"> editorial </w:t>
      </w:r>
      <w:r w:rsidR="0012188D" w:rsidRPr="00C05886">
        <w:t>choices</w:t>
      </w:r>
      <w:r w:rsidR="00B47392" w:rsidRPr="00C05886">
        <w:t xml:space="preserve"> </w:t>
      </w:r>
      <w:r w:rsidR="00E364D8" w:rsidRPr="00C05886">
        <w:t>that aimed to</w:t>
      </w:r>
      <w:r w:rsidR="00B47392" w:rsidRPr="00C05886">
        <w:t xml:space="preserve"> </w:t>
      </w:r>
      <w:r w:rsidR="000A1F4A" w:rsidRPr="00C05886">
        <w:t>improve</w:t>
      </w:r>
      <w:r w:rsidR="00E364D8" w:rsidRPr="00C05886">
        <w:t xml:space="preserve"> the</w:t>
      </w:r>
      <w:r w:rsidR="00B47392" w:rsidRPr="00C05886">
        <w:t xml:space="preserve"> focus and coherence</w:t>
      </w:r>
      <w:r w:rsidR="00E364D8" w:rsidRPr="00C05886">
        <w:t xml:space="preserve"> of each pape</w:t>
      </w:r>
      <w:r w:rsidR="000A1F4A" w:rsidRPr="00C05886">
        <w:t>r.</w:t>
      </w:r>
      <w:r w:rsidR="000914DF" w:rsidRPr="00C05886">
        <w:t xml:space="preserve"> </w:t>
      </w:r>
      <w:r w:rsidR="00990B50" w:rsidRPr="00C05886">
        <w:t xml:space="preserve">As both published and unpublished materials </w:t>
      </w:r>
      <w:r w:rsidR="00990B50" w:rsidRPr="00C05886">
        <w:lastRenderedPageBreak/>
        <w:t>are included, not all</w:t>
      </w:r>
      <w:r w:rsidR="000A1F4A" w:rsidRPr="00C05886">
        <w:t xml:space="preserve"> paper-chapter</w:t>
      </w:r>
      <w:r w:rsidR="00990B50" w:rsidRPr="00C05886">
        <w:t>s</w:t>
      </w:r>
      <w:r w:rsidR="000A1F4A" w:rsidRPr="00C05886">
        <w:t xml:space="preserve"> will </w:t>
      </w:r>
      <w:r w:rsidR="00990B50" w:rsidRPr="00C05886">
        <w:t>follow the same citation style, depending on the journal requirements. Therefore, each paper-chapter will include its reference list after the main text. Any supporting information attached to the paper-chapters will be presented in the appendix.</w:t>
      </w:r>
    </w:p>
    <w:p w14:paraId="5CD91F4F" w14:textId="040D499B" w:rsidR="006F2F48" w:rsidRPr="00C05886" w:rsidRDefault="006F2F48" w:rsidP="00C12E53">
      <w:pPr>
        <w:pStyle w:val="Heading3"/>
      </w:pPr>
      <w:bookmarkStart w:id="16" w:name="_Toc179962275"/>
      <w:r w:rsidRPr="00C05886">
        <w:t>Synopsys</w:t>
      </w:r>
      <w:bookmarkEnd w:id="16"/>
    </w:p>
    <w:p w14:paraId="275E6EC3" w14:textId="42E05C97" w:rsidR="0001326E" w:rsidRPr="00C05886" w:rsidRDefault="00EF19CB" w:rsidP="00EF19CB">
      <w:r w:rsidRPr="00C05886">
        <w:t xml:space="preserve">After this </w:t>
      </w:r>
      <w:r w:rsidR="00E364D8" w:rsidRPr="00C05886">
        <w:t>introductory</w:t>
      </w:r>
      <w:r w:rsidR="00B47392" w:rsidRPr="00C05886">
        <w:t xml:space="preserve"> chapter</w:t>
      </w:r>
      <w:r w:rsidRPr="00C05886">
        <w:t xml:space="preserve">, </w:t>
      </w:r>
      <w:r w:rsidR="00A30435" w:rsidRPr="00C05886">
        <w:t>C</w:t>
      </w:r>
      <w:r w:rsidRPr="00C05886">
        <w:t xml:space="preserve">hapter 2 will provide a summary of the relevant literature. This is not a literature review in a strict sense, </w:t>
      </w:r>
      <w:r w:rsidR="00B47392" w:rsidRPr="00C05886">
        <w:t>but a</w:t>
      </w:r>
      <w:r w:rsidRPr="00C05886">
        <w:t xml:space="preserve"> broader and more discursive </w:t>
      </w:r>
      <w:r w:rsidR="00B47392" w:rsidRPr="00C05886">
        <w:t xml:space="preserve">recount of the topics covered by the paper-chapters. Ideally, </w:t>
      </w:r>
      <w:r w:rsidR="00A30435" w:rsidRPr="00C05886">
        <w:t>C</w:t>
      </w:r>
      <w:r w:rsidR="00B47392" w:rsidRPr="00C05886">
        <w:t>hapter 2 should equip the reader with sufficient information to understand the papers’ conte</w:t>
      </w:r>
      <w:r w:rsidR="00A30435" w:rsidRPr="00C05886">
        <w:t>nt.</w:t>
      </w:r>
    </w:p>
    <w:p w14:paraId="08E39A97" w14:textId="1ED4F0E4" w:rsidR="00A30435" w:rsidRPr="00C05886" w:rsidRDefault="00A30435" w:rsidP="00EF19CB">
      <w:r w:rsidRPr="00C05886">
        <w:t xml:space="preserve">Chapter 3 details the methodological approach, choices and materials used in the papers. This will be more theoretical and detailed than what </w:t>
      </w:r>
      <w:r w:rsidR="000A1F4A" w:rsidRPr="00C05886">
        <w:t xml:space="preserve">is </w:t>
      </w:r>
      <w:r w:rsidRPr="00C05886">
        <w:t>reported in the papers, aiming to explain and justify what was done. Again, this should give the reader enough support to understand the concepts of the experimental design and the statistical analyses reported in the papers.</w:t>
      </w:r>
    </w:p>
    <w:p w14:paraId="08793DFA" w14:textId="34580BE7" w:rsidR="00A30435" w:rsidRPr="00C05886" w:rsidRDefault="00A30435" w:rsidP="000137F7">
      <w:r w:rsidRPr="00C05886">
        <w:t xml:space="preserve">Chapter 4 is the </w:t>
      </w:r>
      <w:r w:rsidR="000137F7" w:rsidRPr="00C05886">
        <w:t>earliest</w:t>
      </w:r>
      <w:r w:rsidRPr="00C05886">
        <w:t xml:space="preserve"> paper-chapter.</w:t>
      </w:r>
      <w:r w:rsidR="008F1E74" w:rsidRPr="00C05886">
        <w:t xml:space="preserve"> Using content analysis and multilevel regression, </w:t>
      </w:r>
      <w:r w:rsidR="000137F7" w:rsidRPr="00C05886">
        <w:t xml:space="preserve">it analyses photos uploaded by participants to highlight the relationships between well-being and biodiversity. It addresses research questions 1, 2 and 4. </w:t>
      </w:r>
      <w:r w:rsidRPr="00C05886">
        <w:t>T</w:t>
      </w:r>
      <w:r w:rsidR="000137F7" w:rsidRPr="00C05886">
        <w:t>his paper has not been submitted for publication.</w:t>
      </w:r>
    </w:p>
    <w:p w14:paraId="75EC8455" w14:textId="641892EA" w:rsidR="00A30435" w:rsidRPr="00C05886" w:rsidRDefault="00A30435" w:rsidP="00A30435">
      <w:r w:rsidRPr="00C05886">
        <w:t xml:space="preserve">Chapter 5 is the </w:t>
      </w:r>
      <w:r w:rsidR="000137F7" w:rsidRPr="00C05886">
        <w:t>second</w:t>
      </w:r>
      <w:r w:rsidRPr="00C05886">
        <w:t xml:space="preserve"> paper-chapter</w:t>
      </w:r>
      <w:r w:rsidR="00695FC3" w:rsidRPr="00C05886">
        <w:t xml:space="preserve"> and addresses the research questions from 1 to </w:t>
      </w:r>
      <w:r w:rsidR="00E364D8" w:rsidRPr="00C05886">
        <w:t>4</w:t>
      </w:r>
      <w:r w:rsidRPr="00C05886">
        <w:t xml:space="preserve">. </w:t>
      </w:r>
      <w:r w:rsidR="000137F7" w:rsidRPr="00C05886">
        <w:t xml:space="preserve">In this experimental study, 360-degree videos at different levels of species richness were </w:t>
      </w:r>
      <w:r w:rsidR="008930D2" w:rsidRPr="00C05886">
        <w:t>shown</w:t>
      </w:r>
      <w:r w:rsidR="000137F7" w:rsidRPr="00C05886">
        <w:t xml:space="preserve"> to stressed online participants.</w:t>
      </w:r>
      <w:r w:rsidR="00695FC3" w:rsidRPr="00C05886">
        <w:t xml:space="preserve"> The participants also estimated the biodiversity shown in the video. This paper</w:t>
      </w:r>
      <w:r w:rsidR="008930D2" w:rsidRPr="00C05886">
        <w:t xml:space="preserve"> has been accepted for publication</w:t>
      </w:r>
      <w:r w:rsidR="00695FC3" w:rsidRPr="00C05886">
        <w:t xml:space="preserve"> </w:t>
      </w:r>
      <w:r w:rsidR="008930D2" w:rsidRPr="00C05886">
        <w:t xml:space="preserve">and </w:t>
      </w:r>
      <w:r w:rsidR="00E364D8" w:rsidRPr="00C05886">
        <w:t xml:space="preserve">will be </w:t>
      </w:r>
      <w:r w:rsidR="008930D2" w:rsidRPr="00C05886">
        <w:t>available</w:t>
      </w:r>
      <w:r w:rsidR="00E364D8" w:rsidRPr="00C05886">
        <w:t xml:space="preserve"> </w:t>
      </w:r>
      <w:r w:rsidR="00695FC3" w:rsidRPr="00C05886">
        <w:t xml:space="preserve">on </w:t>
      </w:r>
      <w:proofErr w:type="spellStart"/>
      <w:r w:rsidR="00695FC3" w:rsidRPr="00C05886">
        <w:t>PlosONE</w:t>
      </w:r>
      <w:proofErr w:type="spellEnd"/>
      <w:r w:rsidR="00695FC3" w:rsidRPr="00C05886">
        <w:t xml:space="preserve"> in </w:t>
      </w:r>
      <w:r w:rsidR="00E364D8" w:rsidRPr="00C05886">
        <w:t>February</w:t>
      </w:r>
      <w:r w:rsidR="00695FC3" w:rsidRPr="00C05886">
        <w:t xml:space="preserve"> 2024.</w:t>
      </w:r>
      <w:r w:rsidR="00E364D8" w:rsidRPr="00C05886">
        <w:t xml:space="preserve"> The text represents the accepted manuscript.</w:t>
      </w:r>
    </w:p>
    <w:p w14:paraId="4764AA81" w14:textId="6E878AA3" w:rsidR="00A30435" w:rsidRPr="00C05886" w:rsidRDefault="00A30435" w:rsidP="00A30435">
      <w:r w:rsidRPr="00C05886">
        <w:t xml:space="preserve">Chapter 6 is the third paper-chapter. </w:t>
      </w:r>
      <w:r w:rsidR="00695FC3" w:rsidRPr="00C05886">
        <w:t xml:space="preserve">This study replicated the experimental design of </w:t>
      </w:r>
      <w:r w:rsidR="008930D2" w:rsidRPr="00C05886">
        <w:t>Chapter</w:t>
      </w:r>
      <w:r w:rsidR="00695FC3" w:rsidRPr="00C05886">
        <w:t xml:space="preserve"> 5 with an English-speaking and Chinese-speaking audience. It used virtual tours of a virtual park to control </w:t>
      </w:r>
      <w:r w:rsidR="0046332F" w:rsidRPr="00C05886">
        <w:t xml:space="preserve">for </w:t>
      </w:r>
      <w:r w:rsidR="00695FC3" w:rsidRPr="00C05886">
        <w:t>the effects of species richness and flower colour</w:t>
      </w:r>
      <w:r w:rsidR="0046332F" w:rsidRPr="00C05886">
        <w:t>s</w:t>
      </w:r>
      <w:r w:rsidR="00695FC3" w:rsidRPr="00C05886">
        <w:t>.</w:t>
      </w:r>
      <w:r w:rsidR="006F2F48" w:rsidRPr="00C05886">
        <w:t xml:space="preserve"> </w:t>
      </w:r>
      <w:r w:rsidR="00FA0926" w:rsidRPr="00C05886">
        <w:t>This paper has been accepted for publication and will be available on Cities and Health in August 2024</w:t>
      </w:r>
      <w:r w:rsidRPr="00C05886">
        <w:t>.</w:t>
      </w:r>
      <w:r w:rsidR="00695FC3" w:rsidRPr="00C05886">
        <w:t xml:space="preserve"> </w:t>
      </w:r>
      <w:r w:rsidR="00695FC3" w:rsidRPr="00AD6CC8">
        <w:t xml:space="preserve">The text reflects </w:t>
      </w:r>
      <w:r w:rsidR="00AD6CC8" w:rsidRPr="005D7515">
        <w:t xml:space="preserve">the </w:t>
      </w:r>
      <w:r w:rsidR="00695FC3" w:rsidRPr="00AD6CC8">
        <w:t>submitted manuscript</w:t>
      </w:r>
      <w:r w:rsidR="00AD6CC8" w:rsidRPr="005D7515">
        <w:t xml:space="preserve"> while its revisions are discussed separately</w:t>
      </w:r>
      <w:r w:rsidR="00695FC3" w:rsidRPr="00AD6CC8">
        <w:t>.</w:t>
      </w:r>
    </w:p>
    <w:p w14:paraId="34B69B48" w14:textId="61C3BCCA" w:rsidR="005847D0" w:rsidRPr="00C05886" w:rsidRDefault="00A30435" w:rsidP="00EF19CB">
      <w:r w:rsidRPr="00C05886">
        <w:t xml:space="preserve">Chapter 7 is the fourth paper-chapter. </w:t>
      </w:r>
      <w:r w:rsidR="006F2F48" w:rsidRPr="00C05886">
        <w:t>Informed by the results of the previous chapters, this final experiment</w:t>
      </w:r>
      <w:r w:rsidR="005847D0" w:rsidRPr="00C05886">
        <w:t xml:space="preserve"> compared the affective responses to a virtual park (at either high or low </w:t>
      </w:r>
      <w:r w:rsidR="00FA0926" w:rsidRPr="00C05886">
        <w:t>species richness</w:t>
      </w:r>
      <w:r w:rsidR="005847D0" w:rsidRPr="00C05886">
        <w:t>) with the responses to a virtual car park (</w:t>
      </w:r>
      <w:r w:rsidR="00FA0926" w:rsidRPr="00C05886">
        <w:t>no species richness</w:t>
      </w:r>
      <w:r w:rsidR="005847D0" w:rsidRPr="00C05886">
        <w:t>).</w:t>
      </w:r>
      <w:r w:rsidR="008D28B5" w:rsidRPr="00C05886">
        <w:t xml:space="preserve"> </w:t>
      </w:r>
      <w:r w:rsidR="005847D0" w:rsidRPr="00C05886">
        <w:t xml:space="preserve">Affective well-being was also compared to physiological responses, by measuring the heart rate variability. </w:t>
      </w:r>
      <w:r w:rsidRPr="00C05886">
        <w:t xml:space="preserve">This </w:t>
      </w:r>
      <w:r w:rsidR="005847D0" w:rsidRPr="00C05886">
        <w:t>paper</w:t>
      </w:r>
      <w:r w:rsidRPr="00C05886">
        <w:t xml:space="preserve"> </w:t>
      </w:r>
      <w:r w:rsidR="005847D0" w:rsidRPr="00C05886">
        <w:t>has not been submitted for publication.</w:t>
      </w:r>
    </w:p>
    <w:p w14:paraId="7269295C" w14:textId="22830D2D" w:rsidR="00A30435" w:rsidRPr="00C05886" w:rsidRDefault="006F2F48" w:rsidP="00EF19CB">
      <w:r w:rsidRPr="00C05886">
        <w:lastRenderedPageBreak/>
        <w:t xml:space="preserve">Finally, </w:t>
      </w:r>
      <w:r w:rsidR="00A30435" w:rsidRPr="00C05886">
        <w:t>Chapter 8</w:t>
      </w:r>
      <w:r w:rsidR="00A24D02" w:rsidRPr="00C05886">
        <w:t xml:space="preserve"> will provide a </w:t>
      </w:r>
      <w:r w:rsidR="009653D9" w:rsidRPr="00C05886">
        <w:t>summary of the findings</w:t>
      </w:r>
      <w:r w:rsidR="00A24D02" w:rsidRPr="00C05886">
        <w:t>, linking the results back to the research questions. It will</w:t>
      </w:r>
      <w:r w:rsidR="004E7EF0">
        <w:t xml:space="preserve"> critically reflect on the results,</w:t>
      </w:r>
      <w:r w:rsidR="00A24D02" w:rsidRPr="00C05886">
        <w:t xml:space="preserve"> discuss strengths and limitations and provide recommendations</w:t>
      </w:r>
      <w:r w:rsidR="009653D9" w:rsidRPr="00C05886">
        <w:t xml:space="preserve"> for practice and future research.</w:t>
      </w:r>
    </w:p>
    <w:p w14:paraId="6AE107C0" w14:textId="32473034" w:rsidR="00D63DC2" w:rsidRPr="00C05886" w:rsidRDefault="0032320D">
      <w:pPr>
        <w:spacing w:line="259" w:lineRule="auto"/>
        <w:jc w:val="left"/>
      </w:pPr>
      <w:r w:rsidRPr="00C05886">
        <w:br w:type="page"/>
      </w:r>
    </w:p>
    <w:p w14:paraId="0B6D6DF5" w14:textId="56F04E26" w:rsidR="00C12E53" w:rsidRPr="00C05886" w:rsidRDefault="00C12E53" w:rsidP="00173BB8">
      <w:pPr>
        <w:pStyle w:val="Heading1"/>
      </w:pPr>
      <w:bookmarkStart w:id="17" w:name="_Toc179962276"/>
      <w:r w:rsidRPr="00C05886">
        <w:lastRenderedPageBreak/>
        <w:t>Chapter 2</w:t>
      </w:r>
      <w:r w:rsidR="00173BB8" w:rsidRPr="00C05886">
        <w:br/>
      </w:r>
      <w:r w:rsidRPr="00C05886">
        <w:t>Summary of relevant literature</w:t>
      </w:r>
      <w:bookmarkEnd w:id="17"/>
    </w:p>
    <w:p w14:paraId="00200B93" w14:textId="252A2D85" w:rsidR="00C12E53" w:rsidRPr="00C05886" w:rsidRDefault="00C12E53" w:rsidP="000A6048">
      <w:r w:rsidRPr="00C05886">
        <w:t xml:space="preserve">This chapter provides a summary of the literature on the topics of biodiversity, green spaces and mental well-being. The aim was to provide </w:t>
      </w:r>
      <w:r w:rsidR="00376D25" w:rsidRPr="00C05886">
        <w:t xml:space="preserve">the reader with </w:t>
      </w:r>
      <w:r w:rsidRPr="00C05886">
        <w:t>a broader review of the literature than the one presented in the paper chapters, avoiding excessive repetition.</w:t>
      </w:r>
    </w:p>
    <w:p w14:paraId="6868C963" w14:textId="73C2C7EB" w:rsidR="00C12E53" w:rsidRPr="00C05886" w:rsidRDefault="00C12E53" w:rsidP="000A6048">
      <w:r w:rsidRPr="00C05886">
        <w:t>This chapter begins with a list of key concepts, providing some of the working definitions that have been used in this project. Since many of the concepts are broad in scope, the section aims to clarify their meaning in the restricted context of this PhD. Following, there will be a section focused on the pathways and mechanisms linking biodiversity and mental well-being; a specific focus will be given to the restorative framework, represented by the Biophilia Hypothesis, the Attention Restoration Theory and the Stress Recovery Theory. Following, a quick dip into psychology and the neurosciences to highlight why affect and emotions are critical for well-being. Then, there will be a summary of research work that focuses on one or more specific sensorial angles of the nature experience. To finish, there will be two short essays on the role of charismatic species and the “people/biodiversity paradox”</w:t>
      </w:r>
      <w:r w:rsidR="00376D25" w:rsidRPr="00C05886">
        <w:t xml:space="preserve"> in the biodiversity/well-being relationship</w:t>
      </w:r>
      <w:r w:rsidRPr="00C05886">
        <w:t>.</w:t>
      </w:r>
    </w:p>
    <w:p w14:paraId="1702C3A5" w14:textId="77777777" w:rsidR="00C12E53" w:rsidRPr="00C05886" w:rsidRDefault="00C12E53" w:rsidP="00C12E53">
      <w:pPr>
        <w:pStyle w:val="Heading2"/>
      </w:pPr>
      <w:bookmarkStart w:id="18" w:name="_Toc179962277"/>
      <w:r w:rsidRPr="00C05886">
        <w:t>Key concepts</w:t>
      </w:r>
      <w:bookmarkEnd w:id="18"/>
    </w:p>
    <w:p w14:paraId="60184949" w14:textId="77777777" w:rsidR="00C12E53" w:rsidRPr="00C05886" w:rsidRDefault="00C12E53" w:rsidP="000A6048">
      <w:r w:rsidRPr="00C05886">
        <w:t>This thesis will answer a rather simple question: “Does more urban biodiversity generate more mental well-being?”. To answer, it is necessary to define each of these concepts and how they can be differentiated from more general, but related, definitions such as health, well-being and nature.</w:t>
      </w:r>
    </w:p>
    <w:p w14:paraId="1EC06624" w14:textId="77777777" w:rsidR="00C12E53" w:rsidRPr="00C05886" w:rsidRDefault="00C12E53" w:rsidP="00C12E53">
      <w:pPr>
        <w:pStyle w:val="Heading3"/>
      </w:pPr>
      <w:bookmarkStart w:id="19" w:name="_Toc179962278"/>
      <w:r w:rsidRPr="00C05886">
        <w:t>Human health</w:t>
      </w:r>
      <w:bookmarkEnd w:id="19"/>
    </w:p>
    <w:p w14:paraId="561B26C7" w14:textId="77777777" w:rsidR="00C12E53" w:rsidRPr="00C05886" w:rsidRDefault="00C12E53" w:rsidP="000A6048">
      <w:r w:rsidRPr="00C05886">
        <w:t>Health is a high-tier concept, intentionally broadly defined by the World Health Organisation to include numerous components in a few sentences. The principles of the WHO define health as:</w:t>
      </w:r>
    </w:p>
    <w:p w14:paraId="6AAB86DE" w14:textId="77777777" w:rsidR="00C12E53" w:rsidRPr="00C05886" w:rsidRDefault="00C12E53" w:rsidP="000A6048">
      <w:r w:rsidRPr="00C05886">
        <w:t xml:space="preserve">“[…] a complete state of physical, mental and social well-being and not merely the absence of disease and infirmity” </w:t>
      </w:r>
      <w:r w:rsidRPr="00C05886">
        <w:fldChar w:fldCharType="begin"/>
      </w:r>
      <w:r w:rsidRPr="00C05886">
        <w:instrText xml:space="preserve"> ADDIN ZOTERO_ITEM CSL_CITATION {"citationID":"yuGH8slc","properties":{"formattedCitation":"(World Health Organization, 2020)","plainCitation":"(World Health Organization, 2020)","noteIndex":0},"citationItems":[{"id":5264,"uris":["http://zotero.org/users/10951124/items/NDZPFWDR"],"itemData":{"id":5264,"type":"document","note":"publisher-place: Geneva","title":"Basic documents: forty-ninth edition (including amendments adopted up to 31 May 2019)","URL":"https://apps.who.int/gb/bd/","author":[{"literal":"World Health Organization"}],"issued":{"date-parts":[["2020"]]}}}],"schema":"https://github.com/citation-style-language/schema/raw/master/csl-citation.json"} </w:instrText>
      </w:r>
      <w:r w:rsidRPr="00C05886">
        <w:fldChar w:fldCharType="separate"/>
      </w:r>
      <w:r w:rsidRPr="00C05886">
        <w:rPr>
          <w:rFonts w:ascii="Calibri" w:hAnsi="Calibri" w:cs="Calibri"/>
        </w:rPr>
        <w:t>(World Health Organization, 2020)</w:t>
      </w:r>
      <w:r w:rsidRPr="00C05886">
        <w:fldChar w:fldCharType="end"/>
      </w:r>
      <w:r w:rsidRPr="00C05886">
        <w:t>.</w:t>
      </w:r>
    </w:p>
    <w:p w14:paraId="5161E60A" w14:textId="6DEA6C41" w:rsidR="00C12E53" w:rsidRPr="00C05886" w:rsidRDefault="00C12E53" w:rsidP="000A6048">
      <w:r w:rsidRPr="00C05886">
        <w:t xml:space="preserve">It is interesting to address the components individually. The easiest step is to remove illness from the equation. Health is the absence of illness. This is not sufficient, however. Health is also a “state”, in other words, a situation susceptible to change over time. This state of health must include every </w:t>
      </w:r>
      <w:r w:rsidRPr="00C05886">
        <w:lastRenderedPageBreak/>
        <w:t xml:space="preserve">possible angle of well-being. This holistic approach to health has been widely debated </w:t>
      </w:r>
      <w:r w:rsidRPr="00C05886">
        <w:fldChar w:fldCharType="begin"/>
      </w:r>
      <w:r w:rsidRPr="00C05886">
        <w:instrText xml:space="preserve"> ADDIN ZOTERO_ITEM CSL_CITATION {"citationID":"u8f0NC3Q","properties":{"formattedCitation":"(Leonardi, 2018)","plainCitation":"(Leonardi, 2018)","noteIndex":0},"citationItems":[{"id":10695,"uris":["http://zotero.org/users/10951124/items/NUUXWGAF"],"itemData":{"id":10695,"type":"article-journal","abstract":"The definition of health is not just a theoretical issue, because it has many implications for practice, policy, and health services. The current definition of health, formulated by the WHO, is no longer adequate for dealing with the new challenges in health care systems. Despite many attempts to replace it, no alternative definition has reached a wide level of consensus. Assuming an epistemological perspective, the need for a unique definition has to be rejected in favor of a plural approach in which cannot exist the best definition of health but many different definitions, more or less useful depending on the scope of application. Nevertheless, it should be noted that not all potential definitions of health are fit to pursue clinical scientific goals. Based on recent scientific debate, one can maintain that each definition of health should have at least 9 features to work well within the clinical scientific field. Moving from this perspective, a new definition has been developed for pursuing health, especially in the fields of chronic patients and older people.","container-title":"International Journal of Health Services","DOI":"10.1177/0020731418782653","ISSN":"0020-7314, 1541-4469","issue":"4","journalAbbreviation":"Int J Health Serv","language":"en","page":"735-748","source":"DOI.org (Crossref)","title":"The Definition of Health: Towards New Perspectives","title-short":"The Definition of Health","volume":"48","author":[{"family":"Leonardi","given":"Fabio"}],"issued":{"date-parts":[["2018",10]]}}}],"schema":"https://github.com/citation-style-language/schema/raw/master/csl-citation.json"} </w:instrText>
      </w:r>
      <w:r w:rsidRPr="00C05886">
        <w:fldChar w:fldCharType="separate"/>
      </w:r>
      <w:r w:rsidRPr="00C05886">
        <w:rPr>
          <w:rFonts w:ascii="Calibri" w:hAnsi="Calibri" w:cs="Calibri"/>
        </w:rPr>
        <w:t>(Leonardi, 2018)</w:t>
      </w:r>
      <w:r w:rsidRPr="00C05886">
        <w:fldChar w:fldCharType="end"/>
      </w:r>
      <w:r w:rsidRPr="00C05886">
        <w:t xml:space="preserve">, and some have argued that such </w:t>
      </w:r>
      <w:r w:rsidR="007507E8">
        <w:t>a </w:t>
      </w:r>
      <w:r w:rsidRPr="00C05886">
        <w:t xml:space="preserve">definition smacks of perfectionism, is divisive and probably unachievable in reality </w:t>
      </w:r>
      <w:r w:rsidRPr="00C05886">
        <w:fldChar w:fldCharType="begin"/>
      </w:r>
      <w:r w:rsidRPr="00C05886">
        <w:instrText xml:space="preserve"> ADDIN ZOTERO_ITEM CSL_CITATION {"citationID":"mgtqG1ZO","properties":{"formattedCitation":"(Misselbrook, 2014)","plainCitation":"(Misselbrook, 2014)","noteIndex":0},"citationItems":[{"id":10691,"uris":["http://zotero.org/users/10951124/items/HLKUXDS4"],"itemData":{"id":10691,"type":"article-journal","container-title":"British Journal of General Practice","DOI":"10.3399/bjgp14X682381","ISSN":"0960-1643, 1478-5242","issue":"628","journalAbbreviation":"Br J Gen Pract","language":"en","page":"582-582","source":"DOI.org (Crossref)","title":"W is for Wellbeing and the WHO definition of health","volume":"64","author":[{"family":"Misselbrook","given":"David"}],"issued":{"date-parts":[["2014",11]]}}}],"schema":"https://github.com/citation-style-language/schema/raw/master/csl-citation.json"} </w:instrText>
      </w:r>
      <w:r w:rsidRPr="00C05886">
        <w:fldChar w:fldCharType="separate"/>
      </w:r>
      <w:r w:rsidRPr="00C05886">
        <w:rPr>
          <w:rFonts w:ascii="Calibri" w:hAnsi="Calibri" w:cs="Calibri"/>
        </w:rPr>
        <w:t>(Misselbrook, 2014)</w:t>
      </w:r>
      <w:r w:rsidRPr="00C05886">
        <w:fldChar w:fldCharType="end"/>
      </w:r>
      <w:r w:rsidRPr="00C05886">
        <w:t xml:space="preserve">. However, none of the alternative definitions of health has reached enough consensus </w:t>
      </w:r>
      <w:r w:rsidRPr="00C05886">
        <w:fldChar w:fldCharType="begin"/>
      </w:r>
      <w:r w:rsidRPr="00C05886">
        <w:instrText xml:space="preserve"> ADDIN ZOTERO_ITEM CSL_CITATION {"citationID":"fYrEgkD3","properties":{"formattedCitation":"(Leonardi, 2018)","plainCitation":"(Leonardi, 2018)","noteIndex":0},"citationItems":[{"id":10695,"uris":["http://zotero.org/users/10951124/items/NUUXWGAF"],"itemData":{"id":10695,"type":"article-journal","abstract":"The definition of health is not just a theoretical issue, because it has many implications for practice, policy, and health services. The current definition of health, formulated by the WHO, is no longer adequate for dealing with the new challenges in health care systems. Despite many attempts to replace it, no alternative definition has reached a wide level of consensus. Assuming an epistemological perspective, the need for a unique definition has to be rejected in favor of a plural approach in which cannot exist the best definition of health but many different definitions, more or less useful depending on the scope of application. Nevertheless, it should be noted that not all potential definitions of health are fit to pursue clinical scientific goals. Based on recent scientific debate, one can maintain that each definition of health should have at least 9 features to work well within the clinical scientific field. Moving from this perspective, a new definition has been developed for pursuing health, especially in the fields of chronic patients and older people.","container-title":"International Journal of Health Services","DOI":"10.1177/0020731418782653","ISSN":"0020-7314, 1541-4469","issue":"4","journalAbbreviation":"Int J Health Serv","language":"en","page":"735-748","source":"DOI.org (Crossref)","title":"The Definition of Health: Towards New Perspectives","title-short":"The Definition of Health","volume":"48","author":[{"family":"Leonardi","given":"Fabio"}],"issued":{"date-parts":[["2018",10]]}}}],"schema":"https://github.com/citation-style-language/schema/raw/master/csl-citation.json"} </w:instrText>
      </w:r>
      <w:r w:rsidRPr="00C05886">
        <w:fldChar w:fldCharType="separate"/>
      </w:r>
      <w:r w:rsidRPr="00C05886">
        <w:rPr>
          <w:rFonts w:ascii="Calibri" w:hAnsi="Calibri" w:cs="Calibri"/>
        </w:rPr>
        <w:t>(Leonardi, 2018)</w:t>
      </w:r>
      <w:r w:rsidRPr="00C05886">
        <w:fldChar w:fldCharType="end"/>
      </w:r>
      <w:r w:rsidRPr="00C05886">
        <w:t xml:space="preserve"> and most of the critiques have been challenged for misinterpreting the WHO principle </w:t>
      </w:r>
      <w:r w:rsidRPr="00C05886">
        <w:fldChar w:fldCharType="begin"/>
      </w:r>
      <w:r w:rsidRPr="00C05886">
        <w:instrText xml:space="preserve"> ADDIN ZOTERO_ITEM CSL_CITATION {"citationID":"BhDWkFfN","properties":{"formattedCitation":"(Schramme, 2023)","plainCitation":"(Schramme, 2023)","noteIndex":0},"citationItems":[{"id":10693,"uris":["http://zotero.org/users/10951124/items/9ISUMBN3"],"itemData":{"id":10693,"type":"article-journal","abstract":"Abstract\n            The paper defends the World Health Organisation (WHO) definition of health against widespread criticism. The common objections are due to a possible misinterpretation of the word complete in the descriptor of health as ‘complete physical, mental and social well-being’. Complete here does not necessarily refer to perfect well-being but can alternatively mean exhaustive well-being, that is, containing all its constitutive features. In line with the alternative reading, I argue that the WHO definition puts forward a holistic account, not a notion of perfect health. I use historical and analytical evidence to defend this interpretation. In the second part of the paper, I further investigate the two different notions of health (holistic health and perfect health). I argue that both ideas are relevant but that the holistic interpretation is more adept for political aims.","container-title":"Public Health Ethics","DOI":"10.1093/phe/phad017","ISSN":"1754-9973, 1754-9981","language":"en","page":"phad017","source":"DOI.org (Crossref)","title":"Health as Complete Well-Being: The WHO Definition and Beyond","title-short":"Health as Complete Well-Being","author":[{"family":"Schramme","given":"Thomas"}],"issued":{"date-parts":[["2023",7,27]]}}}],"schema":"https://github.com/citation-style-language/schema/raw/master/csl-citation.json"} </w:instrText>
      </w:r>
      <w:r w:rsidRPr="00C05886">
        <w:fldChar w:fldCharType="separate"/>
      </w:r>
      <w:r w:rsidRPr="00C05886">
        <w:rPr>
          <w:rFonts w:ascii="Calibri" w:hAnsi="Calibri" w:cs="Calibri"/>
        </w:rPr>
        <w:t>(Schramme, 2023)</w:t>
      </w:r>
      <w:r w:rsidRPr="00C05886">
        <w:fldChar w:fldCharType="end"/>
      </w:r>
      <w:r w:rsidRPr="00C05886">
        <w:t>.</w:t>
      </w:r>
    </w:p>
    <w:p w14:paraId="33C2DCFC" w14:textId="77777777" w:rsidR="00C12E53" w:rsidRPr="00C05886" w:rsidRDefault="00C12E53" w:rsidP="000A6048">
      <w:r w:rsidRPr="00C05886">
        <w:t>To the scope of this PhD project, the WHO definition of health is too broad to operationalise in all its components. The first necessary step is to reduce our scope to focus on well-being.</w:t>
      </w:r>
    </w:p>
    <w:p w14:paraId="55A470BC" w14:textId="77777777" w:rsidR="00C12E53" w:rsidRPr="00C05886" w:rsidRDefault="00C12E53" w:rsidP="00C12E53">
      <w:pPr>
        <w:pStyle w:val="Heading3"/>
      </w:pPr>
      <w:bookmarkStart w:id="20" w:name="_Toc179962279"/>
      <w:r w:rsidRPr="00C05886">
        <w:t>Human well-being</w:t>
      </w:r>
      <w:bookmarkEnd w:id="20"/>
    </w:p>
    <w:p w14:paraId="2085B730" w14:textId="77777777" w:rsidR="00C12E53" w:rsidRPr="00C05886" w:rsidRDefault="00C12E53" w:rsidP="000A6048">
      <w:r w:rsidRPr="00C05886">
        <w:t xml:space="preserve">Well-being is a broad concept in itself. Depending on the discipline, definitions of well-being have gone from generalist such as “what is good for one’s life” (Fletcher 2016) to the very narrow self-reported measure of momentary happiness – e.g. “Joviality” </w:t>
      </w:r>
      <w:r w:rsidRPr="00C05886">
        <w:fldChar w:fldCharType="begin"/>
      </w:r>
      <w:r w:rsidRPr="00C05886">
        <w:instrText xml:space="preserve"> ADDIN ZOTERO_ITEM CSL_CITATION {"citationID":"55HdnQxN","properties":{"formattedCitation":"(Watson and Clark, 1994)","plainCitation":"(Watson and Clark, 1994)","noteIndex":0},"citationItems":[{"id":7774,"uris":["http://zotero.org/users/10951124/items/AXHMJQWT"],"itemData":{"id":7774,"type":"article-journal","abstract":"In recent studies of the structure of affect, positive and negative affect have consistently emerged as two dominant and relatively independent dimensions. A number of mood scales have been created to measure these factors; however, many existing measures are inadequate, showing low reliability or poor convergent or discriminant validity. To fill the need for reliable and valid Positive Affect and Negative Affect scales that are also brief and easy to administer, we developed two 10-item mood scales that comprise the Positive and Negative Affect Schedule (PANAS). The scales are shown to be highly internally consistent, largely uncorrelated, and stable at appropriate levels over a 2-month time period. Normative data and factorial and external evidence of convergent and discriminant validity for the scales are also presented.","title":"The PANAS-X Manual for the Positive and Negative Affect Schedule - Expanded Form","author":[{"family":"Watson","given":"David"},{"family":"Clark","given":"Lee Anna"}],"issued":{"date-parts":[["1994"]]}}}],"schema":"https://github.com/citation-style-language/schema/raw/master/csl-citation.json"} </w:instrText>
      </w:r>
      <w:r w:rsidRPr="00C05886">
        <w:fldChar w:fldCharType="separate"/>
      </w:r>
      <w:r w:rsidRPr="00C05886">
        <w:rPr>
          <w:rFonts w:ascii="Calibri" w:hAnsi="Calibri" w:cs="Calibri"/>
        </w:rPr>
        <w:t>(Watson and Clark, 1994)</w:t>
      </w:r>
      <w:r w:rsidRPr="00C05886">
        <w:fldChar w:fldCharType="end"/>
      </w:r>
      <w:r w:rsidRPr="00C05886">
        <w:t xml:space="preserve">. </w:t>
      </w:r>
    </w:p>
    <w:p w14:paraId="44D16C93" w14:textId="77777777" w:rsidR="00C12E53" w:rsidRPr="00C05886" w:rsidRDefault="00C12E53" w:rsidP="00733C6C">
      <w:r w:rsidRPr="00C05886">
        <w:t xml:space="preserve">Recent trends identify more  dimensions of well-being than the WHO </w:t>
      </w:r>
      <w:r w:rsidRPr="00C05886">
        <w:fldChar w:fldCharType="begin"/>
      </w:r>
      <w:r w:rsidRPr="00C05886">
        <w:instrText xml:space="preserve"> ADDIN ZOTERO_ITEM CSL_CITATION {"citationID":"AzMXCvrM","properties":{"formattedCitation":"(Linton, Dieppe and Medina-Lara, 2016)","plainCitation":"(Linton, Dieppe and Medina-Lara, 2016)","noteIndex":0},"citationItems":[{"id":10021,"uris":["http://zotero.org/users/10951124/items/XVAJJBWM"],"itemData":{"id":10021,"type":"article-journal","container-title":"BMJ Open","DOI":"10.1136/bmjopen-2015-010641","ISSN":"2044-6055, 2044-6055","issue":"7","journalAbbreviation":"BMJ Open","language":"en","page":"e010641","source":"DOI.org (Crossref)","title":"Review of 99 self-report measures for assessing well-being in adults: exploring dimensions of well-being and developments over time","title-short":"Review of 99 self-report measures for assessing well-being in adults","volume":"6","author":[{"family":"Linton","given":"Myles-Jay"},{"family":"Dieppe","given":"Paul"},{"family":"Medina-Lara","given":"Antonieta"}],"issued":{"date-parts":[["2016",7]]}}}],"schema":"https://github.com/citation-style-language/schema/raw/master/csl-citation.json"} </w:instrText>
      </w:r>
      <w:r w:rsidRPr="00C05886">
        <w:fldChar w:fldCharType="separate"/>
      </w:r>
      <w:r w:rsidRPr="00C05886">
        <w:rPr>
          <w:rFonts w:ascii="Calibri" w:hAnsi="Calibri" w:cs="Calibri"/>
        </w:rPr>
        <w:t>(Linton, Dieppe and Medina-Lara, 2016)</w:t>
      </w:r>
      <w:r w:rsidRPr="00C05886">
        <w:fldChar w:fldCharType="end"/>
      </w:r>
      <w:r w:rsidRPr="00C05886">
        <w:t>:</w:t>
      </w:r>
    </w:p>
    <w:p w14:paraId="313F2FD3" w14:textId="77777777" w:rsidR="00C12E53" w:rsidRPr="00C05886" w:rsidRDefault="00C12E53" w:rsidP="00C014D3">
      <w:pPr>
        <w:pStyle w:val="ListParagraph"/>
        <w:numPr>
          <w:ilvl w:val="0"/>
          <w:numId w:val="11"/>
        </w:numPr>
        <w:ind w:left="714" w:hanging="357"/>
      </w:pPr>
      <w:r w:rsidRPr="00C05886">
        <w:t>Mental well-being – emotional, cognitive and psychological quality of life</w:t>
      </w:r>
    </w:p>
    <w:p w14:paraId="601A851F" w14:textId="77777777" w:rsidR="00C12E53" w:rsidRPr="00C05886" w:rsidRDefault="00C12E53" w:rsidP="00C014D3">
      <w:pPr>
        <w:pStyle w:val="ListParagraph"/>
        <w:numPr>
          <w:ilvl w:val="0"/>
          <w:numId w:val="11"/>
        </w:numPr>
        <w:ind w:left="714" w:hanging="357"/>
      </w:pPr>
      <w:r w:rsidRPr="00C05886">
        <w:t>Physical well-being – quality and performance of the body, including energy and absence of pain</w:t>
      </w:r>
    </w:p>
    <w:p w14:paraId="7471DD6F" w14:textId="77777777" w:rsidR="00C12E53" w:rsidRPr="00C05886" w:rsidRDefault="00C12E53" w:rsidP="00C014D3">
      <w:pPr>
        <w:pStyle w:val="ListParagraph"/>
        <w:numPr>
          <w:ilvl w:val="0"/>
          <w:numId w:val="11"/>
        </w:numPr>
        <w:ind w:left="714" w:hanging="357"/>
      </w:pPr>
      <w:r w:rsidRPr="00C05886">
        <w:t>Social well-being – social connections, interactions and the access to support</w:t>
      </w:r>
    </w:p>
    <w:p w14:paraId="4F48F019" w14:textId="77777777" w:rsidR="00C12E53" w:rsidRPr="00C05886" w:rsidRDefault="00C12E53" w:rsidP="00C014D3">
      <w:pPr>
        <w:pStyle w:val="ListParagraph"/>
        <w:numPr>
          <w:ilvl w:val="0"/>
          <w:numId w:val="11"/>
        </w:numPr>
        <w:ind w:left="714" w:hanging="357"/>
      </w:pPr>
      <w:r w:rsidRPr="00C05886">
        <w:t>Spiritual well-being – meaning of life, faith, connection with something greater (e.g. nature)</w:t>
      </w:r>
    </w:p>
    <w:p w14:paraId="3C2FC3D4" w14:textId="77777777" w:rsidR="00C12E53" w:rsidRPr="00C05886" w:rsidRDefault="00C12E53" w:rsidP="00733C6C">
      <w:r w:rsidRPr="00C05886">
        <w:t xml:space="preserve">However, even when attempting to subdivide well-being into categories, the dimensions of well-being will stay intertwined. For example, struggling with mental well-being generally affects physical well-being (e.g. anxiety can encourage alcoholism as a comforting, and nefarious, treatment); social well-being is also affected (e.g. poor behavioural regulation leads to avoidance and loneliness). </w:t>
      </w:r>
    </w:p>
    <w:p w14:paraId="0F786034" w14:textId="68C68BDF" w:rsidR="00C12E53" w:rsidRPr="00C05886" w:rsidRDefault="00C12E53" w:rsidP="000A6048">
      <w:r w:rsidRPr="00C05886">
        <w:t xml:space="preserve">To frame this thesis work, which focuses on mental well-being, it is useful to refer to a classic dichotomy found in psychology, as synthesised in </w:t>
      </w:r>
      <w:r w:rsidRPr="00C05886">
        <w:fldChar w:fldCharType="begin"/>
      </w:r>
      <w:r w:rsidR="00A056BC" w:rsidRPr="00C05886">
        <w:instrText xml:space="preserve"> ADDIN ZOTERO_ITEM CSL_CITATION {"citationID":"3riOIBet","properties":{"formattedCitation":"(Ryff, Boylan and Kirsch, 2021)","plainCitation":"(Ryff, Boylan and Kirsch, 2021)","dontUpdate":true,"noteIndex":0},"citationItems":[{"id":9259,"uris":["http://zotero.org/users/10951124/items/SDSG7CFZ"],"itemData":{"id":9259,"type":"chapter","abstract":"This chapter provides an overview of hedonic and eudaimonic approaches to well-being, both with roots traceable to the ancient Greeks. The authors examine the history of each approach and describe scientific endeavors seeking to translate the ideas to empirical assessment tools. They review how these two varieties of well-being are distributed in the general population by attending to their associations with major demographic factors (age, socioeconomic status, gender, race) as well as the interplay (intersectionality) of such factors. Such information contextualizes what is known about who reports they are or are not experiencing various aspects of well-being. The authors then examine how hedonic and eudaimonic well-being are linked with multiple indicators of health (self-reported, morbidity, mortality, biological systems). There is a paucity of studies that have jointly examined both types of well-being. The authors then draw attention to changing historical conditions and what this means for the future study of well-being and health.","container-title":"Measuring Well-Being: Interdisciplinary Perspectives from the Social Sciences and the Humanities","ISBN":"978-0-19-751253-1","note":"DOI: 10.1093/oso/9780197512531.003.0005","page":"0","publisher":"Oxford University Press","title":"Eudaimonic and Hedonic Well-Being: An Integrative Perspective with Linkages to Sociodemographic Factors and Health","URL":"https://doi.org/10.1093/oso/9780197512531.003.0005","author":[{"family":"Ryff","given":"Carol D."},{"family":"Boylan","given":"Jennifer Morozink"},{"family":"Kirsch","given":"Julie A."}],"editor":[{"family":"Lee","given":"Matthew T."},{"family":"Kubzansky","given":"Laura D."},{"family":"VanderWeele","given":"Tyler J."}],"accessed":{"date-parts":[["2023",12,1]]},"issued":{"date-parts":[["2021",5,14]]}}}],"schema":"https://github.com/citation-style-language/schema/raw/master/csl-citation.json"} </w:instrText>
      </w:r>
      <w:r w:rsidRPr="00C05886">
        <w:fldChar w:fldCharType="separate"/>
      </w:r>
      <w:r w:rsidRPr="00C05886">
        <w:rPr>
          <w:rFonts w:ascii="Calibri" w:hAnsi="Calibri" w:cs="Calibri"/>
        </w:rPr>
        <w:t xml:space="preserve">Ryff, Boylan and Kirsch </w:t>
      </w:r>
      <w:r w:rsidR="00FD798C" w:rsidRPr="00C05886">
        <w:rPr>
          <w:rFonts w:ascii="Calibri" w:hAnsi="Calibri" w:cs="Calibri"/>
        </w:rPr>
        <w:t>(</w:t>
      </w:r>
      <w:r w:rsidRPr="00C05886">
        <w:rPr>
          <w:rFonts w:ascii="Calibri" w:hAnsi="Calibri" w:cs="Calibri"/>
        </w:rPr>
        <w:t>2021)</w:t>
      </w:r>
      <w:r w:rsidRPr="00C05886">
        <w:fldChar w:fldCharType="end"/>
      </w:r>
      <w:r w:rsidRPr="00C05886">
        <w:t xml:space="preserve">: Eudaimonia and </w:t>
      </w:r>
      <w:proofErr w:type="spellStart"/>
      <w:r w:rsidRPr="00C05886">
        <w:t>Hedonia</w:t>
      </w:r>
      <w:proofErr w:type="spellEnd"/>
      <w:r w:rsidRPr="00C05886">
        <w:t>. Eudaimonic well-being is a long-term spectrum, encompassing the development of an individual (</w:t>
      </w:r>
      <w:r w:rsidRPr="00C05886">
        <w:rPr>
          <w:i/>
          <w:iCs/>
        </w:rPr>
        <w:t>personal growth</w:t>
      </w:r>
      <w:r w:rsidRPr="00C05886">
        <w:t>), the agency (</w:t>
      </w:r>
      <w:r w:rsidRPr="00C05886">
        <w:rPr>
          <w:i/>
          <w:iCs/>
        </w:rPr>
        <w:t>mastery</w:t>
      </w:r>
      <w:r w:rsidRPr="00C05886">
        <w:t xml:space="preserve"> and </w:t>
      </w:r>
      <w:r w:rsidRPr="00C05886">
        <w:rPr>
          <w:i/>
          <w:iCs/>
        </w:rPr>
        <w:t>autonomy</w:t>
      </w:r>
      <w:r w:rsidRPr="00C05886">
        <w:t xml:space="preserve">), the meaning of life and acceptance of one’s own limits. Hedonic well-being is focused in a shorter time frame, spanning from the present instant to the past year. It is a more subjective probe into one’s evaluation of life and includes three main components: life satisfaction, positive affect and negative affect. As will be discussed later, hedonic well-being can be traced back to physiological mechanisms. </w:t>
      </w:r>
    </w:p>
    <w:p w14:paraId="180F699C" w14:textId="5547FE4F" w:rsidR="00C12E53" w:rsidRPr="00C05886" w:rsidRDefault="00C12E53" w:rsidP="002E7EFD">
      <w:r w:rsidRPr="00C05886">
        <w:lastRenderedPageBreak/>
        <w:t>Mental Hedonic well-being was the focus of the experiments reported in this thesis. These studies will refer to Hedonic mental well-being through outcomes, measures and processes pertaining to the psychophysiological domain, including cognitive improvements and emotional responses. The methodology chapter will provide more details on the measures chosen as indicators of well-being.</w:t>
      </w:r>
    </w:p>
    <w:p w14:paraId="22533A6C" w14:textId="77777777" w:rsidR="00C12E53" w:rsidRPr="00C05886" w:rsidRDefault="00C12E53" w:rsidP="00C12E53">
      <w:pPr>
        <w:pStyle w:val="Heading3"/>
      </w:pPr>
      <w:bookmarkStart w:id="21" w:name="_Toc179962280"/>
      <w:r w:rsidRPr="00C05886">
        <w:t>Nature</w:t>
      </w:r>
      <w:bookmarkEnd w:id="21"/>
    </w:p>
    <w:p w14:paraId="6BC144D3" w14:textId="3F39B048" w:rsidR="00F67516" w:rsidRPr="00C05886" w:rsidRDefault="00C12E53" w:rsidP="00F67516">
      <w:r w:rsidRPr="00C05886">
        <w:t xml:space="preserve">Nature is yet another broad concept, which includes physical processes (e.g. the weather), landscapes and organisms </w:t>
      </w:r>
      <w:r w:rsidRPr="00C05886">
        <w:fldChar w:fldCharType="begin"/>
      </w:r>
      <w:r w:rsidR="000309A4" w:rsidRPr="00C05886">
        <w:instrText xml:space="preserve"> ADDIN ZOTERO_ITEM CSL_CITATION {"citationID":"alb1fDGW","properties":{"formattedCitation":"(Hartig {\\i{}et al.}, 2014)","plainCitation":"(Hartig et al., 2014)","noteIndex":0},"citationItems":[{"id":6909,"uris":["http://zotero.org/users/10951124/items/FVSE73PG"],"itemData":{"id":6909,"type":"article-journal","abstract":"Urbanization, resource exploitation, and lifestyle changes have diminished possibilities for human contact with nature in urbanized societies. Concern about the loss has helped motivate research on the health benefits of contact with nature. Reviewing that research here, we focus on nature as represented by aspects of the physical environment relevant to planning, design, and policy measures that serve broad segments of urbanized societies. We discuss difficulties in defining nature and reasons for the current expansion of the research field, and we assess available reviews. We then consider research on pathways between nature and health involving air quality, physical activity, social cohesion, and stress reduction. Finally, we discuss methodological issues and priorities for future research. The extant research does describe an array of benefits of contact with nature, and evidence regarding some benefits is strong","container-title":"Annu. Rev. Public Health","DOI":"10.1146/annurev-publhealth-032013-182443","ISSN":"0163-7525","issue":"1","page":"207-228","title":"Nature and Health","volume":"35","author":[{"family":"Hartig","given":"Terry"},{"family":"Mitchell","given":"Richard"},{"family":"Vries","given":"Sjerp","non-dropping-particle":"de"},{"family":"Frumkin","given":"Howard"}],"issued":{"date-parts":[["2014"]]}}}],"schema":"https://github.com/citation-style-language/schema/raw/master/csl-citation.json"} </w:instrText>
      </w:r>
      <w:r w:rsidRPr="00C05886">
        <w:fldChar w:fldCharType="separate"/>
      </w:r>
      <w:r w:rsidR="000309A4" w:rsidRPr="00C05886">
        <w:rPr>
          <w:rFonts w:ascii="Calibri" w:hAnsi="Calibri" w:cs="Calibri"/>
          <w:szCs w:val="24"/>
        </w:rPr>
        <w:t xml:space="preserve">(Hartig </w:t>
      </w:r>
      <w:r w:rsidR="000309A4" w:rsidRPr="00C05886">
        <w:rPr>
          <w:rFonts w:ascii="Calibri" w:hAnsi="Calibri" w:cs="Calibri"/>
          <w:i/>
          <w:iCs/>
          <w:szCs w:val="24"/>
        </w:rPr>
        <w:t>et al.</w:t>
      </w:r>
      <w:r w:rsidR="000309A4" w:rsidRPr="00C05886">
        <w:rPr>
          <w:rFonts w:ascii="Calibri" w:hAnsi="Calibri" w:cs="Calibri"/>
          <w:szCs w:val="24"/>
        </w:rPr>
        <w:t>, 2014)</w:t>
      </w:r>
      <w:r w:rsidRPr="00C05886">
        <w:fldChar w:fldCharType="end"/>
      </w:r>
      <w:r w:rsidRPr="00C05886">
        <w:t xml:space="preserve">. </w:t>
      </w:r>
      <w:r w:rsidR="00F13E09" w:rsidRPr="00C05886">
        <w:t xml:space="preserve">Though, as a word, nature </w:t>
      </w:r>
      <w:r w:rsidR="007507E8">
        <w:t>has been</w:t>
      </w:r>
      <w:r w:rsidR="00F13E09" w:rsidRPr="00C05886">
        <w:t xml:space="preserve"> present in </w:t>
      </w:r>
      <w:r w:rsidR="007507E8">
        <w:t>Western</w:t>
      </w:r>
      <w:r w:rsidR="00F13E09" w:rsidRPr="00C05886">
        <w:t xml:space="preserve"> culture since ancient Greece </w:t>
      </w:r>
      <w:r w:rsidR="000A0D6B" w:rsidRPr="00C05886">
        <w:t xml:space="preserve">(Aristotle’s </w:t>
      </w:r>
      <w:r w:rsidR="000A0D6B" w:rsidRPr="007507E8">
        <w:rPr>
          <w:i/>
          <w:iCs/>
        </w:rPr>
        <w:t>physis</w:t>
      </w:r>
      <w:r w:rsidR="000A0D6B" w:rsidRPr="00C05886">
        <w:t xml:space="preserve">), its meaning and extent varied, sometimes including humankind (ancient Greece and Rome), sometimes as the opposite of human activities </w:t>
      </w:r>
      <w:r w:rsidR="000A0D6B" w:rsidRPr="00C05886">
        <w:fldChar w:fldCharType="begin"/>
      </w:r>
      <w:r w:rsidR="000A0D6B" w:rsidRPr="00C05886">
        <w:instrText xml:space="preserve"> ADDIN ZOTERO_ITEM CSL_CITATION {"citationID":"KuxYIH72","properties":{"formattedCitation":"(Ducarme and Couvet, 2020)","plainCitation":"(Ducarme and Couvet, 2020)","noteIndex":0},"citationItems":[{"id":11208,"uris":["http://zotero.org/users/10951124/items/Z8X7B69B"],"itemData":{"id":11208,"type":"article-journal","abstract":"Abstract\n            The idea of ‘nature’ is at the very core of science, considered as its flagship and deepest link with human societies. However, while nature preservation has become a major social concern, the idea of nature remains elusive. We examine here the origins, etymology, and historical semantics of this word and its different meanings in contemporary European languages. It appears that this word aggregated successively different and sometimes conflicting meanings throughout its history. One of the main present occidental meanings of “nature”, designating what is opposed to humans, currently used in public policies, conservation science, or environmental ethics, hence appears rare and recent, and contradictory with most other visions of nature, including former European representations and contemporary foreign ones. Nature preservation ought to take into account this semantic diversity when proposing policies, integrating the relativity and potential inaccuracy of the currently dominating occidental definition.","container-title":"Palgrave Communications","DOI":"10.1057/s41599-020-0390-y","ISSN":"2055-1045","issue":"1","journalAbbreviation":"Palgrave Commun","language":"en","page":"14","source":"DOI.org (Crossref)","title":"What does ‘nature’ mean?","volume":"6","author":[{"family":"Ducarme","given":"Frédéric"},{"family":"Couvet","given":"Denis"}],"issued":{"date-parts":[["2020",1,31]]}}}],"schema":"https://github.com/citation-style-language/schema/raw/master/csl-citation.json"} </w:instrText>
      </w:r>
      <w:r w:rsidR="000A0D6B" w:rsidRPr="00C05886">
        <w:fldChar w:fldCharType="separate"/>
      </w:r>
      <w:r w:rsidR="000A0D6B" w:rsidRPr="00C05886">
        <w:rPr>
          <w:rFonts w:ascii="Calibri" w:hAnsi="Calibri" w:cs="Calibri"/>
        </w:rPr>
        <w:t>(Ducarme and Couvet, 2020)</w:t>
      </w:r>
      <w:r w:rsidR="000A0D6B" w:rsidRPr="00C05886">
        <w:fldChar w:fldCharType="end"/>
      </w:r>
      <w:r w:rsidR="000A0D6B" w:rsidRPr="00C05886">
        <w:t xml:space="preserve">. </w:t>
      </w:r>
      <w:r w:rsidR="004F1730" w:rsidRPr="00C05886">
        <w:t>For example, by</w:t>
      </w:r>
      <w:r w:rsidR="003D5AB1" w:rsidRPr="00C05886">
        <w:t xml:space="preserve"> analysing international tr</w:t>
      </w:r>
      <w:r w:rsidR="006A1688" w:rsidRPr="00C05886">
        <w:t xml:space="preserve">eaties concerning the natural environment (excluding agricultural treaties), </w:t>
      </w:r>
      <w:r w:rsidR="006A1688" w:rsidRPr="00C05886">
        <w:fldChar w:fldCharType="begin"/>
      </w:r>
      <w:r w:rsidR="000A0D6B" w:rsidRPr="00C05886">
        <w:instrText xml:space="preserve"> ADDIN ZOTERO_ITEM CSL_CITATION {"citationID":"ctKiVanP","properties":{"formattedCitation":"(Frank, 1997)","plainCitation":"(Frank, 1997)","dontUpdate":true,"noteIndex":0},"citationItems":[{"id":11207,"uris":["http://zotero.org/users/10951124/items/GNVWSRVQ"],"itemData":{"id":11207,"type":"article-journal","container-title":"Social Forces","DOI":"10.2307/2580719","ISSN":"00377732","issue":"2","journalAbbreviation":"Social Forces","page":"409","source":"DOI.org (Crossref)","title":"Science, Nature, and the Globalization of the Environment, 1870-1990","volume":"76","author":[{"family":"Frank","given":"David John"}],"issued":{"date-parts":[["1997",12]]}}}],"schema":"https://github.com/citation-style-language/schema/raw/master/csl-citation.json"} </w:instrText>
      </w:r>
      <w:r w:rsidR="006A1688" w:rsidRPr="00C05886">
        <w:fldChar w:fldCharType="separate"/>
      </w:r>
      <w:r w:rsidR="006A1688" w:rsidRPr="00C05886">
        <w:rPr>
          <w:rFonts w:ascii="Calibri" w:hAnsi="Calibri" w:cs="Calibri"/>
        </w:rPr>
        <w:t>Frank (1997)</w:t>
      </w:r>
      <w:r w:rsidR="006A1688" w:rsidRPr="00C05886">
        <w:fldChar w:fldCharType="end"/>
      </w:r>
      <w:r w:rsidR="006A1688" w:rsidRPr="00C05886">
        <w:t xml:space="preserve"> illustrates how the concept of nature </w:t>
      </w:r>
      <w:r w:rsidR="004F1730" w:rsidRPr="00C05886">
        <w:t>shifted during the 20</w:t>
      </w:r>
      <w:r w:rsidR="004F1730" w:rsidRPr="005D7515">
        <w:rPr>
          <w:vertAlign w:val="superscript"/>
        </w:rPr>
        <w:t>th</w:t>
      </w:r>
      <w:r w:rsidR="004F1730" w:rsidRPr="00C05886">
        <w:t xml:space="preserve"> century. It</w:t>
      </w:r>
      <w:r w:rsidR="006A1688" w:rsidRPr="00C05886">
        <w:t xml:space="preserve"> move</w:t>
      </w:r>
      <w:r w:rsidR="004F1730" w:rsidRPr="00C05886">
        <w:t>d</w:t>
      </w:r>
      <w:r w:rsidR="006A1688" w:rsidRPr="00C05886">
        <w:t xml:space="preserve"> away from</w:t>
      </w:r>
      <w:r w:rsidR="004E56D2" w:rsidRPr="00C05886">
        <w:t xml:space="preserve"> being</w:t>
      </w:r>
      <w:r w:rsidR="006A1688" w:rsidRPr="00C05886">
        <w:t xml:space="preserve"> a collection of natural hazards (e.g. pests, predators, earthquakes) or resources to exploit (e.g. whales to be protected as essential sources of oil). Instead, after World War II nature is conceptualised more and more as an ecosystem, with many interdependencies, </w:t>
      </w:r>
      <w:r w:rsidR="00DC54A5" w:rsidRPr="00C05886">
        <w:t>that includes humankind and its fundamental for its survival</w:t>
      </w:r>
      <w:r w:rsidR="004B357F" w:rsidRPr="00C05886">
        <w:t xml:space="preserve"> – therefore important to protect</w:t>
      </w:r>
      <w:r w:rsidR="00DC54A5" w:rsidRPr="00C05886">
        <w:t xml:space="preserve">. </w:t>
      </w:r>
      <w:r w:rsidRPr="00C05886">
        <w:t>Contrarily to health, there is not an officially agreed definition of nature</w:t>
      </w:r>
      <w:r w:rsidR="004F1730" w:rsidRPr="00C05886">
        <w:t xml:space="preserve"> and scholars usually prefer more precise </w:t>
      </w:r>
      <w:r w:rsidR="007507E8">
        <w:t>terms</w:t>
      </w:r>
      <w:r w:rsidR="004F1730" w:rsidRPr="00C05886">
        <w:t xml:space="preserve"> (e.g. ecosystem) depending on the discipline </w:t>
      </w:r>
      <w:r w:rsidR="004F1730" w:rsidRPr="00C05886">
        <w:fldChar w:fldCharType="begin"/>
      </w:r>
      <w:r w:rsidR="00417D49" w:rsidRPr="00C05886">
        <w:instrText xml:space="preserve"> ADDIN ZOTERO_ITEM CSL_CITATION {"citationID":"dzYYdyzd","properties":{"formattedCitation":"(Ducarme and Couvet, 2020)","plainCitation":"(Ducarme and Couvet, 2020)","noteIndex":0},"citationItems":[{"id":11208,"uris":["http://zotero.org/users/10951124/items/Z8X7B69B"],"itemData":{"id":11208,"type":"article-journal","abstract":"Abstract\n            The idea of ‘nature’ is at the very core of science, considered as its flagship and deepest link with human societies. However, while nature preservation has become a major social concern, the idea of nature remains elusive. We examine here the origins, etymology, and historical semantics of this word and its different meanings in contemporary European languages. It appears that this word aggregated successively different and sometimes conflicting meanings throughout its history. One of the main present occidental meanings of “nature”, designating what is opposed to humans, currently used in public policies, conservation science, or environmental ethics, hence appears rare and recent, and contradictory with most other visions of nature, including former European representations and contemporary foreign ones. Nature preservation ought to take into account this semantic diversity when proposing policies, integrating the relativity and potential inaccuracy of the currently dominating occidental definition.","container-title":"Palgrave Communications","DOI":"10.1057/s41599-020-0390-y","ISSN":"2055-1045","issue":"1","journalAbbreviation":"Palgrave Commun","language":"en","page":"14","source":"DOI.org (Crossref)","title":"What does ‘nature’ mean?","volume":"6","author":[{"family":"Ducarme","given":"Frédéric"},{"family":"Couvet","given":"Denis"}],"issued":{"date-parts":[["2020",1,31]]}}}],"schema":"https://github.com/citation-style-language/schema/raw/master/csl-citation.json"} </w:instrText>
      </w:r>
      <w:r w:rsidR="004F1730" w:rsidRPr="00C05886">
        <w:fldChar w:fldCharType="separate"/>
      </w:r>
      <w:r w:rsidR="004F1730" w:rsidRPr="00C05886">
        <w:rPr>
          <w:rFonts w:ascii="Calibri" w:hAnsi="Calibri" w:cs="Calibri"/>
        </w:rPr>
        <w:t>(Ducarme and Couvet, 2020)</w:t>
      </w:r>
      <w:r w:rsidR="004F1730" w:rsidRPr="00C05886">
        <w:fldChar w:fldCharType="end"/>
      </w:r>
      <w:r w:rsidRPr="00C05886">
        <w:t xml:space="preserve">. </w:t>
      </w:r>
    </w:p>
    <w:p w14:paraId="6DF51647" w14:textId="71AC89D4" w:rsidR="00C12E53" w:rsidRPr="00C05886" w:rsidRDefault="004F1730" w:rsidP="003A22BE">
      <w:r w:rsidRPr="00C05886">
        <w:t>Given this complexity</w:t>
      </w:r>
      <w:r w:rsidR="00F67516" w:rsidRPr="00C05886">
        <w:t>, the somewhat paradoxical concept of urban nature was adopted</w:t>
      </w:r>
      <w:r w:rsidRPr="00C05886">
        <w:t xml:space="preserve"> in this thesis as a working concept</w:t>
      </w:r>
      <w:r w:rsidR="00F67516" w:rsidRPr="00C05886">
        <w:t xml:space="preserve">. According to </w:t>
      </w:r>
      <w:r w:rsidR="00F67516" w:rsidRPr="00C05886">
        <w:fldChar w:fldCharType="begin"/>
      </w:r>
      <w:r w:rsidR="00F67516" w:rsidRPr="00C05886">
        <w:instrText xml:space="preserve"> ADDIN ZOTERO_ITEM CSL_CITATION {"citationID":"XyoRR5NU","properties":{"formattedCitation":"(Newman and Dale, 2013)","plainCitation":"(Newman and Dale, 2013)","noteIndex":0},"citationItems":[{"id":10712,"uris":["http://zotero.org/users/10951124/items/IAPBGM95"],"itemData":{"id":10712,"type":"article-journal","abstract":"The dualism of nature/culture widely present within Western society at large is out of step with an increasingly urbanising world. Building on previous discussions of nature/culture duality, an integrative framework is presented that argues for the embracing of the 'mundane nature'\n found within human landscapes. As over half of the human population interacts with nature primarily within urban landscapes, increasing our awareness of such spaces is critical to understanding our ecological consciousness. The examples of a recent rooftop greening bylaw in the city of Toronto\n and the social impacts of urban gardening are examined in this context.","container-title":"Environmental Values","DOI":"10.3197/096327113X13648087563827","ISSN":"0963-2719","issue":"3","journalAbbreviation":"environ values","language":"en","page":"401-413","source":"DOI.org (Crossref)","title":"Celebrating the Mundane: Nature and the Built Environment","title-short":"Celebrating the Mundane","volume":"22","author":[{"family":"Newman","given":"Lenore"},{"family":"Dale","given":"Ann"}],"issued":{"date-parts":[["2013",6,1]]}}}],"schema":"https://github.com/citation-style-language/schema/raw/master/csl-citation.json"} </w:instrText>
      </w:r>
      <w:r w:rsidR="00F67516" w:rsidRPr="00C05886">
        <w:fldChar w:fldCharType="separate"/>
      </w:r>
      <w:r w:rsidR="00F67516" w:rsidRPr="00C05886">
        <w:rPr>
          <w:rFonts w:ascii="Calibri" w:hAnsi="Calibri" w:cs="Calibri"/>
        </w:rPr>
        <w:t>(Newman and Dale, 2013)</w:t>
      </w:r>
      <w:r w:rsidR="00F67516" w:rsidRPr="00C05886">
        <w:fldChar w:fldCharType="end"/>
      </w:r>
      <w:r w:rsidR="00F67516" w:rsidRPr="00C05886">
        <w:t>, urban nature is made by four kinds of space: remnant natural environments that have been englobed in the city during its expansion; spontaneous vegetation found in interstitial spaces (e.g. brownfields); cultivated nature in the form of green walls, allotments etc; displays of nature, including parks and gardens. Although established by humans, urban nature should at least be considered partially natural, since it is subjected to physical processes such as the weather and provides important niches to many organisms.</w:t>
      </w:r>
    </w:p>
    <w:p w14:paraId="622B1F86" w14:textId="77777777" w:rsidR="0026615C" w:rsidRPr="00C05886" w:rsidRDefault="0026615C" w:rsidP="005D7515">
      <w:pPr>
        <w:pStyle w:val="Heading4"/>
      </w:pPr>
      <w:r w:rsidRPr="00C05886">
        <w:t xml:space="preserve">Natural and “natural looking” </w:t>
      </w:r>
    </w:p>
    <w:p w14:paraId="4F8C3D14" w14:textId="77777777" w:rsidR="00F67516" w:rsidRPr="00C05886" w:rsidRDefault="0026615C" w:rsidP="003A22BE">
      <w:r w:rsidRPr="00C05886">
        <w:t xml:space="preserve">Commonly, even in an academic context, nature has been defined more in opposition to anthropic environments and activities rather than by itself </w:t>
      </w:r>
      <w:r w:rsidRPr="00C05886">
        <w:fldChar w:fldCharType="begin"/>
      </w:r>
      <w:r w:rsidRPr="00C05886">
        <w:instrText xml:space="preserve"> ADDIN ZOTERO_ITEM CSL_CITATION {"citationID":"aBKnWoRq","properties":{"formattedCitation":"(Sandifer, Sutton-Grier and Ward, 2015)","plainCitation":"(Sandifer, Sutton-Grier and Ward, 2015)","noteIndex":0},"citationItems":[{"id":5711,"uris":["http://zotero.org/users/10951124/items/RDY8KK3Z"],"itemData":{"id":5711,"type":"article-journal","abstract":"We are at a key juncture in history where biodiversity loss is occurring daily and accelerating in the face of population growth, climate change, and rampant development. Simultaneously, we are just beginning to appreciate the wealth of human health benefits that stem from experiencing nature and biodiversity. Here we assessed the state of knowledge on relationships between human health and nature and biodiversity, and prepared a comprehensive listing of reported health effects. We found strong evidence linking biodiversity with production of ecosystem services and between nature exposure and human health, but many of these studies were limited in rigor and often only correlative. Much less information is available to link biodiversity and health. However, some robust studies indicate that exposure to microbial biodiversity can improve health, specifically in reducing certain allergic and respiratory diseases. Overall, much more research is needed on mechanisms of causation. Also needed are a re-envisioning of land-use planning that places human well-being at the center and a new coalition of ecologists, health and social scientists and planners to conduct research and develop policies that promote human interaction with nature and biodiversity. Improvements in these areas should enhance human health and ecosystem, community, as well as human resilience.","container-title":"Ecosystem Services","DOI":"10.1016/j.ecoser.2014.12.007","ISSN":"22120416","note":"publisher: Elsevier","page":"1-15","title":"Exploring connections among nature, biodiversity, ecosystem services, and human health and well-being: Opportunities to enhance health and biodiversity conservation","volume":"12","author":[{"family":"Sandifer","given":"Paul A."},{"family":"Sutton-Grier","given":"Ariana E."},{"family":"Ward","given":"Bethney P."}],"issued":{"date-parts":[["2015"]]}}}],"schema":"https://github.com/citation-style-language/schema/raw/master/csl-citation.json"} </w:instrText>
      </w:r>
      <w:r w:rsidRPr="00C05886">
        <w:fldChar w:fldCharType="separate"/>
      </w:r>
      <w:r w:rsidRPr="00C05886">
        <w:rPr>
          <w:rFonts w:ascii="Calibri" w:hAnsi="Calibri" w:cs="Calibri"/>
        </w:rPr>
        <w:t>(Sandifer, Sutton-Grier and Ward, 2015)</w:t>
      </w:r>
      <w:r w:rsidRPr="00C05886">
        <w:fldChar w:fldCharType="end"/>
      </w:r>
      <w:r w:rsidRPr="00C05886">
        <w:t xml:space="preserve"> – i.e. natural is the opposite of artificial. </w:t>
      </w:r>
    </w:p>
    <w:p w14:paraId="51E35D98" w14:textId="764EFDEB" w:rsidR="00F67516" w:rsidRPr="00C05886" w:rsidRDefault="00C12E53" w:rsidP="003A22BE">
      <w:r w:rsidRPr="00C05886">
        <w:t xml:space="preserve">More cautiously, some theories (e.g. Ulrich, 1991) are careful to introduce the ideas of “natural-looking” environments, making a clearer distinction between designed and natural </w:t>
      </w:r>
      <w:r w:rsidR="00DE5126" w:rsidRPr="00C05886">
        <w:t xml:space="preserve">(i.e. </w:t>
      </w:r>
      <w:r w:rsidR="00DE5126" w:rsidRPr="00C05886">
        <w:lastRenderedPageBreak/>
        <w:t xml:space="preserve">spontaneous, non-designed) </w:t>
      </w:r>
      <w:r w:rsidRPr="00C05886">
        <w:t xml:space="preserve">spaces. </w:t>
      </w:r>
      <w:r w:rsidR="00F67516" w:rsidRPr="00C05886">
        <w:t xml:space="preserve">Under this view, it can be easier to understand why a vast research work has labelled “natural” locations that are </w:t>
      </w:r>
      <w:r w:rsidR="000C3B60" w:rsidRPr="00C05886">
        <w:t>designed and managed by humans</w:t>
      </w:r>
      <w:r w:rsidR="00F67516" w:rsidRPr="00C05886">
        <w:t xml:space="preserve"> (arboretums, parks, gardens, orchards).</w:t>
      </w:r>
    </w:p>
    <w:p w14:paraId="20D65CF1" w14:textId="77777777" w:rsidR="00C12E53" w:rsidRPr="00C05886" w:rsidRDefault="00C12E53" w:rsidP="00C12E53">
      <w:pPr>
        <w:pStyle w:val="Heading3"/>
      </w:pPr>
      <w:bookmarkStart w:id="22" w:name="_Toc179962281"/>
      <w:r w:rsidRPr="00C05886">
        <w:t>Biodiversity</w:t>
      </w:r>
      <w:bookmarkEnd w:id="22"/>
    </w:p>
    <w:p w14:paraId="5AB84DCF" w14:textId="77777777" w:rsidR="00C12E53" w:rsidRPr="00C05886" w:rsidRDefault="00C12E53" w:rsidP="00E13BF0">
      <w:r w:rsidRPr="00C05886">
        <w:t xml:space="preserve">"Biological diversity means the variability among living organisms from all sources including, inter alia, terrestrial, marine and other aquatic ecosystems and the ecological complexes of which they are part: this includes diversity within species, between species and of ecosystems.” </w:t>
      </w:r>
      <w:r w:rsidRPr="00C05886">
        <w:fldChar w:fldCharType="begin"/>
      </w:r>
      <w:r w:rsidRPr="00C05886">
        <w:instrText xml:space="preserve"> ADDIN ZOTERO_ITEM CSL_CITATION {"citationID":"8PMMaHMm","properties":{"formattedCitation":"(United Nations, 1992)","plainCitation":"(United Nations, 1992)","noteIndex":0},"citationItems":[{"id":5266,"uris":["http://zotero.org/users/10951124/items/9PSS7G4K"],"itemData":{"id":5266,"type":"document","publisher":"United Nations","title":"Convention on Biological Diversity","author":[{"literal":"United Nations"}],"issued":{"date-parts":[["1992"]]}}}],"schema":"https://github.com/citation-style-language/schema/raw/master/csl-citation.json"} </w:instrText>
      </w:r>
      <w:r w:rsidRPr="00C05886">
        <w:fldChar w:fldCharType="separate"/>
      </w:r>
      <w:r w:rsidRPr="00C05886">
        <w:rPr>
          <w:rFonts w:ascii="Calibri" w:hAnsi="Calibri" w:cs="Calibri"/>
        </w:rPr>
        <w:t>(United Nations, 1992)</w:t>
      </w:r>
      <w:r w:rsidRPr="00C05886">
        <w:fldChar w:fldCharType="end"/>
      </w:r>
      <w:r w:rsidRPr="00C05886">
        <w:t xml:space="preserve"> </w:t>
      </w:r>
    </w:p>
    <w:p w14:paraId="6B8DEA3E" w14:textId="3508EA7E" w:rsidR="00C12E53" w:rsidRPr="00C05886" w:rsidRDefault="00C12E53" w:rsidP="00E13BF0">
      <w:r w:rsidRPr="00C05886">
        <w:t xml:space="preserve">Compared with the concept of nature, biodiversity has several operational advantages. First, the variability among living beings can be quantified in several ways </w:t>
      </w:r>
      <w:r w:rsidRPr="00C05886">
        <w:fldChar w:fldCharType="begin"/>
      </w:r>
      <w:r w:rsidRPr="00C05886">
        <w:instrText xml:space="preserve"> ADDIN ZOTERO_ITEM CSL_CITATION {"citationID":"kpbtI4kZ","properties":{"formattedCitation":"(Colwell, 2009)","plainCitation":"(Colwell, 2009)","noteIndex":0},"citationItems":[{"id":7392,"uris":["http://zotero.org/users/10951124/items/XEYPJZ6V"],"itemData":{"id":7392,"type":"chapter","container-title":"The Princeton guide to ecology","page":"257-263","publisher":"Princeton University Press Princeton, NJ","title":"Biodiversity: concepts, patterns, and measurement","volume":"663","author":[{"family":"Colwell","given":"Robert K"}],"issued":{"date-parts":[["2009"]]}}}],"schema":"https://github.com/citation-style-language/schema/raw/master/csl-citation.json"} </w:instrText>
      </w:r>
      <w:r w:rsidRPr="00C05886">
        <w:fldChar w:fldCharType="separate"/>
      </w:r>
      <w:r w:rsidRPr="00C05886">
        <w:rPr>
          <w:rFonts w:ascii="Calibri" w:hAnsi="Calibri" w:cs="Calibri"/>
        </w:rPr>
        <w:t>(Colwell, 2009)</w:t>
      </w:r>
      <w:r w:rsidRPr="00C05886">
        <w:fldChar w:fldCharType="end"/>
      </w:r>
      <w:r w:rsidRPr="00C05886">
        <w:t xml:space="preserve">. </w:t>
      </w:r>
      <w:r w:rsidR="00BC5AE9" w:rsidRPr="00C05886">
        <w:t>B</w:t>
      </w:r>
      <w:r w:rsidRPr="00C05886">
        <w:t>iodiversity can be the number of species present in a given area (species richness), or number of individuals of each species in a given area (species abundance), and how species abundance is distributed across species richness (species evenness). Second, as the last part of the UN definition implies, biodiversity is also a scalable dimension: biodiversity can also be the diversity of genes in a specific population, or the range of ecosystems present on a national scale. Third, biodiversity is not conceptually opposed to artificial/urban like the concept of nature.</w:t>
      </w:r>
      <w:r w:rsidR="00BC5AE9" w:rsidRPr="00C05886">
        <w:t xml:space="preserve"> </w:t>
      </w:r>
      <w:r w:rsidR="009D4C2A" w:rsidRPr="00C05886">
        <w:t>T</w:t>
      </w:r>
      <w:r w:rsidR="00BC5AE9" w:rsidRPr="00C05886">
        <w:t>he species richness</w:t>
      </w:r>
      <w:r w:rsidRPr="00C05886">
        <w:t xml:space="preserve"> </w:t>
      </w:r>
      <w:r w:rsidR="00BC5AE9" w:rsidRPr="00C05886">
        <w:t xml:space="preserve">of some </w:t>
      </w:r>
      <w:r w:rsidRPr="00C05886">
        <w:t xml:space="preserve">artificial habitats such as zoos, botanical gardens and aquariums </w:t>
      </w:r>
      <w:r w:rsidR="00BC5AE9" w:rsidRPr="00C05886">
        <w:t xml:space="preserve">can be greater than </w:t>
      </w:r>
      <w:r w:rsidR="009D4C2A" w:rsidRPr="00C05886">
        <w:t>the species richness found in natural environments</w:t>
      </w:r>
      <w:r w:rsidRPr="00C05886">
        <w:t>.</w:t>
      </w:r>
      <w:r w:rsidR="009D4C2A" w:rsidRPr="00C05886">
        <w:t xml:space="preserve"> For example, </w:t>
      </w:r>
      <w:r w:rsidR="00E27027" w:rsidRPr="00C05886">
        <w:t>in 2021, Kew</w:t>
      </w:r>
      <w:r w:rsidR="009D4C2A" w:rsidRPr="00C05886">
        <w:t xml:space="preserve"> </w:t>
      </w:r>
      <w:r w:rsidR="007507E8">
        <w:t>Botanical Gardens</w:t>
      </w:r>
      <w:r w:rsidR="009D4C2A" w:rsidRPr="00C05886">
        <w:t xml:space="preserve"> in London (UK) host</w:t>
      </w:r>
      <w:r w:rsidR="00E27027" w:rsidRPr="00C05886">
        <w:t>ed</w:t>
      </w:r>
      <w:r w:rsidR="009D4C2A" w:rsidRPr="00C05886">
        <w:t xml:space="preserve"> 16900 </w:t>
      </w:r>
      <w:r w:rsidR="00E27027" w:rsidRPr="00C05886">
        <w:t xml:space="preserve">living </w:t>
      </w:r>
      <w:r w:rsidR="009D4C2A" w:rsidRPr="00C05886">
        <w:t xml:space="preserve">species of plants </w:t>
      </w:r>
      <w:r w:rsidR="008536EC" w:rsidRPr="00C05886">
        <w:fldChar w:fldCharType="begin"/>
      </w:r>
      <w:r w:rsidR="008536EC" w:rsidRPr="00C05886">
        <w:instrText xml:space="preserve"> ADDIN ZOTERO_ITEM CSL_CITATION {"citationID":"sFyofofq","properties":{"formattedCitation":"(Kew, 2021)","plainCitation":"(Kew, 2021)","noteIndex":0},"citationItems":[{"id":11228,"uris":["http://zotero.org/users/10951124/items/HVBEC762"],"itemData":{"id":11228,"type":"post-weblog","title":"A new Guinness World Records title for London: Kew Gardens is now officially home to the largest living plant collection on earth","URL":"https://www.kew.org/about-us/press-media/new-guinness-world-records-title-for-kew","author":[{"family":"Kew","given":""}],"accessed":{"date-parts":[["2024",7,30]]},"issued":{"date-parts":[["2021",9,16]]}}}],"schema":"https://github.com/citation-style-language/schema/raw/master/csl-citation.json"} </w:instrText>
      </w:r>
      <w:r w:rsidR="008536EC" w:rsidRPr="00C05886">
        <w:fldChar w:fldCharType="separate"/>
      </w:r>
      <w:r w:rsidR="008536EC" w:rsidRPr="00C05886">
        <w:rPr>
          <w:rFonts w:ascii="Calibri" w:hAnsi="Calibri" w:cs="Calibri"/>
        </w:rPr>
        <w:t>(Kew, 2021)</w:t>
      </w:r>
      <w:r w:rsidR="008536EC" w:rsidRPr="00C05886">
        <w:fldChar w:fldCharType="end"/>
      </w:r>
      <w:r w:rsidR="009D4C2A" w:rsidRPr="00C05886">
        <w:t xml:space="preserve">, </w:t>
      </w:r>
      <w:r w:rsidR="00844997" w:rsidRPr="00C05886">
        <w:t xml:space="preserve">while </w:t>
      </w:r>
      <w:r w:rsidR="007507E8">
        <w:t>a checklist</w:t>
      </w:r>
      <w:r w:rsidR="00844997" w:rsidRPr="00C05886">
        <w:t xml:space="preserve"> compiling many verified floras of the Amazon basin reported a </w:t>
      </w:r>
      <w:r w:rsidR="00417D49" w:rsidRPr="00C05886">
        <w:t xml:space="preserve">total of 14003 plant species </w:t>
      </w:r>
      <w:r w:rsidR="00417D49" w:rsidRPr="00C05886">
        <w:fldChar w:fldCharType="begin"/>
      </w:r>
      <w:r w:rsidR="00417D49" w:rsidRPr="00C05886">
        <w:instrText xml:space="preserve"> ADDIN ZOTERO_ITEM CSL_CITATION {"citationID":"ptUhZvaG","properties":{"formattedCitation":"(Cardoso {\\i{}et al.}, 2017)","plainCitation":"(Cardoso et al., 2017)","noteIndex":0},"citationItems":[{"id":11225,"uris":["http://zotero.org/users/10951124/items/T6EJA6S7"],"itemData":{"id":11225,"type":"article-journal","abstract":"Significance\n            Large floristic datasets that purportedly represent the diversity and composition of the Amazon tree flora are being widely used to draw conclusions about the patterns and evolution of Amazon plant diversity, but these datasets are fundamentally flawed in both their methodology and the resulting content. We have assembled a comprehensive dataset of Amazonian seed plant species from published sources that includes falsifiable data based on voucher specimens identified by taxonomic specialists. This growing list should serve as a basis for addressing the long-standing debate on the number of plant species in the Amazon, as well as for downstream ecological and evolutionary analyses aimed at understanding the origin and function of the exceptional biodiversity of the vast Amazonian forests.\n          , \n            Recent debates on the number of plant species in the vast lowland rain forests of the Amazon have been based largely on model estimates, neglecting published checklists based on verified voucher data. Here we collate taxonomically verified checklists to present a list of seed plant species from lowland Amazon rain forests. Our list comprises 14,003 species, of which 6,727 are trees. These figures are similar to estimates derived from nonparametric ecological models, but they contrast strongly with predictions of much higher tree diversity derived from parametric models. Based on the known proportion of tree species in neotropical lowland rain forest communities as measured in complete plot censuses, and on overall estimates of seed plant diversity in Brazil and in the neotropics in general, it is more likely that tree diversity in the Amazon is closer to the lower estimates derived from nonparametric models. Much remains unknown about Amazonian plant diversity, but this taxonomically verified dataset provides a valid starting point for macroecological and evolutionary studies aimed at understanding the origin, evolution, and ecology of the exceptional biodiversity of Amazonian forests.","container-title":"Proceedings of the National Academy of Sciences","DOI":"10.1073/pnas.1706756114","ISSN":"0027-8424, 1091-6490","issue":"40","journalAbbreviation":"Proc. Natl. Acad. Sci. U.S.A.","language":"en","page":"10695-10700","source":"DOI.org (Crossref)","title":"Amazon plant diversity revealed by a taxonomically verified species list","volume":"114","author":[{"family":"Cardoso","given":"Domingos"},{"family":"Särkinen","given":"Tiina"},{"family":"Alexander","given":"Sara"},{"family":"Amorim","given":"André M."},{"family":"Bittrich","given":"Volker"},{"family":"Celis","given":"Marcela"},{"family":"Daly","given":"Douglas C."},{"family":"Fiaschi","given":"Pedro"},{"family":"Funk","given":"Vicki A."},{"family":"Giacomin","given":"Leandro L."},{"family":"Goldenberg","given":"Renato"},{"family":"Heiden","given":"Gustavo"},{"family":"Iganci","given":"João"},{"family":"Kelloff","given":"Carol L."},{"family":"Knapp","given":"Sandra"},{"family":"Cavalcante De Lima","given":"Haroldo"},{"family":"Machado","given":"Anderson F. P."},{"family":"Dos Santos","given":"Rubens Manoel"},{"family":"Mello-Silva","given":"Renato"},{"family":"Michelangeli","given":"Fabián A."},{"family":"Mitchell","given":"John"},{"family":"Moonlight","given":"Peter"},{"family":"De Moraes","given":"Pedro Luís Rodrigues"},{"family":"Mori","given":"Scott A."},{"family":"Nunes","given":"Teonildes Sacramento"},{"family":"Pennington","given":"Terry D."},{"family":"Pirani","given":"José Rubens"},{"family":"Prance","given":"Ghillean T."},{"family":"De Queiroz","given":"Luciano Paganucci"},{"family":"Rapini","given":"Alessandro"},{"family":"Riina","given":"Ricarda"},{"family":"Rincon","given":"Carlos Alberto Vargas"},{"family":"Roque","given":"Nádia"},{"family":"Shimizu","given":"Gustavo"},{"family":"Sobral","given":"Marcos"},{"family":"Stehmann","given":"João Renato"},{"family":"Stevens","given":"Warren D."},{"family":"Taylor","given":"Charlotte M."},{"family":"Trovó","given":"Marcelo"},{"family":"Van Den Berg","given":"Cássio"},{"family":"Van Der Werff","given":"Henk"},{"family":"Viana","given":"Pedro Lage"},{"family":"Zartman","given":"Charles E."},{"family":"Forzza","given":"Rafaela Campostrini"}],"issued":{"date-parts":[["2017",10,3]]}}}],"schema":"https://github.com/citation-style-language/schema/raw/master/csl-citation.json"} </w:instrText>
      </w:r>
      <w:r w:rsidR="00417D49" w:rsidRPr="00C05886">
        <w:fldChar w:fldCharType="separate"/>
      </w:r>
      <w:r w:rsidR="00417D49" w:rsidRPr="00C05886">
        <w:rPr>
          <w:rFonts w:ascii="Calibri" w:hAnsi="Calibri" w:cs="Calibri"/>
          <w:szCs w:val="24"/>
        </w:rPr>
        <w:t xml:space="preserve">(Cardoso </w:t>
      </w:r>
      <w:r w:rsidR="00417D49" w:rsidRPr="00C05886">
        <w:rPr>
          <w:rFonts w:ascii="Calibri" w:hAnsi="Calibri" w:cs="Calibri"/>
          <w:i/>
          <w:iCs/>
          <w:szCs w:val="24"/>
        </w:rPr>
        <w:t>et al.</w:t>
      </w:r>
      <w:r w:rsidR="00417D49" w:rsidRPr="00C05886">
        <w:rPr>
          <w:rFonts w:ascii="Calibri" w:hAnsi="Calibri" w:cs="Calibri"/>
          <w:szCs w:val="24"/>
        </w:rPr>
        <w:t>, 2017)</w:t>
      </w:r>
      <w:r w:rsidR="00417D49" w:rsidRPr="00C05886">
        <w:fldChar w:fldCharType="end"/>
      </w:r>
      <w:r w:rsidR="00417D49" w:rsidRPr="00C05886">
        <w:t>.</w:t>
      </w:r>
    </w:p>
    <w:p w14:paraId="3E6049E1" w14:textId="65449C83" w:rsidR="00C12E53" w:rsidRPr="00C05886" w:rsidRDefault="00C12E53" w:rsidP="00E13BF0">
      <w:r w:rsidRPr="00C05886">
        <w:t xml:space="preserve">In this thesis, the focus was on the species level, quantified as species richness, and restricted to species visible with the naked eye. This is “urban biodiversity”, species found in spaces of urban nature as described by Newman and Dale (2013). Another useful distinction to make early is about two kinds of biodiversity that will appear in all of the experiments: the actual, objectively measured biodiversity and the perceived, subjectively estimated biodiversity. The latter is the result of a complex process that starts with the sensing </w:t>
      </w:r>
      <w:r w:rsidR="009132B7" w:rsidRPr="00C05886">
        <w:t xml:space="preserve">of </w:t>
      </w:r>
      <w:r w:rsidRPr="00C05886">
        <w:t>biodiversity (through, e.g., colours, sounds, smells), and it is then cognitively elaborated through the lenses of personal knowledge (</w:t>
      </w:r>
      <w:proofErr w:type="spellStart"/>
      <w:r w:rsidRPr="00C05886">
        <w:t>i.e</w:t>
      </w:r>
      <w:proofErr w:type="spellEnd"/>
      <w:r w:rsidRPr="00C05886">
        <w:t xml:space="preserve"> species Identification skills) and the values of the observer (e.g. do weeds count as biodiversity?).</w:t>
      </w:r>
    </w:p>
    <w:p w14:paraId="0EFF123C" w14:textId="32168F3E" w:rsidR="00C12E53" w:rsidRPr="00C05886" w:rsidRDefault="00C12E53" w:rsidP="00E13BF0">
      <w:r w:rsidRPr="00C05886">
        <w:t xml:space="preserve">Although receiving increasing research attention </w:t>
      </w:r>
      <w:r w:rsidRPr="00C05886">
        <w:fldChar w:fldCharType="begin"/>
      </w:r>
      <w:r w:rsidRPr="00C05886">
        <w:instrText xml:space="preserve"> ADDIN ZOTERO_ITEM CSL_CITATION {"citationID":"3lZRwQuu","properties":{"formattedCitation":"(Marselle {\\i{}et al.}, 2019; Hedin {\\i{}et al.}, 2022)","plainCitation":"(Marselle et al., 2019; Hedin et al., 2022)","noteIndex":0},"citationItems":[{"id":9665,"uris":["http://zotero.org/users/10951124/items/USFUHYF5"],"itemData":{"id":9665,"type":"chapter","abstract":"Little is known about the contribution that biodiversity has on mental health and well-being. To date, only one systematic review has investigated the health and well-being benefits from contact with biodiversity (Lovell et al. J Toxicol Environ Health B Crit Rev 17(1):1–20, 2014). The number of research studies investigating the health and well-being effects of biodiversity has increased since this publication. Here, we provide an update, focusing on the impact of biodiversity on mental health and well-being. Our objectives are to: (i) identify and describe the literature published after 2012; and (ii) synthesise all results from Lovell et al. (J Toxicol Environ Health B Crit Rev 17(1):1–20, 2014) and the more recently published literature to assess whether biodiversity influences mental health and well-being. Sixteen recently published studies met the inclusion criteria. The literature is varied with different study designs, measures of biodiversity, mental health and well-being. The synthesis of results was drawn from 24 studies: nine from Lovell et al. (J Toxicol Environ Health B Crit Rev 17(1):1–20, 2014) and 15 identified by this chapter. There is some evidence to suggest that biodiversity promotes better mental health and well-being. However, more studies reported non-significant results. The evidence is not yet of the extent necessary to characterise the role of biodiversity in relation to mental health or well-being. Future interdisciplinary research directions are discussed.","container-title":"Biodiversity and Health in the Face of Climate Change","event-place":"Cham","ISBN":"978-3-030-02318-8","note":"DOI: 10.1007/978-3-030-02318-8_9","page":"175-211","publisher":"Springer International Publishing","publisher-place":"Cham","title":"Review of the Mental Health and Well-being Benefits of Biodiversity","URL":"https://doi.org/10.1007/978-3-030-02318-8_9","author":[{"family":"Marselle","given":"Melissa R."},{"family":"Martens","given":"Dörte"},{"family":"Dallimer","given":"Martin"},{"family":"Irvine","given":"Katherine N."}],"editor":[{"family":"Marselle","given":"Melissa R."},{"family":"Stadler","given":"Jutta"},{"family":"Korn","given":"Horst"},{"family":"Irvine","given":"Katherine N."},{"family":"Bonn","given":"Aletta"}],"issued":{"date-parts":[["2019"]]}}},{"id":9662,"uris":["http://zotero.org/users/10951124/items/4ZUAJGA3"],"itemData":{"id":9662,"type":"article-journal","abstract":"Biodiversity conservation and mental health and wellbeing are of increasing global concern, with growing relevance to planning and policy. A growing body of literature exploring the relationships between biodiversity and mental health and wellbeing—based on early research conducted largely from social science perspectives—suggests that particular qualities within natural environments confer particular benefits. Results so far have been inconclusive and inconsistent, contributing to an incohesive body of evidence. While past reviews have focused on reporting variations in results, the present study builds on early reviews by exploring variations from the perspective of author disciplines and the use of different guiding theories, and variables used to measure biodiversity, mental health and wellbeing. This aims to address a research gap in understanding whether research in this topic has become more interdisciplinary or has employed more consistent study designs, which were highlighted as priorities in past reviews, but the progress of which has not yet been explored in depth. We found that research connecting biodiversity and mental health and wellbeing has become only marginally more interdisciplinary in recent years, and there is still a large inconsistency in the use of guiding theories, variables and overall study designs. The variation in disciplinary perspectives and methods reflects a growing interest in this field and the variety of ways researchers are trying to understand and test the complex relationships between biodiversity and mental health and wellbeing. Our study shows that there are unique perspectives that different disciplines can contribute to this body of research and continuing to increase collaboration between disciplines with the use of consistent mixed methods approaches in future may contribute to a more cohesive body of evidence. We provide a framework to conceptualize recommendations for future research, highlighting the importance of interdisciplinary collaboration at multiple scales, and importantly focusing on more specific, mechanistic studies to inform decision-making that provides co-benefits for biodiversity and mental health and wellbeing.","container-title":"Frontiers in Ecology and Evolution","ISSN":"2296-701X","journalAbbreviation":"Frontiers in Ecology and Evolution","title":"Connecting Biodiversity With Mental Health and Wellbeing — A Review of Methods and Disciplinary Perspectives","URL":"https://www.frontiersin.org/articles/10.3389/fevo.2022.865727","volume":"10","author":[{"family":"Hedin","given":"Madeleine"},{"family":"Hahs","given":"Amy K."},{"family":"Mata","given":"Luis"},{"family":"Lee","given":"Kate"}],"issued":{"date-parts":[["2022"]]}}}],"schema":"https://github.com/citation-style-language/schema/raw/master/csl-citation.json"} </w:instrText>
      </w:r>
      <w:r w:rsidRPr="00C05886">
        <w:fldChar w:fldCharType="separate"/>
      </w:r>
      <w:r w:rsidRPr="00C05886">
        <w:rPr>
          <w:rFonts w:ascii="Calibri" w:hAnsi="Calibri" w:cs="Calibri"/>
          <w:szCs w:val="24"/>
        </w:rPr>
        <w:t xml:space="preserve">(Marselle </w:t>
      </w:r>
      <w:r w:rsidRPr="00C05886">
        <w:rPr>
          <w:rFonts w:ascii="Calibri" w:hAnsi="Calibri" w:cs="Calibri"/>
          <w:i/>
          <w:iCs/>
          <w:szCs w:val="24"/>
        </w:rPr>
        <w:t>et al.</w:t>
      </w:r>
      <w:r w:rsidRPr="00C05886">
        <w:rPr>
          <w:rFonts w:ascii="Calibri" w:hAnsi="Calibri" w:cs="Calibri"/>
          <w:szCs w:val="24"/>
        </w:rPr>
        <w:t xml:space="preserve">, 2019; Hedin </w:t>
      </w:r>
      <w:r w:rsidRPr="00C05886">
        <w:rPr>
          <w:rFonts w:ascii="Calibri" w:hAnsi="Calibri" w:cs="Calibri"/>
          <w:i/>
          <w:iCs/>
          <w:szCs w:val="24"/>
        </w:rPr>
        <w:t>et al.</w:t>
      </w:r>
      <w:r w:rsidRPr="00C05886">
        <w:rPr>
          <w:rFonts w:ascii="Calibri" w:hAnsi="Calibri" w:cs="Calibri"/>
          <w:szCs w:val="24"/>
        </w:rPr>
        <w:t>, 2022)</w:t>
      </w:r>
      <w:r w:rsidRPr="00C05886">
        <w:fldChar w:fldCharType="end"/>
      </w:r>
      <w:r w:rsidRPr="00C05886">
        <w:t xml:space="preserve">, the relationships between biodiversity and mental well-being remain only partially explored. To complicate things further, in the past, biodiversity was seldom assessed as such, therefore poorly </w:t>
      </w:r>
      <w:r w:rsidRPr="00C05886">
        <w:lastRenderedPageBreak/>
        <w:t xml:space="preserve">defined biodiversity proxies were associated with unclearly defined well-being outcomes </w:t>
      </w:r>
      <w:r w:rsidRPr="00C05886">
        <w:fldChar w:fldCharType="begin"/>
      </w:r>
      <w:r w:rsidRPr="00C05886">
        <w:instrText xml:space="preserve"> ADDIN ZOTERO_ITEM CSL_CITATION {"citationID":"EaZU6jC3","properties":{"formattedCitation":"(Lovell {\\i{}et al.}, 2014)","plainCitation":"(Lovell et al., 2014)","noteIndex":0},"citationItems":[{"id":6564,"uris":["http://zotero.org/users/10951124/items/924BZJC2"],"itemData":{"id":6564,"type":"article-journal","abstract":"Recent ecosystem service models have placed biodiversity as a central factor in the processes that link the natural environment to health. While it is recognized that disturbed ecosystems might negatively affect human well-being, it is not clear whether biodiversity is related to or can promote \"good\" human health and well-being. The aim of this study was to systematically identify, summarize, and synthesize research that had examined whether biodiverse environments are health promoting. The objectives were twofold: (1) to map the interdisciplinary field of enquiry and (2) to assess whether current evidence enables us to characterize the relationship. Due to the heterogeneity of available evidence a narrative synthesis approach was used, which is textual rather than statistical. Extensive searches identified 17 papers that met the inclusion criteria: 15 quantitative and 2 qualitative. The evidence was varied in disciplinary origin, with authors approaching the question using different study designs and methods, and conceptualizations of biodiversity, health, and well-being. There is some evidence to suggest that biodiverse natural environments promote better health through exposure to pleasant environments or the encouragement of health-promoting behaviors. There was also evidence of inverse relationships, particularly at a larger scale (global analyses). However, overall the evidence is inconclusive and fails to identify a specific role for biodiversity in the promotion of better health. High-quality interdisciplinary research is needed to produce a more reliable evidence base. Of particular importance is identifying the specific ecosystem services, goods, and processes through which biodiversity may generate good health and well-being.","container-title":"Journal of Toxicology and Environmental Health - Part B: Critical Reviews","DOI":"10.1080/10937404.2013.856361","ISSN":"15216950","issue":"1","page":"1-20","title":"A Systematic Review of the Health and Well-Being Benefits of Biodiverse Environments","volume":"17","author":[{"family":"Lovell","given":"Rebecca"},{"family":"Wheeler","given":"Benedict W."},{"family":"Higgins","given":"Sahran L."},{"family":"Irvine","given":"Katherine N."},{"family":"Depledge","given":"Michael H."}],"issued":{"date-parts":[["2014"]]}}}],"schema":"https://github.com/citation-style-language/schema/raw/master/csl-citation.json"} </w:instrText>
      </w:r>
      <w:r w:rsidRPr="00C05886">
        <w:fldChar w:fldCharType="separate"/>
      </w:r>
      <w:r w:rsidRPr="00C05886">
        <w:rPr>
          <w:rFonts w:ascii="Calibri" w:hAnsi="Calibri" w:cs="Calibri"/>
          <w:szCs w:val="24"/>
        </w:rPr>
        <w:t xml:space="preserve">(Lovell </w:t>
      </w:r>
      <w:r w:rsidRPr="00C05886">
        <w:rPr>
          <w:rFonts w:ascii="Calibri" w:hAnsi="Calibri" w:cs="Calibri"/>
          <w:i/>
          <w:iCs/>
          <w:szCs w:val="24"/>
        </w:rPr>
        <w:t>et al.</w:t>
      </w:r>
      <w:r w:rsidRPr="00C05886">
        <w:rPr>
          <w:rFonts w:ascii="Calibri" w:hAnsi="Calibri" w:cs="Calibri"/>
          <w:szCs w:val="24"/>
        </w:rPr>
        <w:t>, 2014)</w:t>
      </w:r>
      <w:r w:rsidRPr="00C05886">
        <w:fldChar w:fldCharType="end"/>
      </w:r>
      <w:r w:rsidRPr="00C05886">
        <w:t>.</w:t>
      </w:r>
    </w:p>
    <w:p w14:paraId="6A6B44F0" w14:textId="77777777" w:rsidR="00C12E53" w:rsidRPr="00C05886" w:rsidRDefault="00C12E53" w:rsidP="00C12E53">
      <w:pPr>
        <w:pStyle w:val="Heading3"/>
      </w:pPr>
      <w:bookmarkStart w:id="23" w:name="_Toc179962282"/>
      <w:r w:rsidRPr="00C05886">
        <w:t>Green space</w:t>
      </w:r>
      <w:bookmarkEnd w:id="23"/>
    </w:p>
    <w:p w14:paraId="30408D6B" w14:textId="77777777" w:rsidR="00C12E53" w:rsidRPr="00C05886" w:rsidRDefault="00C12E53" w:rsidP="00EF4B8D">
      <w:r w:rsidRPr="00C05886">
        <w:t xml:space="preserve">Green space is again a broad concept without an officially recognised definition </w:t>
      </w:r>
      <w:r w:rsidRPr="00C05886">
        <w:fldChar w:fldCharType="begin"/>
      </w:r>
      <w:r w:rsidRPr="00C05886">
        <w:instrText xml:space="preserve"> ADDIN ZOTERO_ITEM CSL_CITATION {"citationID":"ckYkKMv2","properties":{"formattedCitation":"(Taylor and Hochuli, 2017)","plainCitation":"(Taylor and Hochuli, 2017)","noteIndex":0},"citationItems":[{"id":4612,"uris":["http://zotero.org/users/10951124/items/64XSHNJ2"],"itemData":{"id":4612,"type":"article-journal","abstract":"Greenspace research has been driven by an emerging interest in the impact that biodiversity and ecosystem function has on life in urban areas. Studies from multiple disciplines across the life, physical and social sciences investigate the interactions with or within greenspace, creating a wide range of potentially related, but disparate findings. In order to understand whether these unconnected findings might be integrated, it is important to be able to make comparisons and build meta-analyses. In a review of journal articles about greenspace, we found that less than half of the 125 journal articles reviewed defined what greenspace was in their study; although many articles implied a definition. In those that provided a definition, we identified two overarching interpretations of greenspace using six different definition types. Perhaps arising from how the term has been lexicalized, this suggests that researchers do not have the same understanding of greenspace and limits the ability of researchers to draw meaning from multiple contexts or create syntheses. Rather than suggest a single, prescriptive understanding of greenspace, we propose that researchers construct a definition of greenspace for the context of their research that utilises both qualitative and quantitative aspects.","container-title":"Landscape and Urban Planning","DOI":"https://doi.org/10.1016/j.landurbplan.2016.09.024","ISSN":"0169-2046","page":"25-38","title":"Defining greenspace: Multiple uses across multiple disciplines","volume":"158","author":[{"family":"Taylor","given":"Lucy"},{"family":"Hochuli","given":"Dieter F"}],"issued":{"date-parts":[["2017"]]}}}],"schema":"https://github.com/citation-style-language/schema/raw/master/csl-citation.json"} </w:instrText>
      </w:r>
      <w:r w:rsidRPr="00C05886">
        <w:fldChar w:fldCharType="separate"/>
      </w:r>
      <w:r w:rsidRPr="00C05886">
        <w:rPr>
          <w:rFonts w:ascii="Calibri" w:hAnsi="Calibri" w:cs="Calibri"/>
        </w:rPr>
        <w:t>(Taylor and Hochuli, 2017)</w:t>
      </w:r>
      <w:r w:rsidRPr="00C05886">
        <w:fldChar w:fldCharType="end"/>
      </w:r>
      <w:r w:rsidRPr="00C05886">
        <w:t xml:space="preserve">. Green spaces include any area free from constructions and impermeable surfaces that is populated by some kind of vegetation </w:t>
      </w:r>
      <w:r w:rsidRPr="00C05886">
        <w:fldChar w:fldCharType="begin"/>
      </w:r>
      <w:r w:rsidRPr="00C05886">
        <w:instrText xml:space="preserve"> ADDIN ZOTERO_ITEM CSL_CITATION {"citationID":"QOMmp8TQ","properties":{"formattedCitation":"(Kabisch and Haase, 2013)","plainCitation":"(Kabisch and Haase, 2013)","noteIndex":0},"citationItems":[{"id":4610,"uris":["http://zotero.org/users/10951124/items/T6FHR7YN"],"itemData":{"id":4610,"type":"article-journal","abstract":"</w:instrText>
      </w:r>
      <w:r w:rsidRPr="00C05886">
        <w:rPr>
          <w:rFonts w:ascii="Arial" w:hAnsi="Arial" w:cs="Arial"/>
        </w:rPr>
        <w:instrText>►</w:instrText>
      </w:r>
      <w:r w:rsidRPr="00C05886">
        <w:instrText xml:space="preserve"> We identified an increase of urban green spaces in Western and Southern European cities. </w:instrText>
      </w:r>
      <w:r w:rsidRPr="00C05886">
        <w:rPr>
          <w:rFonts w:ascii="Arial" w:hAnsi="Arial" w:cs="Arial"/>
        </w:rPr>
        <w:instrText>►</w:instrText>
      </w:r>
      <w:r w:rsidRPr="00C05886">
        <w:instrText xml:space="preserve"> Eastern European cities experienced a decline of urban green space along with population decline. </w:instrText>
      </w:r>
      <w:r w:rsidRPr="00C05886">
        <w:rPr>
          <w:rFonts w:ascii="Arial" w:hAnsi="Arial" w:cs="Arial"/>
        </w:rPr>
        <w:instrText>►</w:instrText>
      </w:r>
      <w:r w:rsidRPr="00C05886">
        <w:instrText xml:space="preserve"> Residential area simultaneously increased regardless population growth or decline. </w:instrText>
      </w:r>
      <w:r w:rsidRPr="00C05886">
        <w:rPr>
          <w:rFonts w:ascii="Arial" w:hAnsi="Arial" w:cs="Arial"/>
        </w:rPr>
        <w:instrText>►</w:instrText>
      </w:r>
      <w:r w:rsidRPr="00C05886">
        <w:instrText xml:space="preserve"> This is due to an increase of small households demanding more living space. Prolonged urbanisation has many negative environmental impacts, such as air pollution, noise, and reduced space for recreation. Urban green spaces counteract those impacts and help to maintain the urban quality of life. Numerous case studies have already documented the beneficial functions of such green spaces. However, comparatively little is known about the dynamics of urban green spaces provisioning across a number of cities. We analysed the development of urban green space provision, urban residential area, population and household number in 202 European cities over a time period beginning in 1990 and ending in 2006. We identified an overall increase in urban green spaces from the year 2000 to the year 2006, while the data reported nearly no change between the year 1990 and the year 2000. This increase was mainly in cities in Western and Southern Europe. In contrast, most of the East European cities experienced a decline accompanied by population shrinkage. In addition, urban residential areas continued to increase regardless of population growth or decline. Based on these data, we conclude that a decrease in population does not automatically lead to a decline in residential areas and a subsequent increase in urban green space on a large scale. On a small-scale, however, demolition, de-sealing of soils and brownfield re-use all represent novel opportunities for the enlargement of urban green spaces in shrinking cities.","container-title":"Landscape and urban planning","DOI":"10.1016/j.landurbplan.2012.10.017","ISSN":"0169-2046","issue":"1","note":"publisher: AMSTERDAM: Elsevier BV\npublisher-place: AMSTERDAM","page":"113-122","title":"Green spaces of European cities revisited for 1990–2006","volume":"110","author":[{"family":"Kabisch","given":"Nadja"},{"family":"Haase","given":"Dagmar"}],"issued":{"date-parts":[["2013"]]}}}],"schema":"https://github.com/citation-style-language/schema/raw/master/csl-citation.json"} </w:instrText>
      </w:r>
      <w:r w:rsidRPr="00C05886">
        <w:fldChar w:fldCharType="separate"/>
      </w:r>
      <w:r w:rsidRPr="00C05886">
        <w:rPr>
          <w:rFonts w:ascii="Calibri" w:hAnsi="Calibri" w:cs="Calibri"/>
        </w:rPr>
        <w:t>(Kabisch and Haase, 2013)</w:t>
      </w:r>
      <w:r w:rsidRPr="00C05886">
        <w:fldChar w:fldCharType="end"/>
      </w:r>
      <w:r w:rsidRPr="00C05886">
        <w:t xml:space="preserve">, although this varies depending on the discipline evaluating the space and on the local culture </w:t>
      </w:r>
      <w:r w:rsidRPr="00C05886">
        <w:fldChar w:fldCharType="begin"/>
      </w:r>
      <w:r w:rsidRPr="00C05886">
        <w:instrText xml:space="preserve"> ADDIN ZOTERO_ITEM CSL_CITATION {"citationID":"xhQ0ihpa","properties":{"formattedCitation":"(Annerstedt van den Bosch {\\i{}et al.}, 2015)","plainCitation":"(Annerstedt van den Bosch et al., 2015)","noteIndex":0},"citationItems":[{"id":4689,"uris":["http://zotero.org/users/10951124/items/DPL4ZPBT"],"itemData":{"id":4689,"type":"article-journal","abstract":"Aims: In this study, the aim was to develop and test an urban green space indicator for public health, as proposed by the World Health Organisation (WHO) Regional Office for Europe, in order to support health and environmental policies. Methods: We defined the indicator of green space accessibility as a proportion of an urban population living within a certain distance from a green space boundary. We developed a Geographic Information System (GIS)-based method and tested it in three case studies in Malmö, Sweden","container-title":"Scand J Public Health","DOI":"10.1177/1403494815615444","ISSN":"1651-1905","issue":"2","note":"publisher: London, England: SAGE Publications\npublisher-place: London, England","page":"159-167","title":"Development of an urban green space indicator and the public health rationale","volume":"44","author":[{"family":"Annerstedt van den Bosch","given":"Matilda"},{"family":"Mudu","given":"Pierpaolo"},{"family":"Uscila","given":"Valdas"},{"family":"Barrdahl","given":"Maria"},{"family":"Kulinkina","given":"Alexandra"},{"family":"Staatsen","given":"Brigit"},{"family":"Swart","given":"Wim"},{"family":"Kruize","given":"Hanneke"},{"family":"Zurlyte","given":"Ingrida"},{"family":"Egorov","given":"Andrey I"}],"issued":{"date-parts":[["2015"]]}}}],"schema":"https://github.com/citation-style-language/schema/raw/master/csl-citation.json"} </w:instrText>
      </w:r>
      <w:r w:rsidRPr="00C05886">
        <w:fldChar w:fldCharType="separate"/>
      </w:r>
      <w:r w:rsidRPr="00C05886">
        <w:rPr>
          <w:rFonts w:ascii="Calibri" w:hAnsi="Calibri" w:cs="Calibri"/>
          <w:szCs w:val="24"/>
        </w:rPr>
        <w:t xml:space="preserve">(Annerstedt van den Bosch </w:t>
      </w:r>
      <w:r w:rsidRPr="00C05886">
        <w:rPr>
          <w:rFonts w:ascii="Calibri" w:hAnsi="Calibri" w:cs="Calibri"/>
          <w:i/>
          <w:iCs/>
          <w:szCs w:val="24"/>
        </w:rPr>
        <w:t>et al.</w:t>
      </w:r>
      <w:r w:rsidRPr="00C05886">
        <w:rPr>
          <w:rFonts w:ascii="Calibri" w:hAnsi="Calibri" w:cs="Calibri"/>
          <w:szCs w:val="24"/>
        </w:rPr>
        <w:t>, 2015)</w:t>
      </w:r>
      <w:r w:rsidRPr="00C05886">
        <w:fldChar w:fldCharType="end"/>
      </w:r>
      <w:r w:rsidRPr="00C05886">
        <w:t xml:space="preserve">. In most cases, green spaces are “urban” green spaces, in opposition to the “countryside”, but sometimes the term green space has been applied to national parks and wilderness in the vicinity of the city </w:t>
      </w:r>
      <w:r w:rsidRPr="00C05886">
        <w:fldChar w:fldCharType="begin"/>
      </w:r>
      <w:r w:rsidRPr="00C05886">
        <w:instrText xml:space="preserve"> ADDIN ZOTERO_ITEM CSL_CITATION {"citationID":"1NvNnsoD","properties":{"formattedCitation":"(Ambrey and Fleming, 2014)","plainCitation":"(Ambrey and Fleming, 2014)","noteIndex":0},"citationItems":[{"id":10724,"uris":["http://zotero.org/users/10951124/items/4XIL5JXZ"],"itemData":{"id":10724,"type":"article-journal","abstract":"This paper examines the influence of public greenspace on the life satisfaction of residents of Australia’s capital cities. A positive relationship is found between the percentage of public greenspace in a resident’s local area and their self-reported life satisfaction, on average corresponding to an implicit willingness-to-pay of $1172 in annual household income for a 1 per cent (143 square metres) increase in public greenspace. Additional results suggest that the value of greenspace increases with population density and that lone parents and the less educated benefit to a greater extent from the provision of public greenspace than the general population. In all, these results support existing evidence that public greenspace is welfare enhancing for urban residents and adequate allowance should be made for its provision when planning urban areas.","container-title":"Urban Studies","DOI":"10.1177/0042098013494417","ISSN":"0042-0980, 1360-063X","issue":"6","journalAbbreviation":"Urban Studies","language":"en","page":"1290-1321","source":"DOI.org (Crossref)","title":"Public Greenspace and Life Satisfaction in Urban Australia","volume":"51","author":[{"family":"Ambrey","given":"Christopher"},{"family":"Fleming","given":"Christopher"}],"issued":{"date-parts":[["2014",5]]}}}],"schema":"https://github.com/citation-style-language/schema/raw/master/csl-citation.json"} </w:instrText>
      </w:r>
      <w:r w:rsidRPr="00C05886">
        <w:fldChar w:fldCharType="separate"/>
      </w:r>
      <w:r w:rsidRPr="00C05886">
        <w:rPr>
          <w:rFonts w:ascii="Calibri" w:hAnsi="Calibri" w:cs="Calibri"/>
        </w:rPr>
        <w:t>(Ambrey and Fleming, 2014)</w:t>
      </w:r>
      <w:r w:rsidRPr="00C05886">
        <w:fldChar w:fldCharType="end"/>
      </w:r>
      <w:r w:rsidRPr="00C05886">
        <w:t xml:space="preserve">. </w:t>
      </w:r>
    </w:p>
    <w:p w14:paraId="377E20BB" w14:textId="56904A40" w:rsidR="00C12E53" w:rsidRPr="00C05886" w:rsidRDefault="00C12E53" w:rsidP="00EF4B8D">
      <w:r w:rsidRPr="00C05886">
        <w:t xml:space="preserve">Since defining green spaces is challenging, sometimes the matter is completely avoided, </w:t>
      </w:r>
      <w:r w:rsidR="0081726A" w:rsidRPr="00C05886">
        <w:t>under the assumption that</w:t>
      </w:r>
      <w:r w:rsidRPr="00C05886">
        <w:t xml:space="preserve"> the concept has a shared meaning </w:t>
      </w:r>
      <w:r w:rsidRPr="00C05886">
        <w:fldChar w:fldCharType="begin"/>
      </w:r>
      <w:r w:rsidRPr="00C05886">
        <w:instrText xml:space="preserve"> ADDIN ZOTERO_ITEM CSL_CITATION {"citationID":"4khDr142","properties":{"formattedCitation":"(Taylor and Hochuli, 2017)","plainCitation":"(Taylor and Hochuli, 2017)","noteIndex":0},"citationItems":[{"id":4612,"uris":["http://zotero.org/users/10951124/items/64XSHNJ2"],"itemData":{"id":4612,"type":"article-journal","abstract":"Greenspace research has been driven by an emerging interest in the impact that biodiversity and ecosystem function has on life in urban areas. Studies from multiple disciplines across the life, physical and social sciences investigate the interactions with or within greenspace, creating a wide range of potentially related, but disparate findings. In order to understand whether these unconnected findings might be integrated, it is important to be able to make comparisons and build meta-analyses. In a review of journal articles about greenspace, we found that less than half of the 125 journal articles reviewed defined what greenspace was in their study; although many articles implied a definition. In those that provided a definition, we identified two overarching interpretations of greenspace using six different definition types. Perhaps arising from how the term has been lexicalized, this suggests that researchers do not have the same understanding of greenspace and limits the ability of researchers to draw meaning from multiple contexts or create syntheses. Rather than suggest a single, prescriptive understanding of greenspace, we propose that researchers construct a definition of greenspace for the context of their research that utilises both qualitative and quantitative aspects.","container-title":"Landscape and Urban Planning","DOI":"https://doi.org/10.1016/j.landurbplan.2016.09.024","ISSN":"0169-2046","page":"25-38","title":"Defining greenspace: Multiple uses across multiple disciplines","volume":"158","author":[{"family":"Taylor","given":"Lucy"},{"family":"Hochuli","given":"Dieter F"}],"issued":{"date-parts":[["2017"]]}}}],"schema":"https://github.com/citation-style-language/schema/raw/master/csl-citation.json"} </w:instrText>
      </w:r>
      <w:r w:rsidRPr="00C05886">
        <w:fldChar w:fldCharType="separate"/>
      </w:r>
      <w:r w:rsidRPr="00C05886">
        <w:rPr>
          <w:rFonts w:ascii="Calibri" w:hAnsi="Calibri" w:cs="Calibri"/>
        </w:rPr>
        <w:t>(Taylor and Hochuli, 2017)</w:t>
      </w:r>
      <w:r w:rsidRPr="00C05886">
        <w:fldChar w:fldCharType="end"/>
      </w:r>
      <w:r w:rsidRPr="00C05886">
        <w:t>. This</w:t>
      </w:r>
      <w:r w:rsidR="0081726A" w:rsidRPr="00C05886">
        <w:t>,</w:t>
      </w:r>
      <w:r w:rsidRPr="00C05886">
        <w:t xml:space="preserve"> of course</w:t>
      </w:r>
      <w:r w:rsidR="0081726A" w:rsidRPr="00C05886">
        <w:t>,</w:t>
      </w:r>
      <w:r w:rsidRPr="00C05886">
        <w:t xml:space="preserve"> limits the generalisation of findings, to the point that contrasting results are common. </w:t>
      </w:r>
      <w:r w:rsidR="00AD5FE7">
        <w:t>For</w:t>
      </w:r>
      <w:r w:rsidR="00701622">
        <w:t xml:space="preserve"> example</w:t>
      </w:r>
      <w:r w:rsidRPr="00C05886">
        <w:t xml:space="preserve">, </w:t>
      </w:r>
      <w:r w:rsidR="0098054C" w:rsidRPr="00C05886">
        <w:t xml:space="preserve">what is a “good </w:t>
      </w:r>
      <w:r w:rsidRPr="00C05886">
        <w:t xml:space="preserve">quality” of green space </w:t>
      </w:r>
      <w:r w:rsidR="0098054C" w:rsidRPr="00C05886">
        <w:t>can vary</w:t>
      </w:r>
      <w:r w:rsidR="001A3B88">
        <w:t>, depending on the focus of the research</w:t>
      </w:r>
      <w:r w:rsidR="00701622">
        <w:t>.</w:t>
      </w:r>
      <w:r w:rsidRPr="00C05886">
        <w:t xml:space="preserve"> </w:t>
      </w:r>
      <w:r w:rsidR="00701622">
        <w:t>A</w:t>
      </w:r>
      <w:r w:rsidR="00C05886" w:rsidRPr="00C05886">
        <w:t xml:space="preserve"> study looking at the frequency of physical activity in Turkey </w:t>
      </w:r>
      <w:r w:rsidR="00701622">
        <w:fldChar w:fldCharType="begin"/>
      </w:r>
      <w:r w:rsidR="00701622">
        <w:instrText xml:space="preserve"> ADDIN ZOTERO_ITEM CSL_CITATION {"citationID":"E420OenG","properties":{"formattedCitation":"(Akpinar, 2016)","plainCitation":"(Akpinar, 2016)","noteIndex":0},"citationItems":[{"id":6480,"uris":["http://zotero.org/users/10951124/items/6X5IDICK"],"itemData":{"id":6480,"type":"article-journal","abstract":"This study investigates the associations between quality of urban green spaces (UGS), self-reported physical activity (PA), and health indicators in Aydin, Turkey. Data was collected through a survey with 420 participants. The associations between quality of UGS, self-reported frequency and duration of PA, and stress, mental health, and physical health were examined with multivariate linear regression while controlling for confounding factors. Results showed that nearest distance to UGS and quality of UGS (i.e. maintenance and cleanliness) were associated with increased frequency of PA. Higher frequency of PA was related to less stress and better mental health and longer duration of PA was associated with better physical health. In addition, large and open/visible UGS were associated with better physical health. The findings also showed that stress mediates the relationship between PA and mental health. Results suggest that providing large, visible as well as clean and well-maintained UGS close to people's homes may be an effective strategy to improve PA and people's health.","container-title":"Urban Forestry and Urban Greening","DOI":"10.1016/j.ufug.2016.01.011","ISSN":"16108167","page":"76-83","title":"How is quality of urban green spaces associated with physical activity and health?","volume":"16","author":[{"family":"Akpinar","given":"Abdullah"}],"issued":{"date-parts":[["2016"]]}}}],"schema":"https://github.com/citation-style-language/schema/raw/master/csl-citation.json"} </w:instrText>
      </w:r>
      <w:r w:rsidR="00701622">
        <w:fldChar w:fldCharType="separate"/>
      </w:r>
      <w:r w:rsidR="00701622" w:rsidRPr="00701622">
        <w:rPr>
          <w:rFonts w:ascii="Calibri" w:hAnsi="Calibri" w:cs="Calibri"/>
        </w:rPr>
        <w:t>(Akpinar, 2016)</w:t>
      </w:r>
      <w:r w:rsidR="00701622">
        <w:fldChar w:fldCharType="end"/>
      </w:r>
      <w:r w:rsidR="00701622">
        <w:t xml:space="preserve"> </w:t>
      </w:r>
      <w:r w:rsidR="00C05886" w:rsidRPr="00C05886">
        <w:t xml:space="preserve">assessed the quality of green spaces in terms of maintenance of the paths </w:t>
      </w:r>
      <w:r w:rsidR="007507E8">
        <w:t>and </w:t>
      </w:r>
      <w:r w:rsidR="00C05886" w:rsidRPr="00C05886">
        <w:t>provision of shade</w:t>
      </w:r>
      <w:r w:rsidR="00AD5FE7">
        <w:t>.</w:t>
      </w:r>
      <w:r w:rsidR="00C05886">
        <w:t xml:space="preserve"> </w:t>
      </w:r>
      <w:r w:rsidR="00AD5FE7">
        <w:t>I</w:t>
      </w:r>
      <w:r w:rsidR="00C05886">
        <w:t xml:space="preserve">n contrast, a study focused on </w:t>
      </w:r>
      <w:r w:rsidR="007507E8">
        <w:t>the </w:t>
      </w:r>
      <w:r w:rsidR="00C05886">
        <w:t>mental health of Australian adolescents</w:t>
      </w:r>
      <w:r w:rsidR="00701622">
        <w:t xml:space="preserve"> </w:t>
      </w:r>
      <w:r w:rsidR="00701622">
        <w:fldChar w:fldCharType="begin"/>
      </w:r>
      <w:r w:rsidR="00701622">
        <w:instrText xml:space="preserve"> ADDIN ZOTERO_ITEM CSL_CITATION {"citationID":"vvygLsyR","properties":{"formattedCitation":"(Feng {\\i{}et al.}, 2022)","plainCitation":"(Feng et al., 2022)","noteIndex":0},"citationItems":[{"id":11230,"uris":["http://zotero.org/users/10951124/items/YQ2E9PFL"],"itemData":{"id":11230,"type":"article-journal","container-title":"Environmental Research","DOI":"10.1016/j.envres.2021.112591","ISSN":"00139351","journalAbbreviation":"Environmental Research","language":"en","page":"112591","source":"DOI.org (Crossref)","title":"Green space quality and adolescent mental health: do personality traits matter?","title-short":"Green space quality and adolescent mental health","volume":"206","author":[{"family":"Feng","given":"Xiaoqi"},{"family":"Astell-Burt","given":"Thomas"},{"family":"Standl","given":"Marie"},{"family":"Flexeder","given":"Claudia"},{"family":"Heinrich","given":"Joachim"},{"family":"Markevych","given":"Iana"}],"issued":{"date-parts":[["2022",4]]}}}],"schema":"https://github.com/citation-style-language/schema/raw/master/csl-citation.json"} </w:instrText>
      </w:r>
      <w:r w:rsidR="00701622">
        <w:fldChar w:fldCharType="separate"/>
      </w:r>
      <w:r w:rsidR="00701622" w:rsidRPr="00701622">
        <w:rPr>
          <w:rFonts w:ascii="Calibri" w:hAnsi="Calibri" w:cs="Calibri"/>
          <w:szCs w:val="24"/>
        </w:rPr>
        <w:t xml:space="preserve">(Feng </w:t>
      </w:r>
      <w:r w:rsidR="00701622" w:rsidRPr="00701622">
        <w:rPr>
          <w:rFonts w:ascii="Calibri" w:hAnsi="Calibri" w:cs="Calibri"/>
          <w:i/>
          <w:iCs/>
          <w:szCs w:val="24"/>
        </w:rPr>
        <w:t>et al.</w:t>
      </w:r>
      <w:r w:rsidR="00701622" w:rsidRPr="00701622">
        <w:rPr>
          <w:rFonts w:ascii="Calibri" w:hAnsi="Calibri" w:cs="Calibri"/>
          <w:szCs w:val="24"/>
        </w:rPr>
        <w:t>, 2022)</w:t>
      </w:r>
      <w:r w:rsidR="00701622">
        <w:fldChar w:fldCharType="end"/>
      </w:r>
      <w:r w:rsidR="00C05886">
        <w:t xml:space="preserve">, used data from a national-scale survey where the quality of green space was loosely defined by the caregiver perceptions (e.g. to what extent would a parent agree that there were “good” parks in the </w:t>
      </w:r>
      <w:r w:rsidR="00701622">
        <w:t>neighbourhood</w:t>
      </w:r>
      <w:r w:rsidR="00C05886">
        <w:t>).</w:t>
      </w:r>
      <w:r w:rsidR="00AD5FE7">
        <w:t xml:space="preserve"> Further, in the case of a densely urbanised city such as Hong Kong </w:t>
      </w:r>
      <w:r w:rsidR="00AD5FE7">
        <w:fldChar w:fldCharType="begin"/>
      </w:r>
      <w:r w:rsidR="00AD5FE7">
        <w:instrText xml:space="preserve"> ADDIN ZOTERO_ITEM CSL_CITATION {"citationID":"NaEkcnul","properties":{"formattedCitation":"(Tian, Jim and Wang, 2014)","plainCitation":"(Tian, Jim and Wang, 2014)","noteIndex":0},"citationItems":[{"id":11232,"uris":["http://zotero.org/users/10951124/items/XEEWKUM5"],"itemData":{"id":11232,"type":"article-journal","container-title":"Landscape and Urban Planning","DOI":"10.1016/j.landurbplan.2013.10.001","ISSN":"01692046","journalAbbreviation":"Landscape and Urban Planning","language":"en","page":"97-108","source":"DOI.org (Crossref)","title":"Assessing the landscape and ecological quality of urban green spaces in a compact city","volume":"121","author":[{"family":"Tian","given":"Yuhong"},{"family":"Jim","given":"C.Y."},{"family":"Wang","given":"Haiqing"}],"issued":{"date-parts":[["2014",1]]}}}],"schema":"https://github.com/citation-style-language/schema/raw/master/csl-citation.json"} </w:instrText>
      </w:r>
      <w:r w:rsidR="00AD5FE7">
        <w:fldChar w:fldCharType="separate"/>
      </w:r>
      <w:r w:rsidR="00AD5FE7" w:rsidRPr="00AD5FE7">
        <w:rPr>
          <w:rFonts w:ascii="Calibri" w:hAnsi="Calibri" w:cs="Calibri"/>
        </w:rPr>
        <w:t>(Tian, Jim and Wang, 2014)</w:t>
      </w:r>
      <w:r w:rsidR="00AD5FE7">
        <w:fldChar w:fldCharType="end"/>
      </w:r>
      <w:r w:rsidR="00AD5FE7">
        <w:t>, the quality of green spaces was calculated as an index, combining size, shape, land use and proximity of each green space to others, based only on GIS data.</w:t>
      </w:r>
    </w:p>
    <w:p w14:paraId="7CBA7E1F" w14:textId="5084C583" w:rsidR="00C12E53" w:rsidRPr="00C05886" w:rsidRDefault="00C12E53" w:rsidP="008D6D38">
      <w:r w:rsidRPr="00C05886">
        <w:t xml:space="preserve">Alternatively, the term </w:t>
      </w:r>
      <w:r w:rsidR="008D6D38">
        <w:t>G</w:t>
      </w:r>
      <w:r w:rsidRPr="00C05886">
        <w:t xml:space="preserve">reen </w:t>
      </w:r>
      <w:r w:rsidR="008D6D38">
        <w:t>I</w:t>
      </w:r>
      <w:r w:rsidRPr="00C05886">
        <w:t xml:space="preserve">nfrastructure would provide a more rigorous definition. </w:t>
      </w:r>
      <w:r w:rsidR="007507E8">
        <w:t>The</w:t>
      </w:r>
      <w:r w:rsidR="007507E8" w:rsidRPr="00C05886">
        <w:t xml:space="preserve"> </w:t>
      </w:r>
      <w:r w:rsidR="007507E8">
        <w:t>G</w:t>
      </w:r>
      <w:r w:rsidR="007507E8" w:rsidRPr="00C05886">
        <w:t xml:space="preserve">reen </w:t>
      </w:r>
      <w:r w:rsidR="007507E8">
        <w:t>I</w:t>
      </w:r>
      <w:r w:rsidR="007507E8" w:rsidRPr="00C05886">
        <w:t xml:space="preserve">nfrastructure </w:t>
      </w:r>
      <w:r w:rsidR="001A3B88">
        <w:t>is “</w:t>
      </w:r>
      <w:r w:rsidR="008D6D38">
        <w:t>a strategically planned network of natural and semi-natural areas with other environmental features designed and managed to deliver a wide range of ecosystem services. It incorporates green spaces (or blue if aquatic ecosystems are concerned) and other physical features in terrestrial (including coastal) and marine areas. On land, Green Infrastructure is present in rural and urban settings</w:t>
      </w:r>
      <w:r w:rsidR="001A3B88">
        <w:t xml:space="preserve">” </w:t>
      </w:r>
      <w:r w:rsidR="008D6D38">
        <w:fldChar w:fldCharType="begin"/>
      </w:r>
      <w:r w:rsidR="008D6D38">
        <w:instrText xml:space="preserve"> ADDIN ZOTERO_ITEM CSL_CITATION {"citationID":"s5GZKYIk","properties":{"formattedCitation":"(European Commission, 2019)","plainCitation":"(European Commission, 2019)","noteIndex":0},"citationItems":[{"id":11233,"uris":["http://zotero.org/users/10951124/items/8HMWSXD4"],"itemData":{"id":11233,"type":"report","publisher":"European Commission","title":"Guidance on a strategic framework for further supporting the deployment of EU-level green and blue infrastructure","URL":"https://data.consilium.europa.eu/doc/document/ST-9762-2019-INIT/en/pdf","author":[{"literal":"European Commission"}],"accessed":{"date-parts":[["2024",7,30]]},"issued":{"date-parts":[["2019",5,24]]}}}],"schema":"https://github.com/citation-style-language/schema/raw/master/csl-citation.json"} </w:instrText>
      </w:r>
      <w:r w:rsidR="008D6D38">
        <w:fldChar w:fldCharType="separate"/>
      </w:r>
      <w:r w:rsidR="008D6D38" w:rsidRPr="008D6D38">
        <w:rPr>
          <w:rFonts w:ascii="Calibri" w:hAnsi="Calibri" w:cs="Calibri"/>
        </w:rPr>
        <w:t>(European Commission, 2019)</w:t>
      </w:r>
      <w:r w:rsidR="008D6D38">
        <w:fldChar w:fldCharType="end"/>
      </w:r>
      <w:r w:rsidRPr="00C05886">
        <w:t>. However, in line with the rationale of this thesis, it is more useful to define green space limitedly to the scope of the study, as strongly advocated by Taylor and Hochuli (2017). Therefore, green spaces will be limited here within the urban borders, including parks, woodland patches, riparian vegetation and gardens (both public and private).</w:t>
      </w:r>
    </w:p>
    <w:p w14:paraId="19856373" w14:textId="77777777" w:rsidR="00C12E53" w:rsidRPr="00C05886" w:rsidRDefault="00C12E53" w:rsidP="00C12E53">
      <w:pPr>
        <w:pStyle w:val="Heading2"/>
      </w:pPr>
      <w:bookmarkStart w:id="24" w:name="_Toc179962283"/>
      <w:r w:rsidRPr="00C05886">
        <w:lastRenderedPageBreak/>
        <w:t>Pathways connecting biodiversity to well-being</w:t>
      </w:r>
      <w:bookmarkEnd w:id="24"/>
    </w:p>
    <w:p w14:paraId="2D44F3BE" w14:textId="7AD2908C" w:rsidR="00C12E53" w:rsidRPr="00C05886" w:rsidRDefault="00C12E53" w:rsidP="00EF4B8D">
      <w:r w:rsidRPr="00C05886">
        <w:t xml:space="preserve">In the past decade, several syntheses of the literature have highlighted the links between contact with nature and numerous health indicators </w:t>
      </w:r>
      <w:r w:rsidRPr="00C05886">
        <w:fldChar w:fldCharType="begin"/>
      </w:r>
      <w:r w:rsidR="000309A4" w:rsidRPr="00C05886">
        <w:instrText xml:space="preserve"> ADDIN ZOTERO_ITEM CSL_CITATION {"citationID":"CjutTepe","properties":{"formattedCitation":"(Hartig {\\i{}et al.}, 2014; Lovell {\\i{}et al.}, 2014; World Health Organization, 2016; Frumkin {\\i{}et al.}, 2017)","plainCitation":"(Hartig et al., 2014; Lovell et al., 2014; World Health Organization, 2016; Frumkin et al., 2017)","noteIndex":0},"citationItems":[{"id":6909,"uris":["http://zotero.org/users/10951124/items/FVSE73PG"],"itemData":{"id":6909,"type":"article-journal","abstract":"Urbanization, resource exploitation, and lifestyle changes have diminished possibilities for human contact with nature in urbanized societies. Concern about the loss has helped motivate research on the health benefits of contact with nature. Reviewing that research here, we focus on nature as represented by aspects of the physical environment relevant to planning, design, and policy measures that serve broad segments of urbanized societies. We discuss difficulties in defining nature and reasons for the current expansion of the research field, and we assess available reviews. We then consider research on pathways between nature and health involving air quality, physical activity, social cohesion, and stress reduction. Finally, we discuss methodological issues and priorities for future research. The extant research does describe an array of benefits of contact with nature, and evidence regarding some benefits is strong","container-title":"Annu. Rev. Public Health","DOI":"10.1146/annurev-publhealth-032013-182443","ISSN":"0163-7525","issue":"1","page":"207-228","title":"Nature and Health","volume":"35","author":[{"family":"Hartig","given":"Terry"},{"family":"Mitchell","given":"Richard"},{"family":"Vries","given":"Sjerp","non-dropping-particle":"de"},{"family":"Frumkin","given":"Howard"}],"issued":{"date-parts":[["2014"]]}}},{"id":6564,"uris":["http://zotero.org/users/10951124/items/924BZJC2"],"itemData":{"id":6564,"type":"article-journal","abstract":"Recent ecosystem service models have placed biodiversity as a central factor in the processes that link the natural environment to health. While it is recognized that disturbed ecosystems might negatively affect human well-being, it is not clear whether biodiversity is related to or can promote \"good\" human health and well-being. The aim of this study was to systematically identify, summarize, and synthesize research that had examined whether biodiverse environments are health promoting. The objectives were twofold: (1) to map the interdisciplinary field of enquiry and (2) to assess whether current evidence enables us to characterize the relationship. Due to the heterogeneity of available evidence a narrative synthesis approach was used, which is textual rather than statistical. Extensive searches identified 17 papers that met the inclusion criteria: 15 quantitative and 2 qualitative. The evidence was varied in disciplinary origin, with authors approaching the question using different study designs and methods, and conceptualizations of biodiversity, health, and well-being. There is some evidence to suggest that biodiverse natural environments promote better health through exposure to pleasant environments or the encouragement of health-promoting behaviors. There was also evidence of inverse relationships, particularly at a larger scale (global analyses). However, overall the evidence is inconclusive and fails to identify a specific role for biodiversity in the promotion of better health. High-quality interdisciplinary research is needed to produce a more reliable evidence base. Of particular importance is identifying the specific ecosystem services, goods, and processes through which biodiversity may generate good health and well-being.","container-title":"Journal of Toxicology and Environmental Health - Part B: Critical Reviews","DOI":"10.1080/10937404.2013.856361","ISSN":"15216950","issue":"1","page":"1-20","title":"A Systematic Review of the Health and Well-Being Benefits of Biodiverse Environments","volume":"17","author":[{"family":"Lovell","given":"Rebecca"},{"family":"Wheeler","given":"Benedict W."},{"family":"Higgins","given":"Sahran L."},{"family":"Irvine","given":"Katherine N."},{"family":"Depledge","given":"Michael H."}],"issued":{"date-parts":[["2014"]]}}},{"id":7317,"uris":["http://zotero.org/users/10951124/items/4X3KVSI2"],"itemData":{"id":7317,"type":"article-journal","abstract":"This report summarizes the available evidence of beneficial effects of urban green spaces, such as\\nimproved mental health, reduced cardiovascular morbidity and mortality, obesity and risk of type 2\\ndiabetes, and improved pregnancy outcomes. Mechanisms leading to these health benefits include\\npsychological relaxation and stress alleviation, increased physical activity, reduced exposure to air\\npollutants, noise and excess heat. Characteristics of urban green spaces that are associated with\\nspecific mechanisms leading to health benefits, and measures or indicators of green space availability,\\naccessibility and use that have been used in previous surveys are discussed from the perspective of\\ntheir public health relevance and applicability for monitoring progress towards goals set in international\\ncommitments, such as the Parma Declaration in the WHO European Region and the global Sustainable\\nDevelopment Goals. The report also presents a suggested indicator of accessibility of green spaces with\\nexamples of its application in three European cities and a detailed methodological tool kit for GIS\\nanalysis of land use and population data.","page":"92","title":"Urban green spaces and health - a review of evidence.","author":[{"literal":"World Health Organization"}],"issued":{"date-parts":[["2016"]]}}},{"id":6963,"uris":["http://zotero.org/users/10951124/items/8MTPBJ48"],"itemData":{"id":6963,"type":"article-journal","abstract":"Background: At a time of increasing disconnectedness from nature, scientific interest in the potential health benefits of nature contact has grown. Research in recent decades has yielded substantial evidence, but large gaps remain in our understanding. Objectives: We propose a research agenda on nature contact and health, identifying principal domains of research and key questions that, if answered, would provide the basis for evidence-based public health interventions. Discussion: We identify research questions in seven domains: a) mechanistic biomedical studies","container-title":"Environmental Health Perspectives (Online)","DOI":"10.1289/EHP1663","ISSN":"00916765","issue":"7","note":"publisher-place: Research Triangle Park","title":"Nature Contact and Human Health: A Research Agenda","volume":"125","author":[{"family":"Frumkin","given":"Howard"},{"family":"Bratman","given":"Gregory"},{"family":"Breslow","given":"Sara"},{"family":"Cochran","given":"Bobby"},{"family":"Kahn","given":"Peter"},{"family":"Lawler","given":"Joshua"},{"family":"Levin","given":"Phillip"},{"family":"Tandon","given":"Pooja"},{"family":"Varanasi","given":"Usha"},{"family":"Wolf","given":"Kathleen"},{"family":"Wood","given":"Spencer"}],"issued":{"date-parts":[["2017"]]}}}],"schema":"https://github.com/citation-style-language/schema/raw/master/csl-citation.json"} </w:instrText>
      </w:r>
      <w:r w:rsidRPr="00C05886">
        <w:fldChar w:fldCharType="separate"/>
      </w:r>
      <w:r w:rsidR="000309A4" w:rsidRPr="00C05886">
        <w:rPr>
          <w:rFonts w:ascii="Calibri" w:hAnsi="Calibri" w:cs="Calibri"/>
          <w:szCs w:val="24"/>
        </w:rPr>
        <w:t xml:space="preserve">(Hartig </w:t>
      </w:r>
      <w:r w:rsidR="000309A4" w:rsidRPr="00C05886">
        <w:rPr>
          <w:rFonts w:ascii="Calibri" w:hAnsi="Calibri" w:cs="Calibri"/>
          <w:i/>
          <w:iCs/>
          <w:szCs w:val="24"/>
        </w:rPr>
        <w:t>et al.</w:t>
      </w:r>
      <w:r w:rsidR="000309A4" w:rsidRPr="00C05886">
        <w:rPr>
          <w:rFonts w:ascii="Calibri" w:hAnsi="Calibri" w:cs="Calibri"/>
          <w:szCs w:val="24"/>
        </w:rPr>
        <w:t xml:space="preserve">, 2014; Lovell </w:t>
      </w:r>
      <w:r w:rsidR="000309A4" w:rsidRPr="00C05886">
        <w:rPr>
          <w:rFonts w:ascii="Calibri" w:hAnsi="Calibri" w:cs="Calibri"/>
          <w:i/>
          <w:iCs/>
          <w:szCs w:val="24"/>
        </w:rPr>
        <w:t>et al.</w:t>
      </w:r>
      <w:r w:rsidR="000309A4" w:rsidRPr="00C05886">
        <w:rPr>
          <w:rFonts w:ascii="Calibri" w:hAnsi="Calibri" w:cs="Calibri"/>
          <w:szCs w:val="24"/>
        </w:rPr>
        <w:t xml:space="preserve">, 2014; World Health Organization, 2016; Frumkin </w:t>
      </w:r>
      <w:r w:rsidR="000309A4" w:rsidRPr="00C05886">
        <w:rPr>
          <w:rFonts w:ascii="Calibri" w:hAnsi="Calibri" w:cs="Calibri"/>
          <w:i/>
          <w:iCs/>
          <w:szCs w:val="24"/>
        </w:rPr>
        <w:t>et al.</w:t>
      </w:r>
      <w:r w:rsidR="000309A4" w:rsidRPr="00C05886">
        <w:rPr>
          <w:rFonts w:ascii="Calibri" w:hAnsi="Calibri" w:cs="Calibri"/>
          <w:szCs w:val="24"/>
        </w:rPr>
        <w:t>, 2017)</w:t>
      </w:r>
      <w:r w:rsidRPr="00C05886">
        <w:fldChar w:fldCharType="end"/>
      </w:r>
      <w:r w:rsidRPr="00C05886">
        <w:t xml:space="preserve">. However, until recently, the role of biodiversity as a provider of health could only be derived from the </w:t>
      </w:r>
      <w:r w:rsidR="0081726A" w:rsidRPr="00C05886">
        <w:t>broader</w:t>
      </w:r>
      <w:r w:rsidRPr="00C05886">
        <w:t xml:space="preserve"> concepts of nature and green space. In 2021, a multidisciplinary team of 27 experts published a new framework, tracing pathways between biodiversity and health </w:t>
      </w:r>
      <w:r w:rsidRPr="00C05886">
        <w:fldChar w:fldCharType="begin"/>
      </w:r>
      <w:r w:rsidRPr="00C05886">
        <w:instrText xml:space="preserve"> ADDIN ZOTERO_ITEM CSL_CITATION {"citationID":"EpaGmZqn","properties":{"formattedCitation":"(Marselle {\\i{}et al.}, 2021)","plainCitation":"(Marselle et al., 2021)","noteIndex":0},"citationItems":[{"id":9963,"uris":["http://zotero.org/users/10951124/items/J6HVMDGB"],"itemData":{"id":9963,"type":"article-journal","container-title":"Environment International","DOI":"10.1016/j.envint.2021.106420","ISSN":"01604120","journalAbbreviation":"Environment International","language":"en","page":"106420","source":"DOI.org (Crossref)","title":"Pathways linking biodiversity to human health: A conceptual framework","title-short":"Pathways linking biodiversity to human health","volume":"150","author":[{"family":"Marselle","given":"Melissa R."},{"family":"Hartig","given":"Terry"},{"family":"Cox","given":"Daniel T.C."},{"family":"De Bell","given":"Siân"},{"family":"Knapp","given":"Sonja"},{"family":"Lindley","given":"Sarah"},{"family":"Triguero-Mas","given":"Margarita"},{"family":"Böhning-Gaese","given":"Katrin"},{"family":"Braubach","given":"Matthias"},{"family":"Cook","given":"Penny A."},{"family":"De Vries","given":"Sjerp"},{"family":"Heintz-Buschart","given":"Anna"},{"family":"Hofmann","given":"Max"},{"family":"Irvine","given":"Katherine N."},{"family":"Kabisch","given":"Nadja"},{"family":"Kolek","given":"Franziska"},{"family":"Kraemer","given":"Roland"},{"family":"Markevych","given":"Iana"},{"family":"Martens","given":"Dörte"},{"family":"Müller","given":"Ruth"},{"family":"Nieuwenhuijsen","given":"Mark"},{"family":"Potts","given":"Jacqueline M."},{"family":"Stadler","given":"Jutta"},{"family":"Walton","given":"Samantha"},{"family":"Warber","given":"Sara L."},{"family":"Bonn","given":"Aletta"}],"issued":{"date-parts":[["2021",5]]}}}],"schema":"https://github.com/citation-style-language/schema/raw/master/csl-citation.json"} </w:instrText>
      </w:r>
      <w:r w:rsidRPr="00C05886">
        <w:fldChar w:fldCharType="separate"/>
      </w:r>
      <w:r w:rsidRPr="00C05886">
        <w:rPr>
          <w:rFonts w:ascii="Calibri" w:hAnsi="Calibri" w:cs="Calibri"/>
          <w:szCs w:val="24"/>
        </w:rPr>
        <w:t xml:space="preserve">(Marselle </w:t>
      </w:r>
      <w:r w:rsidRPr="00C05886">
        <w:rPr>
          <w:rFonts w:ascii="Calibri" w:hAnsi="Calibri" w:cs="Calibri"/>
          <w:i/>
          <w:iCs/>
          <w:szCs w:val="24"/>
        </w:rPr>
        <w:t>et al.</w:t>
      </w:r>
      <w:r w:rsidRPr="00C05886">
        <w:rPr>
          <w:rFonts w:ascii="Calibri" w:hAnsi="Calibri" w:cs="Calibri"/>
          <w:szCs w:val="24"/>
        </w:rPr>
        <w:t>, 2021)</w:t>
      </w:r>
      <w:r w:rsidRPr="00C05886">
        <w:fldChar w:fldCharType="end"/>
      </w:r>
      <w:r w:rsidRPr="00C05886">
        <w:t xml:space="preserve">. </w:t>
      </w:r>
    </w:p>
    <w:p w14:paraId="49478602" w14:textId="77777777" w:rsidR="00C12E53" w:rsidRPr="00C05886" w:rsidRDefault="00C12E53" w:rsidP="00EF4B8D">
      <w:r w:rsidRPr="00C05886">
        <w:t>The synthesis from Marselle et al. aimed to address the following gaps:</w:t>
      </w:r>
    </w:p>
    <w:p w14:paraId="57ECC73A" w14:textId="71C89A75" w:rsidR="00C12E53" w:rsidRPr="00C05886" w:rsidRDefault="00C12E53" w:rsidP="00C014D3">
      <w:pPr>
        <w:pStyle w:val="ListParagraph"/>
        <w:numPr>
          <w:ilvl w:val="0"/>
          <w:numId w:val="12"/>
        </w:numPr>
        <w:ind w:left="760" w:hanging="357"/>
      </w:pPr>
      <w:r w:rsidRPr="00C05886">
        <w:t>Biodiversity underpins health, but which aspects of biodiversity are more relevant to health, positively or negatively, remain uncertain.</w:t>
      </w:r>
    </w:p>
    <w:p w14:paraId="31A3E75E" w14:textId="77777777" w:rsidR="00C12E53" w:rsidRPr="00C05886" w:rsidRDefault="00C12E53" w:rsidP="00C014D3">
      <w:pPr>
        <w:pStyle w:val="ListParagraph"/>
        <w:numPr>
          <w:ilvl w:val="0"/>
          <w:numId w:val="12"/>
        </w:numPr>
        <w:ind w:left="760" w:hanging="357"/>
      </w:pPr>
      <w:r w:rsidRPr="00C05886">
        <w:t>A great share of the available research focuses on the amount of green space available near one’s home or the amount of time spent in nature without considering the ecological features.</w:t>
      </w:r>
    </w:p>
    <w:p w14:paraId="77EFDF2E" w14:textId="77777777" w:rsidR="00C12E53" w:rsidRPr="00C05886" w:rsidRDefault="00C12E53" w:rsidP="00C014D3">
      <w:pPr>
        <w:pStyle w:val="ListParagraph"/>
        <w:numPr>
          <w:ilvl w:val="0"/>
          <w:numId w:val="12"/>
        </w:numPr>
        <w:ind w:left="760" w:hanging="357"/>
      </w:pPr>
      <w:r w:rsidRPr="00C05886">
        <w:t>Contact with biodiversity is associated with both physical and mental health, but causal pathways remain uncertain.</w:t>
      </w:r>
    </w:p>
    <w:p w14:paraId="4851E657" w14:textId="39411DA0" w:rsidR="00C12E53" w:rsidRPr="00C05886" w:rsidRDefault="00C12E53" w:rsidP="00EF4B8D">
      <w:r w:rsidRPr="00C05886">
        <w:t xml:space="preserve">The biodiversity-human health framework organises previously known theoretical elements. First, the distinction between passive exposure to the natural environment and active contact with nature </w:t>
      </w:r>
      <w:r w:rsidRPr="00C05886">
        <w:fldChar w:fldCharType="begin"/>
      </w:r>
      <w:r w:rsidR="000309A4" w:rsidRPr="00C05886">
        <w:instrText xml:space="preserve"> ADDIN ZOTERO_ITEM CSL_CITATION {"citationID":"FDBdJzqP","properties":{"formattedCitation":"(Hartig {\\i{}et al.}, 2014)","plainCitation":"(Hartig et al., 2014)","noteIndex":0},"citationItems":[{"id":6909,"uris":["http://zotero.org/users/10951124/items/FVSE73PG"],"itemData":{"id":6909,"type":"article-journal","abstract":"Urbanization, resource exploitation, and lifestyle changes have diminished possibilities for human contact with nature in urbanized societies. Concern about the loss has helped motivate research on the health benefits of contact with nature. Reviewing that research here, we focus on nature as represented by aspects of the physical environment relevant to planning, design, and policy measures that serve broad segments of urbanized societies. We discuss difficulties in defining nature and reasons for the current expansion of the research field, and we assess available reviews. We then consider research on pathways between nature and health involving air quality, physical activity, social cohesion, and stress reduction. Finally, we discuss methodological issues and priorities for future research. The extant research does describe an array of benefits of contact with nature, and evidence regarding some benefits is strong","container-title":"Annu. Rev. Public Health","DOI":"10.1146/annurev-publhealth-032013-182443","ISSN":"0163-7525","issue":"1","page":"207-228","title":"Nature and Health","volume":"35","author":[{"family":"Hartig","given":"Terry"},{"family":"Mitchell","given":"Richard"},{"family":"Vries","given":"Sjerp","non-dropping-particle":"de"},{"family":"Frumkin","given":"Howard"}],"issued":{"date-parts":[["2014"]]}}}],"schema":"https://github.com/citation-style-language/schema/raw/master/csl-citation.json"} </w:instrText>
      </w:r>
      <w:r w:rsidRPr="00C05886">
        <w:fldChar w:fldCharType="separate"/>
      </w:r>
      <w:r w:rsidR="000309A4" w:rsidRPr="00C05886">
        <w:rPr>
          <w:rFonts w:ascii="Calibri" w:hAnsi="Calibri" w:cs="Calibri"/>
          <w:szCs w:val="24"/>
        </w:rPr>
        <w:t xml:space="preserve">(Hartig </w:t>
      </w:r>
      <w:r w:rsidR="000309A4" w:rsidRPr="00C05886">
        <w:rPr>
          <w:rFonts w:ascii="Calibri" w:hAnsi="Calibri" w:cs="Calibri"/>
          <w:i/>
          <w:iCs/>
          <w:szCs w:val="24"/>
        </w:rPr>
        <w:t>et al.</w:t>
      </w:r>
      <w:r w:rsidR="000309A4" w:rsidRPr="00C05886">
        <w:rPr>
          <w:rFonts w:ascii="Calibri" w:hAnsi="Calibri" w:cs="Calibri"/>
          <w:szCs w:val="24"/>
        </w:rPr>
        <w:t>, 2014)</w:t>
      </w:r>
      <w:r w:rsidRPr="00C05886">
        <w:fldChar w:fldCharType="end"/>
      </w:r>
      <w:r w:rsidRPr="00C05886">
        <w:t xml:space="preserve">. Second, it expands the three causal domains proposed by </w:t>
      </w:r>
      <w:proofErr w:type="spellStart"/>
      <w:r w:rsidRPr="00C05886">
        <w:t>Markevych</w:t>
      </w:r>
      <w:proofErr w:type="spellEnd"/>
      <w:r w:rsidRPr="00C05886">
        <w:t xml:space="preserve"> et al. (2017) (reducing harm, restoring capacities, and building capacities) </w:t>
      </w:r>
      <w:r w:rsidR="00002F2C" w:rsidRPr="00C05886">
        <w:t xml:space="preserve">by </w:t>
      </w:r>
      <w:r w:rsidRPr="00C05886">
        <w:t xml:space="preserve">adding a fourth one (causing harm). Third, it clarifies the step-by-step process </w:t>
      </w:r>
      <w:r w:rsidRPr="00C05886">
        <w:fldChar w:fldCharType="begin"/>
      </w:r>
      <w:r w:rsidRPr="00C05886">
        <w:instrText xml:space="preserve"> ADDIN ZOTERO_ITEM CSL_CITATION {"citationID":"P9fCHrAl","properties":{"formattedCitation":"(Bratman {\\i{}et al.}, 2019)","plainCitation":"(Bratman et al., 2019)","dontUpdate":true,"noteIndex":0},"citationItems":[{"id":6497,"uris":["http://zotero.org/users/10951124/items/PLFMTM5N"],"itemData":{"id":6497,"type":"article-journal","abstract":"A growing body of empirical evidence is revealing the value of nature experience for mental health. With rapid urbanization and declines in human contact with nature globally, crucial decisions must be made about how to preserve and enhance opportunities for nature experience. Here, we first provide points of consensus across the natural, social, and health sciences on the impacts of nature experience on cognitive functioning, emotional well-being, and other dimensions of mental health. We then show how ecosystem service assessments can be expanded to include mental health, and provide a heuristic, conceptual model for doing so.","container-title":"Science Advances","DOI":"10.1126/sciadv.aax0903","ISSN":"23752548","issue":"7","title":"Nature and mental health: An ecosystem service perspective","volume":"5","author":[{"family":"Bratman","given":"Gregory N."},{"family":"Anderson","given":"Christopher B."},{"family":"Berman","given":"Marc G."},{"family":"Cochran","given":"Bobby"},{"family":"Vries","given":"Sjerp","non-dropping-particle":"de"},{"family":"Flanders","given":"Jon"},{"family":"Folke","given":"Carl"},{"family":"Frumkin","given":"Howard"},{"family":"Gross","given":"James J."},{"family":"Hartig","given":"Terry"},{"family":"Kahn","given":"Peter H."},{"family":"Kuo","given":"Ming"},{"family":"Lawler","given":"Joshua J."},{"family":"Levin","given":"Phillip S."},{"family":"Lindahl","given":"Therese"},{"family":"Meyer-Lindenberg","given":"Andreas"},{"family":"Mitchell","given":"Richard"},{"family":"Ouyang","given":"Zhiyun"},{"family":"Roe","given":"Jenny"},{"family":"Scarlett","given":"Lynn"},{"family":"Smith","given":"Jeffrey R."},{"family":"Bosch","given":"Matilda","non-dropping-particle":"van den"},{"family":"Wheeler","given":"Benedict W."},{"family":"White","given":"Mathew P."},{"family":"Zheng","given":"Hua"},{"family":"Daily","given":"Gretchen C."}],"issued":{"date-parts":[["2019"]]}}}],"schema":"https://github.com/citation-style-language/schema/raw/master/csl-citation.json"} </w:instrText>
      </w:r>
      <w:r w:rsidRPr="00C05886">
        <w:fldChar w:fldCharType="separate"/>
      </w:r>
      <w:r w:rsidRPr="00C05886">
        <w:rPr>
          <w:rFonts w:ascii="Calibri" w:hAnsi="Calibri" w:cs="Calibri"/>
          <w:szCs w:val="24"/>
        </w:rPr>
        <w:t xml:space="preserve">(proposed by Bratman </w:t>
      </w:r>
      <w:r w:rsidRPr="00C05886">
        <w:rPr>
          <w:rFonts w:ascii="Calibri" w:hAnsi="Calibri" w:cs="Calibri"/>
          <w:i/>
          <w:iCs/>
          <w:szCs w:val="24"/>
        </w:rPr>
        <w:t>et al.</w:t>
      </w:r>
      <w:r w:rsidRPr="00C05886">
        <w:rPr>
          <w:rFonts w:ascii="Calibri" w:hAnsi="Calibri" w:cs="Calibri"/>
          <w:szCs w:val="24"/>
        </w:rPr>
        <w:t>, 2019)</w:t>
      </w:r>
      <w:r w:rsidRPr="00C05886">
        <w:fldChar w:fldCharType="end"/>
      </w:r>
      <w:r w:rsidRPr="00C05886">
        <w:t xml:space="preserve"> </w:t>
      </w:r>
      <w:r w:rsidR="00002F2C" w:rsidRPr="00C05886">
        <w:t>which starts</w:t>
      </w:r>
      <w:r w:rsidRPr="00C05886">
        <w:t xml:space="preserve"> with the presence of natural features </w:t>
      </w:r>
      <w:r w:rsidR="00002F2C" w:rsidRPr="00C05886">
        <w:t>and</w:t>
      </w:r>
      <w:r w:rsidRPr="00C05886">
        <w:t xml:space="preserve"> leads to the exposure to these, </w:t>
      </w:r>
      <w:r w:rsidR="00002F2C" w:rsidRPr="00C05886">
        <w:t xml:space="preserve">which </w:t>
      </w:r>
      <w:r w:rsidRPr="00C05886">
        <w:t xml:space="preserve">then </w:t>
      </w:r>
      <w:r w:rsidR="00002F2C" w:rsidRPr="00C05886">
        <w:t>generates</w:t>
      </w:r>
      <w:r w:rsidRPr="00C05886">
        <w:t xml:space="preserve"> the experience (the processed </w:t>
      </w:r>
      <w:r w:rsidR="00002F2C" w:rsidRPr="00C05886">
        <w:t xml:space="preserve">nature </w:t>
      </w:r>
      <w:r w:rsidRPr="00C05886">
        <w:t>exposure) and its outcomes.</w:t>
      </w:r>
    </w:p>
    <w:p w14:paraId="08FE708D" w14:textId="77777777" w:rsidR="00C12E53" w:rsidRPr="00C05886" w:rsidRDefault="00C12E53" w:rsidP="00EF4B8D">
      <w:r w:rsidRPr="00C05886">
        <w:t>The framework is made of four components: 1) biodiversity, 2) contact with biodiversity, 3) pathways and 4) outcomes; in addition, subjectivity and context operate a constant mediation on several passages (Figure 1).</w:t>
      </w:r>
    </w:p>
    <w:p w14:paraId="243075A4" w14:textId="77777777" w:rsidR="00C12E53" w:rsidRPr="00C05886" w:rsidRDefault="00C12E53" w:rsidP="00935AC2">
      <w:pPr>
        <w:keepNext/>
      </w:pPr>
      <w:r w:rsidRPr="00134B49">
        <w:rPr>
          <w:noProof/>
          <w:lang w:eastAsia="en-GB"/>
        </w:rPr>
        <w:lastRenderedPageBreak/>
        <w:drawing>
          <wp:inline distT="0" distB="0" distL="0" distR="0" wp14:anchorId="433D823E" wp14:editId="29BA6ED9">
            <wp:extent cx="6120130" cy="3189605"/>
            <wp:effectExtent l="0" t="0" r="0" b="0"/>
            <wp:docPr id="17291570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9157035" name=""/>
                    <pic:cNvPicPr/>
                  </pic:nvPicPr>
                  <pic:blipFill>
                    <a:blip r:embed="rId9"/>
                    <a:stretch>
                      <a:fillRect/>
                    </a:stretch>
                  </pic:blipFill>
                  <pic:spPr>
                    <a:xfrm>
                      <a:off x="0" y="0"/>
                      <a:ext cx="6120130" cy="3189605"/>
                    </a:xfrm>
                    <a:prstGeom prst="rect">
                      <a:avLst/>
                    </a:prstGeom>
                  </pic:spPr>
                </pic:pic>
              </a:graphicData>
            </a:graphic>
          </wp:inline>
        </w:drawing>
      </w:r>
    </w:p>
    <w:p w14:paraId="721DD2B1" w14:textId="5D121955" w:rsidR="00C12E53" w:rsidRPr="00C05886" w:rsidRDefault="00C12E53" w:rsidP="00935AC2">
      <w:pPr>
        <w:pStyle w:val="Caption"/>
      </w:pPr>
      <w:r w:rsidRPr="00C05886">
        <w:t xml:space="preserve">Figure </w:t>
      </w:r>
      <w:r w:rsidRPr="00C05886">
        <w:fldChar w:fldCharType="begin"/>
      </w:r>
      <w:r w:rsidRPr="00C05886">
        <w:instrText xml:space="preserve"> SEQ Figure \* ARABIC </w:instrText>
      </w:r>
      <w:r w:rsidRPr="00C05886">
        <w:fldChar w:fldCharType="separate"/>
      </w:r>
      <w:r w:rsidR="0094494D" w:rsidRPr="005D7515">
        <w:t>1</w:t>
      </w:r>
      <w:r w:rsidRPr="00C05886">
        <w:fldChar w:fldCharType="end"/>
      </w:r>
      <w:r w:rsidRPr="00C05886">
        <w:t>. Framework connecting biodiversity and human health (Marselle et al, 2021; Fig 1). Reproduced under CC BY 4.0 license</w:t>
      </w:r>
    </w:p>
    <w:p w14:paraId="7D28C064" w14:textId="77777777" w:rsidR="00C12E53" w:rsidRPr="00C05886" w:rsidRDefault="00C12E53" w:rsidP="00EF4B8D"/>
    <w:p w14:paraId="1F69B258" w14:textId="77777777" w:rsidR="00C12E53" w:rsidRPr="00C05886" w:rsidRDefault="00C12E53" w:rsidP="00EF4B8D">
      <w:r w:rsidRPr="00C05886">
        <w:t xml:space="preserve">In this framework, biodiversity is a characteristic of the setting (park, nation, continent) and can be adjusted to the appropriate level (e.g. genes, species, populations) depending on the research question. Biodiversity is distinguished into </w:t>
      </w:r>
      <w:r w:rsidRPr="00C05886">
        <w:rPr>
          <w:i/>
          <w:iCs/>
        </w:rPr>
        <w:t>actual biodiversity</w:t>
      </w:r>
      <w:r w:rsidRPr="00C05886">
        <w:t xml:space="preserve"> and </w:t>
      </w:r>
      <w:r w:rsidRPr="00C05886">
        <w:rPr>
          <w:i/>
          <w:iCs/>
        </w:rPr>
        <w:t>perceived biodiversity</w:t>
      </w:r>
      <w:r w:rsidRPr="00C05886">
        <w:t xml:space="preserve">. Actual biodiversity is measured by the species richness, abundance, evenness etc. of a given location. Actual biodiversity varies with the extent of the area and with the season (e.g. migratory birds, annual plants). Perceived biodiversity, as mentioned above, is the species richness, abundance, evenness etc. which the observer </w:t>
      </w:r>
      <w:r w:rsidRPr="00C05886">
        <w:rPr>
          <w:i/>
          <w:iCs/>
        </w:rPr>
        <w:t>thinks</w:t>
      </w:r>
      <w:r w:rsidRPr="00C05886">
        <w:t xml:space="preserve"> is in the location.</w:t>
      </w:r>
    </w:p>
    <w:p w14:paraId="34EB90BE" w14:textId="77777777" w:rsidR="00C12E53" w:rsidRPr="00C05886" w:rsidRDefault="00C12E53" w:rsidP="00EF4B8D">
      <w:r w:rsidRPr="00C05886">
        <w:t>Contact with biodiversity represents the human interaction with biodiversity, which is divided into exposure and experience. Exposure is the quantitative dimension of contact with biodiversity, expressed in terms of frequency (how often there is contact) and duration (for how long). These can be measured directly or via proxy measures based on the location’s biodiversity (cumulative probability) or the distance from the closest biodiverse area (park proximity). Exposure can be controlled experimentally.</w:t>
      </w:r>
    </w:p>
    <w:p w14:paraId="4C1C9A65" w14:textId="77777777" w:rsidR="00C12E53" w:rsidRPr="00C05886" w:rsidRDefault="00C12E53" w:rsidP="00EF4B8D">
      <w:r w:rsidRPr="00C05886">
        <w:t xml:space="preserve">Experience describes the quality of the contact with biodiversity, including all experiential aspects of it. Experience comes through the senses, especially sight and hearing, but also smell, touch, and taste. The sensorial information is then classified, by Marselle et al. (2021), into two dimensions: physical proximity and intentionality. The physical proximity can be direct (e.g. being in the garden) </w:t>
      </w:r>
      <w:r w:rsidRPr="00C05886">
        <w:lastRenderedPageBreak/>
        <w:t>or indirect (e.g. looking at a photo of the garden); in research, proximity is usually set by the design (e.g. using videos). The intentionality is subdivided into “intentional” experience (e.g. birdwatching) and incidental (e.g. encountering a magpie while walking). All combinations of these experiences have been associated with some kind of health outcomes, although there is some indication that intentional and direct experiences could be the most effective.</w:t>
      </w:r>
    </w:p>
    <w:p w14:paraId="005BF893" w14:textId="77777777" w:rsidR="00C12E53" w:rsidRPr="00C05886" w:rsidRDefault="00C12E53" w:rsidP="00EF4B8D">
      <w:r w:rsidRPr="00C05886">
        <w:t>Taking the framework proposed by Marselle et al. (2021) as a reference, this PhD project can be described as follows: the effect of virtual (indirect) contact with both actual biodiversity and perceived biodiversity has been tested as a provider of mental-wellbeing, specifically concerning emotional well-being and reduction from stress.</w:t>
      </w:r>
    </w:p>
    <w:p w14:paraId="635BD7BF" w14:textId="77777777" w:rsidR="00C12E53" w:rsidRPr="00C05886" w:rsidRDefault="00C12E53" w:rsidP="00C12E53">
      <w:pPr>
        <w:pStyle w:val="Heading3"/>
      </w:pPr>
      <w:bookmarkStart w:id="25" w:name="_Toc179962284"/>
      <w:r w:rsidRPr="00C05886">
        <w:t>Biophilia hypothesis</w:t>
      </w:r>
      <w:bookmarkEnd w:id="25"/>
    </w:p>
    <w:p w14:paraId="5570AB01" w14:textId="77777777" w:rsidR="00C12E53" w:rsidRPr="00C05886" w:rsidRDefault="00C12E53" w:rsidP="00EF4B8D">
      <w:r w:rsidRPr="00C05886">
        <w:t>Biophilia (</w:t>
      </w:r>
      <w:proofErr w:type="spellStart"/>
      <w:r w:rsidRPr="00C05886">
        <w:t>i.e</w:t>
      </w:r>
      <w:proofErr w:type="spellEnd"/>
      <w:r w:rsidRPr="00C05886">
        <w:t xml:space="preserve">, love for life, in Greek) is a fascinating concept, popularised by E. O. Wilson; it was defined as the human “tendency to focus on life and life-like processes” </w:t>
      </w:r>
      <w:r w:rsidRPr="00C05886">
        <w:fldChar w:fldCharType="begin"/>
      </w:r>
      <w:r w:rsidRPr="00C05886">
        <w:instrText xml:space="preserve"> ADDIN ZOTERO_ITEM CSL_CITATION {"citationID":"cUx4Idsu","properties":{"formattedCitation":"(Wilson, 1984)","plainCitation":"(Wilson, 1984)","dontUpdate":true,"noteIndex":0},"citationItems":[{"id":10409,"uris":["http://zotero.org/users/10951124/items/TFXW6RQI"],"itemData":{"id":10409,"type":"book","abstract":"The eminent biologist reflects on his own response to nature and the aesthetic aspects of his exploration of natural systems in an intensely personal essay that examines the essential links between mankind and the rest of the living world.","event-place":"Cambridge, MA","ISBN":"0-674-04523-8","publisher":"Cambridge, MA : Harvard University Press, 1984","publisher-place":"Cambridge, MA","title":"Biophilia","author":[{"family":"Wilson","given":"Edward O"}],"issued":{"date-parts":[["1984"]]}}}],"schema":"https://github.com/citation-style-language/schema/raw/master/csl-citation.json"} </w:instrText>
      </w:r>
      <w:r w:rsidRPr="00C05886">
        <w:fldChar w:fldCharType="separate"/>
      </w:r>
      <w:r w:rsidRPr="00C05886">
        <w:rPr>
          <w:rFonts w:ascii="Calibri" w:hAnsi="Calibri" w:cs="Calibri"/>
        </w:rPr>
        <w:t>(Wilson, 1984; p. 1)</w:t>
      </w:r>
      <w:r w:rsidRPr="00C05886">
        <w:fldChar w:fldCharType="end"/>
      </w:r>
      <w:r w:rsidRPr="00C05886">
        <w:t xml:space="preserve"> but also as the “innately emotional affiliation to other living beings” </w:t>
      </w:r>
      <w:r w:rsidRPr="00C05886">
        <w:fldChar w:fldCharType="begin"/>
      </w:r>
      <w:r w:rsidRPr="00C05886">
        <w:instrText xml:space="preserve"> ADDIN ZOTERO_ITEM CSL_CITATION {"citationID":"xI7AbUGG","properties":{"formattedCitation":"(Wilson, 1993)","plainCitation":"(Wilson, 1993)","noteIndex":0},"citationItems":[{"id":10415,"uris":["http://zotero.org/users/10951124/items/Z3EXKKGS"],"itemData":{"id":10415,"type":"chapter","container-title":"The biophilia hypothesis","event-place":"Washington, D.C.","page":"31-41","publisher":"Washington, D.C. : Island Press, 1993","publisher-place":"Washington, D.C.","title":"Biophilia and the Conservation Ethic","author":[{"family":"Wilson","given":"Edward O"}],"editor":[{"family":"Kellert","given":"Stephen R"},{"family":"Wilson","given":"Edward O"}],"issued":{"date-parts":[["1993"]]}}}],"schema":"https://github.com/citation-style-language/schema/raw/master/csl-citation.json"} </w:instrText>
      </w:r>
      <w:r w:rsidRPr="00C05886">
        <w:fldChar w:fldCharType="separate"/>
      </w:r>
      <w:r w:rsidRPr="00C05886">
        <w:rPr>
          <w:rFonts w:ascii="Calibri" w:hAnsi="Calibri" w:cs="Calibri"/>
        </w:rPr>
        <w:t>(Wilson, 1993)</w:t>
      </w:r>
      <w:r w:rsidRPr="00C05886">
        <w:fldChar w:fldCharType="end"/>
      </w:r>
      <w:r w:rsidRPr="00C05886">
        <w:t xml:space="preserve">. Biophilia was also previously conceived by E. Fromm as the “passionate love of life and of all that is alive” </w:t>
      </w:r>
      <w:r w:rsidRPr="00C05886">
        <w:fldChar w:fldCharType="begin"/>
      </w:r>
      <w:r w:rsidRPr="00C05886">
        <w:instrText xml:space="preserve"> ADDIN ZOTERO_ITEM CSL_CITATION {"citationID":"7D15bWkc","properties":{"formattedCitation":"(Fromm, 1977)","plainCitation":"(Fromm, 1977)","dontUpdate":true,"noteIndex":0},"citationItems":[{"id":10413,"uris":["http://zotero.org/users/10951124/items/Y8LPM6D2"],"itemData":{"id":10413,"type":"book","event-place":"Harmondsworth (etc.)","ISBN":"0-14-004258-X","publisher":"Harmondsworth etc. : Penguin, 1977","publisher-place":"Harmondsworth (etc.)","title":"The anatomy of human destructiveness","author":[{"family":"Fromm","given":"Erich"}],"issued":{"date-parts":[["1977"]]}}}],"schema":"https://github.com/citation-style-language/schema/raw/master/csl-citation.json"} </w:instrText>
      </w:r>
      <w:r w:rsidRPr="00C05886">
        <w:fldChar w:fldCharType="separate"/>
      </w:r>
      <w:r w:rsidRPr="00C05886">
        <w:rPr>
          <w:rFonts w:ascii="Calibri" w:hAnsi="Calibri" w:cs="Calibri"/>
        </w:rPr>
        <w:t>(Fromm, 1977; p. 858)</w:t>
      </w:r>
      <w:r w:rsidRPr="00C05886">
        <w:fldChar w:fldCharType="end"/>
      </w:r>
      <w:r w:rsidRPr="00C05886">
        <w:t xml:space="preserve">. The two conceptualisations have different starting points: Fromm postulates ontogenetic biophilia (i.e. something that develops alongside the life of a human being), while Wilson’s biophilia is phylogenetic (i.e. something that developed alongside the evolution of the human species). Nonetheless, these views are not mutually exclusive and both are grounded in human biology </w:t>
      </w:r>
      <w:r w:rsidRPr="00C05886">
        <w:fldChar w:fldCharType="begin"/>
      </w:r>
      <w:r w:rsidRPr="00C05886">
        <w:instrText xml:space="preserve"> ADDIN ZOTERO_ITEM CSL_CITATION {"citationID":"hsYb7lXp","properties":{"formattedCitation":"(Barbiero and Berto, 2021)","plainCitation":"(Barbiero and Berto, 2021)","noteIndex":0},"citationItems":[{"id":10370,"uris":["http://zotero.org/users/10951124/items/77HUPZ6K"],"itemData":{"id":10370,"type":"article-journal","abstract":"Biophilia is a human personality trait described initially by Erich Fromm and later by E.O. Wilson, both of whom agree that biophilia has a biological basis and that it is fundamental to develop harmonious relationships between humans and the biosphere. This review aims at establishing a definition of biophilia as an evolutionary process. To this end, the most significant studies of evolutionary psychology were considered, to outline the fundamental characteristics of a hypothetical biophilic temperament/personality and to reconstruct a plausible history of biophilia as an evolutionary process. This process considers different typologies of Nature (wilderness, rural, and urban) and human cultures (Paleolithic, Neolithic, and Burg) and leads us to consider environmental preference and psycho-physiological recovery in relation to the threshold of time spent in contact with Nature. Unfortunately, modern people, especially children, lack direct and frequent contact with Nature and this can have negative consequences on their physical and mental health. Biophilic design, considering the evolutionary roots of this architectural approach, is an effective way of planning/designing interior and urban environments to stimulate the innate biophilia of the individual.","container-title":"Frontiers in Psychology","DOI":"10.3389/fpsyg.2021.700709","ISSN":"1664-1078","journalAbbreviation":"Front. Psychol.","page":"700709","source":"DOI.org (Crossref)","title":"Biophilia as Evolutionary Adaptation: An Onto- and Phylogenetic Framework for Biophilic Design","title-short":"Biophilia as Evolutionary Adaptation","volume":"12","author":[{"family":"Barbiero","given":"Giuseppe"},{"family":"Berto","given":"Rita"}],"issued":{"date-parts":[["2021",7,21]]}}}],"schema":"https://github.com/citation-style-language/schema/raw/master/csl-citation.json"} </w:instrText>
      </w:r>
      <w:r w:rsidRPr="00C05886">
        <w:fldChar w:fldCharType="separate"/>
      </w:r>
      <w:r w:rsidRPr="00C05886">
        <w:rPr>
          <w:rFonts w:ascii="Calibri" w:hAnsi="Calibri" w:cs="Calibri"/>
        </w:rPr>
        <w:t>(Barbiero and Berto, 2021)</w:t>
      </w:r>
      <w:r w:rsidRPr="00C05886">
        <w:fldChar w:fldCharType="end"/>
      </w:r>
      <w:r w:rsidRPr="00C05886">
        <w:t>.</w:t>
      </w:r>
    </w:p>
    <w:p w14:paraId="5E5D2DD0" w14:textId="77777777" w:rsidR="00C12E53" w:rsidRPr="00C05886" w:rsidRDefault="00C12E53" w:rsidP="00EF4B8D">
      <w:r w:rsidRPr="00C05886">
        <w:t xml:space="preserve">According to Wilson’s biophilia, humans would be attracted by other life(like) forms as a coded behaviour developed through evolution. This attraction would make the individuals more prone to carefully observe other animals (e.g. predators) or plants (e.g. as a source of food), and it would be reinforced by emotional experiences (e.g. drive to resources and shelter, avoidance of threats). Those individuals with stronger fascination would have had increased chances of survival, selecting biophilia for future generations. Although these days humans live mostly in urbanised environments – over 55% of the global population and rising, according to the UN (2018) – they have lived in cities only for a few millennia, which is a relatively short time in terms of evolution. </w:t>
      </w:r>
    </w:p>
    <w:p w14:paraId="37B36658" w14:textId="109A14D3" w:rsidR="00C12E53" w:rsidRPr="00C05886" w:rsidRDefault="00C12E53" w:rsidP="00EF4B8D">
      <w:r w:rsidRPr="00C05886">
        <w:t xml:space="preserve">Without enough biodiversity around them to be attracted to, humans could be missing out on important benefits generated by this ancestral behaviour </w:t>
      </w:r>
      <w:r w:rsidRPr="00C05886">
        <w:fldChar w:fldCharType="begin"/>
      </w:r>
      <w:r w:rsidRPr="00C05886">
        <w:instrText xml:space="preserve"> ADDIN ZOTERO_ITEM CSL_CITATION {"citationID":"17Rnv6gx","properties":{"formattedCitation":"(Kellert, 1993)","plainCitation":"(Kellert, 1993)","noteIndex":0},"citationItems":[{"id":10416,"uris":["http://zotero.org/users/10951124/items/JXT5B97M"],"itemData":{"id":10416,"type":"chapter","container-title":"The biophilia hypothesis","event-place":"Washington, D.C.","page":"42-69","publisher":"Washington, D.C. : Island Press, 1993","publisher-place":"Washington, D.C.","title":"The Biological Basis for Human Values of Nature","author":[{"family":"Kellert","given":"Stephen R"}],"editor":[{"family":"Kellert","given":"Stephen R"},{"family":"Wilson","given":"Edward O"}],"issued":{"date-parts":[["1993"]]}}}],"schema":"https://github.com/citation-style-language/schema/raw/master/csl-citation.json"} </w:instrText>
      </w:r>
      <w:r w:rsidRPr="00C05886">
        <w:fldChar w:fldCharType="separate"/>
      </w:r>
      <w:r w:rsidRPr="00C05886">
        <w:rPr>
          <w:rFonts w:ascii="Calibri" w:hAnsi="Calibri" w:cs="Calibri"/>
        </w:rPr>
        <w:t>(Kellert, 1993)</w:t>
      </w:r>
      <w:r w:rsidRPr="00C05886">
        <w:fldChar w:fldCharType="end"/>
      </w:r>
      <w:r w:rsidRPr="00C05886">
        <w:t xml:space="preserve">. These benefits have been proposed as a series of “human values of nature”, which should have been adaptive (i.e. beneficial) to the development of the human species and therefore selected during its evolution. Not all of </w:t>
      </w:r>
      <w:r w:rsidRPr="00C05886">
        <w:lastRenderedPageBreak/>
        <w:t xml:space="preserve">these values are positive per se and they encompass the complex relationship of evolving humans with the other species. These </w:t>
      </w:r>
      <w:r w:rsidR="00E8285F">
        <w:t xml:space="preserve">species </w:t>
      </w:r>
      <w:r w:rsidRPr="00C05886">
        <w:t xml:space="preserve">were at the same time needed resources and </w:t>
      </w:r>
      <w:r w:rsidR="00E8285F">
        <w:t>lethal</w:t>
      </w:r>
      <w:r w:rsidR="00E8285F" w:rsidRPr="00C05886">
        <w:t xml:space="preserve"> </w:t>
      </w:r>
      <w:r w:rsidRPr="00C05886">
        <w:t xml:space="preserve">predators. It is useful to cite three values from Kellert’s typology, as they strongly resonate with the biodiversity/well-being relationship: the naturalistic value, the aesthetic value and the humanistic value. These three values elicit emotional responses. </w:t>
      </w:r>
    </w:p>
    <w:p w14:paraId="786A1961" w14:textId="77777777" w:rsidR="00C12E53" w:rsidRPr="00C05886" w:rsidRDefault="00C12E53" w:rsidP="00EF4B8D">
      <w:r w:rsidRPr="00C05886">
        <w:t>The naturalistic value is made of fascination and awe from experiencing nature’s diversity and complexity. It would be at the base of curiosity and exploratory activities. In modern days, this would be the reason why humans purposedly practice a number of activities outdoors.</w:t>
      </w:r>
    </w:p>
    <w:p w14:paraId="195C8F28" w14:textId="0C34C602" w:rsidR="00C12E53" w:rsidRPr="00C05886" w:rsidRDefault="00C12E53" w:rsidP="00EF4B8D">
      <w:r w:rsidRPr="00C05886">
        <w:t xml:space="preserve">The aesthetic value refers to the appeal of the physical beauty of nature to humans. It would be a pure emotional response to other species' traits and the implications of those traits for human survival </w:t>
      </w:r>
      <w:r w:rsidRPr="00C05886">
        <w:fldChar w:fldCharType="begin"/>
      </w:r>
      <w:r w:rsidRPr="00C05886">
        <w:instrText xml:space="preserve"> ADDIN ZOTERO_ITEM CSL_CITATION {"citationID":"FypV58R4","properties":{"formattedCitation":"(Kaplan and Kaplan, 1989)","plainCitation":"(Kaplan and Kaplan, 1989)","dontUpdate":true,"noteIndex":0},"citationItems":[{"id":6907,"uris":["http://zotero.org/users/10951124/items/MNND6KQK"],"itemData":{"id":6907,"type":"book","event-place":"Cambridge","ISBN":"0-521-34139-6","publisher":"Cambridge : Cambridge University Press, 1989","publisher-place":"Cambridge","title":"The experience of nature : a psychological perspective","author":[{"family":"Kaplan","given":"Rachel"},{"family":"Kaplan","given":"Stephen"}],"editor":[{"family":"Kaplan","given":"Stephen"}],"issued":{"date-parts":[["1989"]]}}}],"schema":"https://github.com/citation-style-language/schema/raw/master/csl-citation.json"} </w:instrText>
      </w:r>
      <w:r w:rsidRPr="00C05886">
        <w:fldChar w:fldCharType="separate"/>
      </w:r>
      <w:r w:rsidRPr="00C05886">
        <w:rPr>
          <w:rFonts w:ascii="Calibri" w:hAnsi="Calibri" w:cs="Calibri"/>
        </w:rPr>
        <w:t>(Kaplan and Kaplan, 1989; p. 10)</w:t>
      </w:r>
      <w:r w:rsidRPr="00C05886">
        <w:fldChar w:fldCharType="end"/>
      </w:r>
      <w:r w:rsidRPr="00C05886">
        <w:t xml:space="preserve">. In a sense, it is suggested that the aesthetic response is the primer of habitat evaluation, </w:t>
      </w:r>
      <w:r w:rsidR="00C25639" w:rsidRPr="00C05886">
        <w:t>relying</w:t>
      </w:r>
      <w:r w:rsidRPr="00C05886">
        <w:t xml:space="preserve"> on emotional positive responses to </w:t>
      </w:r>
      <w:r w:rsidR="00C25639" w:rsidRPr="00C05886">
        <w:t xml:space="preserve">habitat </w:t>
      </w:r>
      <w:r w:rsidRPr="00C05886">
        <w:t xml:space="preserve">traits which satisfy the basic needs (food, water shelter) and negative responses to hazards (predators, cliffs). Even when the needs for survival have changed radically in the urban environment, the landscape would be still modified (e.g. by adding a pond or a bird feeder in the yard) to satisfy those ancestral needs </w:t>
      </w:r>
      <w:r w:rsidRPr="00C05886">
        <w:fldChar w:fldCharType="begin"/>
      </w:r>
      <w:r w:rsidRPr="00C05886">
        <w:instrText xml:space="preserve"> ADDIN ZOTERO_ITEM CSL_CITATION {"citationID":"NRktcXH6","properties":{"formattedCitation":"(Heerwagen and Orians, 1993)","plainCitation":"(Heerwagen and Orians, 1993)","noteIndex":0},"citationItems":[{"id":10417,"uris":["http://zotero.org/users/10951124/items/NQPBLWK9"],"itemData":{"id":10417,"type":"chapter","container-title":"The biophilia hypothesis","event-place":"Washington, D.C.","page":"138-172","publisher":"Washington, D.C. : Island Press, 1993","publisher-place":"Washington, D.C.","title":"Humans, Habitats, and Aesthetics","author":[{"family":"Heerwagen","given":"Judith H"},{"family":"Orians","given":"Gordon H"}],"editor":[{"family":"Kellert","given":"Stephen R"},{"family":"Wilson","given":"Edward O"}],"issued":{"date-parts":[["1993"]]}}}],"schema":"https://github.com/citation-style-language/schema/raw/master/csl-citation.json"} </w:instrText>
      </w:r>
      <w:r w:rsidRPr="00C05886">
        <w:fldChar w:fldCharType="separate"/>
      </w:r>
      <w:r w:rsidRPr="00C05886">
        <w:rPr>
          <w:rFonts w:ascii="Calibri" w:hAnsi="Calibri" w:cs="Calibri"/>
        </w:rPr>
        <w:t>(Heerwagen and Orians, 1993)</w:t>
      </w:r>
      <w:r w:rsidRPr="00C05886">
        <w:fldChar w:fldCharType="end"/>
      </w:r>
    </w:p>
    <w:p w14:paraId="0EECC12F" w14:textId="77777777" w:rsidR="00C12E53" w:rsidRPr="00C05886" w:rsidRDefault="00C12E53" w:rsidP="00EF4B8D">
      <w:r w:rsidRPr="00C05886">
        <w:t xml:space="preserve">Finally, the humanistic value represents the deep emotional attachment to individual elements of nature. This process would transfer human-like values to non-human species, conveying a sense of bonding, and altruistic care. This may be the origin of the domestication process, through which animals have been trained to help with various working tasks. In modern days, this is supposedly evidenced by the benefits brought by pet therapy interventions </w:t>
      </w:r>
      <w:r w:rsidRPr="00C05886">
        <w:fldChar w:fldCharType="begin"/>
      </w:r>
      <w:r w:rsidRPr="00C05886">
        <w:instrText xml:space="preserve"> ADDIN ZOTERO_ITEM CSL_CITATION {"citationID":"VWoPtRQO","properties":{"formattedCitation":"(Kellert, 1993)","plainCitation":"(Kellert, 1993)","dontUpdate":true,"noteIndex":0},"citationItems":[{"id":10416,"uris":["http://zotero.org/users/10951124/items/JXT5B97M"],"itemData":{"id":10416,"type":"chapter","container-title":"The biophilia hypothesis","event-place":"Washington, D.C.","page":"42-69","publisher":"Washington, D.C. : Island Press, 1993","publisher-place":"Washington, D.C.","title":"The Biological Basis for Human Values of Nature","author":[{"family":"Kellert","given":"Stephen R"}],"editor":[{"family":"Kellert","given":"Stephen R"},{"family":"Wilson","given":"Edward O"}],"issued":{"date-parts":[["1993"]]}}}],"schema":"https://github.com/citation-style-language/schema/raw/master/csl-citation.json"} </w:instrText>
      </w:r>
      <w:r w:rsidRPr="00C05886">
        <w:fldChar w:fldCharType="separate"/>
      </w:r>
      <w:r w:rsidRPr="00C05886">
        <w:rPr>
          <w:rFonts w:ascii="Calibri" w:hAnsi="Calibri" w:cs="Calibri"/>
        </w:rPr>
        <w:t>(Kellert, 1993; p. 52)</w:t>
      </w:r>
      <w:r w:rsidRPr="00C05886">
        <w:fldChar w:fldCharType="end"/>
      </w:r>
      <w:r w:rsidRPr="00C05886">
        <w:t>.</w:t>
      </w:r>
    </w:p>
    <w:p w14:paraId="2BBBDEC6" w14:textId="69B9B085" w:rsidR="00C12E53" w:rsidRPr="00C05886" w:rsidRDefault="00C12E53" w:rsidP="00EF4B8D">
      <w:r w:rsidRPr="00C05886">
        <w:t xml:space="preserve">However, despite being operationalised as “fascination” and “affiliation” </w:t>
      </w:r>
      <w:r w:rsidRPr="00C05886">
        <w:fldChar w:fldCharType="begin"/>
      </w:r>
      <w:r w:rsidRPr="00C05886">
        <w:instrText xml:space="preserve"> ADDIN ZOTERO_ITEM CSL_CITATION {"citationID":"jdNfTkNo","properties":{"formattedCitation":"(Barbiero and Berto, 2021)","plainCitation":"(Barbiero and Berto, 2021)","noteIndex":0},"citationItems":[{"id":10370,"uris":["http://zotero.org/users/10951124/items/77HUPZ6K"],"itemData":{"id":10370,"type":"article-journal","abstract":"Biophilia is a human personality trait described initially by Erich Fromm and later by E.O. Wilson, both of whom agree that biophilia has a biological basis and that it is fundamental to develop harmonious relationships between humans and the biosphere. This review aims at establishing a definition of biophilia as an evolutionary process. To this end, the most significant studies of evolutionary psychology were considered, to outline the fundamental characteristics of a hypothetical biophilic temperament/personality and to reconstruct a plausible history of biophilia as an evolutionary process. This process considers different typologies of Nature (wilderness, rural, and urban) and human cultures (Paleolithic, Neolithic, and Burg) and leads us to consider environmental preference and psycho-physiological recovery in relation to the threshold of time spent in contact with Nature. Unfortunately, modern people, especially children, lack direct and frequent contact with Nature and this can have negative consequences on their physical and mental health. Biophilic design, considering the evolutionary roots of this architectural approach, is an effective way of planning/designing interior and urban environments to stimulate the innate biophilia of the individual.","container-title":"Frontiers in Psychology","DOI":"10.3389/fpsyg.2021.700709","ISSN":"1664-1078","journalAbbreviation":"Front. Psychol.","page":"700709","source":"DOI.org (Crossref)","title":"Biophilia as Evolutionary Adaptation: An Onto- and Phylogenetic Framework for Biophilic Design","title-short":"Biophilia as Evolutionary Adaptation","volume":"12","author":[{"family":"Barbiero","given":"Giuseppe"},{"family":"Berto","given":"Rita"}],"issued":{"date-parts":[["2021",7,21]]}}}],"schema":"https://github.com/citation-style-language/schema/raw/master/csl-citation.json"} </w:instrText>
      </w:r>
      <w:r w:rsidRPr="00C05886">
        <w:fldChar w:fldCharType="separate"/>
      </w:r>
      <w:r w:rsidRPr="00C05886">
        <w:rPr>
          <w:rFonts w:ascii="Calibri" w:hAnsi="Calibri" w:cs="Calibri"/>
        </w:rPr>
        <w:t>(Barbiero and Berto, 2021)</w:t>
      </w:r>
      <w:r w:rsidRPr="00C05886">
        <w:fldChar w:fldCharType="end"/>
      </w:r>
      <w:r w:rsidRPr="00C05886">
        <w:t xml:space="preserve">, the biophilia hypothesis has always been difficult to verify. The same Wilson recognised </w:t>
      </w:r>
      <w:r w:rsidR="00C25639" w:rsidRPr="00C05886">
        <w:t>that biophilia was</w:t>
      </w:r>
      <w:r w:rsidRPr="00C05886">
        <w:t xml:space="preserve"> a “working hypothesis” </w:t>
      </w:r>
      <w:r w:rsidRPr="00C05886">
        <w:fldChar w:fldCharType="begin"/>
      </w:r>
      <w:r w:rsidRPr="00C05886">
        <w:instrText xml:space="preserve"> ADDIN ZOTERO_ITEM CSL_CITATION {"citationID":"qHaGVOqM","properties":{"formattedCitation":"(Wilson, 1993)","plainCitation":"(Wilson, 1993)","dontUpdate":true,"noteIndex":0},"citationItems":[{"id":10415,"uris":["http://zotero.org/users/10951124/items/Z3EXKKGS"],"itemData":{"id":10415,"type":"chapter","container-title":"The biophilia hypothesis","event-place":"Washington, D.C.","page":"31-41","publisher":"Washington, D.C. : Island Press, 1993","publisher-place":"Washington, D.C.","title":"Biophilia and the Conservation Ethic","author":[{"family":"Wilson","given":"Edward O"}],"editor":[{"family":"Kellert","given":"Stephen R"},{"family":"Wilson","given":"Edward O"}],"issued":{"date-parts":[["1993"]]}}}],"schema":"https://github.com/citation-style-language/schema/raw/master/csl-citation.json"} </w:instrText>
      </w:r>
      <w:r w:rsidRPr="00C05886">
        <w:fldChar w:fldCharType="separate"/>
      </w:r>
      <w:r w:rsidRPr="00C05886">
        <w:rPr>
          <w:rFonts w:ascii="Calibri" w:hAnsi="Calibri" w:cs="Calibri"/>
        </w:rPr>
        <w:t>(Wilson, 1993; p. 34)</w:t>
      </w:r>
      <w:r w:rsidRPr="00C05886">
        <w:fldChar w:fldCharType="end"/>
      </w:r>
      <w:r w:rsidRPr="00C05886">
        <w:t xml:space="preserve">. The evidence brought in by Kellert </w:t>
      </w:r>
      <w:r w:rsidRPr="00C05886">
        <w:fldChar w:fldCharType="begin"/>
      </w:r>
      <w:r w:rsidRPr="00C05886">
        <w:instrText xml:space="preserve"> ADDIN ZOTERO_ITEM CSL_CITATION {"citationID":"UUAe1PPd","properties":{"formattedCitation":"(Kellert, 1993)","plainCitation":"(Kellert, 1993)","noteIndex":0},"citationItems":[{"id":10416,"uris":["http://zotero.org/users/10951124/items/JXT5B97M"],"itemData":{"id":10416,"type":"chapter","container-title":"The biophilia hypothesis","event-place":"Washington, D.C.","page":"42-69","publisher":"Washington, D.C. : Island Press, 1993","publisher-place":"Washington, D.C.","title":"The Biological Basis for Human Values of Nature","author":[{"family":"Kellert","given":"Stephen R"}],"editor":[{"family":"Kellert","given":"Stephen R"},{"family":"Wilson","given":"Edward O"}],"issued":{"date-parts":[["1993"]]}}}],"schema":"https://github.com/citation-style-language/schema/raw/master/csl-citation.json"} </w:instrText>
      </w:r>
      <w:r w:rsidRPr="00C05886">
        <w:fldChar w:fldCharType="separate"/>
      </w:r>
      <w:r w:rsidRPr="00C05886">
        <w:rPr>
          <w:rFonts w:ascii="Calibri" w:hAnsi="Calibri" w:cs="Calibri"/>
        </w:rPr>
        <w:t>(Kellert, 1993)</w:t>
      </w:r>
      <w:r w:rsidRPr="00C05886">
        <w:fldChar w:fldCharType="end"/>
      </w:r>
      <w:r w:rsidRPr="00C05886">
        <w:t xml:space="preserve"> to support the human </w:t>
      </w:r>
      <w:r w:rsidR="00C25639" w:rsidRPr="00C05886">
        <w:t xml:space="preserve">values of </w:t>
      </w:r>
      <w:r w:rsidRPr="00C05886">
        <w:t xml:space="preserve">nature is quite compelling – a large-scale study with over 4000 participants in many countries of the world and multiple replications – however, he describes the values as an “exploratory effort” in supporting the biophilia hypothesis.  </w:t>
      </w:r>
    </w:p>
    <w:p w14:paraId="615E1C55" w14:textId="44D5D8FF" w:rsidR="00C12E53" w:rsidRPr="00C05886" w:rsidRDefault="00C12E53" w:rsidP="00EF4B8D">
      <w:r w:rsidRPr="00C05886">
        <w:t xml:space="preserve">To date, the </w:t>
      </w:r>
      <w:r w:rsidR="00E8285F">
        <w:t>fiercest</w:t>
      </w:r>
      <w:r w:rsidR="00E8285F" w:rsidRPr="00C05886">
        <w:t xml:space="preserve"> </w:t>
      </w:r>
      <w:r w:rsidRPr="00C05886">
        <w:t xml:space="preserve">theoretical </w:t>
      </w:r>
      <w:r w:rsidR="00E8285F">
        <w:t>debate</w:t>
      </w:r>
      <w:r w:rsidR="00E8285F" w:rsidRPr="00C05886">
        <w:t xml:space="preserve"> </w:t>
      </w:r>
      <w:r w:rsidRPr="00C05886">
        <w:t xml:space="preserve">revolves around whether biophilia can be innate or not. Wilson and Kellert (1993) were both bold and cautious, proposing biophilia as innate but conceptualising this as a series of learned rules/behaviours which result in biophilia. Some evidence </w:t>
      </w:r>
      <w:r w:rsidRPr="00C05886">
        <w:lastRenderedPageBreak/>
        <w:t xml:space="preserve">was built around the negative biophilia, </w:t>
      </w:r>
      <w:proofErr w:type="spellStart"/>
      <w:r w:rsidRPr="00C05886">
        <w:t>biophobia</w:t>
      </w:r>
      <w:proofErr w:type="spellEnd"/>
      <w:r w:rsidRPr="00C05886">
        <w:t xml:space="preserve">, i.e. the fear of some natural features such as snakes, spiders, and heights </w:t>
      </w:r>
      <w:r w:rsidRPr="00C05886">
        <w:fldChar w:fldCharType="begin"/>
      </w:r>
      <w:r w:rsidRPr="00C05886">
        <w:instrText xml:space="preserve"> ADDIN ZOTERO_ITEM CSL_CITATION {"citationID":"4EFdXnBw","properties":{"formattedCitation":"(Soga {\\i{}et al.}, 2023)","plainCitation":"(Soga et al., 2023)","noteIndex":0},"citationItems":[{"id":10359,"uris":["http://zotero.org/users/10951124/items/S7AVAT73"],"itemData":{"id":10359,"type":"article-journal","container-title":"Trends in Ecology &amp; Evolution","DOI":"10.1016/j.tree.2022.12.012","ISSN":"01695347","issue":"6","journalAbbreviation":"Trends in Ecology &amp; Evolution","language":"en","page":"512-520","source":"DOI.org (Crossref)","title":"The vicious cycle of biophobia","volume":"38","author":[{"family":"Soga","given":"Masashi"},{"family":"Gaston","given":"Kevin J."},{"family":"Fukano","given":"Yuya"},{"family":"Evans","given":"Maldwyn J."}],"issued":{"date-parts":[["2023",6]]}}}],"schema":"https://github.com/citation-style-language/schema/raw/master/csl-citation.json"} </w:instrText>
      </w:r>
      <w:r w:rsidRPr="00C05886">
        <w:fldChar w:fldCharType="separate"/>
      </w:r>
      <w:r w:rsidRPr="00C05886">
        <w:rPr>
          <w:rFonts w:ascii="Calibri" w:hAnsi="Calibri" w:cs="Calibri"/>
          <w:szCs w:val="24"/>
        </w:rPr>
        <w:t xml:space="preserve">(Soga </w:t>
      </w:r>
      <w:r w:rsidRPr="00C05886">
        <w:rPr>
          <w:rFonts w:ascii="Calibri" w:hAnsi="Calibri" w:cs="Calibri"/>
          <w:i/>
          <w:iCs/>
          <w:szCs w:val="24"/>
        </w:rPr>
        <w:t>et al.</w:t>
      </w:r>
      <w:r w:rsidRPr="00C05886">
        <w:rPr>
          <w:rFonts w:ascii="Calibri" w:hAnsi="Calibri" w:cs="Calibri"/>
          <w:szCs w:val="24"/>
        </w:rPr>
        <w:t>, 2023)</w:t>
      </w:r>
      <w:r w:rsidRPr="00C05886">
        <w:fldChar w:fldCharType="end"/>
      </w:r>
      <w:r w:rsidRPr="00C05886">
        <w:t xml:space="preserve">. As these phobias seem innate in humans or learned in their infancy, and are potentially adaptive to human evolution (avoiding predators and hazards), it has been suggested that biophilia could be innate as well </w:t>
      </w:r>
      <w:r w:rsidRPr="00C05886">
        <w:fldChar w:fldCharType="begin"/>
      </w:r>
      <w:r w:rsidRPr="00C05886">
        <w:instrText xml:space="preserve"> ADDIN ZOTERO_ITEM CSL_CITATION {"citationID":"o4p7shG4","properties":{"formattedCitation":"(Ulrich, 1993)","plainCitation":"(Ulrich, 1993)","noteIndex":0},"citationItems":[{"id":7315,"uris":["http://zotero.org/users/10951124/items/4PSNEYB2"],"itemData":{"id":7315,"type":"chapter","container-title":"The biophilia hypothesis","event-place":"Washington, D.C.","page":"73-137","publisher":"Washington, D.C. : Island Press, 1993","publisher-place":"Washington, D.C.","title":"Biophilia, biophobia, and natural landscapes","author":[{"family":"Ulrich","given":"Roger S"}],"editor":[{"family":"Kellert","given":"Stephen R"},{"family":"Wilson","given":"Edward O"}],"issued":{"date-parts":[["1993"]]}}}],"schema":"https://github.com/citation-style-language/schema/raw/master/csl-citation.json"} </w:instrText>
      </w:r>
      <w:r w:rsidRPr="00C05886">
        <w:fldChar w:fldCharType="separate"/>
      </w:r>
      <w:r w:rsidRPr="00C05886">
        <w:rPr>
          <w:rFonts w:ascii="Calibri" w:hAnsi="Calibri" w:cs="Calibri"/>
        </w:rPr>
        <w:t>(Ulrich, 1993)</w:t>
      </w:r>
      <w:r w:rsidRPr="00C05886">
        <w:fldChar w:fldCharType="end"/>
      </w:r>
      <w:r w:rsidRPr="00C05886">
        <w:t xml:space="preserve">. This has attracted some criticism </w:t>
      </w:r>
      <w:r w:rsidRPr="00C05886">
        <w:fldChar w:fldCharType="begin"/>
      </w:r>
      <w:r w:rsidRPr="00C05886">
        <w:instrText xml:space="preserve"> ADDIN ZOTERO_ITEM CSL_CITATION {"citationID":"gcIR4qWI","properties":{"formattedCitation":"(Joye and De Block, 2011)","plainCitation":"(Joye and De Block, 2011)","noteIndex":0},"citationItems":[{"id":7309,"uris":["http://zotero.org/users/10951124/items/7VVSWVH5"],"itemData":{"id":7309,"type":"article-journal","abstract":"In 1984, Edward O. Wilson proposed the idea that natural selection has resulted in an adaptive love of life-forms and life—like processes ('biophilia') in humans. To date, the idea of biophilia has been viewed as an ultimate explanation of many conservation attitudes in humans. In this paper, we contend that environmental ethics has little to gain from the biophilia hypothesis. First, the notion is open to various and even conflicting interpretations. Second, the empirical findings that do seem to corroborate a more well—defined version of the biophilia hypothesis can often be accounted for by alternative hypotheses. Third, the evolutionary reasoning behind the biophilia hypothesis tends to be unclear, and sometimes even inaccurate.","container-title":"Environmental Values","DOI":"10.3197/096327111X12997574391724","ISSN":"09632719","issue":"2","page":"189-215","title":"'Nature and I are Two': A Critical Examination of the Biophilia Hypothesis","volume":"20","author":[{"family":"Joye","given":"Yannick"},{"family":"De Block","given":"Andreas"}],"issued":{"date-parts":[["2011"]]}}}],"schema":"https://github.com/citation-style-language/schema/raw/master/csl-citation.json"} </w:instrText>
      </w:r>
      <w:r w:rsidRPr="00C05886">
        <w:fldChar w:fldCharType="separate"/>
      </w:r>
      <w:r w:rsidRPr="00C05886">
        <w:rPr>
          <w:rFonts w:ascii="Calibri" w:hAnsi="Calibri" w:cs="Calibri"/>
        </w:rPr>
        <w:t>(Joye and De Block, 2011)</w:t>
      </w:r>
      <w:r w:rsidRPr="00C05886">
        <w:fldChar w:fldCharType="end"/>
      </w:r>
      <w:r w:rsidRPr="00C05886">
        <w:t xml:space="preserve"> as the evidence would not be strong enough and the logic could also work in the opposite direction (i.e. if phobias are not innate, biophilia can’t be innate). </w:t>
      </w:r>
    </w:p>
    <w:p w14:paraId="7271D0E0" w14:textId="77777777" w:rsidR="00C12E53" w:rsidRPr="00C05886" w:rsidRDefault="00C12E53" w:rsidP="00EF4B8D">
      <w:r w:rsidRPr="00C05886">
        <w:t xml:space="preserve">Despite criticisms, biophilia has seen a renewed interest in recent years, with new compelling evidence supporting it </w:t>
      </w:r>
      <w:r w:rsidRPr="00C05886">
        <w:fldChar w:fldCharType="begin"/>
      </w:r>
      <w:r w:rsidRPr="00C05886">
        <w:instrText xml:space="preserve"> ADDIN ZOTERO_ITEM CSL_CITATION {"citationID":"7BPLoSCF","properties":{"formattedCitation":"(Gunnarsson and Hedblom, 2023)","plainCitation":"(Gunnarsson and Hedblom, 2023)","noteIndex":0},"citationItems":[{"id":10356,"uris":["http://zotero.org/users/10951124/items/4UEVS2M7"],"itemData":{"id":10356,"type":"article-journal","container-title":"Trends in Ecology &amp; Evolution","DOI":"10.1016/j.tree.2023.06.002","ISSN":"01695347","issue":"9","journalAbbreviation":"Trends in Ecology &amp; Evolution","language":"en","page":"792-794","source":"DOI.org (Crossref)","title":"Biophilia revisited: nature versus nurture","title-short":"Biophilia revisited","volume":"38","author":[{"family":"Gunnarsson","given":"Bengt"},{"family":"Hedblom","given":"Marcus"}],"issued":{"date-parts":[["2023",9]]}}}],"schema":"https://github.com/citation-style-language/schema/raw/master/csl-citation.json"} </w:instrText>
      </w:r>
      <w:r w:rsidRPr="00C05886">
        <w:fldChar w:fldCharType="separate"/>
      </w:r>
      <w:r w:rsidRPr="00C05886">
        <w:rPr>
          <w:rFonts w:ascii="Calibri" w:hAnsi="Calibri" w:cs="Calibri"/>
        </w:rPr>
        <w:t>(Gunnarsson and Hedblom, 2023)</w:t>
      </w:r>
      <w:r w:rsidRPr="00C05886">
        <w:fldChar w:fldCharType="end"/>
      </w:r>
      <w:r w:rsidRPr="00C05886">
        <w:t xml:space="preserve">. For example, a case study from Wellington (NZ) showed how the impact of the COVID-19 lockdown prompted an “urgent biophilia” desire, pushing citizens to walk and cycle in the city’s park with the expressed intention of improving their mental well-being </w:t>
      </w:r>
      <w:r w:rsidRPr="00C05886">
        <w:fldChar w:fldCharType="begin"/>
      </w:r>
      <w:r w:rsidRPr="00C05886">
        <w:instrText xml:space="preserve"> ADDIN ZOTERO_ITEM CSL_CITATION {"citationID":"YQBr8Beo","properties":{"formattedCitation":"(MacKinnon {\\i{}et al.}, 2022)","plainCitation":"(MacKinnon et al., 2022)","noteIndex":0},"citationItems":[{"id":10362,"uris":["http://zotero.org/users/10951124/items/ZLGR85LG"],"itemData":{"id":10362,"type":"article-journal","abstract":"Urgent biophilia describes the conscious desire of humans to seek interactions with nature during periods of stress. This study examines the changes in frequency and reason for visiting urban green spaces by residents of Wellington, New Zealand, to determine whether resident behavior during a stressful period exemplifies the principles of urgent biophilia. The COVID-19 pandemic and resulting lockdowns were used as the study period due to the significant physical and mental health stressors they triggered. Pedestrian and cyclist counters located in key urban green spaces in Wellington were used to collect data on visits pre- and post-pandemic. Two surveys were used to assess residents’ reasons for visiting urban green spaces during lockdowns. Increased green space visits were seen during the strictest lockdowns, though there was some variation in visits depending on the location of the green space. The most frequently reported reason for visiting green spaces during lockdown was mental wellbeing, followed by recreation. These results suggest that Wellington residents used urban green spaces as a coping mechanism during stressful lockdown periods for wellbeing benefits, exemplifying the principles of urgent biophilia. Urban planners and policymakers must consider and implement urban green infrastructure as a public health resource.","container-title":"Land","DOI":"10.3390/land11060793","ISSN":"2073-445X","issue":"6","journalAbbreviation":"Land","language":"en","page":"793","source":"DOI.org (Crossref)","title":"Urgent Biophilia: Green Space Visits in Wellington, New Zealand, during the COVID-19 Lockdowns","title-short":"Urgent Biophilia","volume":"11","author":[{"family":"MacKinnon","given":"Maggie"},{"family":"MacKinnon","given":"Rebecca"},{"family":"Pedersen Zari","given":"Maibritt"},{"family":"Glensor","given":"Kain"},{"family":"Park","given":"Tim"}],"issued":{"date-parts":[["2022",5,27]]}}}],"schema":"https://github.com/citation-style-language/schema/raw/master/csl-citation.json"} </w:instrText>
      </w:r>
      <w:r w:rsidRPr="00C05886">
        <w:fldChar w:fldCharType="separate"/>
      </w:r>
      <w:r w:rsidRPr="00C05886">
        <w:rPr>
          <w:rFonts w:ascii="Calibri" w:hAnsi="Calibri" w:cs="Calibri"/>
          <w:szCs w:val="24"/>
        </w:rPr>
        <w:t xml:space="preserve">(MacKinnon </w:t>
      </w:r>
      <w:r w:rsidRPr="00C05886">
        <w:rPr>
          <w:rFonts w:ascii="Calibri" w:hAnsi="Calibri" w:cs="Calibri"/>
          <w:i/>
          <w:iCs/>
          <w:szCs w:val="24"/>
        </w:rPr>
        <w:t>et al.</w:t>
      </w:r>
      <w:r w:rsidRPr="00C05886">
        <w:rPr>
          <w:rFonts w:ascii="Calibri" w:hAnsi="Calibri" w:cs="Calibri"/>
          <w:szCs w:val="24"/>
        </w:rPr>
        <w:t>, 2022)</w:t>
      </w:r>
      <w:r w:rsidRPr="00C05886">
        <w:fldChar w:fldCharType="end"/>
      </w:r>
      <w:r w:rsidRPr="00C05886">
        <w:t xml:space="preserve">. A new study on a large number of twins has also shed some light on the heritability of biophilia </w:t>
      </w:r>
      <w:r w:rsidRPr="00C05886">
        <w:fldChar w:fldCharType="begin"/>
      </w:r>
      <w:r w:rsidRPr="00C05886">
        <w:instrText xml:space="preserve"> ADDIN ZOTERO_ITEM CSL_CITATION {"citationID":"mxlj9oJc","properties":{"formattedCitation":"(Chang {\\i{}et al.}, 2022)","plainCitation":"(Chang et al., 2022)","noteIndex":0},"citationItems":[{"id":8730,"uris":["http://zotero.org/users/10951124/items/F7YDWEFJ"],"itemData":{"id":8730,"type":"article-journal","abstract":"Nature experiences have been linked to mental and physical health. This twin study reveals genetic influences on an individual’s orientation towards nature and nature experiences, opening a new dimension to understanding human-nature interactions.","container-title":"PLOS Biology","issue":"2","note":"publisher: Public Library of Science","page":"e3001500","title":"People’s desire to be in nature and how they experience it are partially heritable","volume":"20","author":[{"family":"Chang","given":"Chia-chen"},{"family":"Cox","given":"Daniel T C"},{"family":"Fan","given":"Qiao"},{"family":"Nghiem","given":"Thi Phuong Le"},{"family":"Tan","given":"Claudia L Y"},{"family":"Oh","given":"Rachel Rui Ying"},{"family":"Lin","given":"Brenda B"},{"family":"Shanahan","given":"Danielle F"},{"family":"Fuller","given":"Richard A"},{"family":"Gaston","given":"Kevin J"},{"family":"Carrasco","given":"L Roman"}],"issued":{"date-parts":[["2022",2,3]]}}}],"schema":"https://github.com/citation-style-language/schema/raw/master/csl-citation.json"} </w:instrText>
      </w:r>
      <w:r w:rsidRPr="00C05886">
        <w:fldChar w:fldCharType="separate"/>
      </w:r>
      <w:r w:rsidRPr="00C05886">
        <w:rPr>
          <w:rFonts w:ascii="Calibri" w:hAnsi="Calibri" w:cs="Calibri"/>
          <w:szCs w:val="24"/>
        </w:rPr>
        <w:t xml:space="preserve">(Chang </w:t>
      </w:r>
      <w:r w:rsidRPr="00C05886">
        <w:rPr>
          <w:rFonts w:ascii="Calibri" w:hAnsi="Calibri" w:cs="Calibri"/>
          <w:i/>
          <w:iCs/>
          <w:szCs w:val="24"/>
        </w:rPr>
        <w:t>et al.</w:t>
      </w:r>
      <w:r w:rsidRPr="00C05886">
        <w:rPr>
          <w:rFonts w:ascii="Calibri" w:hAnsi="Calibri" w:cs="Calibri"/>
          <w:szCs w:val="24"/>
        </w:rPr>
        <w:t>, 2022)</w:t>
      </w:r>
      <w:r w:rsidRPr="00C05886">
        <w:fldChar w:fldCharType="end"/>
      </w:r>
      <w:r w:rsidRPr="00C05886">
        <w:t xml:space="preserve">. Levels of familiarity with nature and desire to be in nature were found to be similar in monozygotic twins but statistically different in heterozygotic twins. This implies an important genetic role for these inclinations, supporting the claim that biophilia could be innate for humans. Nonetheless, the human relationship with nature seems far from uniform, so different individuals may have different responses to the same environment, depending on their biophilia </w:t>
      </w:r>
      <w:r w:rsidRPr="00C05886">
        <w:fldChar w:fldCharType="begin"/>
      </w:r>
      <w:r w:rsidRPr="00C05886">
        <w:instrText xml:space="preserve"> ADDIN ZOTERO_ITEM CSL_CITATION {"citationID":"GTw4geN9","properties":{"formattedCitation":"(Gunnarsson and Hedblom, 2023)","plainCitation":"(Gunnarsson and Hedblom, 2023)","noteIndex":0},"citationItems":[{"id":10356,"uris":["http://zotero.org/users/10951124/items/4UEVS2M7"],"itemData":{"id":10356,"type":"article-journal","container-title":"Trends in Ecology &amp; Evolution","DOI":"10.1016/j.tree.2023.06.002","ISSN":"01695347","issue":"9","journalAbbreviation":"Trends in Ecology &amp; Evolution","language":"en","page":"792-794","source":"DOI.org (Crossref)","title":"Biophilia revisited: nature versus nurture","title-short":"Biophilia revisited","volume":"38","author":[{"family":"Gunnarsson","given":"Bengt"},{"family":"Hedblom","given":"Marcus"}],"issued":{"date-parts":[["2023",9]]}}}],"schema":"https://github.com/citation-style-language/schema/raw/master/csl-citation.json"} </w:instrText>
      </w:r>
      <w:r w:rsidRPr="00C05886">
        <w:fldChar w:fldCharType="separate"/>
      </w:r>
      <w:r w:rsidRPr="00C05886">
        <w:rPr>
          <w:rFonts w:ascii="Calibri" w:hAnsi="Calibri" w:cs="Calibri"/>
        </w:rPr>
        <w:t>(Gunnarsson and Hedblom, 2023)</w:t>
      </w:r>
      <w:r w:rsidRPr="00C05886">
        <w:fldChar w:fldCharType="end"/>
      </w:r>
      <w:r w:rsidRPr="00C05886">
        <w:t>.</w:t>
      </w:r>
    </w:p>
    <w:p w14:paraId="13672613" w14:textId="1A975828" w:rsidR="00C12E53" w:rsidRPr="00C05886" w:rsidRDefault="00C12E53" w:rsidP="00EF4B8D">
      <w:r w:rsidRPr="00C05886">
        <w:t>Interestingly, Wilson (1993) was not overprotective of his idea, to the point</w:t>
      </w:r>
      <w:r w:rsidR="00161235" w:rsidRPr="00C05886">
        <w:t xml:space="preserve"> that</w:t>
      </w:r>
      <w:r w:rsidRPr="00C05886">
        <w:t xml:space="preserve"> he stated that it would have been good even if biophilia successfully focused the researcher’s attention on the psychological mechanisms at the base of the relationship </w:t>
      </w:r>
      <w:r w:rsidR="00161235" w:rsidRPr="00C05886">
        <w:t>between</w:t>
      </w:r>
      <w:r w:rsidRPr="00C05886">
        <w:t xml:space="preserve"> humans and nature. This view was shared in the same book by Heerwagen and Orians, who stated that the “issue is not whether biophilia exists but the particular forms it takes” </w:t>
      </w:r>
      <w:r w:rsidRPr="00C05886">
        <w:fldChar w:fldCharType="begin"/>
      </w:r>
      <w:r w:rsidRPr="00C05886">
        <w:instrText xml:space="preserve"> ADDIN ZOTERO_ITEM CSL_CITATION {"citationID":"nNkRHk22","properties":{"formattedCitation":"(Heerwagen and Orians, 1993)","plainCitation":"(Heerwagen and Orians, 1993)","dontUpdate":true,"noteIndex":0},"citationItems":[{"id":10417,"uris":["http://zotero.org/users/10951124/items/NQPBLWK9"],"itemData":{"id":10417,"type":"chapter","container-title":"The biophilia hypothesis","event-place":"Washington, D.C.","page":"138-172","publisher":"Washington, D.C. : Island Press, 1993","publisher-place":"Washington, D.C.","title":"Humans, Habitats, and Aesthetics","author":[{"family":"Heerwagen","given":"Judith H"},{"family":"Orians","given":"Gordon H"}],"editor":[{"family":"Kellert","given":"Stephen R"},{"family":"Wilson","given":"Edward O"}],"issued":{"date-parts":[["1993"]]}}}],"schema":"https://github.com/citation-style-language/schema/raw/master/csl-citation.json"} </w:instrText>
      </w:r>
      <w:r w:rsidRPr="00C05886">
        <w:fldChar w:fldCharType="separate"/>
      </w:r>
      <w:r w:rsidRPr="00C05886">
        <w:rPr>
          <w:rFonts w:ascii="Calibri" w:hAnsi="Calibri" w:cs="Calibri"/>
        </w:rPr>
        <w:t>(Heerwagen and Orians, 1993; p. 139)</w:t>
      </w:r>
      <w:r w:rsidRPr="00C05886">
        <w:fldChar w:fldCharType="end"/>
      </w:r>
      <w:r w:rsidRPr="00C05886">
        <w:t>, stressing the importance of the psychological outcomes that the human/nature relationship may provide.</w:t>
      </w:r>
    </w:p>
    <w:p w14:paraId="772C74C0" w14:textId="2D00AD17" w:rsidR="00C12E53" w:rsidRPr="00C05886" w:rsidRDefault="00C12E53" w:rsidP="00EF4B8D">
      <w:r w:rsidRPr="00C05886">
        <w:t xml:space="preserve">On this note, the next section will address two of the most important theories in the restorative pathway, The attention restoration theory </w:t>
      </w:r>
      <w:r w:rsidRPr="00C05886">
        <w:fldChar w:fldCharType="begin"/>
      </w:r>
      <w:r w:rsidRPr="00C05886">
        <w:instrText xml:space="preserve"> ADDIN ZOTERO_ITEM CSL_CITATION {"citationID":"FcTf8CH3","properties":{"formattedCitation":"(Kaplan and Kaplan, 1989)","plainCitation":"(Kaplan and Kaplan, 1989)","noteIndex":0},"citationItems":[{"id":6907,"uris":["http://zotero.org/users/10951124/items/MNND6KQK"],"itemData":{"id":6907,"type":"book","event-place":"Cambridge","ISBN":"0-521-34139-6","publisher":"Cambridge : Cambridge University Press, 1989","publisher-place":"Cambridge","title":"The experience of nature : a psychological perspective","author":[{"family":"Kaplan","given":"Rachel"},{"family":"Kaplan","given":"Stephen"}],"editor":[{"family":"Kaplan","given":"Stephen"}],"issued":{"date-parts":[["1989"]]}}}],"schema":"https://github.com/citation-style-language/schema/raw/master/csl-citation.json"} </w:instrText>
      </w:r>
      <w:r w:rsidRPr="00C05886">
        <w:fldChar w:fldCharType="separate"/>
      </w:r>
      <w:r w:rsidRPr="00C05886">
        <w:rPr>
          <w:rFonts w:ascii="Calibri" w:hAnsi="Calibri" w:cs="Calibri"/>
        </w:rPr>
        <w:t>(Kaplan and Kaplan, 1989)</w:t>
      </w:r>
      <w:r w:rsidRPr="00C05886">
        <w:fldChar w:fldCharType="end"/>
      </w:r>
      <w:r w:rsidRPr="00C05886">
        <w:t xml:space="preserve"> and the stress recovery theory </w:t>
      </w:r>
      <w:r w:rsidRPr="00C05886">
        <w:fldChar w:fldCharType="begin"/>
      </w:r>
      <w:r w:rsidR="00D63253" w:rsidRPr="00C05886">
        <w:instrText xml:space="preserve"> ADDIN ZOTERO_ITEM CSL_CITATION {"citationID":"5bsNWKfa","properties":{"formattedCitation":"(Ulrich {\\i{}et al.}, 1991)","plainCitation":"(Ulrich et al., 1991)","noteIndex":0},"citationItems":[{"id":6345,"uris":["http://zotero.org/users/10951124/items/FZSVSHF3"],"itemData":{"id":6345,"type":"article-journal","abstract":"Different conceptual perspectives converge to predict that if individuals are stressed, an encounter with most unthreatening natural environments will have a stress reducing or restorative influence, whereas many urban environments will hamper recuperation. Hypotheses regarding emotional, attentional and physiological aspects of stress reducing influences of nature are derived from a psycho-evolutionary theory. To investigate these hypotheses, 120 subjects first viewed a stressful movie, and then were exposed to color/sound videotapes of one of six different natural and urban settings. Data concerning stress recovery during the environmental presentations were obtained from self-ratings of affective states and a battery of physiological measures: heart period, muscle tension, skin conductance and pulse transit time, a non-invasive measure that correlates with systolic blood pressure. Findings from the physiological and verbal measures converged to indicate that recovery was faster and more complete when subjects were exposed to natural rather than urban environments. The pattern of physiological findings raised the possibility that responses to nature had a salient parasympathetic nervous system component; however, there was no evidence of pronounced parasympathetic involvement in responses to the urban settings. There were directional differences in cardiac responses to the natural vs urban settings, suggesting that attention/intake was higher during the natural exposures. However, both the stressor film and the nature settings elicited high levels of involuntary or automatic attention, which contradicts the notion that restorative influences of nature stem from involuntary attention or fascination. Findings were consistent with the predictions of the psycho-evolutionary theory that restorative influences of nature involve a shift towards a more positively-toned emotional state, positive changes in physiological activity levels, and that these changes are accompanied by sustained attention/intake. Content differences in terms of natural vs human-made properties appeared decisive in accounting for the differences in recuperation and perceptual intake. © 1991 Academic Press Limited.","container-title":"Journal of Environmental Psychology","DOI":"10.1016/S0272-4944(05)80184-7","ISSN":"15229610","issue":"3","page":"201-230","title":"Stress recovery during exposure to natural and urban environments","volume":"11","author":[{"family":"Ulrich","given":"Roger S."},{"family":"Simons","given":"Robert F."},{"family":"Losito","given":"Barbara D."},{"family":"Fiorito","given":"Evelyn"},{"family":"Miles","given":"Mark A."},{"family":"Zelson","given":"Michael"}],"issued":{"date-parts":[["1991"]]}}}],"schema":"https://github.com/citation-style-language/schema/raw/master/csl-citation.json"} </w:instrText>
      </w:r>
      <w:r w:rsidRPr="00C05886">
        <w:fldChar w:fldCharType="separate"/>
      </w:r>
      <w:r w:rsidR="00D63253" w:rsidRPr="00C05886">
        <w:rPr>
          <w:rFonts w:ascii="Calibri" w:hAnsi="Calibri" w:cs="Calibri"/>
          <w:szCs w:val="24"/>
        </w:rPr>
        <w:t xml:space="preserve">(Ulrich </w:t>
      </w:r>
      <w:r w:rsidR="00D63253" w:rsidRPr="00C05886">
        <w:rPr>
          <w:rFonts w:ascii="Calibri" w:hAnsi="Calibri" w:cs="Calibri"/>
          <w:i/>
          <w:iCs/>
          <w:szCs w:val="24"/>
        </w:rPr>
        <w:t>et al.</w:t>
      </w:r>
      <w:r w:rsidR="00D63253" w:rsidRPr="00C05886">
        <w:rPr>
          <w:rFonts w:ascii="Calibri" w:hAnsi="Calibri" w:cs="Calibri"/>
          <w:szCs w:val="24"/>
        </w:rPr>
        <w:t>, 1991)</w:t>
      </w:r>
      <w:r w:rsidRPr="00C05886">
        <w:fldChar w:fldCharType="end"/>
      </w:r>
      <w:r w:rsidRPr="00C05886">
        <w:t>. Biophilia was proposed as the inspirational concept for these two theories, but this has been disproved by Hartig (202</w:t>
      </w:r>
      <w:r w:rsidR="00D937B1" w:rsidRPr="00C05886">
        <w:t>1</w:t>
      </w:r>
      <w:r w:rsidRPr="00C05886">
        <w:t xml:space="preserve">) who recorded a statement from Ulrich and the Kaplans. Still, it seems that the biophilia hypothesis has attracted the research attention that Wilson had hoped. </w:t>
      </w:r>
    </w:p>
    <w:p w14:paraId="7F87DF62" w14:textId="77777777" w:rsidR="00C12E53" w:rsidRPr="00C05886" w:rsidRDefault="00C12E53" w:rsidP="00C12E53">
      <w:pPr>
        <w:pStyle w:val="Heading3"/>
      </w:pPr>
      <w:bookmarkStart w:id="26" w:name="_Toc179962285"/>
      <w:r w:rsidRPr="00C05886">
        <w:lastRenderedPageBreak/>
        <w:t>Attention Restoration and Stress Recovery</w:t>
      </w:r>
      <w:bookmarkEnd w:id="26"/>
    </w:p>
    <w:p w14:paraId="1A91B9B3" w14:textId="7AB2E244" w:rsidR="00C12E53" w:rsidRPr="00C05886" w:rsidRDefault="00C12E53" w:rsidP="00EF4B8D">
      <w:r w:rsidRPr="00C05886">
        <w:t xml:space="preserve">It would be unfair for any research work looking at the restorative pathway not to cite the two leading theories of the past 40 years. The attention restoration theory </w:t>
      </w:r>
      <w:r w:rsidRPr="00C05886">
        <w:fldChar w:fldCharType="begin"/>
      </w:r>
      <w:r w:rsidRPr="00C05886">
        <w:instrText xml:space="preserve"> ADDIN ZOTERO_ITEM CSL_CITATION {"citationID":"4r8YljOT","properties":{"formattedCitation":"(Kaplan and Kaplan, 1989)","plainCitation":"(Kaplan and Kaplan, 1989)","noteIndex":0},"citationItems":[{"id":6907,"uris":["http://zotero.org/users/10951124/items/MNND6KQK"],"itemData":{"id":6907,"type":"book","event-place":"Cambridge","ISBN":"0-521-34139-6","publisher":"Cambridge : Cambridge University Press, 1989","publisher-place":"Cambridge","title":"The experience of nature : a psychological perspective","author":[{"family":"Kaplan","given":"Rachel"},{"family":"Kaplan","given":"Stephen"}],"editor":[{"family":"Kaplan","given":"Stephen"}],"issued":{"date-parts":[["1989"]]}}}],"schema":"https://github.com/citation-style-language/schema/raw/master/csl-citation.json"} </w:instrText>
      </w:r>
      <w:r w:rsidRPr="00C05886">
        <w:fldChar w:fldCharType="separate"/>
      </w:r>
      <w:r w:rsidRPr="00C05886">
        <w:rPr>
          <w:rFonts w:ascii="Calibri" w:hAnsi="Calibri" w:cs="Calibri"/>
        </w:rPr>
        <w:t>(Kaplan and Kaplan, 1989)</w:t>
      </w:r>
      <w:r w:rsidRPr="00C05886">
        <w:fldChar w:fldCharType="end"/>
      </w:r>
      <w:r w:rsidRPr="00C05886">
        <w:t xml:space="preserve"> and the stress recovery theory </w:t>
      </w:r>
      <w:r w:rsidRPr="00C05886">
        <w:fldChar w:fldCharType="begin"/>
      </w:r>
      <w:r w:rsidR="005D06C8" w:rsidRPr="00C05886">
        <w:instrText xml:space="preserve"> ADDIN ZOTERO_ITEM CSL_CITATION {"citationID":"iFnj98Y5","properties":{"formattedCitation":"(Ulrich, 1983; Ulrich {\\i{}et al.}, 1991)","plainCitation":"(Ulrich, 1983; Ulrich et al., 1991)","noteIndex":0},"citationItems":[{"id":7363,"uris":["http://zotero.org/users/10951124/items/Y7AZ34KM"],"itemData":{"id":7363,"type":"chapter","container-title":"Behavior and the natural environment","event-place":"New York","page":"85-125","publisher":"Springer","publisher-place":"New York","title":"Aesthetic and affective response to natural environment","author":[{"family":"Ulrich","given":"Roger S"}],"editor":[{"family":"Altman","given":"I."},{"family":"Wohlwill","given":"J."}],"issued":{"date-parts":[["1983"]]}}},{"id":6345,"uris":["http://zotero.org/users/10951124/items/FZSVSHF3"],"itemData":{"id":6345,"type":"article-journal","abstract":"Different conceptual perspectives converge to predict that if individuals are stressed, an encounter with most unthreatening natural environments will have a stress reducing or restorative influence, whereas many urban environments will hamper recuperation. Hypotheses regarding emotional, attentional and physiological aspects of stress reducing influences of nature are derived from a psycho-evolutionary theory. To investigate these hypotheses, 120 subjects first viewed a stressful movie, and then were exposed to color/sound videotapes of one of six different natural and urban settings. Data concerning stress recovery during the environmental presentations were obtained from self-ratings of affective states and a battery of physiological measures: heart period, muscle tension, skin conductance and pulse transit time, a non-invasive measure that correlates with systolic blood pressure. Findings from the physiological and verbal measures converged to indicate that recovery was faster and more complete when subjects were exposed to natural rather than urban environments. The pattern of physiological findings raised the possibility that responses to nature had a salient parasympathetic nervous system component; however, there was no evidence of pronounced parasympathetic involvement in responses to the urban settings. There were directional differences in cardiac responses to the natural vs urban settings, suggesting that attention/intake was higher during the natural exposures. However, both the stressor film and the nature settings elicited high levels of involuntary or automatic attention, which contradicts the notion that restorative influences of nature stem from involuntary attention or fascination. Findings were consistent with the predictions of the psycho-evolutionary theory that restorative influences of nature involve a shift towards a more positively-toned emotional state, positive changes in physiological activity levels, and that these changes are accompanied by sustained attention/intake. Content differences in terms of natural vs human-made properties appeared decisive in accounting for the differences in recuperation and perceptual intake. © 1991 Academic Press Limited.","container-title":"Journal of Environmental Psychology","DOI":"10.1016/S0272-4944(05)80184-7","ISSN":"15229610","issue":"3","page":"201-230","title":"Stress recovery during exposure to natural and urban environments","volume":"11","author":[{"family":"Ulrich","given":"Roger S."},{"family":"Simons","given":"Robert F."},{"family":"Losito","given":"Barbara D."},{"family":"Fiorito","given":"Evelyn"},{"family":"Miles","given":"Mark A."},{"family":"Zelson","given":"Michael"}],"issued":{"date-parts":[["1991"]]}}}],"schema":"https://github.com/citation-style-language/schema/raw/master/csl-citation.json"} </w:instrText>
      </w:r>
      <w:r w:rsidRPr="00C05886">
        <w:fldChar w:fldCharType="separate"/>
      </w:r>
      <w:r w:rsidR="005D06C8" w:rsidRPr="00C05886">
        <w:rPr>
          <w:rFonts w:ascii="Calibri" w:hAnsi="Calibri" w:cs="Calibri"/>
          <w:szCs w:val="24"/>
        </w:rPr>
        <w:t xml:space="preserve">(Ulrich, 1983; Ulrich </w:t>
      </w:r>
      <w:r w:rsidR="005D06C8" w:rsidRPr="00C05886">
        <w:rPr>
          <w:rFonts w:ascii="Calibri" w:hAnsi="Calibri" w:cs="Calibri"/>
          <w:i/>
          <w:iCs/>
          <w:szCs w:val="24"/>
        </w:rPr>
        <w:t>et al.</w:t>
      </w:r>
      <w:r w:rsidR="005D06C8" w:rsidRPr="00C05886">
        <w:rPr>
          <w:rFonts w:ascii="Calibri" w:hAnsi="Calibri" w:cs="Calibri"/>
          <w:szCs w:val="24"/>
        </w:rPr>
        <w:t>, 1991)</w:t>
      </w:r>
      <w:r w:rsidRPr="00C05886">
        <w:fldChar w:fldCharType="end"/>
      </w:r>
      <w:r w:rsidRPr="00C05886">
        <w:t xml:space="preserve"> share a common foundation: the mental resources necessary for most human activities are finite and must be restored once depleted. Urban living is said to be quite taxing on these mental resources </w:t>
      </w:r>
      <w:r w:rsidRPr="00C05886">
        <w:rPr>
          <w:highlight w:val="yellow"/>
        </w:rPr>
        <w:fldChar w:fldCharType="begin"/>
      </w:r>
      <w:r w:rsidR="000309A4" w:rsidRPr="00C05886">
        <w:rPr>
          <w:highlight w:val="yellow"/>
        </w:rPr>
        <w:instrText xml:space="preserve"> ADDIN ZOTERO_ITEM CSL_CITATION {"citationID":"WApWuNAk","properties":{"formattedCitation":"(Berto, 2014; Hartig {\\i{}et al.}, 2014)","plainCitation":"(Berto, 2014; Hartig et al., 2014)","noteIndex":0},"citationItems":[{"id":6540,"uris":["http://zotero.org/users/10951124/items/JBULYHUL"],"itemData":{"id":6540,"type":"article-journal","container-title":"Behavioral sciences (Basel, Switzerland)","DOI":"10.3390/bs4040394","ISSN":"2076-328X","issue":"4","page":"394-409","title":"The role of nature in coping with psycho-physiological stress: a literature review on restorativeness.","volume":"4","author":[{"family":"Berto","given":"Rita"}],"editor":[{"family":"Berto","given":"Rita"}],"issued":{"date-parts":[["2014"]]}}},{"id":6909,"uris":["http://zotero.org/users/10951124/items/FVSE73PG"],"itemData":{"id":6909,"type":"article-journal","abstract":"Urbanization, resource exploitation, and lifestyle changes have diminished possibilities for human contact with nature in urbanized societies. Concern about the loss has helped motivate research on the health benefits of contact with nature. Reviewing that research here, we focus on nature as represented by aspects of the physical environment relevant to planning, design, and policy measures that serve broad segments of urbanized societies. We discuss difficulties in defining nature and reasons for the current expansion of the research field, and we assess available reviews. We then consider research on pathways between nature and health involving air quality, physical activity, social cohesion, and stress reduction. Finally, we discuss methodological issues and priorities for future research. The extant research does describe an array of benefits of contact with nature, and evidence regarding some benefits is strong","container-title":"Annu. Rev. Public Health","DOI":"10.1146/annurev-publhealth-032013-182443","ISSN":"0163-7525","issue":"1","page":"207-228","title":"Nature and Health","volume":"35","author":[{"family":"Hartig","given":"Terry"},{"family":"Mitchell","given":"Richard"},{"family":"Vries","given":"Sjerp","non-dropping-particle":"de"},{"family":"Frumkin","given":"Howard"}],"issued":{"date-parts":[["2014"]]}}}],"schema":"https://github.com/citation-style-language/schema/raw/master/csl-citation.json"} </w:instrText>
      </w:r>
      <w:r w:rsidRPr="00C05886">
        <w:rPr>
          <w:highlight w:val="yellow"/>
        </w:rPr>
        <w:fldChar w:fldCharType="separate"/>
      </w:r>
      <w:r w:rsidR="000309A4" w:rsidRPr="00C05886">
        <w:rPr>
          <w:rFonts w:ascii="Calibri" w:hAnsi="Calibri" w:cs="Calibri"/>
          <w:szCs w:val="24"/>
        </w:rPr>
        <w:t xml:space="preserve">(Berto, 2014; Hartig </w:t>
      </w:r>
      <w:r w:rsidR="000309A4" w:rsidRPr="00C05886">
        <w:rPr>
          <w:rFonts w:ascii="Calibri" w:hAnsi="Calibri" w:cs="Calibri"/>
          <w:i/>
          <w:iCs/>
          <w:szCs w:val="24"/>
        </w:rPr>
        <w:t>et al.</w:t>
      </w:r>
      <w:r w:rsidR="000309A4" w:rsidRPr="00C05886">
        <w:rPr>
          <w:rFonts w:ascii="Calibri" w:hAnsi="Calibri" w:cs="Calibri"/>
          <w:szCs w:val="24"/>
        </w:rPr>
        <w:t>, 2014)</w:t>
      </w:r>
      <w:r w:rsidRPr="00C05886">
        <w:rPr>
          <w:highlight w:val="yellow"/>
        </w:rPr>
        <w:fldChar w:fldCharType="end"/>
      </w:r>
      <w:r w:rsidRPr="00C05886">
        <w:t>, while natural (or natural-looking) environments favour their replenishment. As the name says, the attention restoration theory focuses on restoring directed attention, the resource needed for cognitive functioning. The stress recovery theory focuses on reducing/removing stressors, elements which are hindering the recovery of mental energies.</w:t>
      </w:r>
    </w:p>
    <w:p w14:paraId="638DCEAF" w14:textId="1FE11A56" w:rsidR="00C12E53" w:rsidRPr="00C05886" w:rsidRDefault="00C12E53" w:rsidP="00EF4B8D">
      <w:r w:rsidRPr="00C05886">
        <w:t>It is likely that both these processes can occur together, as they work on complementary functions (reducing demands of mental resources and improving their recovery</w:t>
      </w:r>
      <w:r w:rsidR="00785F1D" w:rsidRPr="005D7515">
        <w:t>;</w:t>
      </w:r>
      <w:r w:rsidRPr="00C05886">
        <w:t xml:space="preserve"> </w:t>
      </w:r>
      <w:r w:rsidRPr="00C05886">
        <w:fldChar w:fldCharType="begin"/>
      </w:r>
      <w:r w:rsidR="00A056BC" w:rsidRPr="00C05886">
        <w:instrText xml:space="preserve"> ADDIN ZOTERO_ITEM CSL_CITATION {"citationID":"TBUq3tce","properties":{"formattedCitation":"(Berto, 2014)","plainCitation":"(Berto, 2014)","dontUpdate":true,"noteIndex":0},"citationItems":[{"id":6540,"uris":["http://zotero.org/users/10951124/items/JBULYHUL"],"itemData":{"id":6540,"type":"article-journal","container-title":"Behavioral sciences (Basel, Switzerland)","DOI":"10.3390/bs4040394","ISSN":"2076-328X","issue":"4","page":"394-409","title":"The role of nature in coping with psycho-physiological stress: a literature review on restorativeness.","volume":"4","author":[{"family":"Berto","given":"Rita"}],"editor":[{"family":"Berto","given":"Rita"}],"issued":{"date-parts":[["2014"]]}}}],"schema":"https://github.com/citation-style-language/schema/raw/master/csl-citation.json"} </w:instrText>
      </w:r>
      <w:r w:rsidRPr="00C05886">
        <w:fldChar w:fldCharType="separate"/>
      </w:r>
      <w:r w:rsidRPr="00C05886">
        <w:rPr>
          <w:rFonts w:ascii="Calibri" w:hAnsi="Calibri" w:cs="Calibri"/>
        </w:rPr>
        <w:t>Berto, 2014)</w:t>
      </w:r>
      <w:r w:rsidRPr="00C05886">
        <w:fldChar w:fldCharType="end"/>
      </w:r>
      <w:r w:rsidRPr="00C05886">
        <w:t xml:space="preserve">. A degree of integration was proposed in the past </w:t>
      </w:r>
      <w:r w:rsidRPr="00C05886">
        <w:fldChar w:fldCharType="begin"/>
      </w:r>
      <w:r w:rsidR="004A46A3" w:rsidRPr="00C05886">
        <w:instrText xml:space="preserve"> ADDIN ZOTERO_ITEM CSL_CITATION {"citationID":"pHU4koJ4","properties":{"formattedCitation":"(Kaplan, 1995)","plainCitation":"(Kaplan, 1995)","noteIndex":0},"citationItems":[{"id":6506,"uris":["http://zotero.org/users/10951124/items/2436CZCV"],"itemData":{"id":6506,"type":"article-journal","abstract":"Directed attention plays an important role in human information processing; its fatigue, in turn, has far-reaching consequences. Attention Restoration Theory provides an analysis of the kinds of experiences that lead to recovery from such fatigue. Natural environments turn out to be particularly rich in the characteristics necessary for restorative experiences. An integrative framework is proposed that places both directed attention and stress in the larger context of human-environment relationships. © 1995.","container-title":"Journal of Environmental Psychology","DOI":"10.1016/0272-4944(95)90001-2","ISSN":"15229610","issue":"3","page":"169-182","title":"The restorative benefits of nature: Toward an integrative framework","volume":"15","author":[{"family":"Kaplan","given":"Stephen"}],"issued":{"date-parts":[["1995"]]}}}],"schema":"https://github.com/citation-style-language/schema/raw/master/csl-citation.json"} </w:instrText>
      </w:r>
      <w:r w:rsidRPr="00C05886">
        <w:fldChar w:fldCharType="separate"/>
      </w:r>
      <w:r w:rsidR="004A46A3" w:rsidRPr="00C05886">
        <w:rPr>
          <w:rFonts w:ascii="Calibri" w:hAnsi="Calibri" w:cs="Calibri"/>
        </w:rPr>
        <w:t>(Kaplan, 1995)</w:t>
      </w:r>
      <w:r w:rsidRPr="00C05886">
        <w:fldChar w:fldCharType="end"/>
      </w:r>
      <w:r w:rsidRPr="00C05886">
        <w:t xml:space="preserve"> and recent studies have </w:t>
      </w:r>
      <w:r w:rsidR="00785F1D" w:rsidRPr="00C05886">
        <w:t xml:space="preserve">investigated </w:t>
      </w:r>
      <w:r w:rsidRPr="00C05886">
        <w:t xml:space="preserve">processes that </w:t>
      </w:r>
      <w:r w:rsidR="00785F1D" w:rsidRPr="00C05886">
        <w:t xml:space="preserve">may </w:t>
      </w:r>
      <w:r w:rsidRPr="00C05886">
        <w:t xml:space="preserve">involve both </w:t>
      </w:r>
      <w:r w:rsidRPr="00C05886">
        <w:fldChar w:fldCharType="begin"/>
      </w:r>
      <w:r w:rsidRPr="00C05886">
        <w:instrText xml:space="preserve"> ADDIN ZOTERO_ITEM CSL_CITATION {"citationID":"IGMzIhod","properties":{"formattedCitation":"(Huang {\\i{}et al.}, 2021)","plainCitation":"(Huang et al., 2021)","dontUpdate":true,"noteIndex":0},"citationItems":[{"id":9909,"uris":["http://zotero.org/users/10951124/items/K4ZSIBZI"],"itemData":{"id":9909,"type":"article-journal","abstract":"This study assessed the contributions of urban green spaces on mental health with joint consideration of people’s physiological and psychological responses. The psychological and physiological responses of participants aged between 22 and 28, who visited green spaces in a low-density area of Fuzhou, Fujian Province, China, were measured using Perceived Restorativeness Scale (PRS) methods and biometric wearable sensing devices, respectively. Results showed that exposure to green space led to significant changes in PRS, electrodermal activity (EDA), facial electromyography (EMG), respiration sensor (RESP), and photoplethysmography (PPG), while there is no significant impact on skin temperature (SKT). Additionally, psychological and physiological responses were highly consistent and correlated (R &lt; 0.8). The results also indicated that green spaces with high plant species richness, a water landscape, bumpy ground, cultural landscape, and without roadways presented a high performance on stress recovery and attention restoration. At the same time, the influence of openness was negligible in the low-density area. The study provides planners and landscape designers with specific guidance for implementing urban green spaces to improve mental health in low-density residential areas.","container-title":"International Journal of Environmental Research and Public Health","DOI":"10.3390/ijerph18168713","ISSN":"1660-4601","issue":"16","journalAbbreviation":"IJERPH","language":"en","page":"8713","source":"DOI.org (Crossref)","title":"The Contribution to Stress Recovery and Attention Restoration Potential of Exposure to Urban Green Spaces in Low-Density Residential Areas","volume":"18","author":[{"family":"Huang","given":"Shuping"},{"family":"Qi","given":"Jinda"},{"family":"Li","given":"Wei"},{"family":"Dong","given":"Jianwen"},{"family":"Van Den Bosch","given":"Cecil Konijnendijk"}],"issued":{"date-parts":[["2021",8,18]]}}}],"schema":"https://github.com/citation-style-language/schema/raw/master/csl-citation.json"} </w:instrText>
      </w:r>
      <w:r w:rsidRPr="00C05886">
        <w:fldChar w:fldCharType="separate"/>
      </w:r>
      <w:r w:rsidRPr="00C05886">
        <w:rPr>
          <w:rFonts w:ascii="Calibri" w:hAnsi="Calibri" w:cs="Calibri"/>
          <w:szCs w:val="24"/>
        </w:rPr>
        <w:t xml:space="preserve">(e.g. Huang </w:t>
      </w:r>
      <w:r w:rsidRPr="00C05886">
        <w:rPr>
          <w:rFonts w:ascii="Calibri" w:hAnsi="Calibri" w:cs="Calibri"/>
          <w:i/>
          <w:iCs/>
          <w:szCs w:val="24"/>
        </w:rPr>
        <w:t>et al.</w:t>
      </w:r>
      <w:r w:rsidRPr="00C05886">
        <w:rPr>
          <w:rFonts w:ascii="Calibri" w:hAnsi="Calibri" w:cs="Calibri"/>
          <w:szCs w:val="24"/>
        </w:rPr>
        <w:t>, 2021)</w:t>
      </w:r>
      <w:r w:rsidRPr="00C05886">
        <w:fldChar w:fldCharType="end"/>
      </w:r>
      <w:r w:rsidRPr="00C05886">
        <w:t>. However, the two theories focus on different outcomes (cognitive processes vs affective states) and follow different methodologies. The following sections will summarise the two theories and highlight how these could be linked to biodiversity.</w:t>
      </w:r>
    </w:p>
    <w:p w14:paraId="523EF46D" w14:textId="77777777" w:rsidR="00C12E53" w:rsidRPr="00C05886" w:rsidRDefault="00C12E53" w:rsidP="00C12E53">
      <w:pPr>
        <w:pStyle w:val="Heading3"/>
      </w:pPr>
      <w:bookmarkStart w:id="27" w:name="_Toc179962286"/>
      <w:r w:rsidRPr="00C05886">
        <w:t>Attention restoration</w:t>
      </w:r>
      <w:bookmarkEnd w:id="27"/>
    </w:p>
    <w:p w14:paraId="5433E62B" w14:textId="07F9CF39" w:rsidR="00C12E53" w:rsidRPr="00C05886" w:rsidRDefault="00C12E53" w:rsidP="00A37A7C">
      <w:r w:rsidRPr="00C05886">
        <w:t>According to the Attention Restoration theory, the primary mental resource needed for most cognitive functions is called “directed attention”. This is a mechanism that helps exclude distractions from any mental task (Kaplan</w:t>
      </w:r>
      <w:r w:rsidR="004A46A3" w:rsidRPr="00C05886">
        <w:t>,</w:t>
      </w:r>
      <w:r w:rsidRPr="00C05886">
        <w:t xml:space="preserve"> 1989). This is a (semi) voluntary action, which requires effort and induces fatigue (Kaplan</w:t>
      </w:r>
      <w:r w:rsidR="004A46A3" w:rsidRPr="00C05886">
        <w:t>,</w:t>
      </w:r>
      <w:r w:rsidRPr="00C05886">
        <w:t xml:space="preserve"> 1995). For example, it is quite common to feel overwhelmed by sensory stimuli when walking in a crowded space (e.g. a fair, or a club). To overtake the disorientation and navigate all the way to the exit, directed attention is required. Directed attention can be exhausted quickly, depending on the task, and the lack of attention increases distraction and irritability. Such states are associated with impulsive actions and avoidance behaviours (Kaplan 1995).</w:t>
      </w:r>
    </w:p>
    <w:p w14:paraId="6611E107" w14:textId="12665B77" w:rsidR="00C12E53" w:rsidRPr="00C05886" w:rsidRDefault="00C12E53" w:rsidP="00A37A7C">
      <w:r w:rsidRPr="00C05886">
        <w:t xml:space="preserve">Restoration of directed attention is made possible whenever four requirements are satisfied; 1) “soft fascination”, meaning an effortless engagement with some elements of the surroundings; 2) a sense of “being away”, feeling removed by the task depleting the attention; 3) extent of the environment, meaning the availability of soft fascinating stimuli; compatibility with the environment which must be aligned with one’s inclinations. There are many restorative environments that may </w:t>
      </w:r>
      <w:r w:rsidRPr="00C05886">
        <w:lastRenderedPageBreak/>
        <w:t xml:space="preserve">provide these components, including malls and cafes </w:t>
      </w:r>
      <w:r w:rsidRPr="00C05886">
        <w:fldChar w:fldCharType="begin"/>
      </w:r>
      <w:r w:rsidR="00020123" w:rsidRPr="00C05886">
        <w:instrText xml:space="preserve"> ADDIN ZOTERO_ITEM CSL_CITATION {"citationID":"slzK2PYy","properties":{"formattedCitation":"(Staats {\\i{}et al.}, 2016)","plainCitation":"(Staats et al., 2016)","noteIndex":0},"citationItems":[{"id":6585,"uris":["http://zotero.org/users/10951124/items/3X2U2TJB"],"itemData":{"id":6585,"type":"article-journal","abstract":"Objectives Given the need for knowledge on the restorative potential of urban settings, we sought to estimate the effects of personal and contextual factors on preferences and restoration likelihood assessments for different urban activities-in-environments. We also sought to study the generality of these effects across different countries. Methods We conducted a true experiment with convenience samples of university students in the Netherlands (n = 80), Sweden (n = 100), and the USA (n = 316). In each country, the experiment had a mixed design with activities-in-environments (sitting in a park, sitting in a cafe, walking in a shopping mall, walking along a busy street)manipulated within-subjects and the need for restoration (attentional fatigue, no attentional fatigue) and immediate social context (in company, alone)manipulated between-subjects. The manipulations relied on previously tested scenarios describing everyday situations that participants were instructed to remember and imagine themselves being in. For each imagined situation (activity-in-environment with antecedent fatigue condition and immediate social context), subjects provided two criterion measures: general preference and the likelihood of achieving psychological restoration. Results The settings received different preference and restoration likelihood ratings as expected, affirming that a busy street, often used in comparisons with natural settings, is not representative of the restorative potential of urban settings. Being with a close friend and attentional fatigue both moderated ratings for specific settings. Findings of additional moderation by country of residence caution against broad generalizations regarding preferences for and the expected restorative effects of different urban settings. Conclusions Preferences and restoration likelihood ratings for urban activity-environment combinations are subject to multiple personal and contextual determinants, including level of attentional fatigue, being alone versus in company, and broader aspects of the urban context that vary across cities and countries. Claims regarding a lack of restorative quality in urban environments are problematic.","container-title":"PLoS ONE","DOI":"10.1371/journal.pone.0146213","ISSN":"19326203","issue":"1","title":"Urban options for psychological restoration: Common strategies in everyday situations","volume":"11","author":[{"family":"Staats","given":"Henk"},{"family":"Jahncke","given":"Helena"},{"family":"Herzog","given":"Thomas R."},{"family":"Hartig","given":"Terry"}],"issued":{"date-parts":[["2016"]]}}}],"schema":"https://github.com/citation-style-language/schema/raw/master/csl-citation.json"} </w:instrText>
      </w:r>
      <w:r w:rsidRPr="00C05886">
        <w:fldChar w:fldCharType="separate"/>
      </w:r>
      <w:r w:rsidR="00020123" w:rsidRPr="00C05886">
        <w:rPr>
          <w:rFonts w:ascii="Calibri" w:hAnsi="Calibri" w:cs="Calibri"/>
          <w:szCs w:val="24"/>
        </w:rPr>
        <w:t xml:space="preserve">(Staats </w:t>
      </w:r>
      <w:r w:rsidR="00020123" w:rsidRPr="00C05886">
        <w:rPr>
          <w:rFonts w:ascii="Calibri" w:hAnsi="Calibri" w:cs="Calibri"/>
          <w:i/>
          <w:iCs/>
          <w:szCs w:val="24"/>
        </w:rPr>
        <w:t>et al.</w:t>
      </w:r>
      <w:r w:rsidR="00020123" w:rsidRPr="00C05886">
        <w:rPr>
          <w:rFonts w:ascii="Calibri" w:hAnsi="Calibri" w:cs="Calibri"/>
          <w:szCs w:val="24"/>
        </w:rPr>
        <w:t>, 2016)</w:t>
      </w:r>
      <w:r w:rsidRPr="00C05886">
        <w:fldChar w:fldCharType="end"/>
      </w:r>
      <w:r w:rsidRPr="00C05886">
        <w:t xml:space="preserve">. A great restorative activity is sleeping </w:t>
      </w:r>
      <w:r w:rsidRPr="00C05886">
        <w:fldChar w:fldCharType="begin"/>
      </w:r>
      <w:r w:rsidR="004A46A3" w:rsidRPr="00C05886">
        <w:instrText xml:space="preserve"> ADDIN ZOTERO_ITEM CSL_CITATION {"citationID":"I7Iu7CcE","properties":{"formattedCitation":"(Kaplan, 1995)","plainCitation":"(Kaplan, 1995)","noteIndex":0},"citationItems":[{"id":6506,"uris":["http://zotero.org/users/10951124/items/2436CZCV"],"itemData":{"id":6506,"type":"article-journal","abstract":"Directed attention plays an important role in human information processing; its fatigue, in turn, has far-reaching consequences. Attention Restoration Theory provides an analysis of the kinds of experiences that lead to recovery from such fatigue. Natural environments turn out to be particularly rich in the characteristics necessary for restorative experiences. An integrative framework is proposed that places both directed attention and stress in the larger context of human-environment relationships. © 1995.","container-title":"Journal of Environmental Psychology","DOI":"10.1016/0272-4944(95)90001-2","ISSN":"15229610","issue":"3","page":"169-182","title":"The restorative benefits of nature: Toward an integrative framework","volume":"15","author":[{"family":"Kaplan","given":"Stephen"}],"issued":{"date-parts":[["1995"]]}}}],"schema":"https://github.com/citation-style-language/schema/raw/master/csl-citation.json"} </w:instrText>
      </w:r>
      <w:r w:rsidRPr="00C05886">
        <w:fldChar w:fldCharType="separate"/>
      </w:r>
      <w:r w:rsidR="004A46A3" w:rsidRPr="00C05886">
        <w:rPr>
          <w:rFonts w:ascii="Calibri" w:hAnsi="Calibri" w:cs="Calibri"/>
        </w:rPr>
        <w:t>(Kaplan, 1995)</w:t>
      </w:r>
      <w:r w:rsidRPr="00C05886">
        <w:fldChar w:fldCharType="end"/>
      </w:r>
      <w:r w:rsidRPr="00C05886">
        <w:t xml:space="preserve">. However, natural (looking) environments usually offer all the necessary components </w:t>
      </w:r>
      <w:r w:rsidRPr="00C05886">
        <w:fldChar w:fldCharType="begin"/>
      </w:r>
      <w:r w:rsidRPr="00C05886">
        <w:instrText xml:space="preserve"> ADDIN ZOTERO_ITEM CSL_CITATION {"citationID":"OaajfUPT","properties":{"formattedCitation":"(Herzog {\\i{}et al.}, 2003)","plainCitation":"(Herzog et al., 2003)","noteIndex":0},"citationItems":[{"id":7361,"uris":["http://zotero.org/users/10951124/items/BEF879XS"],"itemData":{"id":7361,"type":"article-journal","abstract":"We used a direct rating approach based on definitions of each construct to measure the four components of a restorative environment proposed by attention restoration theory (ART): being away, extent, fascination, and compatibility. We used the same approach to measure two criterion variables, perceived restorative potential (PRP) of a setting and preference for the setting, as well as four additional predictor variables (openness, visual access, movement ease, and setting care). Each participant rated 70 settings, 35 each from urban and natural environments, for only one of the variables. Mean ratings were higher for the natural than the urban settings for both criterion variables and all four restorative components, with differences significant in all cases except for fascination. Correlations across settings generally followed the predictions of ART, but collinearity appeared among several sets of variables, most notably being away and setting category, PRP and preference, and...","container-title":"Journal of Environmental Psychology","DOI":"10.1016/S0272-4944(02)00113-5","ISSN":"0272-4944","issue":"2","page":"159-170","title":"Assessing the restorative components of environments","volume":"23","author":[{"family":"Herzog","given":"Thomas R"},{"literal":"Colleen"},{"family":"Maguire","given":"P"},{"family":"Nebel","given":"Mary B"}],"issued":{"date-parts":[["2003"]]}}}],"schema":"https://github.com/citation-style-language/schema/raw/master/csl-citation.json"} </w:instrText>
      </w:r>
      <w:r w:rsidRPr="00C05886">
        <w:fldChar w:fldCharType="separate"/>
      </w:r>
      <w:r w:rsidRPr="00C05886">
        <w:rPr>
          <w:rFonts w:ascii="Calibri" w:hAnsi="Calibri" w:cs="Calibri"/>
          <w:szCs w:val="24"/>
        </w:rPr>
        <w:t xml:space="preserve">(Herzog </w:t>
      </w:r>
      <w:r w:rsidRPr="00C05886">
        <w:rPr>
          <w:rFonts w:ascii="Calibri" w:hAnsi="Calibri" w:cs="Calibri"/>
          <w:i/>
          <w:iCs/>
          <w:szCs w:val="24"/>
        </w:rPr>
        <w:t>et al.</w:t>
      </w:r>
      <w:r w:rsidRPr="00C05886">
        <w:rPr>
          <w:rFonts w:ascii="Calibri" w:hAnsi="Calibri" w:cs="Calibri"/>
          <w:szCs w:val="24"/>
        </w:rPr>
        <w:t>, 2003)</w:t>
      </w:r>
      <w:r w:rsidRPr="00C05886">
        <w:fldChar w:fldCharType="end"/>
      </w:r>
      <w:r w:rsidRPr="00C05886">
        <w:t>.</w:t>
      </w:r>
    </w:p>
    <w:p w14:paraId="56F2A87A" w14:textId="2ADDBD05" w:rsidR="00C12E53" w:rsidRPr="00C05886" w:rsidRDefault="00C12E53" w:rsidP="00A37A7C">
      <w:r w:rsidRPr="00C05886">
        <w:t xml:space="preserve">In theory, biodiversity can enhance restorative environments by providing fascinating stimuli (here the link with the biophilia hypothesis) and increasing the extent component. Positive associations between perceived restoration and species richness have been found in the past, </w:t>
      </w:r>
      <w:r w:rsidRPr="00C05886">
        <w:fldChar w:fldCharType="begin"/>
      </w:r>
      <w:r w:rsidR="00D461B8" w:rsidRPr="00C05886">
        <w:instrText xml:space="preserve"> ADDIN ZOTERO_ITEM CSL_CITATION {"citationID":"DG3UNwBY","properties":{"formattedCitation":"(Fuller {\\i{}et al.}, 2007; Carrus {\\i{}et al.}, 2015)","plainCitation":"(Fuller et al., 2007; Carrus et al., 2015)","noteIndex":0},"citationItems":[{"id":5311,"uris":["http://zotero.org/users/10951124/items/7YKDXNX8"],"itemData":{"id":5311,"type":"article-journal","abstract":"The world's human population is becoming concentrated into cities, giving rise to concerns that it is becoming increasingly isolated from nature. Urban public greenspaces form the arena of many people's daily contact with nature and such contact has measurable physical and psychological benefits. Here we show that these psychological benefits increase with the species richness of urban greenspaces. Moreover, we demonstrate that greenspace users can more or less accurately perceive species richness depending on the taxonomic group in question. These results indicate that successful management of urban greenspaces should emphasize biological complexity to enhance human well-being in addition to biodiversity conservation. © 2007 The Royal Society.","container-title":"Biology letters","DOI":"10.1098/rsbl.2007.0149","ISSN":"1744-9561","issue":"4","note":"PMID: 17504734","page":"390-394","title":"Psychological benefits of greenspace increase with biodiversity.","volume":"3","author":[{"family":"Fuller","given":"Richard A."},{"family":"Irvine","given":"Katherine N."},{"family":"Devine-Wright","given":"Patrick"},{"family":"Warren","given":"Philip H."},{"family":"Gaston","given":"Kevin J."}],"editor":[{"family":"Fuller","given":"Richard A"}],"issued":{"date-parts":[["2007"]]}}},{"id":6088,"uris":["http://zotero.org/users/10951124/items/U3H7UD62"],"itemData":{"id":6088,"type":"article-journal","abstract":"© 2014 Elsevier B.V. The literature on human experience in green environments had widely showed the positive outcomes of getting in contact with nature. This study addresses the issue of whether urban residents' evaluations of urban and peri-urban natural settings and the positive outcomes deriving from contact with such settings vary as a function of their biodiversity. A field study assessed benefits and subjective well-being reported by urban residents visiting four different typologies of green spaces, selected on the basis of urban forestry expert criteria according to a 2. ×. 2 factorial design. The biodiversity level (low vs. high) was crossed with the setting location (urban vs. peri-urban) as follows: urban squares with green elements, urban parks, pinewood forest plantations, and peri-urban natural protected areas. A questionnaire including measures of length and frequency of visits, perceived restorativeness, and self-reported benefits of the visit to the green spaces was administered in situ to 569 residents of four Italian medium-to-large size cities: Bari, Florence, Rome and Padua. Results showed the positive role of biodiversity upon perceived restorative properties and self-reported benefits for urban and peri-urban green spaces. Consistently with the hypotheses reported herein, a mediation role of perceived restorativeness in the relation between experience of natural settings (i.e. higher level of biodiversity) and self-reported benefits was found. The design and management implications of the findings are discussed.","container-title":"Landscape and Urban Planning","DOI":"10.1016/j.landurbplan.2014.10.022","page":"221-228","title":"Go greener, feel better? The positive effects of biodiversity on the well-being of individuals visiting urban and peri-urban green areas","volume":"134","author":[{"family":"Carrus","given":"G."},{"family":"Scopelliti","given":"M."},{"family":"Lafortezza","given":"R."},{"family":"Colangelo","given":"G."},{"family":"Ferrini","given":"F."},{"family":"Salbitano","given":"F."},{"family":"Agrimi","given":"M."},{"family":"Portoghesi","given":"L."},{"family":"Semenzato","given":"P."},{"family":"Sanesi","given":"G."}],"issued":{"date-parts":[["2015"]]}}}],"schema":"https://github.com/citation-style-language/schema/raw/master/csl-citation.json"} </w:instrText>
      </w:r>
      <w:r w:rsidRPr="00C05886">
        <w:fldChar w:fldCharType="separate"/>
      </w:r>
      <w:r w:rsidR="00D461B8" w:rsidRPr="00C05886">
        <w:rPr>
          <w:rFonts w:ascii="Calibri" w:hAnsi="Calibri" w:cs="Calibri"/>
          <w:szCs w:val="24"/>
        </w:rPr>
        <w:t xml:space="preserve">(Fuller </w:t>
      </w:r>
      <w:r w:rsidR="00D461B8" w:rsidRPr="00C05886">
        <w:rPr>
          <w:rFonts w:ascii="Calibri" w:hAnsi="Calibri" w:cs="Calibri"/>
          <w:i/>
          <w:iCs/>
          <w:szCs w:val="24"/>
        </w:rPr>
        <w:t>et al.</w:t>
      </w:r>
      <w:r w:rsidR="00D461B8" w:rsidRPr="00C05886">
        <w:rPr>
          <w:rFonts w:ascii="Calibri" w:hAnsi="Calibri" w:cs="Calibri"/>
          <w:szCs w:val="24"/>
        </w:rPr>
        <w:t xml:space="preserve">, 2007; Carrus </w:t>
      </w:r>
      <w:r w:rsidR="00D461B8" w:rsidRPr="00C05886">
        <w:rPr>
          <w:rFonts w:ascii="Calibri" w:hAnsi="Calibri" w:cs="Calibri"/>
          <w:i/>
          <w:iCs/>
          <w:szCs w:val="24"/>
        </w:rPr>
        <w:t>et al.</w:t>
      </w:r>
      <w:r w:rsidR="00D461B8" w:rsidRPr="00C05886">
        <w:rPr>
          <w:rFonts w:ascii="Calibri" w:hAnsi="Calibri" w:cs="Calibri"/>
          <w:szCs w:val="24"/>
        </w:rPr>
        <w:t>, 2015)</w:t>
      </w:r>
      <w:r w:rsidRPr="00C05886">
        <w:fldChar w:fldCharType="end"/>
      </w:r>
      <w:r w:rsidRPr="00C05886">
        <w:t xml:space="preserve">, although sometimes the results differed from taxa to taxa. Indeed, the compatibility component could be opposed to certain kinds of biodiversity: e.g. seminatural locations tend to look untidy and unmanaged, despite being rich in species; in hurting the subjective aesthetic sense, not feeling fully safe could reduce the attention restoration due to low compatibility </w:t>
      </w:r>
      <w:r w:rsidRPr="00C05886">
        <w:fldChar w:fldCharType="begin"/>
      </w:r>
      <w:r w:rsidRPr="00C05886">
        <w:instrText xml:space="preserve"> ADDIN ZOTERO_ITEM CSL_CITATION {"citationID":"zwL46uJ0","properties":{"formattedCitation":"(Dallimer {\\i{}et al.}, 2012)","plainCitation":"(Dallimer et al., 2012)","noteIndex":0},"citationItems":[{"id":5841,"uris":["http://zotero.org/users/10951124/items/KQUVK8G6"],"itemData":{"id":5841,"type":"article-journal","abstract":"Over half of the world's human population lives in cities, and for many, urban greenspaces are the only places where they encounter biodiversity. This is of particular concern because there is growing evidence that human well-being is enhanced by exposure to nature. However, the specific qualities of greenspaces that offer the greatest benefits remain poorly understood. One possibility is that humans respond positively to increased levels of biodiversity. Here, we demonstrate the lack of a consistent relationship between actual plant, butterfly, and bird species richness and the psychological well-being of urban greenspace visitors. Instead, well-being shows a positive relationship with the richness that the greenspace users perceived to be present. One plausible explanation for this discrepancy, which we investigate, is that people generally have poor biodiversity-identification skills. The apparent importance of perceived species richness and the mismatch between reality and perception pose a serious challenge for aligning conservation and human well-being agendas.","container-title":"BioScience","DOI":"10.1525/bio.2012.62.1.9","ISSN":"00063568","issue":"1","page":"47-55","title":"Biodiversity and the Feel-Good Factor: Understanding Associations between Self-Reported Human Well-being and Species Richness","volume":"62","author":[{"family":"Dallimer","given":"Martin"},{"family":"Irvine","given":"Katherine N."},{"family":"Skinner","given":"Andrew M.J. J"},{"family":"Davies","given":"Zoe G."},{"family":"Rouquette","given":"James R."},{"family":"Maltby","given":"Lorraine L."},{"family":"Warren","given":"Philip H."},{"family":"Armsworth","given":"Paul R."},{"family":"Gaston","given":"Kevin J."}],"issued":{"date-parts":[["2012"]]}}}],"schema":"https://github.com/citation-style-language/schema/raw/master/csl-citation.json"} </w:instrText>
      </w:r>
      <w:r w:rsidRPr="00C05886">
        <w:fldChar w:fldCharType="separate"/>
      </w:r>
      <w:r w:rsidRPr="00C05886">
        <w:rPr>
          <w:rFonts w:ascii="Calibri" w:hAnsi="Calibri" w:cs="Calibri"/>
          <w:szCs w:val="24"/>
        </w:rPr>
        <w:t xml:space="preserve">(Dallimer </w:t>
      </w:r>
      <w:r w:rsidRPr="00C05886">
        <w:rPr>
          <w:rFonts w:ascii="Calibri" w:hAnsi="Calibri" w:cs="Calibri"/>
          <w:i/>
          <w:iCs/>
          <w:szCs w:val="24"/>
        </w:rPr>
        <w:t>et al.</w:t>
      </w:r>
      <w:r w:rsidRPr="00C05886">
        <w:rPr>
          <w:rFonts w:ascii="Calibri" w:hAnsi="Calibri" w:cs="Calibri"/>
          <w:szCs w:val="24"/>
        </w:rPr>
        <w:t>, 2012)</w:t>
      </w:r>
      <w:r w:rsidRPr="00C05886">
        <w:fldChar w:fldCharType="end"/>
      </w:r>
      <w:r w:rsidRPr="00C05886">
        <w:t xml:space="preserve">. Perceived biodiversity seems a more consistent predictor of attention restoration </w:t>
      </w:r>
      <w:r w:rsidRPr="00C05886">
        <w:fldChar w:fldCharType="begin"/>
      </w:r>
      <w:r w:rsidRPr="00C05886">
        <w:instrText xml:space="preserve"> ADDIN ZOTERO_ITEM CSL_CITATION {"citationID":"3lA5Ycns","properties":{"formattedCitation":"(Gon\\uc0\\u231{}alves {\\i{}et al.}, 2021)","plainCitation":"(Gonçalves et al., 2021)","noteIndex":0},"citationItems":[{"id":9234,"uris":["http://zotero.org/users/10951124/items/7WC2F9AD"],"itemData":{"id":9234,"type":"article-journal","abstract":"Understanding the mechanisms underlying the positive influence of urban biodiversity on dwellers’ well-being is critical to inform sustainable management of urban greenspaces, but studies published to date on the role of biodiversity in mental restoration have provided contradictory results. Both urban greenspace biophysical characteristics and the emotional connection with the place may play a role in mental restoration. Using urban greenspace landscape and biodiversity metrics, and on-site observations and questionnaires to assess site quality and visitors’ perceptions, we explore the influence of biodiversity (perceived and measured at different levels), urban greenspace characteristics, and visitors profiles in mental restoration. Our statistical analysis demonstrates that perception of biodiversity, along with satisfaction and connection to place, were the most important predictors of mental restoration. The proportion of broadleaf and evergreen tree species also had a positive influence on biodiversity perception and mental restoration. People perceive existing biodiversity through visual cues as the diversity of leaf forms in broadleaf species, with this process being almost completely mediated by the perception of tree diversity. These findings have direct translation into planning and management practices by acknowledging the importance of biodiversity and, above all, specific traits, namely of evergreen broadleaf species, in promoting restorativeness of urban parks for users. Our results highlight the importance of using standard ecological methods when assessing biodiversity in urban greenspaces and their influence on human well-being.","container-title":"Ecology and Society","DOI":"10.5751/ES-12598-260325","issue":"3","journalAbbreviation":"Ecology and Society","note":"publisher: The Resilience Alliance","title":"What’s biodiversity got to do with it? Perceptions of biodiversity and restorativeness in urban parks","URL":"https://www.ecologyandsociety.org/vol26/iss3/art25/","volume":"26","author":[{"family":"Gonçalves","given":"Paula"},{"family":"Grilo","given":"Filipa"},{"family":"Mendes","given":"Raquel C."},{"family":"Vierikko","given":"Kati"},{"family":"Elands","given":"Birgit"},{"family":"Marques","given":"Tiago A."},{"family":"Santos-Reis","given":"Margarida"}],"issued":{"date-parts":[["2021"]]}}}],"schema":"https://github.com/citation-style-language/schema/raw/master/csl-citation.json"} </w:instrText>
      </w:r>
      <w:r w:rsidRPr="00C05886">
        <w:fldChar w:fldCharType="separate"/>
      </w:r>
      <w:r w:rsidRPr="00C05886">
        <w:rPr>
          <w:rFonts w:ascii="Calibri" w:hAnsi="Calibri" w:cs="Calibri"/>
          <w:szCs w:val="24"/>
        </w:rPr>
        <w:t xml:space="preserve">(Gonçalves </w:t>
      </w:r>
      <w:r w:rsidRPr="00C05886">
        <w:rPr>
          <w:rFonts w:ascii="Calibri" w:hAnsi="Calibri" w:cs="Calibri"/>
          <w:i/>
          <w:iCs/>
          <w:szCs w:val="24"/>
        </w:rPr>
        <w:t>et al.</w:t>
      </w:r>
      <w:r w:rsidRPr="00C05886">
        <w:rPr>
          <w:rFonts w:ascii="Calibri" w:hAnsi="Calibri" w:cs="Calibri"/>
          <w:szCs w:val="24"/>
        </w:rPr>
        <w:t>, 2021)</w:t>
      </w:r>
      <w:r w:rsidRPr="00C05886">
        <w:fldChar w:fldCharType="end"/>
      </w:r>
      <w:r w:rsidRPr="00C05886">
        <w:t>, although, as discussed later, perceptions are usually removed from actual biodiversity.</w:t>
      </w:r>
    </w:p>
    <w:p w14:paraId="36362F7B" w14:textId="06DE6CA9" w:rsidR="00C12E53" w:rsidRPr="00C05886" w:rsidRDefault="00C12E53" w:rsidP="00A37A7C">
      <w:r w:rsidRPr="00C05886">
        <w:t xml:space="preserve">The attention restoration theory received due criticism over the decades, though less than one may expect. Despite claims of scarce empirical evidence supporting the existence of the four components </w:t>
      </w:r>
      <w:r w:rsidRPr="00C05886">
        <w:fldChar w:fldCharType="begin"/>
      </w:r>
      <w:r w:rsidRPr="00C05886">
        <w:instrText xml:space="preserve"> ADDIN ZOTERO_ITEM CSL_CITATION {"citationID":"cIYmhhlp","properties":{"formattedCitation":"(Joye and Dewitte, 2018)","plainCitation":"(Joye and Dewitte, 2018)","noteIndex":0},"citationItems":[{"id":6426,"uris":["http://zotero.org/users/10951124/items/T4FW7BJP"],"itemData":{"id":6426,"type":"article-journal","abstract":"Over the past three decades, a growing body of environmental psychology research has demonstrated that interacting with natural environments – and especially greenspace – can have beneficial psychological effects on human individuals. One influential and widely-cited theoretical account to explain such effects is Attention Restoration Theory (ART). ART zooms in on the cognitive benefits nature can yield, and assumes that when an individual's ability to concentrate or direct attention has become depleted, then nature is well-equipped to replenish this capacity. Nature's restorative potential is thought to especially derive from its soft fascinating characteristics; these can put an individual in an effortless mode of attention, thereby giving directed attention a relative opportunity to rest and replenish itself. Although ART has been highly influential in the field of restoration studies and continues to inspire health promotion interventions, with the current paper we aim to show that the framework has important empirical and conceptual shortcomings. We specifically aim to show (a) that some of ART's principal theoretical notions are vague (e.g., soft fascination), have remained underdeveloped, and lack a clear operationalization, (b) that the framework has failed to (adequately) test its main theoretical predictions (i.e., that nature effects are recovery effects), and (c) that there is currently little support for the ART-based assumption that restoration is – or derives from – an ancient evolved adaptive response. We conclude our paper with discussing four outstanding questions for ART, and make methodological suggestions that could potentially address some of ART's current shortcomings.","container-title":"Journal of Environmental Psychology","DOI":"10.1016/j.jenvp.2018.08.006","ISSN":"15229610","page":"1-8","title":"Nature's broken path to restoration. A critical look at Attention Restoration Theory","volume":"59","author":[{"family":"Joye","given":"Yannick"},{"family":"Dewitte","given":"Siegfried"}],"issued":{"date-parts":[["2018"]]}}}],"schema":"https://github.com/citation-style-language/schema/raw/master/csl-citation.json"} </w:instrText>
      </w:r>
      <w:r w:rsidRPr="00C05886">
        <w:fldChar w:fldCharType="separate"/>
      </w:r>
      <w:r w:rsidRPr="00C05886">
        <w:rPr>
          <w:rFonts w:ascii="Calibri" w:hAnsi="Calibri" w:cs="Calibri"/>
        </w:rPr>
        <w:t>(Joye and Dewitte, 2018)</w:t>
      </w:r>
      <w:r w:rsidRPr="00C05886">
        <w:fldChar w:fldCharType="end"/>
      </w:r>
      <w:r w:rsidRPr="00C05886">
        <w:t xml:space="preserve">, only a few points of this theory have been challenged. First, the quantification of the restorative effect (i.e. how much directed attention was recovered) was deemed imprecise </w:t>
      </w:r>
      <w:r w:rsidRPr="00C05886">
        <w:fldChar w:fldCharType="begin"/>
      </w:r>
      <w:r w:rsidRPr="00C05886">
        <w:instrText xml:space="preserve"> ADDIN ZOTERO_ITEM CSL_CITATION {"citationID":"RzIfQRrd","properties":{"formattedCitation":"(Ohly {\\i{}et al.}, 2016)","plainCitation":"(Ohly et al., 2016)","noteIndex":0},"citationItems":[{"id":7410,"uris":["http://zotero.org/users/10951124/items/TWRLGRAX"],"itemData":{"id":7410,"type":"article-journal","abstract":"Attention Restoration Theory (ART) suggests the ability to concentrate may be restored by exposure to natural environments. Although widely cited, it is unclear as to the quantity of empirical evidence that supports this. A systematic review regarding the impact of exposure to natural environments on attention was conducted. Seven electronic databases were searched. Studies were included if (1) they were natural experiments, randomized investigations, or recorded \"before and after\" measurements","container-title":"J Toxicol Environ Health B Crit Rev","DOI":"10.1080/10937404.2016.1196155","ISSN":"1521-6950","issue":"7","note":"publisher: England: Informa UK Limited\npublisher-place: England","page":"305-343","title":"Attention Restoration Theory: A systematic review of the attention restoration potential of exposure to natural environments","volume":"19","author":[{"family":"Ohly","given":"Heather"},{"family":"White","given":"Mathew P"},{"family":"Wheeler","given":"Benedict W"},{"family":"Bethel","given":"Alison"},{"family":"Ukoumunne","given":"Obioha C"},{"family":"Nikolaou","given":"Vasilis"},{"family":"Garside","given":"Ruth"}],"issued":{"date-parts":[["2016"]]}}}],"schema":"https://github.com/citation-style-language/schema/raw/master/csl-citation.json"} </w:instrText>
      </w:r>
      <w:r w:rsidRPr="00C05886">
        <w:fldChar w:fldCharType="separate"/>
      </w:r>
      <w:r w:rsidRPr="00C05886">
        <w:rPr>
          <w:rFonts w:ascii="Calibri" w:hAnsi="Calibri" w:cs="Calibri"/>
          <w:szCs w:val="24"/>
        </w:rPr>
        <w:t xml:space="preserve">(Ohly </w:t>
      </w:r>
      <w:r w:rsidRPr="00C05886">
        <w:rPr>
          <w:rFonts w:ascii="Calibri" w:hAnsi="Calibri" w:cs="Calibri"/>
          <w:i/>
          <w:iCs/>
          <w:szCs w:val="24"/>
        </w:rPr>
        <w:t>et al.</w:t>
      </w:r>
      <w:r w:rsidRPr="00C05886">
        <w:rPr>
          <w:rFonts w:ascii="Calibri" w:hAnsi="Calibri" w:cs="Calibri"/>
          <w:szCs w:val="24"/>
        </w:rPr>
        <w:t>, 2016)</w:t>
      </w:r>
      <w:r w:rsidRPr="00C05886">
        <w:fldChar w:fldCharType="end"/>
      </w:r>
      <w:r w:rsidRPr="00C05886">
        <w:t xml:space="preserve">, due to the fact that many experiments could not quantify a priori the energy expenditure required by the experimental task. Second, the compatibility component, which assumes an internal comparison between the environment and one’s values, could be too slow to properly contribute to attention restoration </w:t>
      </w:r>
      <w:r w:rsidRPr="00C05886">
        <w:fldChar w:fldCharType="begin"/>
      </w:r>
      <w:r w:rsidR="00D63253" w:rsidRPr="00C05886">
        <w:instrText xml:space="preserve"> ADDIN ZOTERO_ITEM CSL_CITATION {"citationID":"mmACcdTC","properties":{"formattedCitation":"(Ulrich {\\i{}et al.}, 1991)","plainCitation":"(Ulrich et al., 1991)","noteIndex":0},"citationItems":[{"id":6345,"uris":["http://zotero.org/users/10951124/items/FZSVSHF3"],"itemData":{"id":6345,"type":"article-journal","abstract":"Different conceptual perspectives converge to predict that if individuals are stressed, an encounter with most unthreatening natural environments will have a stress reducing or restorative influence, whereas many urban environments will hamper recuperation. Hypotheses regarding emotional, attentional and physiological aspects of stress reducing influences of nature are derived from a psycho-evolutionary theory. To investigate these hypotheses, 120 subjects first viewed a stressful movie, and then were exposed to color/sound videotapes of one of six different natural and urban settings. Data concerning stress recovery during the environmental presentations were obtained from self-ratings of affective states and a battery of physiological measures: heart period, muscle tension, skin conductance and pulse transit time, a non-invasive measure that correlates with systolic blood pressure. Findings from the physiological and verbal measures converged to indicate that recovery was faster and more complete when subjects were exposed to natural rather than urban environments. The pattern of physiological findings raised the possibility that responses to nature had a salient parasympathetic nervous system component; however, there was no evidence of pronounced parasympathetic involvement in responses to the urban settings. There were directional differences in cardiac responses to the natural vs urban settings, suggesting that attention/intake was higher during the natural exposures. However, both the stressor film and the nature settings elicited high levels of involuntary or automatic attention, which contradicts the notion that restorative influences of nature stem from involuntary attention or fascination. Findings were consistent with the predictions of the psycho-evolutionary theory that restorative influences of nature involve a shift towards a more positively-toned emotional state, positive changes in physiological activity levels, and that these changes are accompanied by sustained attention/intake. Content differences in terms of natural vs human-made properties appeared decisive in accounting for the differences in recuperation and perceptual intake. © 1991 Academic Press Limited.","container-title":"Journal of Environmental Psychology","DOI":"10.1016/S0272-4944(05)80184-7","ISSN":"15229610","issue":"3","page":"201-230","title":"Stress recovery during exposure to natural and urban environments","volume":"11","author":[{"family":"Ulrich","given":"Roger S."},{"family":"Simons","given":"Robert F."},{"family":"Losito","given":"Barbara D."},{"family":"Fiorito","given":"Evelyn"},{"family":"Miles","given":"Mark A."},{"family":"Zelson","given":"Michael"}],"issued":{"date-parts":[["1991"]]}}}],"schema":"https://github.com/citation-style-language/schema/raw/master/csl-citation.json"} </w:instrText>
      </w:r>
      <w:r w:rsidRPr="00C05886">
        <w:fldChar w:fldCharType="separate"/>
      </w:r>
      <w:r w:rsidR="00D63253" w:rsidRPr="00C05886">
        <w:rPr>
          <w:rFonts w:ascii="Calibri" w:hAnsi="Calibri" w:cs="Calibri"/>
          <w:szCs w:val="24"/>
        </w:rPr>
        <w:t xml:space="preserve">(Ulrich </w:t>
      </w:r>
      <w:r w:rsidR="00D63253" w:rsidRPr="00C05886">
        <w:rPr>
          <w:rFonts w:ascii="Calibri" w:hAnsi="Calibri" w:cs="Calibri"/>
          <w:i/>
          <w:iCs/>
          <w:szCs w:val="24"/>
        </w:rPr>
        <w:t>et al.</w:t>
      </w:r>
      <w:r w:rsidR="00D63253" w:rsidRPr="00C05886">
        <w:rPr>
          <w:rFonts w:ascii="Calibri" w:hAnsi="Calibri" w:cs="Calibri"/>
          <w:szCs w:val="24"/>
        </w:rPr>
        <w:t>, 1991)</w:t>
      </w:r>
      <w:r w:rsidRPr="00C05886">
        <w:fldChar w:fldCharType="end"/>
      </w:r>
      <w:r w:rsidRPr="00C05886">
        <w:t xml:space="preserve">, while positive reactions to natural images have been proposed to be subliminal. Third, the main tool to measure attention restoration – the perceived restoration scale </w:t>
      </w:r>
      <w:r w:rsidRPr="00C05886">
        <w:fldChar w:fldCharType="begin"/>
      </w:r>
      <w:r w:rsidRPr="00C05886">
        <w:instrText xml:space="preserve"> ADDIN ZOTERO_ITEM CSL_CITATION {"citationID":"weFOyYUU","properties":{"formattedCitation":"(Hartig {\\i{}et al.}, 1997)","plainCitation":"(Hartig et al., 1997)","noteIndex":0},"citationItems":[{"id":7456,"uris":["http://zotero.org/users/10951124/items/X5TZ3CQE"],"itemData":{"id":7456,"type":"article-journal","abstract":"Restorative environments help renew psychological resources depleted in environments that do not fully support intended functions. The design of restorative environments can be aided and underlying theory elaborated with a means for measuring psychological factors thought to work in restorative experiences. This paper reports on four studies carried out to develop such a measure, the Perceived Restorativeness Scale (PRS). Each study employed several strategies for assessing reliability and validity. Factor analysis was used to examine the stability of the measure's factor structure across different sites and studies. To assess criterion, convergent, and discriminant validities, measures of emotional states and other environmental qualities were also completed for each site. The sites selected for evaluation differed on theoretically relevant dimensions (natural-urban","container-title":"Scandinavian housing and planning research","DOI":"10.1080/02815739708730435","ISSN":"0281-5737","issue":"4","note":"publisher: Informa UK Limited","page":"175-194","title":"A measure of restorative quality in environments","volume":"14","author":[{"family":"Hartig","given":"Terry"},{"family":"Korpela","given":"Kalevi"},{"family":"Evans","given":"Gary W"},{"family":"Gärling","given":"Tommy"}],"issued":{"date-parts":[["1997"]]}}}],"schema":"https://github.com/citation-style-language/schema/raw/master/csl-citation.json"} </w:instrText>
      </w:r>
      <w:r w:rsidRPr="00C05886">
        <w:fldChar w:fldCharType="separate"/>
      </w:r>
      <w:r w:rsidRPr="00C05886">
        <w:rPr>
          <w:rFonts w:ascii="Calibri" w:hAnsi="Calibri" w:cs="Calibri"/>
          <w:szCs w:val="24"/>
        </w:rPr>
        <w:t xml:space="preserve">(Hartig </w:t>
      </w:r>
      <w:r w:rsidRPr="00C05886">
        <w:rPr>
          <w:rFonts w:ascii="Calibri" w:hAnsi="Calibri" w:cs="Calibri"/>
          <w:i/>
          <w:iCs/>
          <w:szCs w:val="24"/>
        </w:rPr>
        <w:t>et al.</w:t>
      </w:r>
      <w:r w:rsidRPr="00C05886">
        <w:rPr>
          <w:rFonts w:ascii="Calibri" w:hAnsi="Calibri" w:cs="Calibri"/>
          <w:szCs w:val="24"/>
        </w:rPr>
        <w:t>, 1997)</w:t>
      </w:r>
      <w:r w:rsidRPr="00C05886">
        <w:fldChar w:fldCharType="end"/>
      </w:r>
      <w:r w:rsidRPr="00C05886">
        <w:t xml:space="preserve"> – apparently did not distinguish between sort fascination (effortless, truly restorative) and hard fascination (which requires attention) </w:t>
      </w:r>
      <w:r w:rsidRPr="00C05886">
        <w:fldChar w:fldCharType="begin"/>
      </w:r>
      <w:r w:rsidRPr="00C05886">
        <w:instrText xml:space="preserve"> ADDIN ZOTERO_ITEM CSL_CITATION {"citationID":"lbncaC1Q","properties":{"formattedCitation":"(Basu, Duvall and Kaplan, 2018)","plainCitation":"(Basu, Duvall and Kaplan, 2018)","noteIndex":0},"citationItems":[{"id":7443,"uris":["http://zotero.org/users/10951124/items/X4M2AXQV"],"itemData":{"id":7443,"type":"article-journal","abstract":"Soft fascination is a key but underexamined element of Attention Restoration Theory (ART). According to ART, attending to softly fascinating stimuli not only requires little effort but also leaves mental space for reflection. We propose that soft fascination can be characterized as the interaction of both attentional effort and mental bandwidth and hypothesize that the restorative potential of everyday activities can be categorized based on this interaction. In an online survey, 398 adults rated four activities on Mental Bandwidth (MB), Perceived Restorativeness (PR), and preference. Supporting the hypothesis, the results showed that walking in nature was perceived as softly fascinating, whereas watching television was a source of hard fascination. Furthermore, PR, but not MB, was highly correlated with preference. Findings are discussed in the context of developing a measure to help people better anticipate activities that may or may not be restorative.","container-title":"Environment and Behavior","DOI":"10.1177/0013916518774400","ISSN":"0013-9165","issue":"9-10","note":"publisher: SAGE Publications Inc","page":"1055-1081","title":"Attention Restoration Theory: Exploring the Role of Soft Fascination and Mental Bandwidth","volume":"51","author":[{"family":"Basu","given":"Avik"},{"family":"Duvall","given":"Jason"},{"family":"Kaplan","given":"Rachel"}],"issued":{"date-parts":[["2018",5,16]]}}}],"schema":"https://github.com/citation-style-language/schema/raw/master/csl-citation.json"} </w:instrText>
      </w:r>
      <w:r w:rsidRPr="00C05886">
        <w:fldChar w:fldCharType="separate"/>
      </w:r>
      <w:r w:rsidRPr="00C05886">
        <w:rPr>
          <w:rFonts w:ascii="Calibri" w:hAnsi="Calibri" w:cs="Calibri"/>
        </w:rPr>
        <w:t>(Basu, Duvall and Kaplan, 2018)</w:t>
      </w:r>
      <w:r w:rsidRPr="00C05886">
        <w:fldChar w:fldCharType="end"/>
      </w:r>
      <w:r w:rsidRPr="00C05886">
        <w:t xml:space="preserve">. </w:t>
      </w:r>
    </w:p>
    <w:p w14:paraId="57C84F62" w14:textId="77777777" w:rsidR="00C12E53" w:rsidRPr="00C05886" w:rsidRDefault="00C12E53" w:rsidP="00C12E53">
      <w:pPr>
        <w:pStyle w:val="Heading3"/>
      </w:pPr>
      <w:bookmarkStart w:id="28" w:name="_Toc179962287"/>
      <w:r w:rsidRPr="00C05886">
        <w:t>Stress recovery theory</w:t>
      </w:r>
      <w:bookmarkEnd w:id="28"/>
    </w:p>
    <w:p w14:paraId="3A9A4A4E" w14:textId="7627741B" w:rsidR="00C12E53" w:rsidRPr="00C05886" w:rsidRDefault="00C12E53" w:rsidP="00A37A7C">
      <w:r w:rsidRPr="00C05886">
        <w:t xml:space="preserve">This theory, sometimes cited as the stress reduction theory </w:t>
      </w:r>
      <w:r w:rsidRPr="00C05886">
        <w:fldChar w:fldCharType="begin"/>
      </w:r>
      <w:r w:rsidRPr="00C05886">
        <w:instrText xml:space="preserve"> ADDIN ZOTERO_ITEM CSL_CITATION {"citationID":"j49SFBk3","properties":{"formattedCitation":"(Yao, Zhang and Gong, 2021)","plainCitation":"(Yao, Zhang and Gong, 2021)","dontUpdate":true,"noteIndex":0},"citationItems":[{"id":9006,"uris":["http://zotero.org/users/10951124/items/GMVXGIGK"],"itemData":{"id":9006,"type":"article-journal","abstract":"There is an increasing evidence that natural environment provides substantial human health benefits. One mechanism underlying this relationship is the experience of stress. However, no formal statistical assessment has been conducted to test this statement. A meta-analysis was used in our study to conduct a comprehensive systematic review for the effect of direct exposure to natural environment on stress relieving. We searched four online databases and reference lists, 31 studies with a total of 1842 participants were included. Meta-analysis results showed increased natural exposure was associated with decreased salivary cortisol -0.06 (95 % CI -0.08, -0.04), state-of anxiety -12.48 (95 %CI -26.61, 1.66), self-reported stress -0.33 (95 %CI -0.78, 0.13), systolic blood pressure (SBP) -3.82 (95 %CI -6.77, -0.86), diastolic blood pressure (DBP) -2.21 (95 %CI -3.93, -0.49), Ln(LF/HF) -0.29 (95 %CI -0.41, -0.18) of heart rate variability (HRV) and increased restorative outcomes 4.82 (95 %CI -1.87, 11.51). These measurements provide the most convincing evidence that exposure to the natural environment can lead to stress reduction, and ultimately improve health. However, there was significant residual heterogeneity between studies and risk of bias was high. It is a recommended that future research in this area take appropriate steps to reduce bias and improve quality in order to build a strong evidence-based medicine foundation. This will help to convince policymakers and health professionals of the stress relieving benefits of exposure to nature, and encourage to give due regard to create, maintain, and improve existing accessible greenspaces in insufficient areas.","container-title":"Urban Forestry &amp; Urban Greening","DOI":"https://doi.org/10.1016/j.ufug.2020.126932","ISSN":"1618-8667","page":"1-12","title":"The effect of exposure to the natural environment on stress reduction: A meta-analysis","volume":"57","author":[{"family":"Yao","given":"Wenfei"},{"family":"Zhang","given":"Xiaofeng"},{"family":"Gong","given":"Qi"}],"issued":{"date-parts":[["2021"]]}}}],"schema":"https://github.com/citation-style-language/schema/raw/master/csl-citation.json"} </w:instrText>
      </w:r>
      <w:r w:rsidRPr="00C05886">
        <w:fldChar w:fldCharType="separate"/>
      </w:r>
      <w:r w:rsidRPr="00C05886">
        <w:rPr>
          <w:rFonts w:ascii="Calibri" w:hAnsi="Calibri" w:cs="Calibri"/>
        </w:rPr>
        <w:t>(e.g. Yao, Zhang and Gong, 2021)</w:t>
      </w:r>
      <w:r w:rsidRPr="00C05886">
        <w:fldChar w:fldCharType="end"/>
      </w:r>
      <w:r w:rsidRPr="00C05886">
        <w:t>, focuses on stressors as the source of energy depletion and</w:t>
      </w:r>
      <w:r w:rsidR="00E8285F">
        <w:t xml:space="preserve"> on</w:t>
      </w:r>
      <w:r w:rsidRPr="00C05886">
        <w:t xml:space="preserve"> the recovery processes of these energies </w:t>
      </w:r>
      <w:r w:rsidRPr="00C05886">
        <w:fldChar w:fldCharType="begin"/>
      </w:r>
      <w:r w:rsidR="00D63253" w:rsidRPr="00C05886">
        <w:instrText xml:space="preserve"> ADDIN ZOTERO_ITEM CSL_CITATION {"citationID":"r87FghZK","properties":{"formattedCitation":"(Ulrich {\\i{}et al.}, 1991)","plainCitation":"(Ulrich et al., 1991)","noteIndex":0},"citationItems":[{"id":6345,"uris":["http://zotero.org/users/10951124/items/FZSVSHF3"],"itemData":{"id":6345,"type":"article-journal","abstract":"Different conceptual perspectives converge to predict that if individuals are stressed, an encounter with most unthreatening natural environments will have a stress reducing or restorative influence, whereas many urban environments will hamper recuperation. Hypotheses regarding emotional, attentional and physiological aspects of stress reducing influences of nature are derived from a psycho-evolutionary theory. To investigate these hypotheses, 120 subjects first viewed a stressful movie, and then were exposed to color/sound videotapes of one of six different natural and urban settings. Data concerning stress recovery during the environmental presentations were obtained from self-ratings of affective states and a battery of physiological measures: heart period, muscle tension, skin conductance and pulse transit time, a non-invasive measure that correlates with systolic blood pressure. Findings from the physiological and verbal measures converged to indicate that recovery was faster and more complete when subjects were exposed to natural rather than urban environments. The pattern of physiological findings raised the possibility that responses to nature had a salient parasympathetic nervous system component; however, there was no evidence of pronounced parasympathetic involvement in responses to the urban settings. There were directional differences in cardiac responses to the natural vs urban settings, suggesting that attention/intake was higher during the natural exposures. However, both the stressor film and the nature settings elicited high levels of involuntary or automatic attention, which contradicts the notion that restorative influences of nature stem from involuntary attention or fascination. Findings were consistent with the predictions of the psycho-evolutionary theory that restorative influences of nature involve a shift towards a more positively-toned emotional state, positive changes in physiological activity levels, and that these changes are accompanied by sustained attention/intake. Content differences in terms of natural vs human-made properties appeared decisive in accounting for the differences in recuperation and perceptual intake. © 1991 Academic Press Limited.","container-title":"Journal of Environmental Psychology","DOI":"10.1016/S0272-4944(05)80184-7","ISSN":"15229610","issue":"3","page":"201-230","title":"Stress recovery during exposure to natural and urban environments","volume":"11","author":[{"family":"Ulrich","given":"Roger S."},{"family":"Simons","given":"Robert F."},{"family":"Losito","given":"Barbara D."},{"family":"Fiorito","given":"Evelyn"},{"family":"Miles","given":"Mark A."},{"family":"Zelson","given":"Michael"}],"issued":{"date-parts":[["1991"]]}}}],"schema":"https://github.com/citation-style-language/schema/raw/master/csl-citation.json"} </w:instrText>
      </w:r>
      <w:r w:rsidRPr="00C05886">
        <w:fldChar w:fldCharType="separate"/>
      </w:r>
      <w:r w:rsidR="00D63253" w:rsidRPr="00C05886">
        <w:rPr>
          <w:rFonts w:ascii="Calibri" w:hAnsi="Calibri" w:cs="Calibri"/>
          <w:szCs w:val="24"/>
        </w:rPr>
        <w:t xml:space="preserve">(Ulrich </w:t>
      </w:r>
      <w:r w:rsidR="00D63253" w:rsidRPr="00C05886">
        <w:rPr>
          <w:rFonts w:ascii="Calibri" w:hAnsi="Calibri" w:cs="Calibri"/>
          <w:i/>
          <w:iCs/>
          <w:szCs w:val="24"/>
        </w:rPr>
        <w:t>et al.</w:t>
      </w:r>
      <w:r w:rsidR="00D63253" w:rsidRPr="00C05886">
        <w:rPr>
          <w:rFonts w:ascii="Calibri" w:hAnsi="Calibri" w:cs="Calibri"/>
          <w:szCs w:val="24"/>
        </w:rPr>
        <w:t>, 1991)</w:t>
      </w:r>
      <w:r w:rsidRPr="00C05886">
        <w:fldChar w:fldCharType="end"/>
      </w:r>
      <w:r w:rsidRPr="00C05886">
        <w:t>. Different from the cognitive state of irritation, stress is a psychophysiological phenomenon linked to threat-response mechanisms.</w:t>
      </w:r>
    </w:p>
    <w:p w14:paraId="4C2154CC" w14:textId="409AE6F8" w:rsidR="00C12E53" w:rsidRPr="00C05886" w:rsidRDefault="00C12E53" w:rsidP="00A37A7C">
      <w:r w:rsidRPr="00C05886">
        <w:lastRenderedPageBreak/>
        <w:t>The stress recovery theory frames itself in a psycho-evolutionary perspective, which posits that humans (like other animals) have developed emotions and behaviours to regulate energy expenditure and create opportunities for recovery. In human physiology, this is the task of the autonomous nervous system (i.e. the involuntary part of the brain), which is subdivided into two anatomically distinct subsystems: the sympathetic and the parasympathetic. The sympathetic system is responsible for energy-consuming behaviours – commonly known under the term “fight-or-flight” – which were developed to react to natural hazards (e.g. predators, avalanches, falling tree</w:t>
      </w:r>
      <w:r w:rsidR="00AF060A" w:rsidRPr="00C05886">
        <w:t>s</w:t>
      </w:r>
      <w:r w:rsidRPr="00C05886">
        <w:t xml:space="preserve"> etc.) and secure survival. The parasympathetic system instead contrasts and modulates the sympathetic activity, allowing the organism to recover energy once the danger has passed.  The balance of these activities is functional for survival. However, according to the stress recovery theory, modern life tips this balance towards sympathetic activity, generating too many occasions of stress and too few opportunities for recovery. Natural (looking) environments instead, generally favour the recovery process, making it faster and more complete, provided that they are perceived as </w:t>
      </w:r>
      <w:r w:rsidRPr="00C05886">
        <w:rPr>
          <w:i/>
          <w:iCs/>
        </w:rPr>
        <w:t>unthreatening</w:t>
      </w:r>
      <w:r w:rsidRPr="00C05886">
        <w:t xml:space="preserve">. As in the case of the attention restoration theory, natural environments have several characteristics that can promote stress recovery. These are however not strictly required, acting as enhancers, rather than being prerequisites. </w:t>
      </w:r>
      <w:r w:rsidR="005D06C8" w:rsidRPr="00C05886">
        <w:t xml:space="preserve">Ulrich (1983) </w:t>
      </w:r>
      <w:r w:rsidRPr="00C05886">
        <w:t xml:space="preserve">synthesised these landscape characteristics into a list which included: the presence of vegetation and water; moderate visual complexity (e.g. various vegetation layers); and spatial openness. </w:t>
      </w:r>
    </w:p>
    <w:p w14:paraId="35BEF45F" w14:textId="4CE8BC9B" w:rsidR="00C12E53" w:rsidRPr="00C05886" w:rsidRDefault="00C12E53" w:rsidP="00A37A7C">
      <w:r w:rsidRPr="00C05886">
        <w:t xml:space="preserve">The stress recovery theory has been supported by a large corpus of empirical research, which measured the participants’ response to green spaces on both psychological and physiological parameters. Several meta-analyses synthesised the effect of green space on physiological indicators </w:t>
      </w:r>
      <w:r w:rsidRPr="00C05886">
        <w:fldChar w:fldCharType="begin"/>
      </w:r>
      <w:r w:rsidRPr="00C05886">
        <w:instrText xml:space="preserve"> ADDIN ZOTERO_ITEM CSL_CITATION {"citationID":"0AOrO41s","properties":{"formattedCitation":"(Kondo {\\i{}et al.}, 2018; Twohig-Bennett and Jones, 2018; Yao, Zhang and Gong, 2021)","plainCitation":"(Kondo et al., 2018; Twohig-Bennett and Jones, 2018; Yao, Zhang and Gong, 2021)","noteIndex":0},"citationItems":[{"id":7725,"uris":["http://zotero.org/users/10951124/items/7ZZX4RKI"],"itemData":{"id":7725,"type":"article-journal","abstract":"Background: Over half of the world’s population now lives in urban areas, and this proportion is expected to increase. While there have been numerous reviews of empirical studies on the link between nature and human health, very few have focused on the urban context, and most have examined almost exclusively cross-sectional research. This review is a first step toward assessing the possibility of causal relationships between nature and health in urban settings. Methods: Through systematic review of published literature, we explored the association between urban green space and human health. Results: We found consistent negative association between urban green space exposure and mortality, heart rate, and violence, and positive association with attention, mood, and physical activity. Results were mixed, or no association was found, in studies of urban green space exposure and general health, weight status, depression, and stress (via cortisol concentration). The number of studies was too low to generalize about birth outcomes, blood pressure, heart rate variability, cancer, diabetes, or respiratory symptoms. Conclusions: More studies using rigorous study design are needed to make generalizations, and meta-analyses, of these and other health outcomes possible. These findings may assist urban managers, organizations, and communities in their efforts to increase new or preserve existing green space.","container-title":"International journal of environmental research and public health","DOI":"10.3390/ijerph15030445","ISSN":"16604601","issue":"3","note":"PMID: 29510520","title":"Urban green space and its impact on human health","volume":"15","author":[{"family":"Kondo","given":"Michelle C."},{"family":"Fluehr","given":"Jaime M."},{"family":"Mckeon","given":"Thomas"},{"family":"Branas","given":"Charles C."}],"editor":[{"family":"Kondo","given":"Michelle C"}],"issued":{"date-parts":[["2018"]]}}},{"id":5729,"uris":["http://zotero.org/users/10951124/items/HKJB7ZRR"],"itemData":{"id":5729,"type":"article-journal","abstract":"Background: The health benefits of greenspaces have demanded the attention of policymakers since the 1800s. Although much evidence suggests greenspace exposure is beneficial for health, there exists no systematic review and meta-analysis to synthesise and quantify the impact of greenspace on a wide range of health outcomes. Objective: To quantify evidence of the impact of greenspace on a wide range of health outcomes. Methods: We searched five online databases and reference lists up to January 2017. Studies satisfying a priori eligibility criteria were evaluated independently by two authors. Results: We included 103 observational and 40 interventional studies investigating ~100 health outcomes. Meta-analysis results showed increased greenspace exposure was associated with decreased salivary cortisol −0.05 (95% CI −0.07, −0.04), heart rate −2.57 (95% CI −4.30, −0.83), diastolic blood pressure −1.97 (95% CI −3.45, −0.19), HDL cholesterol −0.03 (95% CI −0.05, &lt;-0.01), low frequency heart rate variability (HRV) −0.06 (95% CI −0.08, −0.03) and increased high frequency HRV 91.87 (95% CI 50.92, 132.82), as well as decreased risk of preterm birth 0.87 (95% CI 0.80, 0.94), type II diabetes 0.72 (95% CI 0.61, 0.85), all-cause mortality 0.69 (95% CI 0.55, 0.87), small size for gestational age 0.81 (95% CI 0.76, 0.86), cardiovascular mortality 0.84 (95% CI 0.76, 0.93), and an increased incidence of good self-reported health 1.12 (95% CI 1.05, 1.19). Incidence of stroke, hypertension, dyslipidaemia, asthma, and coronary heart disease were reduced. For several non-pooled health outcomes, between 66.7% and 100% of studies showed health-denoting associations with increased greenspace exposure including neurological and cancer-related outcomes, and respiratory mortality. Conclusions: Greenspace exposure is associated with numerous health benefits in intervention and observational studies. These results are indicative of a beneficial influence of greenspace on a wide range of health outcomes. However several meta-analyses results are limited by poor study quality and high levels of heterogeneity. Green prescriptions involving greenspace use may have substantial benefits. Our findings should encourage practitioners and policymakers to give due regard to how they can create, maintain, and improve existing accessible greenspaces in deprived areas. Furthermore the development of strategies and interventions for the utilisation of such greenspaces by those who stand to benefit the most.","container-title":"Environmental Research","DOI":"10.1016/j.envres.2018.06.030","ISSN":"10960953","issue":"July","note":"PMID: 29982151\npublisher: Elsevier Inc.","page":"628-637","title":"The health benefits of the great outdoors: A systematic review and meta-analysis of greenspace exposure and health outcomes","volume":"166","author":[{"family":"Twohig-Bennett","given":"Caoimhe"},{"family":"Jones","given":"Andy"}],"issued":{"date-parts":[["2018"]]}}},{"id":9006,"uris":["http://zotero.org/users/10951124/items/GMVXGIGK"],"itemData":{"id":9006,"type":"article-journal","abstract":"There is an increasing evidence that natural environment provides substantial human health benefits. One mechanism underlying this relationship is the experience of stress. However, no formal statistical assessment has been conducted to test this statement. A meta-analysis was used in our study to conduct a comprehensive systematic review for the effect of direct exposure to natural environment on stress relieving. We searched four online databases and reference lists, 31 studies with a total of 1842 participants were included. Meta-analysis results showed increased natural exposure was associated with decreased salivary cortisol -0.06 (95 % CI -0.08, -0.04), state-of anxiety -12.48 (95 %CI -26.61, 1.66), self-reported stress -0.33 (95 %CI -0.78, 0.13), systolic blood pressure (SBP) -3.82 (95 %CI -6.77, -0.86), diastolic blood pressure (DBP) -2.21 (95 %CI -3.93, -0.49), Ln(LF/HF) -0.29 (95 %CI -0.41, -0.18) of heart rate variability (HRV) and increased restorative outcomes 4.82 (95 %CI -1.87, 11.51). These measurements provide the most convincing evidence that exposure to the natural environment can lead to stress reduction, and ultimately improve health. However, there was significant residual heterogeneity between studies and risk of bias was high. It is a recommended that future research in this area take appropriate steps to reduce bias and improve quality in order to build a strong evidence-based medicine foundation. This will help to convince policymakers and health professionals of the stress relieving benefits of exposure to nature, and encourage to give due regard to create, maintain, and improve existing accessible greenspaces in insufficient areas.","container-title":"Urban Forestry &amp; Urban Greening","DOI":"https://doi.org/10.1016/j.ufug.2020.126932","ISSN":"1618-8667","page":"1-12","title":"The effect of exposure to the natural environment on stress reduction: A meta-analysis","volume":"57","author":[{"family":"Yao","given":"Wenfei"},{"family":"Zhang","given":"Xiaofeng"},{"family":"Gong","given":"Qi"}],"issued":{"date-parts":[["2021"]]}}}],"schema":"https://github.com/citation-style-language/schema/raw/master/csl-citation.json"} </w:instrText>
      </w:r>
      <w:r w:rsidRPr="00C05886">
        <w:fldChar w:fldCharType="separate"/>
      </w:r>
      <w:r w:rsidRPr="00C05886">
        <w:rPr>
          <w:rFonts w:ascii="Calibri" w:hAnsi="Calibri" w:cs="Calibri"/>
          <w:szCs w:val="24"/>
        </w:rPr>
        <w:t xml:space="preserve">(Kondo </w:t>
      </w:r>
      <w:r w:rsidRPr="00C05886">
        <w:rPr>
          <w:rFonts w:ascii="Calibri" w:hAnsi="Calibri" w:cs="Calibri"/>
          <w:i/>
          <w:iCs/>
          <w:szCs w:val="24"/>
        </w:rPr>
        <w:t>et al.</w:t>
      </w:r>
      <w:r w:rsidRPr="00C05886">
        <w:rPr>
          <w:rFonts w:ascii="Calibri" w:hAnsi="Calibri" w:cs="Calibri"/>
          <w:szCs w:val="24"/>
        </w:rPr>
        <w:t>, 2018; Twohig-Bennett and Jones, 2018; Yao, Zhang and Gong, 2021)</w:t>
      </w:r>
      <w:r w:rsidRPr="00C05886">
        <w:fldChar w:fldCharType="end"/>
      </w:r>
      <w:r w:rsidRPr="00C05886">
        <w:t xml:space="preserve">. Cortisol (the stress hormone) was found to decline after green space exposure </w:t>
      </w:r>
      <w:r w:rsidRPr="00C05886">
        <w:rPr>
          <w:highlight w:val="yellow"/>
        </w:rPr>
        <w:fldChar w:fldCharType="begin"/>
      </w:r>
      <w:r w:rsidRPr="00C05886">
        <w:rPr>
          <w:highlight w:val="yellow"/>
        </w:rPr>
        <w:instrText xml:space="preserve"> ADDIN ZOTERO_ITEM CSL_CITATION {"citationID":"PeIeio8n","properties":{"formattedCitation":"(Van Den Berg and Custers, 2011; Twohig-Bennett and Jones, 2018)","plainCitation":"(Van Den Berg and Custers, 2011; Twohig-Bennett and Jones, 2018)","noteIndex":0},"citationItems":[{"id":6571,"uris":["http://zotero.org/users/10951124/items/ESMM7AYK"],"itemData":{"id":6571,"type":"article-journal","abstract":"Stress-relieving effects of gardening were hypothesized and tested in a field experiment. Thirty allotment gardeners performed a stressful Stroop task and were then randomly assigned to 30 minutes of outdoor gardening or indoor reading on their own allotment plot. Salivary cortisol levels and self-reported mood were repeatedly measured. Gardening and reading each led to decreases in cortisol during the recovery period, but decreases were significantly stronger in the gardening group. Positive mood was fully restored after gardening, but further deteriorated during reading. These findings provide the first experimental evidence that gardening can promote relief from acute stress.","container-title":"Journal of Health Psychology","DOI":"10.1177/1359105310365577","ISSN":"1359-1053","issue":"1","note":"publisher-place: London, England","page":"3-11","title":"Gardening Promotes Neuroendocrine and Affective Restoration from Stress","volume":"16","author":[{"family":"Van Den Berg","given":"Agnes E"},{"family":"Custers","given":"Mariëtte H G"}],"issued":{"date-parts":[["2011"]]}}},{"id":5729,"uris":["http://zotero.org/users/10951124/items/HKJB7ZRR"],"itemData":{"id":5729,"type":"article-journal","abstract":"Background: The health benefits of greenspaces have demanded the attention of policymakers since the 1800s. Although much evidence suggests greenspace exposure is beneficial for health, there exists no systematic review and meta-analysis to synthesise and quantify the impact of greenspace on a wide range of health outcomes. Objective: To quantify evidence of the impact of greenspace on a wide range of health outcomes. Methods: We searched five online databases and reference lists up to January 2017. Studies satisfying a priori eligibility criteria were evaluated independently by two authors. Results: We included 103 observational and 40 interventional studies investigating ~100 health outcomes. Meta-analysis results showed increased greenspace exposure was associated with decreased salivary cortisol −0.05 (95% CI −0.07, −0.04), heart rate −2.57 (95% CI −4.30, −0.83), diastolic blood pressure −1.97 (95% CI −3.45, −0.19), HDL cholesterol −0.03 (95% CI −0.05, &lt;-0.01), low frequency heart rate variability (HRV) −0.06 (95% CI −0.08, −0.03) and increased high frequency HRV 91.87 (95% CI 50.92, 132.82), as well as decreased risk of preterm birth 0.87 (95% CI 0.80, 0.94), type II diabetes 0.72 (95% CI 0.61, 0.85), all-cause mortality 0.69 (95% CI 0.55, 0.87), small size for gestational age 0.81 (95% CI 0.76, 0.86), cardiovascular mortality 0.84 (95% CI 0.76, 0.93), and an increased incidence of good self-reported health 1.12 (95% CI 1.05, 1.19). Incidence of stroke, hypertension, dyslipidaemia, asthma, and coronary heart disease were reduced. For several non-pooled health outcomes, between 66.7% and 100% of studies showed health-denoting associations with increased greenspace exposure including neurological and cancer-related outcomes, and respiratory mortality. Conclusions: Greenspace exposure is associated with numerous health benefits in intervention and observational studies. These results are indicative of a beneficial influence of greenspace on a wide range of health outcomes. However several meta-analyses results are limited by poor study quality and high levels of heterogeneity. Green prescriptions involving greenspace use may have substantial benefits. Our findings should encourage practitioners and policymakers to give due regard to how they can create, maintain, and improve existing accessible greenspaces in deprived areas. Furthermore the development of strategies and interventions for the utilisation of such greenspaces by those who stand to benefit the most.","container-title":"Environmental Research","DOI":"10.1016/j.envres.2018.06.030","ISSN":"10960953","issue":"July","note":"PMID: 29982151\npublisher: Elsevier Inc.","page":"628-637","title":"The health benefits of the great outdoors: A systematic review and meta-analysis of greenspace exposure and health outcomes","volume":"166","author":[{"family":"Twohig-Bennett","given":"Caoimhe"},{"family":"Jones","given":"Andy"}],"issued":{"date-parts":[["2018"]]}}}],"schema":"https://github.com/citation-style-language/schema/raw/master/csl-citation.json"} </w:instrText>
      </w:r>
      <w:r w:rsidRPr="00C05886">
        <w:rPr>
          <w:highlight w:val="yellow"/>
        </w:rPr>
        <w:fldChar w:fldCharType="separate"/>
      </w:r>
      <w:r w:rsidRPr="00C05886">
        <w:rPr>
          <w:rFonts w:ascii="Calibri" w:hAnsi="Calibri" w:cs="Calibri"/>
        </w:rPr>
        <w:t>(Van Den Berg and Custers, 2011; Twohig-Bennett and Jones, 2018)</w:t>
      </w:r>
      <w:r w:rsidRPr="00C05886">
        <w:rPr>
          <w:highlight w:val="yellow"/>
        </w:rPr>
        <w:fldChar w:fldCharType="end"/>
      </w:r>
      <w:r w:rsidRPr="00C05886">
        <w:t xml:space="preserve">. Cardiovascular outcomes also attracted a lot of interest, as they can be linked with parasympathetic activity, are relatively easy to measure and are directly linkable with physical health. Exposure to green spaces was associated with reduced heart rate </w:t>
      </w:r>
      <w:r w:rsidRPr="00C05886">
        <w:fldChar w:fldCharType="begin"/>
      </w:r>
      <w:r w:rsidR="00A35208">
        <w:instrText xml:space="preserve"> ADDIN ZOTERO_ITEM CSL_CITATION {"citationID":"nyXPZRxk","properties":{"formattedCitation":"(Lanki {\\i{}et al.}, 2017)","plainCitation":"(Lanki et al., 2017)","noteIndex":0},"citationItems":[{"id":"6pP8vKpK/dRjnYDTH","uris":["http://www.mendeley.com/documents/?uuid=613f7577-54cc-3e55-a149-f9c698cd1748"],"itemData":{"DOI":"10.1016/j.envres.2017.07.039","ISSN":"10960953","PMID":"28802208","abstract":"Background Epidemiological studies have reported positive associations between the amount of green space in the living environment and mental and cardiovascular human health. In a search for effect mechanisms, field studies have found short-term visits to green environments to be associated with psychological stress relief. Less evidence is available on the effect of visits on cardiovascular physiology. Objectives To evaluate whether visits to urban green environments, in comparison to visits to a built-up environment, lead to beneficial short-term changes in indicators of cardiovascular health. Methods Thirty-six adult female volunteers visited three different types of urban environments: an urban forest, an urban park, and a built-up city centre, in Helsinki, Finland. The visits consisted of 15 min of sedentary viewing, and 30 min of walking. During the visits, blood pressure and heart rate were measured, and electrocardiogram recorded for the determination of indicators of heart rate variability. In addition, levels of respirable ambient particles and environmental noise were monitored. Results Visits to the green environments were associated with lower blood pressure (viewing period only), lower heart rate, and higher indices of heart rate variability [standard deviation of normal-to-normal intervals (SDNN), high frequency power] than visits to the city centre. In the green environments, heart rate decreased and SDNN increased during the visit. Associations between environment and indicators of cardiovascular health weakened slightly after inclusion of particulate air pollution and noise in the models. Conclusions Visits to urban green environments are associated with beneficial short-term changes in cardiovascular risk factors. This can be explained by psychological stress relief with contribution from reduced air pollution and noise exposure during the visits. Future research should evaluate the amount of exposure to green environments needed for longer-term benefits for cardiovascular health.","author":[{"dropping-particle":"","family":"Lanki","given":"Timo","non-dropping-particle":"","parse-names":false,"suffix":""},{"dropping-particle":"","family":"Siponen","given":"Taina","non-dropping-particle":"","parse-names":false,"suffix":""},{"dropping-particle":"","family":"Ojala","given":"Ann","non-dropping-particle":"","parse-names":false,"suffix":""},{"dropping-particle":"","family":"Korpela","given":"Kalevi","non-dropping-particle":"","parse-names":false,"suffix":""},{"dropping-particle":"","family":"Pennanen","given":"Arto","non-dropping-particle":"","parse-names":false,"suffix":""},{"dropping-particle":"","family":"Tiittanen","given":"Pekka","non-dropping-particle":"","parse-names":false,"suffix":""},{"dropping-particle":"","family":"Tsunetsugu","given":"Yuko","non-dropping-particle":"","parse-names":false,"suffix":""},{"dropping-particle":"","family":"Kagawa","given":"Takahide","non-dropping-particle":"","parse-names":false,"suffix":""},{"dropping-particle":"","family":"Tyrväinen","given":"Liisa","non-dropping-particle":"","parse-names":false,"suffix":""}],"container-title":"Environmental Research","id":"Ioh9ijsu/55rMlLZi","issued":{"date-parts":[["2017"]]},"page":"176-185","title":"Acute effects of visits to urban green environments on cardiovascular physiology in women: A field experiment","type":"article-journal","volume":"159"}}],"schema":"https://github.com/citation-style-language/schema/raw/master/csl-citation.json"} </w:instrText>
      </w:r>
      <w:r w:rsidRPr="00C05886">
        <w:fldChar w:fldCharType="separate"/>
      </w:r>
      <w:r w:rsidR="00D63253" w:rsidRPr="00C05886">
        <w:rPr>
          <w:rFonts w:ascii="Calibri" w:hAnsi="Calibri" w:cs="Calibri"/>
          <w:szCs w:val="24"/>
        </w:rPr>
        <w:t xml:space="preserve">(Lanki </w:t>
      </w:r>
      <w:r w:rsidR="00D63253" w:rsidRPr="00C05886">
        <w:rPr>
          <w:rFonts w:ascii="Calibri" w:hAnsi="Calibri" w:cs="Calibri"/>
          <w:i/>
          <w:iCs/>
          <w:szCs w:val="24"/>
        </w:rPr>
        <w:t>et al.</w:t>
      </w:r>
      <w:r w:rsidR="00D63253" w:rsidRPr="00C05886">
        <w:rPr>
          <w:rFonts w:ascii="Calibri" w:hAnsi="Calibri" w:cs="Calibri"/>
          <w:szCs w:val="24"/>
        </w:rPr>
        <w:t>, 2017)</w:t>
      </w:r>
      <w:r w:rsidRPr="00C05886">
        <w:fldChar w:fldCharType="end"/>
      </w:r>
      <w:r w:rsidRPr="00C05886">
        <w:t xml:space="preserve"> and reduced blood pressure </w:t>
      </w:r>
      <w:r w:rsidRPr="00C05886">
        <w:fldChar w:fldCharType="begin"/>
      </w:r>
      <w:r w:rsidRPr="00C05886">
        <w:instrText xml:space="preserve"> ADDIN ZOTERO_ITEM CSL_CITATION {"citationID":"HQ26b8Lb","properties":{"formattedCitation":"(Calogiuri {\\i{}et al.}, 2016)","plainCitation":"(Calogiuri et al., 2016)","noteIndex":0},"citationItems":[{"id":5253,"uris":["http://zotero.org/users/10951124/items/FIG8VPMD"],"itemData":{"id":5253,"type":"article-journal","abstract":"© 2016 - IOS Press and the authors. All rights reserved. BACKGROUND: Stress and mental fatigue are major health threats to employees in office-based occupations. Physical activity is widely used as a stress-management intervention for employees. Moreover, experiences in contact with nature have been shown to provide stress-reduction and restoration from mental fatigue. OBJECTIVES: In a pilot study designed as a randomized controlled trial we investigated the impact of a green-exercise intervention on psychological and physiological indicators of stress in municipality employees. METHODS: Fourteen employees (7 females and 7 males, 49±8 yrs) volunteered in an exercise-based intervention in workplace either outdoors in a green/nature area or in an indoor exercise-setting. The intervention consisted of an information meeting and two exercise sessions, each including a biking bout and a circuit-strength sequence using elastic rubber bands (45-minutes, at about 55% of HR reserve, overall). Main outcomes were perceived environmental potential for restoration, affective state, blood pressure (BP) and cortisol awakening response (CAR AUCG and CAR AUCI) and cortisol levels in serum. Measurements were taken at baseline and in concomitance with the exercise sessions. Furthermore, affective state and self-reported physical activity levels were measured over a 10-weeks follow-up period. RESULTS: Compared with the indoor group, the nature group reported higher environmental potential for restoration (p &lt; 0.001) and Positive Affect (p &lt; 0.01), along with improved CAR AUCI (p = 0.04) and, marginally, diastolic BP (p = 0.05). The nature group also reported higher ratings of Positive Affect at follow-up (p = 0.02). Differences at post-exercise were not found for any of the other components of affective state, systolic BP, CAR AUCG and cortisol levels measured in serum. CONCLUSIONS: Green-exercise at the workplace could be a profitable way to manage stress and induce restoration among employees. Further studies on larger samples are needed in order to improve the generalizability of the results.","container-title":"Work","DOI":"10.3233/WOR-152219","issue":"1","page":"99-111","title":"Green exercise as a workplace intervention to reduce job stress. Results from a pilot study","volume":"53","author":[{"family":"Calogiuri","given":"G."},{"family":"Evensen","given":"K."},{"family":"Weydahl","given":"A."},{"family":"Andersson","given":"K."},{"family":"Patil","given":"G."},{"family":"Ihlebæk","given":"C."},{"family":"Raanaas","given":"R.K."}],"issued":{"date-parts":[["2016"]]}}}],"schema":"https://github.com/citation-style-language/schema/raw/master/csl-citation.json"} </w:instrText>
      </w:r>
      <w:r w:rsidRPr="00C05886">
        <w:fldChar w:fldCharType="separate"/>
      </w:r>
      <w:r w:rsidRPr="00C05886">
        <w:rPr>
          <w:rFonts w:ascii="Calibri" w:hAnsi="Calibri" w:cs="Calibri"/>
          <w:szCs w:val="24"/>
        </w:rPr>
        <w:t xml:space="preserve">(Calogiuri </w:t>
      </w:r>
      <w:r w:rsidRPr="00C05886">
        <w:rPr>
          <w:rFonts w:ascii="Calibri" w:hAnsi="Calibri" w:cs="Calibri"/>
          <w:i/>
          <w:iCs/>
          <w:szCs w:val="24"/>
        </w:rPr>
        <w:t>et al.</w:t>
      </w:r>
      <w:r w:rsidRPr="00C05886">
        <w:rPr>
          <w:rFonts w:ascii="Calibri" w:hAnsi="Calibri" w:cs="Calibri"/>
          <w:szCs w:val="24"/>
        </w:rPr>
        <w:t>, 2016)</w:t>
      </w:r>
      <w:r w:rsidRPr="00C05886">
        <w:fldChar w:fldCharType="end"/>
      </w:r>
      <w:r w:rsidRPr="00C05886">
        <w:t xml:space="preserve">. Skin conductance, is another commonly used physiological indicator, being high during stress and low during rest. Exposure to green spaces generally resulted in lower skin conductance </w:t>
      </w:r>
      <w:r w:rsidRPr="00C05886">
        <w:fldChar w:fldCharType="begin"/>
      </w:r>
      <w:r w:rsidR="009F0A3D" w:rsidRPr="00C05886">
        <w:instrText xml:space="preserve"> ADDIN ZOTERO_ITEM CSL_CITATION {"citationID":"T8P6P3ZB","properties":{"formattedCitation":"(Hedblom, Gunnarsson, Iravani, {\\i{}et al.}, 2019; Elsadek, Liu and Xie, 2020)","plainCitation":"(Hedblom, Gunnarsson, Iravani, et al., 2019; Elsadek, Liu and Xie, 2020)","noteIndex":0},"citationItems":[{"id":5754,"uris":["http://zotero.org/users/10951124/items/8IGL8KLV"],"itemData":{"id":5754,"type":"article-journal","abstract":"Although stress is an increasing global health problem in cities, urban green spaces can provide health benefits. There is, however, a lack of understanding of the link between physiological mechanisms and qualities of urban green spaces. Here, we compare the effects of visual stimuli (360 degree virtual photos of an urban environment, forest, and park) to the effects of congruent olfactory stimuli (nature and city odours) and auditory stimuli (bird songs and noise) on physiological stress recovery. Participants (N = 154) were pseudo-randomised into participating in one of the three environments and subsequently exposed to stress (operationalised by skin conductance levels). The park and forest, but not the urban area, provided significant stress reduction. High pleasantness ratings of the environment were linked to low physiological stress responses for olfactory and to some extent for auditory, but not for visual stimuli. This result indicates that olfactory stimuli may be better at facilitating stress reduction than visual stimuli. Currently, urban planners prioritise visual stimuli when planning open green spaces, but urban planners should also consider multisensory qualities.","container-title":"Scientific Reports","DOI":"10.1038/s41598-019-46099-7","ISSN":"20452322","issue":"1","note":"PMID: 31300656","page":"1-11","title":"Reduction of physiological stress by urban green space in a multisensory virtual experiment","volume":"9","author":[{"family":"Hedblom","given":"Marcus"},{"family":"Gunnarsson","given":"Bengt"},{"family":"Iravani","given":"Behzad"},{"family":"Knez","given":"Igor"},{"family":"Schaefer","given":"Martin"},{"family":"Thorsson","given":"Pontus"},{"family":"Lundström","given":"Johan N."}],"issued":{"date-parts":[["2019"]]}}},{"id":5197,"uris":["http://zotero.org/users/10951124/items/F4DP2D6Y"],"itemData":{"id":5197,"type":"article-journal","abstract":"The current challenges of urbanization and densification threaten the health of urban dwellers. Previous studies have shown that contact with; or perception of green spaces has beneficial impacts on human psychological wellbeing. However, residents and employees who live or work in high-rise buildings have little opportunity to access green spaces during working hours. We do not know whether viewing green space through a high-rise estate window can potentially contribute to the psychological wellbeing of urban dwellers. Thirty participants were randomly assigned to two offices, a window looking out onto urban space, or a window looking out onto green space from a wide-angle of the 21st floor of the Jin-Mao Tower. During visual stimulation, sensors took physiological measures of their stress levels by measuring Electroencephalography, heart rate variability, and skin conductance, while their psychological reactions were collected using Profile of Mood States and Semantic Differential Questionnaire. Results showed that compared with the urban space view; viewing green space through a high-rise window resulted in a significant increase in alpha wave power in the frontal and occipital lobes, a significant increase in parasympathetic activity; and a significant decrease in the skin conductance. Moreover; a significant increase in “comfortable”, “beautiful”, “attractive”, “relaxed”, and “cheerful’’ feelings, and a significant improvement in mood states. Window views can significantly lead to better mental health and psychological wellbeing for urban dwellers. The observed results highlight the significance of considering the window views in urban high-rise neighborhood planning and design.","container-title":"Urban Forestry &amp; Urban Greening","DOI":"https://doi.org/10.1016/j.ufug.2020.126846","ISSN":"1618-8667","page":"126846","title":"Window view and relaxation: Viewing green space from a high-rise estate improves urban dwellers’ wellbeing","volume":"55","author":[{"family":"Elsadek","given":"Mohamed"},{"family":"Liu","given":"Binyi"},{"family":"Xie","given":"Junfang"}],"issued":{"date-parts":[["2020"]]}}}],"schema":"https://github.com/citation-style-language/schema/raw/master/csl-citation.json"} </w:instrText>
      </w:r>
      <w:r w:rsidRPr="00C05886">
        <w:fldChar w:fldCharType="separate"/>
      </w:r>
      <w:r w:rsidR="009F0A3D" w:rsidRPr="00C05886">
        <w:rPr>
          <w:rFonts w:ascii="Calibri" w:hAnsi="Calibri" w:cs="Calibri"/>
          <w:szCs w:val="24"/>
        </w:rPr>
        <w:t xml:space="preserve">(Hedblom, Gunnarsson, Iravani, </w:t>
      </w:r>
      <w:r w:rsidR="009F0A3D" w:rsidRPr="00C05886">
        <w:rPr>
          <w:rFonts w:ascii="Calibri" w:hAnsi="Calibri" w:cs="Calibri"/>
          <w:i/>
          <w:iCs/>
          <w:szCs w:val="24"/>
        </w:rPr>
        <w:t>et al.</w:t>
      </w:r>
      <w:r w:rsidR="009F0A3D" w:rsidRPr="00C05886">
        <w:rPr>
          <w:rFonts w:ascii="Calibri" w:hAnsi="Calibri" w:cs="Calibri"/>
          <w:szCs w:val="24"/>
        </w:rPr>
        <w:t>, 2019; Elsadek, Liu and Xie, 2020)</w:t>
      </w:r>
      <w:r w:rsidRPr="00C05886">
        <w:fldChar w:fldCharType="end"/>
      </w:r>
      <w:r w:rsidRPr="00C05886">
        <w:t xml:space="preserve"> even when the exposure was only virtual </w:t>
      </w:r>
      <w:r w:rsidRPr="00C05886">
        <w:fldChar w:fldCharType="begin"/>
      </w:r>
      <w:r w:rsidRPr="00C05886">
        <w:instrText xml:space="preserve"> ADDIN ZOTERO_ITEM CSL_CITATION {"citationID":"TSZyA6Wk","properties":{"formattedCitation":"(Knaust {\\i{}et al.}, 2022)","plainCitation":"(Knaust et al., 2022)","noteIndex":0},"citationItems":[{"id":10472,"uris":["http://zotero.org/users/10951124/items/GTY2GM3F"],"itemData":{"id":10472,"type":"article-journal","abstract":"Abstract\n            It is generally accepted that natural environments reduce stress and improve mood. Since access to natural environments is sometimes limited, virtual natural environments, especially monoscopic 360° nature videos, offer a viable alternative. However, it remains unclear whether presenting monoscopic 360° nature videos via a head-mounted display (HMD) or a PC monitor results in larger relaxation effects. Therefore, this study examined whether a monoscopic 360° beach video presented with an HMD is significantly more relaxing than the same video presented via a PC screen, or no video at all (control condition), in altering skin conductance level (SCL), heart rate (HR), and perceived relaxation. Overall, 102 adults (40.2% females, age range 19–62 years) participated in a counterbalanced, randomized, controlled, within-subject experiment. All participants were subjected to three stressors comprising different mental arithmetic tasks, followed by three different recovery phases (HMD, PC, control). For SCL, the results showed a significantly larger decrease in the HMD and PC than in the control condition, but no significant differences between the HMD and PC condition. For HR, there were no significant differences between the recovery conditions. However, the HMD condition was rated significantly more relaxing than the other conditions, with no significant differences between the PC and control condition. Exploratory analyses showed that these results were not moderated by the participants’ age, gender, or technology anxiety. Overall, the psychophysiological results showed no significant benefit favoring the HMD over PC condition, although the self-reported relaxation ratings did. Future studies are warranted to clarify this divergence.","container-title":"Virtual Reality","DOI":"10.1007/s10055-021-00595-2","ISSN":"1359-4338, 1434-9957","issue":"3","journalAbbreviation":"Virtual Reality","language":"en","page":"925-938","source":"DOI.org (Crossref)","title":"Exposure to virtual nature: the impact of different immersion levels on skin conductance level, heart rate, and perceived relaxation","title-short":"Exposure to virtual nature","volume":"26","author":[{"family":"Knaust","given":"Thiemo"},{"family":"Felnhofer","given":"Anna"},{"family":"Kothgassner","given":"Oswald D."},{"family":"Höllmer","given":"Helge"},{"family":"Gorzka","given":"Robert-Jacek"},{"family":"Schulz","given":"Holger"}],"issued":{"date-parts":[["2022",9]]}}}],"schema":"https://github.com/citation-style-language/schema/raw/master/csl-citation.json"} </w:instrText>
      </w:r>
      <w:r w:rsidRPr="00C05886">
        <w:fldChar w:fldCharType="separate"/>
      </w:r>
      <w:r w:rsidRPr="00C05886">
        <w:rPr>
          <w:rFonts w:ascii="Calibri" w:hAnsi="Calibri" w:cs="Calibri"/>
          <w:szCs w:val="24"/>
        </w:rPr>
        <w:t xml:space="preserve">(Knaust </w:t>
      </w:r>
      <w:r w:rsidRPr="00C05886">
        <w:rPr>
          <w:rFonts w:ascii="Calibri" w:hAnsi="Calibri" w:cs="Calibri"/>
          <w:i/>
          <w:iCs/>
          <w:szCs w:val="24"/>
        </w:rPr>
        <w:t>et al.</w:t>
      </w:r>
      <w:r w:rsidRPr="00C05886">
        <w:rPr>
          <w:rFonts w:ascii="Calibri" w:hAnsi="Calibri" w:cs="Calibri"/>
          <w:szCs w:val="24"/>
        </w:rPr>
        <w:t>, 2022)</w:t>
      </w:r>
      <w:r w:rsidRPr="00C05886">
        <w:fldChar w:fldCharType="end"/>
      </w:r>
      <w:r w:rsidRPr="00C05886">
        <w:t xml:space="preserve">. Psychologically, stress recovery is usually operationalised in terms of perceived stress or in terms of emotional responses, which have strong links with physiological mechanisms (see next section). In general, </w:t>
      </w:r>
      <w:r w:rsidRPr="00C05886">
        <w:lastRenderedPageBreak/>
        <w:t xml:space="preserve">these psychological indicators of stress improve following exposure to green spaces </w:t>
      </w:r>
      <w:r w:rsidRPr="00C05886">
        <w:fldChar w:fldCharType="begin"/>
      </w:r>
      <w:r w:rsidR="00A35208">
        <w:instrText xml:space="preserve"> ADDIN ZOTERO_ITEM CSL_CITATION {"citationID":"SlHVVK9R","properties":{"formattedCitation":"(Corazon {\\i{}et al.}, 2019)","plainCitation":"(Corazon et al., 2019)","noteIndex":0},"citationItems":[{"id":"6pP8vKpK/GVF7jrMc","uris":["http://www.mendeley.com/documents/?uuid=07e09b89-0dae-40ba-8462-f71785fabdfd"],"itemData":{"author":[{"dropping-particle":"","family":"Corazon","given":"Sus Sola","non-dropping-particle":"","parse-names":false,"suffix":""},{"dropping-particle":"","family":"Sidenius","given":"Ulrik","non-dropping-particle":"","parse-names":false,"suffix":""},{"dropping-particle":"","family":"Poulsen","given":"Dorthe Varning","non-dropping-particle":"","parse-names":false,"suffix":""},{"dropping-particle":"","family":"Gramkow","given":"Marie Christoffersen","non-dropping-particle":"","parse-names":false,"suffix":""},{"dropping-particle":"","family":"Stigsdotter","given":"Ulrika Karlsson","non-dropping-particle":"","parse-names":false,"suffix":""}],"container-title":"International Journal of Environmental Research and Public Health","id":"Ioh9ijsu/SutvSH4X","issue":"10","issued":{"date-parts":[["2019"]]},"note":"there a reference of using stressors here to highlight effects","page":"1711","publisher":"Multidisciplinary Digital Publishing Institute","title":"Psycho-physiological stress recovery in outdoor nature-based interventions: a systematic review of the past eight years of research","type":"article-journal","volume":"16"}}],"schema":"https://github.com/citation-style-language/schema/raw/master/csl-citation.json"} </w:instrText>
      </w:r>
      <w:r w:rsidRPr="00C05886">
        <w:fldChar w:fldCharType="separate"/>
      </w:r>
      <w:r w:rsidR="009F0A3D" w:rsidRPr="00C05886">
        <w:rPr>
          <w:rFonts w:ascii="Calibri" w:hAnsi="Calibri" w:cs="Calibri"/>
          <w:szCs w:val="24"/>
        </w:rPr>
        <w:t xml:space="preserve">(Corazon </w:t>
      </w:r>
      <w:r w:rsidR="009F0A3D" w:rsidRPr="00C05886">
        <w:rPr>
          <w:rFonts w:ascii="Calibri" w:hAnsi="Calibri" w:cs="Calibri"/>
          <w:i/>
          <w:iCs/>
          <w:szCs w:val="24"/>
        </w:rPr>
        <w:t>et al.</w:t>
      </w:r>
      <w:r w:rsidR="009F0A3D" w:rsidRPr="00C05886">
        <w:rPr>
          <w:rFonts w:ascii="Calibri" w:hAnsi="Calibri" w:cs="Calibri"/>
          <w:szCs w:val="24"/>
        </w:rPr>
        <w:t>, 2019)</w:t>
      </w:r>
      <w:r w:rsidRPr="00C05886">
        <w:fldChar w:fldCharType="end"/>
      </w:r>
      <w:r w:rsidRPr="00C05886">
        <w:t xml:space="preserve"> – i.e. perceived stress is reduced, positive emotions increase and negative emotions decrease.</w:t>
      </w:r>
    </w:p>
    <w:p w14:paraId="79B1A751" w14:textId="2DB0B579" w:rsidR="00C12E53" w:rsidRPr="00C05886" w:rsidRDefault="00C12E53" w:rsidP="00A37A7C">
      <w:r w:rsidRPr="00C05886">
        <w:t xml:space="preserve">The specific role of biodiversity (species richness) on stress recovery has received limited experimental attention, as summarised in </w:t>
      </w:r>
      <w:r w:rsidR="00AF060A" w:rsidRPr="00C05886">
        <w:t>C</w:t>
      </w:r>
      <w:r w:rsidRPr="00C05886">
        <w:t xml:space="preserve">hapters 5 and 6. The evidence remains limited </w:t>
      </w:r>
      <w:r w:rsidRPr="00C05886">
        <w:fldChar w:fldCharType="begin"/>
      </w:r>
      <w:r w:rsidRPr="00C05886">
        <w:instrText xml:space="preserve"> ADDIN ZOTERO_ITEM CSL_CITATION {"citationID":"GCP10sRJ","properties":{"formattedCitation":"(Hedin {\\i{}et al.}, 2022)","plainCitation":"(Hedin et al., 2022)","noteIndex":0},"citationItems":[{"id":9662,"uris":["http://zotero.org/users/10951124/items/4ZUAJGA3"],"itemData":{"id":9662,"type":"article-journal","abstract":"Biodiversity conservation and mental health and wellbeing are of increasing global concern, with growing relevance to planning and policy. A growing body of literature exploring the relationships between biodiversity and mental health and wellbeing—based on early research conducted largely from social science perspectives—suggests that particular qualities within natural environments confer particular benefits. Results so far have been inconclusive and inconsistent, contributing to an incohesive body of evidence. While past reviews have focused on reporting variations in results, the present study builds on early reviews by exploring variations from the perspective of author disciplines and the use of different guiding theories, and variables used to measure biodiversity, mental health and wellbeing. This aims to address a research gap in understanding whether research in this topic has become more interdisciplinary or has employed more consistent study designs, which were highlighted as priorities in past reviews, but the progress of which has not yet been explored in depth. We found that research connecting biodiversity and mental health and wellbeing has become only marginally more interdisciplinary in recent years, and there is still a large inconsistency in the use of guiding theories, variables and overall study designs. The variation in disciplinary perspectives and methods reflects a growing interest in this field and the variety of ways researchers are trying to understand and test the complex relationships between biodiversity and mental health and wellbeing. Our study shows that there are unique perspectives that different disciplines can contribute to this body of research and continuing to increase collaboration between disciplines with the use of consistent mixed methods approaches in future may contribute to a more cohesive body of evidence. We provide a framework to conceptualize recommendations for future research, highlighting the importance of interdisciplinary collaboration at multiple scales, and importantly focusing on more specific, mechanistic studies to inform decision-making that provides co-benefits for biodiversity and mental health and wellbeing.","container-title":"Frontiers in Ecology and Evolution","ISSN":"2296-701X","journalAbbreviation":"Frontiers in Ecology and Evolution","title":"Connecting Biodiversity With Mental Health and Wellbeing — A Review of Methods and Disciplinary Perspectives","URL":"https://www.frontiersin.org/articles/10.3389/fevo.2022.865727","volume":"10","author":[{"family":"Hedin","given":"Madeleine"},{"family":"Hahs","given":"Amy K."},{"family":"Mata","given":"Luis"},{"family":"Lee","given":"Kate"}],"issued":{"date-parts":[["2022"]]}}}],"schema":"https://github.com/citation-style-language/schema/raw/master/csl-citation.json"} </w:instrText>
      </w:r>
      <w:r w:rsidRPr="00C05886">
        <w:fldChar w:fldCharType="separate"/>
      </w:r>
      <w:r w:rsidRPr="00C05886">
        <w:rPr>
          <w:rFonts w:ascii="Calibri" w:hAnsi="Calibri" w:cs="Calibri"/>
          <w:szCs w:val="24"/>
        </w:rPr>
        <w:t xml:space="preserve">(Hedin </w:t>
      </w:r>
      <w:r w:rsidRPr="00C05886">
        <w:rPr>
          <w:rFonts w:ascii="Calibri" w:hAnsi="Calibri" w:cs="Calibri"/>
          <w:i/>
          <w:iCs/>
          <w:szCs w:val="24"/>
        </w:rPr>
        <w:t>et al.</w:t>
      </w:r>
      <w:r w:rsidRPr="00C05886">
        <w:rPr>
          <w:rFonts w:ascii="Calibri" w:hAnsi="Calibri" w:cs="Calibri"/>
          <w:szCs w:val="24"/>
        </w:rPr>
        <w:t>, 2022)</w:t>
      </w:r>
      <w:r w:rsidRPr="00C05886">
        <w:fldChar w:fldCharType="end"/>
      </w:r>
      <w:r w:rsidRPr="00C05886">
        <w:t xml:space="preserve"> and results can be mixed. For instance, cardiovascular parameters (heart rate and blood pressure) have improved after exposure to medium plant species richness </w:t>
      </w:r>
      <w:r w:rsidRPr="00C05886">
        <w:fldChar w:fldCharType="begin"/>
      </w:r>
      <w:r w:rsidRPr="00C05886">
        <w:instrText xml:space="preserve"> ADDIN ZOTERO_ITEM CSL_CITATION {"citationID":"HsPW4XvR","properties":{"formattedCitation":"(Lindemann-Matthies and Matthies, 2018)","plainCitation":"(Lindemann-Matthies and Matthies, 2018)","noteIndex":0},"citationItems":[{"id":9126,"uris":["http://zotero.org/users/10951124/items/9ILWYPEK"],"itemData":{"id":9126,"type":"article-journal","container-title":"Web Ecol.","DOI":"10.5194/we-18-121-2018","ISSN":"1399-1183","issue":"2","note":"publisher: Copernicus Publications","page":"121-128","title":"The influence of plant species richness on stress recovery of humans","volume":"18","author":[{"family":"Lindemann-Matthies","given":"P"},{"family":"Matthies","given":"D"}],"issued":{"date-parts":[["2018",8,29]]}}}],"schema":"https://github.com/citation-style-language/schema/raw/master/csl-citation.json"} </w:instrText>
      </w:r>
      <w:r w:rsidRPr="00C05886">
        <w:fldChar w:fldCharType="separate"/>
      </w:r>
      <w:r w:rsidRPr="00C05886">
        <w:rPr>
          <w:rFonts w:ascii="Calibri" w:hAnsi="Calibri" w:cs="Calibri"/>
        </w:rPr>
        <w:t>(Lindemann-Matthies and Matthies, 2018)</w:t>
      </w:r>
      <w:r w:rsidRPr="00C05886">
        <w:fldChar w:fldCharType="end"/>
      </w:r>
      <w:r w:rsidRPr="00C05886">
        <w:t xml:space="preserve">. Other studies did not observe significant differences in the same parameters when comparing the effect of locations at different levels of species richness </w:t>
      </w:r>
      <w:r w:rsidRPr="00C05886">
        <w:fldChar w:fldCharType="begin"/>
      </w:r>
      <w:r w:rsidR="00A35208">
        <w:instrText xml:space="preserve"> ADDIN ZOTERO_ITEM CSL_CITATION {"citationID":"h1skOe8p","properties":{"formattedCitation":"(Chang {\\i{}et al.}, 2016; Hussain {\\i{}et al.}, 2019)","plainCitation":"(Chang et al., 2016; Hussain et al., 2019)","noteIndex":0},"citationItems":[{"id":"6pP8vKpK/VTgHAEj8","uris":["http://www.mendeley.com/documents/?uuid=6bb84e6a-0d76-4fed-afcb-89a5292829b1"],"itemData":{"DOI":"10.3390/su8101049","abstract":"Promoting ecological health and human wellbeing are two fundamental goals in landscape sustainability. Green spaces are thought to improve users' psychological and physical wellbeing through the contact with nature. However, the results of some studies that rely on self-reports suggest that when the level of naturalness in a green space reaches a certain point, the beneficial effects diminish and in some cases can cause negative responses. We explored this possibility through an experimental study in which we use physiological measures rather than perceptions to assess people's wellbeing. We investigate how people are affected by outdoor settings with varying degrees of biodiversity and whether the correlation between biodiversity and physiological wellbeing is negative or positive. We used multiple measures of insect diversity as an indicator for biodiversity, and biofeedback measures as indicators of wellbeing. Our findings suggest that people are equally affected by more biodiverse and...","author":[{"dropping-particle":"","family":"Chang","given":"Kaowen","non-dropping-particle":"","parse-names":false,"suffix":""},{"dropping-particle":"","family":"Sullivan","given":"William","non-dropping-particle":"","parse-names":false,"suffix":""},{"dropping-particle":"","family":"Lin","given":"Ying-Hsuan","non-dropping-particle":"","parse-names":false,"suffix":""},{"dropping-particle":"","family":"Su","given":"Weichia","non-dropping-particle":"","parse-names":false,"suffix":""},{"dropping-particle":"","family":"Chang","given":"Chun-Yen","non-dropping-particle":"","parse-names":false,"suffix":""}],"container-title":"Sustainability","id":"Ioh9ijsu/w9PanBgO","issue":"10","issued":{"date-parts":[["2016"]]},"page":"1049","publisher-place":"Basel","title":"The Effect of Biodiversity on Green Space Users' Wellbeing-An Empirical Investigation Using Physiological Evidence","type":"article-journal","volume":"8"}},{"id":6235,"uris":["http://zotero.org/users/10951124/items/ZL85EA8V"],"itemData":{"id":6235,"type":"article-journal","abstract":"© 2019, The Author(s). Associations between biodiversity, human health and well-being have never been discussed with reference to agriculturally managed, species-rich mountainous meadows. We evaluated these associations between extensively managed (one mowing a year, no fertilization) and abandoned (no mowing since more than 80 years, no fertilization) semi-dry meadows located in the Austrian and Swiss Alps. We quantified the richness and abundance of plants, grasshoppers, true bugs, bumblebees, syrphids and landscape characteristics in the surroundings of the meadows. Associations between these biodiversity attributes and short-term psychological and physiological human health effects were assessed with 22 participants (10 males, 12 females; mean age 27 years). Participants´ pulse rate, systolic blood pressure (SBP) and diastolic blood pressure (DBP) were not affected during visits to managed or abandoned meadows. However, perceived health benefits (e.g., stress reduction, attention restoration) were higher during their stays in managed than in abandoned meadows. Also, the attractiveness of the surrounding landscape and the recreation suitability were rated higher when visiting managed meadows. Perceived naturalness was positively correlated with plant richness and flower cover. A positive correlation was found between SBP and forest cover, but SBP was negatively correlated with the open landscape. A negative association was found between grasshoppers and recreational and landscape perceptions. We suggest to discuss biodiversity attributes not only in connection with agricultural management but also with cultural ecosystem services and health benefits to raise more awareness for multifaceted interrelationships between ecosystems and humans.","container-title":"Scientific Reports","DOI":"10.1038/s41598-019-51571-5","issue":"1","title":"Management of mountainous meadows associated with biodiversity attributes, perceived health benefits and cultural ecosystem services","volume":"9","author":[{"family":"Hussain","given":"R.I."},{"family":"Walcher","given":"R."},{"family":"Eder","given":"R."},{"family":"Allex","given":"B."},{"family":"Wallner","given":"P."},{"family":"Hutter","given":"H.-P."},{"family":"Bauer","given":"N."},{"family":"Arnberger","given":"A."},{"family":"Zaller","given":"J.G."},{"family":"Frank","given":"T."}],"issued":{"date-parts":[["2019"]]}}}],"schema":"https://github.com/citation-style-language/schema/raw/master/csl-citation.json"} </w:instrText>
      </w:r>
      <w:r w:rsidRPr="00C05886">
        <w:fldChar w:fldCharType="separate"/>
      </w:r>
      <w:r w:rsidR="009F0A3D" w:rsidRPr="00C05886">
        <w:rPr>
          <w:rFonts w:ascii="Calibri" w:hAnsi="Calibri" w:cs="Calibri"/>
          <w:szCs w:val="24"/>
        </w:rPr>
        <w:t xml:space="preserve">(Chang </w:t>
      </w:r>
      <w:r w:rsidR="009F0A3D" w:rsidRPr="00C05886">
        <w:rPr>
          <w:rFonts w:ascii="Calibri" w:hAnsi="Calibri" w:cs="Calibri"/>
          <w:i/>
          <w:iCs/>
          <w:szCs w:val="24"/>
        </w:rPr>
        <w:t>et al.</w:t>
      </w:r>
      <w:r w:rsidR="009F0A3D" w:rsidRPr="00C05886">
        <w:rPr>
          <w:rFonts w:ascii="Calibri" w:hAnsi="Calibri" w:cs="Calibri"/>
          <w:szCs w:val="24"/>
        </w:rPr>
        <w:t xml:space="preserve">, 2016; Hussain </w:t>
      </w:r>
      <w:r w:rsidR="009F0A3D" w:rsidRPr="00C05886">
        <w:rPr>
          <w:rFonts w:ascii="Calibri" w:hAnsi="Calibri" w:cs="Calibri"/>
          <w:i/>
          <w:iCs/>
          <w:szCs w:val="24"/>
        </w:rPr>
        <w:t>et al.</w:t>
      </w:r>
      <w:r w:rsidR="009F0A3D" w:rsidRPr="00C05886">
        <w:rPr>
          <w:rFonts w:ascii="Calibri" w:hAnsi="Calibri" w:cs="Calibri"/>
          <w:szCs w:val="24"/>
        </w:rPr>
        <w:t>, 2019)</w:t>
      </w:r>
      <w:r w:rsidRPr="00C05886">
        <w:fldChar w:fldCharType="end"/>
      </w:r>
      <w:r w:rsidRPr="00C05886">
        <w:t>. This could be due to a non-linear effect of biodiversity, which could induce more stress recovery when at an intermediate level (i.e. achieving the required moderate visual complexity) than when too little (i.e. scarce visual complexity) or too much (i.e. excessive visual complexity).</w:t>
      </w:r>
    </w:p>
    <w:p w14:paraId="2F6CC138" w14:textId="242FB6C6" w:rsidR="00C12E53" w:rsidRPr="00C05886" w:rsidRDefault="004C459F" w:rsidP="00A37A7C">
      <w:r w:rsidRPr="00C05886">
        <w:t>Similarly to</w:t>
      </w:r>
      <w:r w:rsidR="00C12E53" w:rsidRPr="00C05886">
        <w:t xml:space="preserve"> the attention restoration theory, the stress recovery theory has received relatively little criticism. The main critical analysis was published by </w:t>
      </w:r>
      <w:r w:rsidR="00C12E53" w:rsidRPr="00C05886">
        <w:fldChar w:fldCharType="begin"/>
      </w:r>
      <w:r w:rsidR="00C12E53" w:rsidRPr="00C05886">
        <w:instrText xml:space="preserve"> ADDIN ZOTERO_ITEM CSL_CITATION {"citationID":"EAPuAToB","properties":{"formattedCitation":"(Joye and van den Berg, 2011)","plainCitation":"(Joye and van den Berg, 2011)","dontUpdate":true,"noteIndex":0},"citationItems":[{"id":7422,"uris":["http://zotero.org/users/10951124/items/J9TBQ8CB"],"itemData":{"id":7422,"type":"article-journal","abstract":"Within the field of restorative environments research, it is commonly assumed that restorative responses, triggered by exposure to natural elements and settings, are ultimately adaptive traits originating from our species’ long evolutionary history in natural environments. The aim of this article is to critically investigate the viability of this evolutionary view on restoration. In doing so, we specifically focus on Stress Recovery Theory (SRT), as this theoretical framework has most extensively elaborated on the supposed evolutionary origins of restoration. A detailed analysis of SRT's psycho-evolutionary framework shows that neither current empirical evidence nor conceptual arguments provide any strong support for the hypothesis of restorative responses to nature as an ancient evolved adaptive trait. Based on this conclusion we put forward an alternative model for restorative responses to nature based on processing fluency, which prima facie circumvents some of the pitfalls associated with evolutionary accounts for restoration. The Discussion section reflects on the implications of our critical discussion for the theory and practice of urban forestry and urban greening.","container-title":"Urban Forestry &amp; Urban Greening","DOI":"https://doi.org/10.1016/j.ufug.2011.07.004","ISSN":"1618-8667","issue":"4","page":"261-268","title":"Is love for green in our genes? A critical analysis of evolutionary assumptions in restorative environments research","volume":"10","author":[{"family":"Joye","given":"Yannick"},{"family":"Van den Berg","given":"Agnes"}],"issued":{"date-parts":[["2011"]]}}}],"schema":"https://github.com/citation-style-language/schema/raw/master/csl-citation.json"} </w:instrText>
      </w:r>
      <w:r w:rsidR="00C12E53" w:rsidRPr="00C05886">
        <w:fldChar w:fldCharType="separate"/>
      </w:r>
      <w:r w:rsidR="00C12E53" w:rsidRPr="00C05886">
        <w:rPr>
          <w:rFonts w:ascii="Calibri" w:hAnsi="Calibri" w:cs="Calibri"/>
        </w:rPr>
        <w:t>Joye and Van den Berg (2011)</w:t>
      </w:r>
      <w:r w:rsidR="00C12E53" w:rsidRPr="00C05886">
        <w:fldChar w:fldCharType="end"/>
      </w:r>
      <w:r w:rsidR="00C12E53" w:rsidRPr="00C05886">
        <w:t xml:space="preserve">, who pointed the finger against the evolutionary premises of the theory. They argued that there is not sufficient empirical and conceptual evidence to support the notion that stress recovery in response to natural environments would have been adaptive to our ancestors (i.e. favoured their survival). Yet, as they admit, the scholars investigating restorative environments showed little interest in proposing more robust explanations for the evolution of the stress recovery mechanism </w:t>
      </w:r>
      <w:r w:rsidR="00C12E53" w:rsidRPr="00C05886">
        <w:fldChar w:fldCharType="begin"/>
      </w:r>
      <w:r w:rsidR="00C12E53" w:rsidRPr="00C05886">
        <w:instrText xml:space="preserve"> ADDIN ZOTERO_ITEM CSL_CITATION {"citationID":"VHWAg9BH","properties":{"formattedCitation":"(Joye and Van den Berg, 2011)","plainCitation":"(Joye and Van den Berg, 2011)","dontUpdate":true,"noteIndex":0},"citationItems":[{"id":7422,"uris":["http://zotero.org/users/10951124/items/J9TBQ8CB"],"itemData":{"id":7422,"type":"article-journal","abstract":"Within the field of restorative environments research, it is commonly assumed that restorative responses, triggered by exposure to natural elements and settings, are ultimately adaptive traits originating from our species’ long evolutionary history in natural environments. The aim of this article is to critically investigate the viability of this evolutionary view on restoration. In doing so, we specifically focus on Stress Recovery Theory (SRT), as this theoretical framework has most extensively elaborated on the supposed evolutionary origins of restoration. A detailed analysis of SRT's psycho-evolutionary framework shows that neither current empirical evidence nor conceptual arguments provide any strong support for the hypothesis of restorative responses to nature as an ancient evolved adaptive trait. Based on this conclusion we put forward an alternative model for restorative responses to nature based on processing fluency, which prima facie circumvents some of the pitfalls associated with evolutionary accounts for restoration. The Discussion section reflects on the implications of our critical discussion for the theory and practice of urban forestry and urban greening.","container-title":"Urban Forestry &amp; Urban Greening","DOI":"https://doi.org/10.1016/j.ufug.2011.07.004","ISSN":"1618-8667","issue":"4","page":"261-268","title":"Is love for green in our genes? A critical analysis of evolutionary assumptions in restorative environments research","volume":"10","author":[{"family":"Joye","given":"Yannick"},{"family":"Van den Berg","given":"Agnes"}],"issued":{"date-parts":[["2011"]]}}}],"schema":"https://github.com/citation-style-language/schema/raw/master/csl-citation.json"} </w:instrText>
      </w:r>
      <w:r w:rsidR="00C12E53" w:rsidRPr="00C05886">
        <w:fldChar w:fldCharType="separate"/>
      </w:r>
      <w:r w:rsidR="00C12E53" w:rsidRPr="00C05886">
        <w:rPr>
          <w:rFonts w:ascii="Calibri" w:hAnsi="Calibri" w:cs="Calibri"/>
        </w:rPr>
        <w:t>(Joye and Van den Berg, 2011; p. 263)</w:t>
      </w:r>
      <w:r w:rsidR="00C12E53" w:rsidRPr="00C05886">
        <w:fldChar w:fldCharType="end"/>
      </w:r>
      <w:r w:rsidR="00C12E53" w:rsidRPr="00C05886">
        <w:t>.</w:t>
      </w:r>
    </w:p>
    <w:p w14:paraId="7A3D3F4E" w14:textId="77777777" w:rsidR="00C12E53" w:rsidRPr="00C05886" w:rsidRDefault="00C12E53" w:rsidP="00C12E53">
      <w:pPr>
        <w:pStyle w:val="Heading2"/>
      </w:pPr>
      <w:bookmarkStart w:id="29" w:name="_Toc179962288"/>
      <w:r w:rsidRPr="00C05886">
        <w:t>A quick dip into neurosciences: Human Affect and emotions</w:t>
      </w:r>
      <w:bookmarkEnd w:id="29"/>
      <w:r w:rsidRPr="00C05886">
        <w:t xml:space="preserve"> </w:t>
      </w:r>
    </w:p>
    <w:p w14:paraId="1AB29BDC" w14:textId="60C8FA11" w:rsidR="00C12E53" w:rsidRPr="00C05886" w:rsidRDefault="00C12E53" w:rsidP="006B045D">
      <w:r w:rsidRPr="00C05886">
        <w:t xml:space="preserve">Since the affective response will be the principal indicator of well-being in this thesis, it is worth summarising its definition and mentioning the ongoing scholarly debate around its nature. In the stress recovery theory, </w:t>
      </w:r>
      <w:r w:rsidRPr="00C05886">
        <w:fldChar w:fldCharType="begin"/>
      </w:r>
      <w:r w:rsidR="003E681B" w:rsidRPr="00C05886">
        <w:instrText xml:space="preserve"> ADDIN ZOTERO_ITEM CSL_CITATION {"citationID":"v23DrgCF","properties":{"formattedCitation":"(Ulrich, 1983)","plainCitation":"(Ulrich, 1983)","dontUpdate":true,"noteIndex":0},"citationItems":[{"id":7363,"uris":["http://zotero.org/users/10951124/items/Y7AZ34KM"],"itemData":{"id":7363,"type":"chapter","container-title":"Behavior and the natural environment","event-place":"New York","page":"85-125","publisher":"Springer","publisher-place":"New York","title":"Aesthetic and affective response to natural environment","author":[{"family":"Ulrich","given":"Roger S"}],"editor":[{"family":"Altman","given":"I."},{"family":"Wohlwill","given":"J."}],"issued":{"date-parts":[["1983"]]}}}],"schema":"https://github.com/citation-style-language/schema/raw/master/csl-citation.json"} </w:instrText>
      </w:r>
      <w:r w:rsidRPr="00C05886">
        <w:fldChar w:fldCharType="separate"/>
      </w:r>
      <w:r w:rsidR="005D06C8" w:rsidRPr="00C05886">
        <w:rPr>
          <w:rFonts w:ascii="Calibri" w:hAnsi="Calibri" w:cs="Calibri"/>
        </w:rPr>
        <w:t>Ulrich (1983, p.86)</w:t>
      </w:r>
      <w:r w:rsidRPr="00C05886">
        <w:fldChar w:fldCharType="end"/>
      </w:r>
      <w:r w:rsidRPr="00C05886">
        <w:t xml:space="preserve"> reduced the construct of affect to the equivalent emotional state (e.g. joy for </w:t>
      </w:r>
      <w:r w:rsidR="00E8285F">
        <w:t>Positive Affect</w:t>
      </w:r>
      <w:r w:rsidRPr="00C05886">
        <w:t xml:space="preserve"> and fear for </w:t>
      </w:r>
      <w:r w:rsidR="00E8285F">
        <w:t>Negative Affect</w:t>
      </w:r>
      <w:r w:rsidRPr="00C05886">
        <w:t xml:space="preserve">), although he acknowledged affect also included moods (e.g. depression) and drive states (e.g. thirst). </w:t>
      </w:r>
      <w:r w:rsidRPr="00C05886">
        <w:fldChar w:fldCharType="begin"/>
      </w:r>
      <w:r w:rsidRPr="00C05886">
        <w:instrText xml:space="preserve"> ADDIN ZOTERO_ITEM CSL_CITATION {"citationID":"AKNe3JnE","properties":{"formattedCitation":"(Bratman, Hamilton and Daily, 2012)","plainCitation":"(Bratman, Hamilton and Daily, 2012)","dontUpdate":true,"noteIndex":0},"citationItems":[{"id":7299,"uris":["http://zotero.org/users/10951124/items/3EVUFSV6"],"itemData":{"id":7299,"type":"article-journal","container-title":"Annals of the New York Academy of Sciences","ISSN":"0077-8923","issue":"1","note":"publisher: Blackwell Publishing Inc Malden, USA","page":"118-136","title":"The impacts of nature experience on human cognitive function and mental health","volume":"1249","author":[{"family":"Bratman","given":"Gregory N"},{"family":"Hamilton","given":"J Paul"},{"family":"Daily","given":"Gretchen C"}],"issued":{"date-parts":[["2012"]]}}}],"schema":"https://github.com/citation-style-language/schema/raw/master/csl-citation.json"} </w:instrText>
      </w:r>
      <w:r w:rsidRPr="00C05886">
        <w:fldChar w:fldCharType="separate"/>
      </w:r>
      <w:r w:rsidRPr="00C05886">
        <w:rPr>
          <w:rFonts w:ascii="Calibri" w:hAnsi="Calibri" w:cs="Calibri"/>
        </w:rPr>
        <w:t>Bratman, Hamilton and Daily (2012)</w:t>
      </w:r>
      <w:r w:rsidRPr="00C05886">
        <w:fldChar w:fldCharType="end"/>
      </w:r>
      <w:r w:rsidRPr="00C05886">
        <w:t xml:space="preserve"> also linked mood and affect, defining mood as an affective state sustained in time which can increase the frequency of feeling a corresponding emotion (e.g. being in a bad mood and feeling angry more often). More recently, </w:t>
      </w:r>
      <w:r w:rsidRPr="00C05886">
        <w:fldChar w:fldCharType="begin"/>
      </w:r>
      <w:r w:rsidRPr="00C05886">
        <w:instrText xml:space="preserve"> ADDIN ZOTERO_ITEM CSL_CITATION {"citationID":"YLfn1r5y","properties":{"formattedCitation":"(Gross, Uusberg and Uusberg, 2019)","plainCitation":"(Gross, Uusberg and Uusberg, 2019)","dontUpdate":true,"noteIndex":0},"citationItems":[{"id":9503,"uris":["http://zotero.org/users/10951124/items/EG8ZFZC4"],"itemData":{"id":9503,"type":"article-journal","abstract":"Mental health crucially depends upon affective states such as emotions, stress responses, impulses and moods. These states shape how we think, feel and behave. Often, they support adaptive functioning. At other times, however, they can become detrimental to mental health via maladaptive affect generation processes and/or maladaptive affect regulation processes. Here, we present an integrative framework for considering the role of affect generation and regulation in mental illness and well-being. Our model views affect generation as an iterative cycle of attending to, appraising and responding to situations. It views affect regulation as an iterative series of decisions aimed at altering affect generation. Affect regulation decisions include identifying what, if anything, should be changed about affect, selecting where to intervene in the affect generation cycle, choosing how to implement this intervention, and monitoring the regulation attempt to decide whether to maintain, switch or stop it. Difficulties with these decisions, often arising from biased inputs to them, can contribute to manifestations of mental illness such as clinical symptoms, syndromes and disorders. The model has a number of implications for clinical assessment and treatment. Specifically, it offers a common set of concepts for characterizing different affective states; it highlights interactions between affect generation and affect regulation; it identifies assessment and treatment targets among the component processes of affect regulation; and it is applicable to prevention and treatment of mental illness as well as to promotion and restoration of psychological well-being.","container-title":"World Psychiatry","DOI":"10.1002/wps.20618","ISSN":"1723-8617","issue":"2","journalAbbreviation":"World Psychiatry","note":"publisher: John Wiley &amp; Sons, Ltd","page":"130-139","title":"Mental illness and well-being: an affect regulation perspective","volume":"18","author":[{"family":"Gross","given":"James J."},{"family":"Uusberg","given":"Helen"},{"family":"Uusberg","given":"Andero"}],"issued":{"date-parts":[["2019",6,1]]}}}],"schema":"https://github.com/citation-style-language/schema/raw/master/csl-citation.json"} </w:instrText>
      </w:r>
      <w:r w:rsidRPr="00C05886">
        <w:fldChar w:fldCharType="separate"/>
      </w:r>
      <w:r w:rsidRPr="00C05886">
        <w:rPr>
          <w:rFonts w:ascii="Calibri" w:hAnsi="Calibri" w:cs="Calibri"/>
        </w:rPr>
        <w:t>Gross, Uusberg and Uusberg (2019)</w:t>
      </w:r>
      <w:r w:rsidRPr="00C05886">
        <w:fldChar w:fldCharType="end"/>
      </w:r>
      <w:r w:rsidRPr="00C05886">
        <w:t xml:space="preserve"> proposed a comprehensive definition of affect as an umbrella term to denote emotions, stress responses, impulses and moods. </w:t>
      </w:r>
      <w:r w:rsidRPr="00C05886">
        <w:lastRenderedPageBreak/>
        <w:t xml:space="preserve">More practically, however, affect is generally synthesised and operationalised in two domains: </w:t>
      </w:r>
      <w:r w:rsidR="00E8285F">
        <w:t>Negative Affect</w:t>
      </w:r>
      <w:r w:rsidRPr="00C05886">
        <w:t xml:space="preserve"> and </w:t>
      </w:r>
      <w:r w:rsidR="00E8285F">
        <w:t>Positive Affect</w:t>
      </w:r>
      <w:r w:rsidRPr="00C05886">
        <w:t xml:space="preserve">. Empirical and psychometric studies, across languages and cultures, have shown that the sum of negative and </w:t>
      </w:r>
      <w:r w:rsidR="00E8285F">
        <w:t>Positive Affect</w:t>
      </w:r>
      <w:r w:rsidRPr="00C05886">
        <w:t xml:space="preserve"> accounts for the 50-75% of human emotional experiences </w:t>
      </w:r>
      <w:r w:rsidRPr="00C05886">
        <w:fldChar w:fldCharType="begin"/>
      </w:r>
      <w:r w:rsidRPr="00C05886">
        <w:instrText xml:space="preserve"> ADDIN ZOTERO_ITEM CSL_CITATION {"citationID":"r8SfAeM8","properties":{"formattedCitation":"(Watson and Clark, 1992)","plainCitation":"(Watson and Clark, 1992)","dontUpdate":true,"noteIndex":0},"citationItems":[{"id":10748,"uris":["http://zotero.org/users/10951124/items/IV9CYXWU"],"itemData":{"id":10748,"type":"article-journal","abstract":"ABSTRACT\n              In this article we investigate relations between general and specific measures of self‐rated affect and markers of Neuroticism, Extraversion, Openness to Experience, Agreeableness, and Conscientiousness. Replicating previous research, we found strong and pervasive associations between Neuroticism, its facets, and the various negative affects; and between Extraversion, its facets, and the positive affects. Conscientiousness also had a significant, independent relation with general positive affect, but this effect was entirely due to the specific affect of attentiveness, which was more strongly related to Conscientiousness than Extraversion. Conversely, only the achievement facet of Conscientiousness correlated broadly with the positive affects. Finally, hostility had a strong independent association with (low) Agreeableness. The results for Neuroticism and Extraversion further clarify the temperamental basis of these higher order trait dimensions; whereas those obtained for Agreeableness and Conscientiousness illustrate the importance of examining personality‐affect relations at the lower order level.","container-title":"Journal of Personality","DOI":"10.1111/j.1467-6494.1992.tb00980.x","ISSN":"0022-3506, 1467-6494","issue":"2","journalAbbreviation":"Journal of Personality","language":"en","page":"441-476","source":"DOI.org (Crossref)","title":"On Traits and Temperament: General and Specific Factors of Emotional Experience and Their Relation to the Five‐Factor Model","title-short":"On Traits and Temperament","volume":"60","author":[{"family":"Watson","given":"David"},{"family":"Clark","given":"Lee Anna"}],"issued":{"date-parts":[["1992",6]]}}}],"schema":"https://github.com/citation-style-language/schema/raw/master/csl-citation.json"} </w:instrText>
      </w:r>
      <w:r w:rsidRPr="00C05886">
        <w:fldChar w:fldCharType="separate"/>
      </w:r>
      <w:r w:rsidRPr="00C05886">
        <w:rPr>
          <w:rFonts w:ascii="Calibri" w:hAnsi="Calibri" w:cs="Calibri"/>
        </w:rPr>
        <w:t>(Watson and Clark, 1992; p. 443)</w:t>
      </w:r>
      <w:r w:rsidRPr="00C05886">
        <w:fldChar w:fldCharType="end"/>
      </w:r>
      <w:r w:rsidRPr="00C05886">
        <w:t xml:space="preserve">. Being so pervasive in human psychophysiological functioning, affect therefore provides a useful proxy for investigating well-being.  </w:t>
      </w:r>
    </w:p>
    <w:p w14:paraId="5111F899" w14:textId="77777777" w:rsidR="00C12E53" w:rsidRPr="00C05886" w:rsidRDefault="00C12E53" w:rsidP="006B045D">
      <w:r w:rsidRPr="00C05886">
        <w:t xml:space="preserve">The reason why affect is so impactful lies in the neurobiological mechanisms underlying emotion generation and emotion regulation. These are complex processes happening in different areas of the brain, sometimes simultaneously, sometimes sequentially. The debate on which could be the source of emotions in humans is still ongoing but at least two main directions have emerged: the cognitive neuroscience perspective and the affective neuroscience perspective </w:t>
      </w:r>
      <w:r w:rsidRPr="00C05886">
        <w:fldChar w:fldCharType="begin"/>
      </w:r>
      <w:r w:rsidRPr="00C05886">
        <w:instrText xml:space="preserve"> ADDIN ZOTERO_ITEM CSL_CITATION {"citationID":"s2YoabZw","properties":{"formattedCitation":"(Panksepp {\\i{}et al.}, 2017)","plainCitation":"(Panksepp et al., 2017)","noteIndex":0},"citationItems":[{"id":10155,"uris":["http://zotero.org/users/10951124/items/RAFKK444"],"itemData":{"id":10155,"type":"article-journal","container-title":"Neuroscience &amp; Biobehavioral Reviews","DOI":"10.1016/j.neubiorev.2016.09.010","ISSN":"01497634","journalAbbreviation":"Neuroscience &amp; Biobehavioral Reviews","language":"en","page":"187-215","source":"DOI.org (Crossref)","title":"Reconciling cognitive and affective neuroscience perspectives on the brain basis of emotional experience","volume":"76","author":[{"family":"Panksepp","given":"Jaak"},{"family":"Lane","given":"Richard D."},{"family":"Solms","given":"Mark"},{"family":"Smith","given":"Ryan"}],"issued":{"date-parts":[["2017",5]]}}}],"schema":"https://github.com/citation-style-language/schema/raw/master/csl-citation.json"} </w:instrText>
      </w:r>
      <w:r w:rsidRPr="00C05886">
        <w:fldChar w:fldCharType="separate"/>
      </w:r>
      <w:r w:rsidRPr="00C05886">
        <w:rPr>
          <w:rFonts w:ascii="Calibri" w:hAnsi="Calibri" w:cs="Calibri"/>
          <w:szCs w:val="24"/>
        </w:rPr>
        <w:t xml:space="preserve">(Panksepp </w:t>
      </w:r>
      <w:r w:rsidRPr="00C05886">
        <w:rPr>
          <w:rFonts w:ascii="Calibri" w:hAnsi="Calibri" w:cs="Calibri"/>
          <w:i/>
          <w:iCs/>
          <w:szCs w:val="24"/>
        </w:rPr>
        <w:t>et al.</w:t>
      </w:r>
      <w:r w:rsidRPr="00C05886">
        <w:rPr>
          <w:rFonts w:ascii="Calibri" w:hAnsi="Calibri" w:cs="Calibri"/>
          <w:szCs w:val="24"/>
        </w:rPr>
        <w:t>, 2017)</w:t>
      </w:r>
      <w:r w:rsidRPr="00C05886">
        <w:fldChar w:fldCharType="end"/>
      </w:r>
      <w:r w:rsidRPr="00C05886">
        <w:t>.</w:t>
      </w:r>
    </w:p>
    <w:p w14:paraId="397AEFD5" w14:textId="192E353F" w:rsidR="00C12E53" w:rsidRPr="00C05886" w:rsidRDefault="00C12E53" w:rsidP="00C12E53">
      <w:pPr>
        <w:pStyle w:val="Heading3"/>
      </w:pPr>
      <w:bookmarkStart w:id="30" w:name="_Toc179962289"/>
      <w:r w:rsidRPr="00C05886">
        <w:t xml:space="preserve">Emotions as the product of cognition. The Circumplex model of </w:t>
      </w:r>
      <w:bookmarkEnd w:id="30"/>
      <w:r w:rsidR="00E8285F">
        <w:t>A</w:t>
      </w:r>
      <w:r w:rsidR="00E8285F" w:rsidRPr="00C05886">
        <w:t>ffect</w:t>
      </w:r>
    </w:p>
    <w:p w14:paraId="3C4F8796" w14:textId="77777777" w:rsidR="00C12E53" w:rsidRPr="00C05886" w:rsidRDefault="00C12E53" w:rsidP="00036FEC">
      <w:r w:rsidRPr="00C05886">
        <w:t xml:space="preserve">According to the cognitive perspective, affect would be primarily the result of the activity of the neocortex (i.e. the largest and more evolutionary recent part of the brain) after processing raw emotional reactions coming from the subcortical (and more ancient) regions of the brain. Emotions would then be “learned categories” </w:t>
      </w:r>
      <w:r w:rsidRPr="00C05886">
        <w:fldChar w:fldCharType="begin"/>
      </w:r>
      <w:r w:rsidRPr="00C05886">
        <w:instrText xml:space="preserve"> ADDIN ZOTERO_ITEM CSL_CITATION {"citationID":"Jk0ctz9x","properties":{"formattedCitation":"(Panksepp {\\i{}et al.}, 2017)","plainCitation":"(Panksepp et al., 2017)","dontUpdate":true,"noteIndex":0},"citationItems":[{"id":10155,"uris":["http://zotero.org/users/10951124/items/RAFKK444"],"itemData":{"id":10155,"type":"article-journal","container-title":"Neuroscience &amp; Biobehavioral Reviews","DOI":"10.1016/j.neubiorev.2016.09.010","ISSN":"01497634","journalAbbreviation":"Neuroscience &amp; Biobehavioral Reviews","language":"en","page":"187-215","source":"DOI.org (Crossref)","title":"Reconciling cognitive and affective neuroscience perspectives on the brain basis of emotional experience","volume":"76","author":[{"family":"Panksepp","given":"Jaak"},{"family":"Lane","given":"Richard D."},{"family":"Solms","given":"Mark"},{"family":"Smith","given":"Ryan"}],"issued":{"date-parts":[["2017",5]]}}}],"schema":"https://github.com/citation-style-language/schema/raw/master/csl-citation.json"} </w:instrText>
      </w:r>
      <w:r w:rsidRPr="00C05886">
        <w:fldChar w:fldCharType="separate"/>
      </w:r>
      <w:r w:rsidRPr="00C05886">
        <w:rPr>
          <w:rFonts w:ascii="Calibri" w:hAnsi="Calibri" w:cs="Calibri"/>
          <w:szCs w:val="24"/>
        </w:rPr>
        <w:t xml:space="preserve">(Panksepp </w:t>
      </w:r>
      <w:r w:rsidRPr="00C05886">
        <w:rPr>
          <w:rFonts w:ascii="Calibri" w:hAnsi="Calibri" w:cs="Calibri"/>
          <w:i/>
          <w:iCs/>
          <w:szCs w:val="24"/>
        </w:rPr>
        <w:t>et al.</w:t>
      </w:r>
      <w:r w:rsidRPr="00C05886">
        <w:rPr>
          <w:rFonts w:ascii="Calibri" w:hAnsi="Calibri" w:cs="Calibri"/>
          <w:szCs w:val="24"/>
        </w:rPr>
        <w:t>, 2017; p. 192)</w:t>
      </w:r>
      <w:r w:rsidRPr="00C05886">
        <w:fldChar w:fldCharType="end"/>
      </w:r>
      <w:r w:rsidRPr="00C05886">
        <w:t>, applied variably to different raw emotional reactions, influenced by culture and circumstances. For example, a person who runs away, screams or is paralysed by panic would probably express his affective state as “fear”, but the circumstances and the physiological mechanisms behind those behaviours could be different.</w:t>
      </w:r>
    </w:p>
    <w:p w14:paraId="52114ABA" w14:textId="2EEDFAEC" w:rsidR="00C12E53" w:rsidRPr="00C05886" w:rsidRDefault="00C12E53" w:rsidP="00036FEC">
      <w:r w:rsidRPr="00C05886">
        <w:t xml:space="preserve">An early application of the cognitive perspective can be recognised in the popular Circumplex model of Affect </w:t>
      </w:r>
      <w:r w:rsidRPr="00C05886">
        <w:fldChar w:fldCharType="begin"/>
      </w:r>
      <w:r w:rsidRPr="00C05886">
        <w:instrText xml:space="preserve"> ADDIN ZOTERO_ITEM CSL_CITATION {"citationID":"WuEpkJy4","properties":{"formattedCitation":"(Russell, 1980)","plainCitation":"(Russell, 1980)","noteIndex":0},"citationItems":[{"id":10746,"uris":["http://zotero.org/users/10951124/items/CIKNGLZP"],"itemData":{"id":10746,"type":"article-journal","container-title":"Journal of Personality and Social Psychology","DOI":"10.1037/h0077714","ISSN":"1939-1315, 0022-3514","issue":"6","journalAbbreviation":"Journal of Personality and Social Psychology","language":"en","page":"1161-1178","source":"DOI.org (Crossref)","title":"A circumplex model of affect.","volume":"39","author":[{"family":"Russell","given":"James A."}],"issued":{"date-parts":[["1980",12]]}}}],"schema":"https://github.com/citation-style-language/schema/raw/master/csl-citation.json"} </w:instrText>
      </w:r>
      <w:r w:rsidRPr="00C05886">
        <w:fldChar w:fldCharType="separate"/>
      </w:r>
      <w:r w:rsidRPr="00C05886">
        <w:rPr>
          <w:rFonts w:ascii="Calibri" w:hAnsi="Calibri" w:cs="Calibri"/>
        </w:rPr>
        <w:t>(Russell, 1980)</w:t>
      </w:r>
      <w:r w:rsidRPr="00C05886">
        <w:fldChar w:fldCharType="end"/>
      </w:r>
      <w:r w:rsidRPr="00C05886">
        <w:t xml:space="preserve">. According to </w:t>
      </w:r>
      <w:r w:rsidRPr="00C05886">
        <w:fldChar w:fldCharType="begin"/>
      </w:r>
      <w:r w:rsidRPr="00C05886">
        <w:instrText xml:space="preserve"> ADDIN ZOTERO_ITEM CSL_CITATION {"citationID":"8pjogun3","properties":{"formattedCitation":"(Posner, Russel and Peterson, 2005)","plainCitation":"(Posner, Russel and Peterson, 2005)","dontUpdate":true,"noteIndex":0},"citationItems":[{"id":9014,"uris":["http://zotero.org/users/10951124/items/JR3H57DN"],"itemData":{"id":9014,"type":"article-journal","abstract":"The circumplex model of affect proposes that all affective states arise from cognitive interpretations of core neural sensations that are the product of two independent neurophysiological systems. This model stands in contrast to theories of basic emotions, which posit that a discrete and independent neural system subserves every emotion. We propose that basic emotion theories no longer explain adequately the vast number of empirical observations from studies in affective neuroscience, and we suggest that a conceptual shift is needed in the empirical approaches taken to the study of emotion and affective psychopathologies. The circumplex model of affect is more consistent with many recent findings from behavioral, cognitive neuroscience, neuroimaging, and developmental studies of affect. Moreover, the model offers new theoretical and empirical approaches to studying the development of affective disorders as well as the genetic and cognitive underpinnings of affective processing within the central nervous system.This work was supported in part by NIMH Grants MH01232, MH59139, MH36197, MHK02-74677, and MH068318; a grant from the National Alliance for Research in Schizophrenia and Affective Disorders (NARSAD); NSF Grant BSC-0421702; and funding from the Thomas D. Klingenstein and Nancy D. Perlman Family Fund and the Suzanne Crosby Murphy Endowment at Columbia University.","container-title":"Development and Psychopathology","DOI":"DOI: 10.1017/S0954579405050340","ISSN":"0954-5794","issue":"3","note":"publisher: Cambridge University Press","page":"715-734","title":"The circumplex model of affect: An integrative approach to affective neuroscience, cognitive development, and psychopathology","volume":"17","author":[{"family":"Posner","given":"Jonathan"},{"family":"Russel","given":"James A"},{"family":"Peterson","given":"Bradley S"}],"issued":{"date-parts":[["2005"]]}}}],"schema":"https://github.com/citation-style-language/schema/raw/master/csl-citation.json"} </w:instrText>
      </w:r>
      <w:r w:rsidRPr="00C05886">
        <w:fldChar w:fldCharType="separate"/>
      </w:r>
      <w:r w:rsidRPr="00C05886">
        <w:rPr>
          <w:rFonts w:ascii="Calibri" w:hAnsi="Calibri" w:cs="Calibri"/>
        </w:rPr>
        <w:t>Posner, Russel and Peterson (2005</w:t>
      </w:r>
      <w:r w:rsidRPr="00C05886">
        <w:fldChar w:fldCharType="end"/>
      </w:r>
      <w:r w:rsidRPr="00C05886">
        <w:t xml:space="preserve">), all affective states arise from cognitive processes which interpret the sensations produced by two neural systems: valence and arousal. Valence is a pleasure/displeasure continuum and Arousal is the degree of physiological activation of the brain, ranging from sleepiness to alertness </w:t>
      </w:r>
      <w:r w:rsidRPr="00C05886">
        <w:fldChar w:fldCharType="begin"/>
      </w:r>
      <w:r w:rsidRPr="00C05886">
        <w:instrText xml:space="preserve"> ADDIN ZOTERO_ITEM CSL_CITATION {"citationID":"NwTAEuHY","properties":{"formattedCitation":"(Russell, 1980)","plainCitation":"(Russell, 1980)","noteIndex":0},"citationItems":[{"id":10746,"uris":["http://zotero.org/users/10951124/items/CIKNGLZP"],"itemData":{"id":10746,"type":"article-journal","container-title":"Journal of Personality and Social Psychology","DOI":"10.1037/h0077714","ISSN":"1939-1315, 0022-3514","issue":"6","journalAbbreviation":"Journal of Personality and Social Psychology","language":"en","page":"1161-1178","source":"DOI.org (Crossref)","title":"A circumplex model of affect.","volume":"39","author":[{"family":"Russell","given":"James A."}],"issued":{"date-parts":[["1980",12]]}}}],"schema":"https://github.com/citation-style-language/schema/raw/master/csl-citation.json"} </w:instrText>
      </w:r>
      <w:r w:rsidRPr="00C05886">
        <w:fldChar w:fldCharType="separate"/>
      </w:r>
      <w:r w:rsidRPr="00C05886">
        <w:rPr>
          <w:rFonts w:ascii="Calibri" w:hAnsi="Calibri" w:cs="Calibri"/>
        </w:rPr>
        <w:t>(Russell, 1980)</w:t>
      </w:r>
      <w:r w:rsidRPr="00C05886">
        <w:fldChar w:fldCharType="end"/>
      </w:r>
      <w:r w:rsidRPr="00C05886">
        <w:t xml:space="preserve">. Each emotion would be then a combination of valence and arousal, interpreted by the brain and expressed in words. For example, excitement would be the combination of positive valence and positive arousal. There is physiological evidence linked to this model, as certain indicators increase along the psychological measures. Arousal has been associated with skin conductance, while valence with levels of dopamine (high dopamine = happiness, low dopamine = </w:t>
      </w:r>
      <w:r w:rsidR="00E8285F">
        <w:t>Negative Affect</w:t>
      </w:r>
      <w:r w:rsidRPr="00C05886">
        <w:t xml:space="preserve">). This model was inspired by the fact that humans tend to feel a certain emotion associated with other emotions of the same </w:t>
      </w:r>
      <w:r w:rsidRPr="00C05886">
        <w:lastRenderedPageBreak/>
        <w:t xml:space="preserve">affective domain – e.g. joy and excitement, both pertaining to the </w:t>
      </w:r>
      <w:r w:rsidR="00E8285F">
        <w:t>Positive Affect</w:t>
      </w:r>
      <w:r w:rsidRPr="00C05886">
        <w:t xml:space="preserve"> </w:t>
      </w:r>
      <w:r w:rsidRPr="00C05886">
        <w:fldChar w:fldCharType="begin"/>
      </w:r>
      <w:r w:rsidRPr="00C05886">
        <w:instrText xml:space="preserve"> ADDIN ZOTERO_ITEM CSL_CITATION {"citationID":"V72GVQBE","properties":{"formattedCitation":"(Watson and Clark, 1992)","plainCitation":"(Watson and Clark, 1992)","noteIndex":0},"citationItems":[{"id":10748,"uris":["http://zotero.org/users/10951124/items/IV9CYXWU"],"itemData":{"id":10748,"type":"article-journal","abstract":"ABSTRACT\n              In this article we investigate relations between general and specific measures of self‐rated affect and markers of Neuroticism, Extraversion, Openness to Experience, Agreeableness, and Conscientiousness. Replicating previous research, we found strong and pervasive associations between Neuroticism, its facets, and the various negative affects; and between Extraversion, its facets, and the positive affects. Conscientiousness also had a significant, independent relation with general positive affect, but this effect was entirely due to the specific affect of attentiveness, which was more strongly related to Conscientiousness than Extraversion. Conversely, only the achievement facet of Conscientiousness correlated broadly with the positive affects. Finally, hostility had a strong independent association with (low) Agreeableness. The results for Neuroticism and Extraversion further clarify the temperamental basis of these higher order trait dimensions; whereas those obtained for Agreeableness and Conscientiousness illustrate the importance of examining personality‐affect relations at the lower order level.","container-title":"Journal of Personality","DOI":"10.1111/j.1467-6494.1992.tb00980.x","ISSN":"0022-3506, 1467-6494","issue":"2","journalAbbreviation":"Journal of Personality","language":"en","page":"441-476","source":"DOI.org (Crossref)","title":"On Traits and Temperament: General and Specific Factors of Emotional Experience and Their Relation to the Five‐Factor Model","title-short":"On Traits and Temperament","volume":"60","author":[{"family":"Watson","given":"David"},{"family":"Clark","given":"Lee Anna"}],"issued":{"date-parts":[["1992",6]]}}}],"schema":"https://github.com/citation-style-language/schema/raw/master/csl-citation.json"} </w:instrText>
      </w:r>
      <w:r w:rsidRPr="00C05886">
        <w:fldChar w:fldCharType="separate"/>
      </w:r>
      <w:r w:rsidRPr="00C05886">
        <w:rPr>
          <w:rFonts w:ascii="Calibri" w:hAnsi="Calibri" w:cs="Calibri"/>
        </w:rPr>
        <w:t>(Watson and Clark, 1992)</w:t>
      </w:r>
      <w:r w:rsidRPr="00C05886">
        <w:fldChar w:fldCharType="end"/>
      </w:r>
      <w:r w:rsidRPr="00C05886">
        <w:t xml:space="preserve">. This is how many of the most validated psychometric scales work. For instance, the Positive and </w:t>
      </w:r>
      <w:r w:rsidR="00E8285F">
        <w:t>Negative Affect</w:t>
      </w:r>
      <w:r w:rsidRPr="00C05886">
        <w:t xml:space="preserve"> Schedule </w:t>
      </w:r>
      <w:r w:rsidRPr="00C05886">
        <w:fldChar w:fldCharType="begin"/>
      </w:r>
      <w:r w:rsidRPr="00C05886">
        <w:instrText xml:space="preserve"> ADDIN ZOTERO_ITEM CSL_CITATION {"citationID":"fDQoAUe8","properties":{"formattedCitation":"(Watson, Clark and Tellegen, 1988)","plainCitation":"(Watson, Clark and Tellegen, 1988)","noteIndex":0},"citationItems":[{"id":8903,"uris":["http://zotero.org/users/10951124/items/C7JP7G7E"],"itemData":{"id":8903,"type":"article-journal","container-title":"Journal of personality and social psychology","ISSN":"1939-1315","issue":"6","note":"publisher: American Psychological Association","page":"1063","title":"Development and validation of brief measures of positive and negative affect: the PANAS scales.","volume":"54","author":[{"family":"Watson","given":"David"},{"family":"Clark","given":"Lee Anna"},{"family":"Tellegen","given":"Auke"}],"issued":{"date-parts":[["1988"]]}}}],"schema":"https://github.com/citation-style-language/schema/raw/master/csl-citation.json"} </w:instrText>
      </w:r>
      <w:r w:rsidRPr="00C05886">
        <w:fldChar w:fldCharType="separate"/>
      </w:r>
      <w:r w:rsidRPr="00C05886">
        <w:rPr>
          <w:rFonts w:ascii="Calibri" w:hAnsi="Calibri" w:cs="Calibri"/>
        </w:rPr>
        <w:t>(Watson, Clark and Tellegen, 1988)</w:t>
      </w:r>
      <w:r w:rsidRPr="00C05886">
        <w:fldChar w:fldCharType="end"/>
      </w:r>
      <w:r w:rsidRPr="00C05886">
        <w:t xml:space="preserve"> measures affect as the sum (or average) of groups of positive (e.g. feeling joyful and enthusiastic) or negative emotions (feeling sad and scared).</w:t>
      </w:r>
    </w:p>
    <w:p w14:paraId="7C6C951D" w14:textId="6E8AFE05" w:rsidR="00C12E53" w:rsidRPr="00C05886" w:rsidRDefault="00C12E53" w:rsidP="00036FEC">
      <w:r w:rsidRPr="00C05886">
        <w:t xml:space="preserve">Building on the work of neuroscientists, </w:t>
      </w:r>
      <w:r w:rsidRPr="00C05886">
        <w:fldChar w:fldCharType="begin"/>
      </w:r>
      <w:r w:rsidRPr="00C05886">
        <w:instrText xml:space="preserve"> ADDIN ZOTERO_ITEM CSL_CITATION {"citationID":"5Ye0gI67","properties":{"formattedCitation":"(Gilbert, 2005, 2009)","plainCitation":"(Gilbert, 2005, 2009)","dontUpdate":true,"noteIndex":0},"citationItems":[{"id":10894,"uris":["http://zotero.org/users/10951124/items/WJYNNPDI"],"itemData":{"id":10894,"type":"book","ISBN":"1-135-44375-0","publisher":"Routledge","title":"Compassion: Conceptualisations, research and use in psychotherapy","author":[{"family":"Gilbert","given":"Paul"}],"issued":{"date-parts":[["2005"]]}}},{"id":10890,"uris":["http://zotero.org/users/10951124/items/KFU2M8GR"],"itemData":{"id":10890,"type":"article-journal","abstract":"Summary\n            Shame and self-criticism are transdiagnostic problems. People who experience them may struggle to feel relieved, reassured or safe. Research suggests that a specialised affect regulation system (or systems) underpins feelings of reassurance, safeness and well-being. It is believed to have evolved with attachment systems and, in particular, the ability to register and respond with calming and a sense of well-being to being cared for. In compassion-focused therapy it is hypothesised that this affect regulation system is poorly accessible in people with high shame and self-criticism, in whom the ‘threat’ affect regulation system dominates orientation to their inner and outer worlds. Compassion-focused therapy is an integrated and multimodal approach that draws from evolutionary, social, developmental and Buddhist psychology, and neuroscience. One of its key concerns is to use compassionate mind training to help people develop and work with experiences of inner warmth, safeness and soothing, via compassion and self-compassion.","container-title":"Advances in Psychiatric Treatment","DOI":"10.1192/apt.bp.107.005264","ISSN":"1355-5146, 1472-1481","issue":"3","journalAbbreviation":"Adv. psychiatr. treat","language":"en","page":"199-208","source":"DOI.org (Crossref)","title":"Introducing compassion-focused therapy","volume":"15","author":[{"family":"Gilbert","given":"Paul"}],"issued":{"date-parts":[["2009",5]]}}}],"schema":"https://github.com/citation-style-language/schema/raw/master/csl-citation.json"} </w:instrText>
      </w:r>
      <w:r w:rsidRPr="00C05886">
        <w:fldChar w:fldCharType="separate"/>
      </w:r>
      <w:r w:rsidRPr="00C05886">
        <w:rPr>
          <w:rFonts w:ascii="Calibri" w:hAnsi="Calibri" w:cs="Calibri"/>
        </w:rPr>
        <w:t>Gilbert (2005, 2009)</w:t>
      </w:r>
      <w:r w:rsidRPr="00C05886">
        <w:fldChar w:fldCharType="end"/>
      </w:r>
      <w:r w:rsidRPr="00C05886">
        <w:t xml:space="preserve"> proposed a Three Circle model of affect regulation. This model expands the Circumplex Model of affect (Russell, 1980) by restructuring valence and arousal around three poles (i.e. circles). Based on neurochemical evidence </w:t>
      </w:r>
      <w:r w:rsidRPr="00C05886">
        <w:fldChar w:fldCharType="begin"/>
      </w:r>
      <w:r w:rsidRPr="00C05886">
        <w:instrText xml:space="preserve"> ADDIN ZOTERO_ITEM CSL_CITATION {"citationID":"vuvwyJWX","properties":{"formattedCitation":"(Morrone-Strupinsky and Depue, 2005)","plainCitation":"(Morrone-Strupinsky and Depue, 2005)","noteIndex":0},"citationItems":[{"id":7052,"uris":["http://zotero.org/users/10951124/items/MFB99N9Y"],"itemData":{"id":7052,"type":"article-journal","abstract":"Because little is known about the human trait of affiliation, we provide a novel neurobehavioral model of affiliative bonding. Discussion is organized around processes of reward and memory formation that occur during approach and consummatory phases of affiliation. Appetitive and consummatory reward processes are mediated independently by the activity of the ventral tegmental area (VTA) dopamine (DA)-nucleus accumbens shell (NAS) pathway and the central corticolimbic projections of the u-opiate system of the media] basal arcuate nucleus, respectively, although these two projection systems functionally interact across time. We next explicate the manner in which DA and glutamate interact in both the VTA and NAS to form incentive-encoded contextual memory ensembles that are predictive of reward derived from affiliative objects. Affiliative stimuli, in particular, are incorporated within contextual ensembles predictive of affiliative reward via: (a) the binding of affiliative stimuli in the rostral circuit of the media] extended amygdala and subsequent transmission to the NAS shell; (b) affiliative stimulus-induced opiate potentiation of DA processes in the VTA and NAS; and (c) permissive or facilitatory effects of gonadal steroids, oxytocin (in interaction with DA), and vasopressin on W sensory, perceptual, and attentional processing of affiliative stimuli and (ii) formation of social memories. Among these various processes, we propose that the capacity to experience affiliative reward via opiate functioning has a disproportionate weight in determining individual differences in affiliation. We delineate sources of these individual differences, and provide the first human data that support an association between opiate functioning and variation in trait affiliation.","container-title":"Behavioral and Brain Sciences","ISSN":"0140-525X","issue":"3","page":"313-+","title":"A neurobehavioral model of affiliative bonding: Implications for conceptualizing a human trait of affiliation","volume":"28","author":[{"family":"Morrone-Strupinsky","given":"J. V."},{"family":"Depue","given":"Richard A."}],"issued":{"date-parts":[["2005"]]}}}],"schema":"https://github.com/citation-style-language/schema/raw/master/csl-citation.json"} </w:instrText>
      </w:r>
      <w:r w:rsidRPr="00C05886">
        <w:fldChar w:fldCharType="separate"/>
      </w:r>
      <w:r w:rsidRPr="00C05886">
        <w:rPr>
          <w:rFonts w:ascii="Calibri" w:hAnsi="Calibri" w:cs="Calibri"/>
        </w:rPr>
        <w:t>(Morrone-Strupinsky and Depue, 2005)</w:t>
      </w:r>
      <w:r w:rsidRPr="00C05886">
        <w:fldChar w:fldCharType="end"/>
      </w:r>
      <w:r w:rsidRPr="00C05886">
        <w:t xml:space="preserve">, each of the three circles is associated with a class of hormones and to an emotional dimension. “Drive”, the domain of joy and excitement, is linked to the levels of dopamine. “Threat” includes most of the mechanisms regulated by the sympathetic activity with the hormone cortisol, associated with stress and anger. “Content” is a dimension of positive emotions, such as calm and restfulness, characterised by low arousal; the u-opiates are </w:t>
      </w:r>
      <w:r w:rsidR="004C459F" w:rsidRPr="00C05886">
        <w:t>its</w:t>
      </w:r>
      <w:r w:rsidRPr="00C05886">
        <w:t xml:space="preserve"> hormonal indicators. This framework is empirically convenient, as it links verbally-mediated measures of affect with their physiological counterparts.</w:t>
      </w:r>
    </w:p>
    <w:p w14:paraId="6CA167AD" w14:textId="77777777" w:rsidR="00C12E53" w:rsidRPr="00C05886" w:rsidRDefault="00C12E53" w:rsidP="00C12E53">
      <w:pPr>
        <w:pStyle w:val="Heading3"/>
      </w:pPr>
      <w:bookmarkStart w:id="31" w:name="_Toc179962290"/>
      <w:r w:rsidRPr="00C05886">
        <w:t>Affective neuroscience perspective</w:t>
      </w:r>
      <w:bookmarkEnd w:id="31"/>
    </w:p>
    <w:p w14:paraId="071358A7" w14:textId="7AC00393" w:rsidR="00C12E53" w:rsidRPr="00C05886" w:rsidRDefault="00C12E53" w:rsidP="00036FEC">
      <w:r w:rsidRPr="00C05886">
        <w:t xml:space="preserve">On the other side of the debate, the affective neuroscience perspective contends that affect has its sufficient and necessary origin in the subcortical brain and that human affective states can be inferred (but not directly measured) from speech and behaviour </w:t>
      </w:r>
      <w:r w:rsidRPr="00C05886">
        <w:fldChar w:fldCharType="begin"/>
      </w:r>
      <w:r w:rsidRPr="00C05886">
        <w:instrText xml:space="preserve"> ADDIN ZOTERO_ITEM CSL_CITATION {"citationID":"TV2nfnwq","properties":{"formattedCitation":"(Panksepp {\\i{}et al.}, 2017)","plainCitation":"(Panksepp et al., 2017)","noteIndex":0},"citationItems":[{"id":10155,"uris":["http://zotero.org/users/10951124/items/RAFKK444"],"itemData":{"id":10155,"type":"article-journal","container-title":"Neuroscience &amp; Biobehavioral Reviews","DOI":"10.1016/j.neubiorev.2016.09.010","ISSN":"01497634","journalAbbreviation":"Neuroscience &amp; Biobehavioral Reviews","language":"en","page":"187-215","source":"DOI.org (Crossref)","title":"Reconciling cognitive and affective neuroscience perspectives on the brain basis of emotional experience","volume":"76","author":[{"family":"Panksepp","given":"Jaak"},{"family":"Lane","given":"Richard D."},{"family":"Solms","given":"Mark"},{"family":"Smith","given":"Ryan"}],"issued":{"date-parts":[["2017",5]]}}}],"schema":"https://github.com/citation-style-language/schema/raw/master/csl-citation.json"} </w:instrText>
      </w:r>
      <w:r w:rsidRPr="00C05886">
        <w:fldChar w:fldCharType="separate"/>
      </w:r>
      <w:r w:rsidRPr="00C05886">
        <w:rPr>
          <w:rFonts w:ascii="Calibri" w:hAnsi="Calibri" w:cs="Calibri"/>
          <w:szCs w:val="24"/>
        </w:rPr>
        <w:t xml:space="preserve">(Panksepp </w:t>
      </w:r>
      <w:r w:rsidRPr="00C05886">
        <w:rPr>
          <w:rFonts w:ascii="Calibri" w:hAnsi="Calibri" w:cs="Calibri"/>
          <w:i/>
          <w:iCs/>
          <w:szCs w:val="24"/>
        </w:rPr>
        <w:t>et al.</w:t>
      </w:r>
      <w:r w:rsidRPr="00C05886">
        <w:rPr>
          <w:rFonts w:ascii="Calibri" w:hAnsi="Calibri" w:cs="Calibri"/>
          <w:szCs w:val="24"/>
        </w:rPr>
        <w:t>, 2017)</w:t>
      </w:r>
      <w:r w:rsidRPr="00C05886">
        <w:fldChar w:fldCharType="end"/>
      </w:r>
      <w:r w:rsidRPr="00C05886">
        <w:t xml:space="preserve">. Evidence supporting these claims comes from animal studies. For example, evidence from rats (Panksepp et al., 1994) has shown that even with decortication surgery (i.e. the removal of the neocortex), some emotions and their associated behaviours (e.g. joy and playfulness) still take place. Of course, to attempt decortication experiments in humans is ethically controversial (euphemism), but electrical stimulation of the subcortical brain seems to confirm that affective states can be generated outside of the neocortex </w:t>
      </w:r>
      <w:r w:rsidRPr="00C05886">
        <w:fldChar w:fldCharType="begin"/>
      </w:r>
      <w:r w:rsidRPr="00C05886">
        <w:instrText xml:space="preserve"> ADDIN ZOTERO_ITEM CSL_CITATION {"citationID":"MWC2G5mq","properties":{"formattedCitation":"(Berridge, 2003; Polosan {\\i{}et al.}, 2019)","plainCitation":"(Berridge, 2003; Polosan et al., 2019)","noteIndex":0},"citationItems":[{"id":10781,"uris":["http://zotero.org/users/10951124/items/8ME235KY"],"itemData":{"id":10781,"type":"article-journal","container-title":"Brain and Cognition","DOI":"10.1016/S0278-2626(03)00014-9","ISSN":"02782626","issue":"1","journalAbbreviation":"Brain and Cognition","language":"en","page":"106-128","source":"DOI.org (Crossref)","title":"Pleasures of the brain","volume":"52","author":[{"family":"Berridge","given":"Kent C."}],"issued":{"date-parts":[["2003",6]]}}},{"id":10779,"uris":["http://zotero.org/users/10951124/items/J74N5B4D"],"itemData":{"id":10779,"type":"article-journal","abstract":"Abstract\n            Affective states underlie daily decision-making and pathological behaviours relevant to obsessive–compulsive disorders (OCD), mood disorders and addictions. Deep brain stimulation targeting the motor and associative-limbic subthalamic nucleus (STN) has been shown to be effective for Parkinson’s disease (PD) and OCD, respectively. Cognitive and electrophysiological studies in PD showed responses of the motor STN to emotional stimuli, impairments in recognition of negative affective states and modulation of the intensity of subjective emotion. Here we studied whether the stimulation of the associative-limbic STN in OCD influences the subjective emotion to low-intensity positive and negative images and how this relates to clinical symptoms. We assessed 10 OCD patients with on and off STN DBS in a double-blind randomized manner by recording ratings of valence and arousal to low- and high-intensity positive and negative emotional images. STN stimulation increased positive ratings and decreased negative ratings to low-intensity positive and negative stimuli, respectively, relative to off stimulation. We also show that the change in severity of obsessive–compulsive symptoms pre- versus post-operatively interacts with both DBS and valence ratings. We show that stimulation of the associative-limbic STN might influence the negative cognitive bias in OCD and decreasing the negative appraisal of emotional stimuli with a possible relationship with clinical outcomes. That the effect is specific to low intensity might suggest a role of uncertainty or conflict related to competing interpretations of image intensity. These findings may have implications for the therapeutic efficacy of DBS.","container-title":"Translational Psychiatry","DOI":"10.1038/s41398-019-0404-y","ISSN":"2158-3188","issue":"1","journalAbbreviation":"Transl Psychiatry","language":"en","page":"73","source":"DOI.org (Crossref)","title":"Affective modulation of the associative-limbic subthalamic nucleus: deep brain stimulation in obsessive–compulsive disorder","title-short":"Affective modulation of the associative-limbic subthalamic nucleus","volume":"9","author":[{"family":"Polosan","given":"Mircea"},{"family":"Droux","given":"Fabien"},{"family":"Kibleur","given":"Astrid"},{"family":"Chabardes","given":"Stephan"},{"family":"Bougerol","given":"Thierry"},{"family":"David","given":"Olivier"},{"family":"Krack","given":"Paul"},{"family":"Voon","given":"Valerie"}],"issued":{"date-parts":[["2019",2,4]]}}}],"schema":"https://github.com/citation-style-language/schema/raw/master/csl-citation.json"} </w:instrText>
      </w:r>
      <w:r w:rsidRPr="00C05886">
        <w:fldChar w:fldCharType="separate"/>
      </w:r>
      <w:r w:rsidRPr="00C05886">
        <w:rPr>
          <w:rFonts w:ascii="Calibri" w:hAnsi="Calibri" w:cs="Calibri"/>
          <w:szCs w:val="24"/>
        </w:rPr>
        <w:t xml:space="preserve">(Berridge, 2003; Polosan </w:t>
      </w:r>
      <w:r w:rsidRPr="00C05886">
        <w:rPr>
          <w:rFonts w:ascii="Calibri" w:hAnsi="Calibri" w:cs="Calibri"/>
          <w:i/>
          <w:iCs/>
          <w:szCs w:val="24"/>
        </w:rPr>
        <w:t>et al.</w:t>
      </w:r>
      <w:r w:rsidRPr="00C05886">
        <w:rPr>
          <w:rFonts w:ascii="Calibri" w:hAnsi="Calibri" w:cs="Calibri"/>
          <w:szCs w:val="24"/>
        </w:rPr>
        <w:t>, 2019)</w:t>
      </w:r>
      <w:r w:rsidRPr="00C05886">
        <w:fldChar w:fldCharType="end"/>
      </w:r>
      <w:r w:rsidRPr="00C05886">
        <w:t xml:space="preserve">.  Based on this evidence, emotions would then be not simply an output of cognition but instead “ancestral tools”, so important to be genetically coded </w:t>
      </w:r>
      <w:r w:rsidRPr="00C05886">
        <w:fldChar w:fldCharType="begin"/>
      </w:r>
      <w:r w:rsidRPr="00C05886">
        <w:instrText xml:space="preserve"> ADDIN ZOTERO_ITEM CSL_CITATION {"citationID":"dAByRJ0J","properties":{"formattedCitation":"(Panksepp, 2010)","plainCitation":"(Panksepp, 2010)","noteIndex":0},"citationItems":[{"id":9031,"uris":["http://zotero.org/users/10951124/items/FQNE4KAB"],"itemData":{"id":9031,"type":"article-journal","container-title":"Dialogues in Clinical Neuroscience","DOI":"10.31887/DCNS.2010.12.4/jpanksepp","ISSN":"null","issue":"4","note":"publisher: Taylor &amp; Francis","page":"533-545","title":"Affective neuroscience of the emotional BrainMind: evolutionary perspectives and implications for understanding depression","volume":"12","author":[{"family":"Panksepp","given":"Jaak"}],"issued":{"date-parts":[["2010",12,31]]}}}],"schema":"https://github.com/citation-style-language/schema/raw/master/csl-citation.json"} </w:instrText>
      </w:r>
      <w:r w:rsidRPr="00C05886">
        <w:fldChar w:fldCharType="separate"/>
      </w:r>
      <w:r w:rsidRPr="00C05886">
        <w:rPr>
          <w:rFonts w:ascii="Calibri" w:hAnsi="Calibri" w:cs="Calibri"/>
        </w:rPr>
        <w:t>(Panksepp, 2010)</w:t>
      </w:r>
      <w:r w:rsidRPr="00C05886">
        <w:fldChar w:fldCharType="end"/>
      </w:r>
      <w:r w:rsidRPr="00C05886">
        <w:t xml:space="preserve">. In humans, these DNA-coded processes of affect would be firstly expressed as subcortical brain activity and only later refined through higher cognitive processes. The neocortex would not then produce emotions per se, at least not in the early infancy, but would instead be a large programmable memory, coded </w:t>
      </w:r>
      <w:r w:rsidR="00E8285F">
        <w:t>over</w:t>
      </w:r>
      <w:r w:rsidR="00E8285F" w:rsidRPr="00C05886">
        <w:t xml:space="preserve"> </w:t>
      </w:r>
      <w:r w:rsidRPr="00C05886">
        <w:t xml:space="preserve">time by internal stimuli (coming from the subcortical brain) and external stimuli (society, culture, environment) </w:t>
      </w:r>
      <w:r w:rsidRPr="00C05886">
        <w:fldChar w:fldCharType="begin"/>
      </w:r>
      <w:r w:rsidRPr="00C05886">
        <w:instrText xml:space="preserve"> ADDIN ZOTERO_ITEM CSL_CITATION {"citationID":"BYDH69NW","properties":{"formattedCitation":"(Panksepp, 2010)","plainCitation":"(Panksepp, 2010)","noteIndex":0},"citationItems":[{"id":9031,"uris":["http://zotero.org/users/10951124/items/FQNE4KAB"],"itemData":{"id":9031,"type":"article-journal","container-title":"Dialogues in Clinical Neuroscience","DOI":"10.31887/DCNS.2010.12.4/jpanksepp","ISSN":"null","issue":"4","note":"publisher: Taylor &amp; Francis","page":"533-545","title":"Affective neuroscience of the emotional BrainMind: evolutionary perspectives and implications for understanding depression","volume":"12","author":[{"family":"Panksepp","given":"Jaak"}],"issued":{"date-parts":[["2010",12,31]]}}}],"schema":"https://github.com/citation-style-language/schema/raw/master/csl-citation.json"} </w:instrText>
      </w:r>
      <w:r w:rsidRPr="00C05886">
        <w:fldChar w:fldCharType="separate"/>
      </w:r>
      <w:r w:rsidRPr="00C05886">
        <w:rPr>
          <w:rFonts w:ascii="Calibri" w:hAnsi="Calibri" w:cs="Calibri"/>
        </w:rPr>
        <w:t>(Panksepp, 2010)</w:t>
      </w:r>
      <w:r w:rsidRPr="00C05886">
        <w:fldChar w:fldCharType="end"/>
      </w:r>
      <w:r w:rsidRPr="00C05886">
        <w:t xml:space="preserve">. </w:t>
      </w:r>
      <w:r w:rsidRPr="00C05886">
        <w:lastRenderedPageBreak/>
        <w:t xml:space="preserve">The affective neuroscience perspective agrees the neocortex is critical in interpreting and regulating emotions, but rejects the claim that emotions would come exclusively from it. </w:t>
      </w:r>
    </w:p>
    <w:p w14:paraId="0C3CBB70" w14:textId="77777777" w:rsidR="00C12E53" w:rsidRPr="00C05886" w:rsidRDefault="00C12E53" w:rsidP="00036FEC">
      <w:r w:rsidRPr="00C05886">
        <w:t xml:space="preserve">Despite these tensions, the two perspectives substantially agree that affect generation is a complex process, and it is likely to involve the brain in its entirety. As it often happens, the divergences between two different approaches may simply reflect a focus on different dimensions of brain activity. Dualisms are useful methodological tools but sometimes they are elevated to the status of ontological stances </w:t>
      </w:r>
      <w:r w:rsidRPr="00C05886">
        <w:fldChar w:fldCharType="begin"/>
      </w:r>
      <w:r w:rsidRPr="00C05886">
        <w:instrText xml:space="preserve"> ADDIN ZOTERO_ITEM CSL_CITATION {"citationID":"hHL06Tx7","properties":{"formattedCitation":"(Fausto, 2019)","plainCitation":"(Fausto, 2019)","noteIndex":0},"citationItems":[{"id":10782,"uris":["http://zotero.org/users/10951124/items/L9EYVZEU"],"itemData":{"id":10782,"type":"article-journal","abstract":"A common view in affective neuroscience considers emotions as a multifaceted phenomenon constituted by independent affective and motor components. Such dualistic connotation, obtained by rephrasing the classic Darwin and James’s theories of emotion, leads to the assumption that emotional expression is controlled by motor centers in the anterior cingulate, frontal operculum, and supplementary motor area, whereas emotional experience depends on interoceptive centers in the insula. Recent stimulation studies provide a different perspective. I will outline two sets of findings. First, affective experiences can be elicited also following the stimulation of motor centers. Second, emotional expressions can be elicited by stimulating interoceptive regions. Echoing the original pragmatist theories of emotion, I will make a case for the notion that emotional experience emerges from the integration of sensory and motor signals, encoded in the same functional network.","container-title":"Emotion Review","DOI":"10.1177/1754073917723461","ISSN":"1754-0739, 1754-0747","issue":"1","journalAbbreviation":"Emotion Review","language":"en","page":"27-38","source":"DOI.org (Crossref)","title":"The Integration of Emotional Expression and Experience: A Pragmatist Review of Recent Evidence From Brain Stimulation","title-short":"The Integration of Emotional Expression and Experience","volume":"11","author":[{"family":"Fausto","given":"Caruana"}],"issued":{"date-parts":[["2019",1]]}}}],"schema":"https://github.com/citation-style-language/schema/raw/master/csl-citation.json"} </w:instrText>
      </w:r>
      <w:r w:rsidRPr="00C05886">
        <w:fldChar w:fldCharType="separate"/>
      </w:r>
      <w:r w:rsidRPr="00C05886">
        <w:rPr>
          <w:rFonts w:ascii="Calibri" w:hAnsi="Calibri" w:cs="Calibri"/>
        </w:rPr>
        <w:t>(Fausto, 2019)</w:t>
      </w:r>
      <w:r w:rsidRPr="00C05886">
        <w:fldChar w:fldCharType="end"/>
      </w:r>
      <w:r w:rsidRPr="00C05886">
        <w:t xml:space="preserve">, as highlighted for emotion and cognition. In neurosciences, there are also tensions between the expression of emotions and the experience of emotions </w:t>
      </w:r>
      <w:r w:rsidRPr="00C05886">
        <w:fldChar w:fldCharType="begin"/>
      </w:r>
      <w:r w:rsidRPr="00C05886">
        <w:instrText xml:space="preserve"> ADDIN ZOTERO_ITEM CSL_CITATION {"citationID":"PlqijeE3","properties":{"formattedCitation":"(Fausto, 2019)","plainCitation":"(Fausto, 2019)","noteIndex":0},"citationItems":[{"id":10782,"uris":["http://zotero.org/users/10951124/items/L9EYVZEU"],"itemData":{"id":10782,"type":"article-journal","abstract":"A common view in affective neuroscience considers emotions as a multifaceted phenomenon constituted by independent affective and motor components. Such dualistic connotation, obtained by rephrasing the classic Darwin and James’s theories of emotion, leads to the assumption that emotional expression is controlled by motor centers in the anterior cingulate, frontal operculum, and supplementary motor area, whereas emotional experience depends on interoceptive centers in the insula. Recent stimulation studies provide a different perspective. I will outline two sets of findings. First, affective experiences can be elicited also following the stimulation of motor centers. Second, emotional expressions can be elicited by stimulating interoceptive regions. Echoing the original pragmatist theories of emotion, I will make a case for the notion that emotional experience emerges from the integration of sensory and motor signals, encoded in the same functional network.","container-title":"Emotion Review","DOI":"10.1177/1754073917723461","ISSN":"1754-0739, 1754-0747","issue":"1","journalAbbreviation":"Emotion Review","language":"en","page":"27-38","source":"DOI.org (Crossref)","title":"The Integration of Emotional Expression and Experience: A Pragmatist Review of Recent Evidence From Brain Stimulation","title-short":"The Integration of Emotional Expression and Experience","volume":"11","author":[{"family":"Fausto","given":"Caruana"}],"issued":{"date-parts":[["2019",1]]}}}],"schema":"https://github.com/citation-style-language/schema/raw/master/csl-citation.json"} </w:instrText>
      </w:r>
      <w:r w:rsidRPr="00C05886">
        <w:fldChar w:fldCharType="separate"/>
      </w:r>
      <w:r w:rsidRPr="00C05886">
        <w:rPr>
          <w:rFonts w:ascii="Calibri" w:hAnsi="Calibri" w:cs="Calibri"/>
        </w:rPr>
        <w:t>(Fausto, 2019)</w:t>
      </w:r>
      <w:r w:rsidRPr="00C05886">
        <w:fldChar w:fldCharType="end"/>
      </w:r>
      <w:r w:rsidRPr="00C05886">
        <w:t xml:space="preserve"> and between emotion generation and emotion regulation </w:t>
      </w:r>
      <w:r w:rsidRPr="00C05886">
        <w:fldChar w:fldCharType="begin"/>
      </w:r>
      <w:r w:rsidRPr="00C05886">
        <w:instrText xml:space="preserve"> ADDIN ZOTERO_ITEM CSL_CITATION {"citationID":"r4olZVB7","properties":{"formattedCitation":"(Gross, Sheppes and Urry, 2011)","plainCitation":"(Gross, Sheppes and Urry, 2011)","noteIndex":0},"citationItems":[{"id":10783,"uris":["http://zotero.org/users/10951124/items/JKPVDED5"],"itemData":{"id":10783,"type":"article-journal","container-title":"Cognition &amp; Emotion","DOI":"10.1080/02699931.2011.555753","ISSN":"0269-9931, 1464-0600","issue":"5","journalAbbreviation":"Cognition &amp; Emotion","language":"en","page":"765-781","source":"DOI.org (Crossref)","title":"Cognition and Emotion Lecture at the 2010 SPSP Emotion Preconference: Emotion generation and emotion regulation: A distinction we should make (carefully)","title-short":"Cognition and Emotion Lecture at the 2010 SPSP Emotion Preconference","volume":"25","author":[{"family":"Gross","given":"James J."},{"family":"Sheppes","given":"Gal"},{"family":"Urry","given":"Heather L."}],"issued":{"date-parts":[["2011",8]]}}}],"schema":"https://github.com/citation-style-language/schema/raw/master/csl-citation.json"} </w:instrText>
      </w:r>
      <w:r w:rsidRPr="00C05886">
        <w:fldChar w:fldCharType="separate"/>
      </w:r>
      <w:r w:rsidRPr="00C05886">
        <w:rPr>
          <w:rFonts w:ascii="Calibri" w:hAnsi="Calibri" w:cs="Calibri"/>
        </w:rPr>
        <w:t>(Gross, Sheppes and Urry, 2011)</w:t>
      </w:r>
      <w:r w:rsidRPr="00C05886">
        <w:fldChar w:fldCharType="end"/>
      </w:r>
      <w:r w:rsidRPr="00C05886">
        <w:t xml:space="preserve">. The next section will briefly summarise the latter, as natural environments may have a role in it. </w:t>
      </w:r>
    </w:p>
    <w:p w14:paraId="10EF7714" w14:textId="77777777" w:rsidR="00C12E53" w:rsidRPr="00C05886" w:rsidRDefault="00C12E53" w:rsidP="00C12E53">
      <w:pPr>
        <w:pStyle w:val="Heading3"/>
      </w:pPr>
      <w:bookmarkStart w:id="32" w:name="_Toc179962291"/>
      <w:r w:rsidRPr="00C05886">
        <w:t>Affect regulation and proposed role of nature</w:t>
      </w:r>
      <w:bookmarkEnd w:id="32"/>
    </w:p>
    <w:p w14:paraId="4DB8075E" w14:textId="3356286C" w:rsidR="00C12E53" w:rsidRPr="00C05886" w:rsidRDefault="00C12E53" w:rsidP="003E44C0">
      <w:r w:rsidRPr="00C05886">
        <w:t xml:space="preserve">Affective states arise in response to internal and external stimuli and are regulated according to their purposes </w:t>
      </w:r>
      <w:r w:rsidRPr="00C05886">
        <w:fldChar w:fldCharType="begin"/>
      </w:r>
      <w:r w:rsidRPr="00C05886">
        <w:instrText xml:space="preserve"> ADDIN ZOTERO_ITEM CSL_CITATION {"citationID":"4msP0LXZ","properties":{"formattedCitation":"(Kappas, 2011)","plainCitation":"(Kappas, 2011)","noteIndex":0},"citationItems":[{"id":9123,"uris":["http://zotero.org/users/10951124/items/ZPEV5EY9"],"itemData":{"id":9123,"type":"article-journal","abstract":"Emotions are foremost self-regulating processes that permit rapid responses and adaptations to situations of personal concern. They have biological bases and are shaped ontogenetically via learning and experience. Many situations and events of personal concern are social in nature. Thus, social exchanges play an important role in learning about rules and norms that shape regulation processes. I argue that (a) emotions often are actively auto-regulating?the behavior implied by the emotional reaction bias to the eliciting event or situation modifies or terminates the situation; (b) certain emotion components are likely to habituate dynamically, modifying the emotional states; (c) emotions are typically intra- and interpersonal processes at the same time, and modulating forces at these different levels interact; (d) emotions are not just regulated?they regulate. Important conclusions of my arguments are that the scientific analysis of emotion should not exclude regulatory processes, and that effortful emotion regulation should be seen relative to a backdrop of auto-regulation and habituation, and not the ideal notion of a neutral baseline. For all practical purposes unregulated emotion is not a realistic concept.","container-title":"Emotion Review","DOI":"10.1177/1754073910380971","ISSN":"1754-0739","issue":"1","note":"publisher: SAGE Publications","page":"17-25","title":"Emotion and Regulation are One!","volume":"3","author":[{"family":"Kappas","given":"Arvid"}],"issued":{"date-parts":[["2011",1,1]]}}}],"schema":"https://github.com/citation-style-language/schema/raw/master/csl-citation.json"} </w:instrText>
      </w:r>
      <w:r w:rsidRPr="00C05886">
        <w:fldChar w:fldCharType="separate"/>
      </w:r>
      <w:r w:rsidRPr="00C05886">
        <w:rPr>
          <w:rFonts w:ascii="Calibri" w:hAnsi="Calibri" w:cs="Calibri"/>
        </w:rPr>
        <w:t>(Kappas, 2011)</w:t>
      </w:r>
      <w:r w:rsidRPr="00C05886">
        <w:fldChar w:fldCharType="end"/>
      </w:r>
      <w:r w:rsidRPr="00C05886">
        <w:t xml:space="preserve">. According to </w:t>
      </w:r>
      <w:r w:rsidRPr="00C05886">
        <w:fldChar w:fldCharType="begin"/>
      </w:r>
      <w:r w:rsidRPr="00C05886">
        <w:instrText xml:space="preserve"> ADDIN ZOTERO_ITEM CSL_CITATION {"citationID":"69xko5QP","properties":{"formattedCitation":"(Gross, Uusberg and Uusberg, 2019)","plainCitation":"(Gross, Uusberg and Uusberg, 2019)","dontUpdate":true,"noteIndex":0},"citationItems":[{"id":9503,"uris":["http://zotero.org/users/10951124/items/EG8ZFZC4"],"itemData":{"id":9503,"type":"article-journal","abstract":"Mental health crucially depends upon affective states such as emotions, stress responses, impulses and moods. These states shape how we think, feel and behave. Often, they support adaptive functioning. At other times, however, they can become detrimental to mental health via maladaptive affect generation processes and/or maladaptive affect regulation processes. Here, we present an integrative framework for considering the role of affect generation and regulation in mental illness and well-being. Our model views affect generation as an iterative cycle of attending to, appraising and responding to situations. It views affect regulation as an iterative series of decisions aimed at altering affect generation. Affect regulation decisions include identifying what, if anything, should be changed about affect, selecting where to intervene in the affect generation cycle, choosing how to implement this intervention, and monitoring the regulation attempt to decide whether to maintain, switch or stop it. Difficulties with these decisions, often arising from biased inputs to them, can contribute to manifestations of mental illness such as clinical symptoms, syndromes and disorders. The model has a number of implications for clinical assessment and treatment. Specifically, it offers a common set of concepts for characterizing different affective states; it highlights interactions between affect generation and affect regulation; it identifies assessment and treatment targets among the component processes of affect regulation; and it is applicable to prevention and treatment of mental illness as well as to promotion and restoration of psychological well-being.","container-title":"World Psychiatry","DOI":"10.1002/wps.20618","ISSN":"1723-8617","issue":"2","journalAbbreviation":"World Psychiatry","note":"publisher: John Wiley &amp; Sons, Ltd","page":"130-139","title":"Mental illness and well-being: an affect regulation perspective","volume":"18","author":[{"family":"Gross","given":"James J."},{"family":"Uusberg","given":"Helen"},{"family":"Uusberg","given":"Andero"}],"issued":{"date-parts":[["2019",6,1]]}}}],"schema":"https://github.com/citation-style-language/schema/raw/master/csl-citation.json"} </w:instrText>
      </w:r>
      <w:r w:rsidRPr="00C05886">
        <w:fldChar w:fldCharType="separate"/>
      </w:r>
      <w:r w:rsidRPr="00C05886">
        <w:rPr>
          <w:rFonts w:ascii="Calibri" w:hAnsi="Calibri" w:cs="Calibri"/>
        </w:rPr>
        <w:t>Gross, Uusberg and Uusberg (2019)</w:t>
      </w:r>
      <w:r w:rsidRPr="00C05886">
        <w:fldChar w:fldCharType="end"/>
      </w:r>
      <w:r w:rsidRPr="00C05886">
        <w:t xml:space="preserve">, the regulation of affect is an intentional (although not always conscious) process, attempting to modulate the present or anticipated affect. Kappas (2011) contended that all affect states could be auto-regulating since the rise of that emotion would produce behaviours meant to terminate it. For instance, the stress generated in response to an attack would muster the energies required to escape or fight the threat, eventually eliminating the cause of the stress. This works as well for </w:t>
      </w:r>
      <w:r w:rsidR="00E8285F">
        <w:t>Positive Affect</w:t>
      </w:r>
      <w:r w:rsidRPr="00C05886">
        <w:t>: the anticipation of something good (a meal, a vacation, a meeting with a loved one etc.) could produce a sense of excitement (appetitive phase), which will be overtaken by joy when something good happens (consummatory phase) in the end terminating in a sense of contentedness and a pause (refractory phase).</w:t>
      </w:r>
    </w:p>
    <w:p w14:paraId="27FF7778" w14:textId="0B598131" w:rsidR="00C12E53" w:rsidRPr="00C05886" w:rsidRDefault="00C12E53" w:rsidP="00383070">
      <w:r w:rsidRPr="00C05886">
        <w:t xml:space="preserve">The flow between these </w:t>
      </w:r>
      <w:r w:rsidR="00E8285F">
        <w:t>Positive Affect</w:t>
      </w:r>
      <w:r w:rsidRPr="00C05886">
        <w:t xml:space="preserve"> states is supported by biochemical evidence. In describing the hormonal pathways that lead to bonding, </w:t>
      </w:r>
      <w:r w:rsidRPr="00C05886">
        <w:fldChar w:fldCharType="begin"/>
      </w:r>
      <w:r w:rsidRPr="00C05886">
        <w:instrText xml:space="preserve"> ADDIN ZOTERO_ITEM CSL_CITATION {"citationID":"gfXFsmaG","properties":{"formattedCitation":"(Morrone-Strupinsky and Depue, 2005)","plainCitation":"(Morrone-Strupinsky and Depue, 2005)","dontUpdate":true,"noteIndex":0},"citationItems":[{"id":7052,"uris":["http://zotero.org/users/10951124/items/MFB99N9Y"],"itemData":{"id":7052,"type":"article-journal","abstract":"Because little is known about the human trait of affiliation, we provide a novel neurobehavioral model of affiliative bonding. Discussion is organized around processes of reward and memory formation that occur during approach and consummatory phases of affiliation. Appetitive and consummatory reward processes are mediated independently by the activity of the ventral tegmental area (VTA) dopamine (DA)-nucleus accumbens shell (NAS) pathway and the central corticolimbic projections of the u-opiate system of the media] basal arcuate nucleus, respectively, although these two projection systems functionally interact across time. We next explicate the manner in which DA and glutamate interact in both the VTA and NAS to form incentive-encoded contextual memory ensembles that are predictive of reward derived from affiliative objects. Affiliative stimuli, in particular, are incorporated within contextual ensembles predictive of affiliative reward via: (a) the binding of affiliative stimuli in the rostral circuit of the media] extended amygdala and subsequent transmission to the NAS shell; (b) affiliative stimulus-induced opiate potentiation of DA processes in the VTA and NAS; and (c) permissive or facilitatory effects of gonadal steroids, oxytocin (in interaction with DA), and vasopressin on W sensory, perceptual, and attentional processing of affiliative stimuli and (ii) formation of social memories. Among these various processes, we propose that the capacity to experience affiliative reward via opiate functioning has a disproportionate weight in determining individual differences in affiliation. We delineate sources of these individual differences, and provide the first human data that support an association between opiate functioning and variation in trait affiliation.","container-title":"Behavioral and Brain Sciences","ISSN":"0140-525X","issue":"3","page":"313-+","title":"A neurobehavioral model of affiliative bonding: Implications for conceptualizing a human trait of affiliation","volume":"28","author":[{"family":"Morrone-Strupinsky","given":"J. V."},{"family":"Depue","given":"Richard A."}],"issued":{"date-parts":[["2005"]]}}}],"schema":"https://github.com/citation-style-language/schema/raw/master/csl-citation.json"} </w:instrText>
      </w:r>
      <w:r w:rsidRPr="00C05886">
        <w:fldChar w:fldCharType="separate"/>
      </w:r>
      <w:r w:rsidRPr="00C05886">
        <w:rPr>
          <w:rFonts w:ascii="Calibri" w:hAnsi="Calibri" w:cs="Calibri"/>
        </w:rPr>
        <w:t>Morrone-Strupinsky and Depue (2005)</w:t>
      </w:r>
      <w:r w:rsidRPr="00C05886">
        <w:fldChar w:fldCharType="end"/>
      </w:r>
      <w:r w:rsidRPr="00C05886">
        <w:t xml:space="preserve"> proposed that humans have developed this mechanism in response to the need for affiliation. In the “approaching”, or appetitive phase, humans engage in exploratory attempts to form new bonds and their dopamine levels are high. When a bond is successful, and the need for bonding is satisfied, the “consummatory” phase reinforces the dopamine reward with u-opiates. </w:t>
      </w:r>
    </w:p>
    <w:p w14:paraId="0E96F3AA" w14:textId="37A7DD25" w:rsidR="00C12E53" w:rsidRPr="00C05886" w:rsidRDefault="00C12E53" w:rsidP="003E44C0">
      <w:r w:rsidRPr="00C05886">
        <w:fldChar w:fldCharType="begin"/>
      </w:r>
      <w:r w:rsidRPr="00C05886">
        <w:instrText xml:space="preserve"> ADDIN ZOTERO_ITEM CSL_CITATION {"citationID":"FBYX8q2I","properties":{"formattedCitation":"(Richardson {\\i{}et al.}, 2016)","plainCitation":"(Richardson et al., 2016)","dontUpdate":true,"noteIndex":0},"citationItems":[{"id":7088,"uris":["http://zotero.org/users/10951124/items/S387SPTP"],"itemData":{"id":7088,"type":"article-journal","abstract":"Key theories of the human need for nature take an evolutionary perspective, and many of the mental well-being benefits of nature relate to positive affect. As affect has a physiological basis, it is important to consider these benefits alongside regulatory processes. However, research into nature and positive affect tends not to consider affect regulation and the neurophysiology of emotion. This brief systematic review and meta-analysis presents evidence to support the use of an existing evolutionary functional model of affect regulation (the three circle model of emotion) that provides a tripartite framework in which to consider the mental well-being benefits of nature and to guide nature-based well-being interventions. The model outlines drive, contentment and threat dimensions of affect regulation based on a review of the emotion regulation literature. The model has been used previously for understanding mental well-being, delivering successful mental health-care interventions and providing directions for future research. Finally, the three circle model is easily understood in the context of our everyday lives, providing an accessible physiological-based narrative to help explain the benefits of nature.","container-title":"Evolutionary Psychological Science","DOI":"10.1007/s40806-016-0065-5","ISSN":"2198-9885","issue":"4","note":"publisher: Evolutionary Psychological Science","page":"308-320","title":"Joy and Calm: How an Evolutionary Functional Model of Affect Regulation Informs Positive Emotions in Nature","volume":"2","author":[{"family":"Richardson","given":"Miles"},{"family":"McEwan","given":"Kirsten"},{"family":"Maratos","given":"Frances"},{"family":"Sheffield","given":"David"}],"issued":{"date-parts":[["2016"]]}}}],"schema":"https://github.com/citation-style-language/schema/raw/master/csl-citation.json"} </w:instrText>
      </w:r>
      <w:r w:rsidRPr="00C05886">
        <w:fldChar w:fldCharType="separate"/>
      </w:r>
      <w:r w:rsidRPr="00C05886">
        <w:rPr>
          <w:rFonts w:ascii="Calibri" w:hAnsi="Calibri" w:cs="Calibri"/>
          <w:szCs w:val="24"/>
        </w:rPr>
        <w:t xml:space="preserve">Richardson </w:t>
      </w:r>
      <w:r w:rsidRPr="00C05886">
        <w:rPr>
          <w:rFonts w:ascii="Calibri" w:hAnsi="Calibri" w:cs="Calibri"/>
          <w:i/>
          <w:iCs/>
          <w:szCs w:val="24"/>
        </w:rPr>
        <w:t>et al.</w:t>
      </w:r>
      <w:r w:rsidRPr="00C05886">
        <w:rPr>
          <w:rFonts w:ascii="Calibri" w:hAnsi="Calibri" w:cs="Calibri"/>
          <w:szCs w:val="24"/>
        </w:rPr>
        <w:t xml:space="preserve"> (2016)</w:t>
      </w:r>
      <w:r w:rsidRPr="00C05886">
        <w:fldChar w:fldCharType="end"/>
      </w:r>
      <w:r w:rsidRPr="00C05886">
        <w:t xml:space="preserve"> proposed that this bonding mechanism would not be limited to other humans, but would include affiliation with nature. In a sense going back to Wilson’s biophilia, the benefits of nature exposure would then represent the reward for forming of bond with nature. This </w:t>
      </w:r>
      <w:r w:rsidRPr="00C05886">
        <w:lastRenderedPageBreak/>
        <w:t>process would work in the short term as well as in the long term, as the experience, if positive, would lead to repetition.</w:t>
      </w:r>
      <w:r w:rsidR="00AF060A" w:rsidRPr="00C05886">
        <w:t xml:space="preserve"> For example, the need to relax would generate the drive to reach a quiet spot in the park; joy would be elicited for finding such a spot followed by relaxation.</w:t>
      </w:r>
    </w:p>
    <w:p w14:paraId="500E75A8" w14:textId="77777777" w:rsidR="00C12E53" w:rsidRPr="00C05886" w:rsidRDefault="00C12E53" w:rsidP="00C12E53">
      <w:pPr>
        <w:pStyle w:val="Heading2"/>
      </w:pPr>
      <w:bookmarkStart w:id="33" w:name="_Toc179962292"/>
      <w:r w:rsidRPr="00C05886">
        <w:t>Virtual contact with nature</w:t>
      </w:r>
      <w:bookmarkEnd w:id="33"/>
    </w:p>
    <w:p w14:paraId="55C49103" w14:textId="03BDF2FF" w:rsidR="00C12E53" w:rsidRPr="00C05886" w:rsidRDefault="00AF060A" w:rsidP="006B2DF8">
      <w:r w:rsidRPr="00C05886">
        <w:t>Considering that s</w:t>
      </w:r>
      <w:r w:rsidR="00C12E53" w:rsidRPr="00C05886">
        <w:t xml:space="preserve">ight </w:t>
      </w:r>
      <w:r w:rsidRPr="00C05886">
        <w:t>is</w:t>
      </w:r>
      <w:r w:rsidR="00C12E53" w:rsidRPr="00C05886">
        <w:t xml:space="preserve"> one of the most developed human senses, the focus of research on visual stimuli should not be surprising </w:t>
      </w:r>
      <w:r w:rsidR="00C12E53" w:rsidRPr="00C05886">
        <w:fldChar w:fldCharType="begin"/>
      </w:r>
      <w:r w:rsidR="00C12E53" w:rsidRPr="00C05886">
        <w:instrText xml:space="preserve"> ADDIN ZOTERO_ITEM CSL_CITATION {"citationID":"Trn5Pr96","properties":{"formattedCitation":"(Franco, Shanahan and Fuller, 2017)","plainCitation":"(Franco, Shanahan and Fuller, 2017)","noteIndex":0},"citationItems":[{"id":9656,"uris":["http://zotero.org/users/10951124/items/LA6VDKEM"],"itemData":{"id":9656,"type":"article-journal","abstract":"Evidence that experiences of nature can benefit people has accumulated rapidly. Yet perhaps because of the domination of the visual sense in humans, most research has focused on the visual aspects of nature experiences. However, humans are multisensory, and it seems likely that many benefits are delivered through the non-visual senses and these are potentially avenues through which a physiological mechanism could occur. Here we review the evidence around these lesser studied sensory pathways—through sound, smell, taste, touch, and three non-sensory pathways. Natural sounds and smells underpin experiences of nature for many people, and this may well be rooted in evolutionary psychology. Tactile experiences of nature, particularly beyond animal petting, are understudied yet potentially fundamentally important. Tastes of nature, through growing and consuming natural foods, have been linked with a range of health and well-being benefits. Beyond the five senses, evidence is emerging for other non-visual pathways for nature experiences to be effective. These include ingestion or inhalation of phytoncides, negative air ions and microbes. We conclude that (i) these non-visual avenues are potentially important for delivering benefits from nature experiences; (ii) the evidence base is relatively weak and often based on correlational studies; and (iii) deeper exploration of these sensory and non-sensory avenues is needed.","container-title":"International Journal of Environmental Research and Public Health","DOI":"10.3390/ijerph14080864","ISSN":"1660-4601","issue":"8","title":"A Review of the Benefits of Nature Experiences: More Than Meets the Eye","volume":"14","author":[{"family":"Franco","given":"Lara S."},{"family":"Shanahan","given":"Danielle F."},{"family":"Fuller","given":"Richard A."}],"issued":{"date-parts":[["2017"]]}}}],"schema":"https://github.com/citation-style-language/schema/raw/master/csl-citation.json"} </w:instrText>
      </w:r>
      <w:r w:rsidR="00C12E53" w:rsidRPr="00C05886">
        <w:fldChar w:fldCharType="separate"/>
      </w:r>
      <w:r w:rsidR="00C12E53" w:rsidRPr="00C05886">
        <w:rPr>
          <w:rFonts w:ascii="Calibri" w:hAnsi="Calibri" w:cs="Calibri"/>
        </w:rPr>
        <w:t>(Franco, Shanahan and Fuller, 2017)</w:t>
      </w:r>
      <w:r w:rsidR="00C12E53" w:rsidRPr="00C05886">
        <w:fldChar w:fldCharType="end"/>
      </w:r>
      <w:r w:rsidR="00C12E53" w:rsidRPr="00C05886">
        <w:t xml:space="preserve">. Sight was critical in the development of the Stress Reduction Theory, as Ulrich </w:t>
      </w:r>
      <w:r w:rsidR="00C12E53" w:rsidRPr="00C05886">
        <w:fldChar w:fldCharType="begin"/>
      </w:r>
      <w:r w:rsidR="003E681B" w:rsidRPr="00C05886">
        <w:instrText xml:space="preserve"> ADDIN ZOTERO_ITEM CSL_CITATION {"citationID":"Z9HUQQ08","properties":{"formattedCitation":"(Ulrich, 1984)","plainCitation":"(Ulrich, 1984)","noteIndex":0},"citationItems":[{"id":4760,"uris":["http://zotero.org/users/10951124/items/4AASEV7P"],"itemData":{"id":4760,"type":"article-journal","container-title":"science","ISSN":"0036-8075","issue":"4647","note":"publisher: American association for the advancement of science","page":"420-421","title":"View through a window may influence recovery from surgery","volume":"224","author":[{"family":"Ulrich","given":"Roger S"}],"issued":{"date-parts":[["1984"]]}}}],"schema":"https://github.com/citation-style-language/schema/raw/master/csl-citation.json"} </w:instrText>
      </w:r>
      <w:r w:rsidR="00C12E53" w:rsidRPr="00C05886">
        <w:fldChar w:fldCharType="separate"/>
      </w:r>
      <w:r w:rsidR="003E681B" w:rsidRPr="00C05886">
        <w:rPr>
          <w:rFonts w:ascii="Calibri" w:hAnsi="Calibri" w:cs="Calibri"/>
        </w:rPr>
        <w:t>(Ulrich, 1984)</w:t>
      </w:r>
      <w:r w:rsidR="00C12E53" w:rsidRPr="00C05886">
        <w:fldChar w:fldCharType="end"/>
      </w:r>
      <w:r w:rsidR="00C12E53" w:rsidRPr="00C05886">
        <w:t xml:space="preserve"> observed </w:t>
      </w:r>
      <w:r w:rsidR="00E8285F">
        <w:t>faster</w:t>
      </w:r>
      <w:r w:rsidR="00E8285F" w:rsidRPr="00C05886">
        <w:t xml:space="preserve"> </w:t>
      </w:r>
      <w:r w:rsidR="00C12E53" w:rsidRPr="00C05886">
        <w:t>recovery in patients who could see the hospital’s park from their room.</w:t>
      </w:r>
    </w:p>
    <w:p w14:paraId="70FBF7E7" w14:textId="291FCAF9" w:rsidR="00C12E53" w:rsidRPr="00C05886" w:rsidRDefault="00C12E53" w:rsidP="00C014D3">
      <w:r w:rsidRPr="00C05886">
        <w:t xml:space="preserve">The Stress Reduction theory proposes that the natural environment is mainly experienced by sight </w:t>
      </w:r>
      <w:r w:rsidRPr="00C05886">
        <w:fldChar w:fldCharType="begin" w:fldLock="1"/>
      </w:r>
      <w:r w:rsidR="005D06C8" w:rsidRPr="00C05886">
        <w:instrText xml:space="preserve"> ADDIN ZOTERO_ITEM CSL_CITATION {"citationID":"ksR636WZ","properties":{"formattedCitation":"(Ulrich, 1983)","plainCitation":"(Ulrich, 1983)","noteIndex":0},"citationItems":[{"id":7363,"uris":["http://zotero.org/users/10951124/items/Y7AZ34KM"],"itemData":{"id":7363,"type":"chapter","container-title":"Behavior and the natural environment","event-place":"New York","page":"85-125","publisher":"Springer","publisher-place":"New York","title":"Aesthetic and affective response to natural environment","author":[{"family":"Ulrich","given":"Roger S"}],"editor":[{"family":"Altman","given":"I."},{"family":"Wohlwill","given":"J."}],"issued":{"date-parts":[["1983"]]}}}],"schema":"https://github.com/citation-style-language/schema/raw/master/csl-citation.json"} </w:instrText>
      </w:r>
      <w:r w:rsidRPr="00C05886">
        <w:fldChar w:fldCharType="separate"/>
      </w:r>
      <w:r w:rsidR="005D06C8" w:rsidRPr="00C05886">
        <w:rPr>
          <w:rFonts w:ascii="Calibri" w:hAnsi="Calibri" w:cs="Calibri"/>
        </w:rPr>
        <w:t>(Ulrich, 1983)</w:t>
      </w:r>
      <w:r w:rsidRPr="00C05886">
        <w:fldChar w:fldCharType="end"/>
      </w:r>
      <w:r w:rsidRPr="00C05886">
        <w:t xml:space="preserve">, which collects the scene’s content and complexity. This process evokes an </w:t>
      </w:r>
      <w:proofErr w:type="spellStart"/>
      <w:r w:rsidRPr="00C05886">
        <w:t>affective</w:t>
      </w:r>
      <w:proofErr w:type="spellEnd"/>
      <w:r w:rsidRPr="00C05886">
        <w:t xml:space="preserve"> response to the environment which in turn could prompt different behaviours (e.g. </w:t>
      </w:r>
      <w:r w:rsidR="00E8285F">
        <w:t>Positive Affect</w:t>
      </w:r>
      <w:r w:rsidRPr="00C05886">
        <w:t xml:space="preserve"> followed by an approaching behaviour to explore and enjoy the area). Therefore, researchers have explored ways to effectively simulate exposure to the natural environment with visual media, increasing in complexity as technology made these techniques more affordable. Studies have successfully produced measurable emotional responses by using photographs </w:t>
      </w:r>
      <w:r w:rsidRPr="00C05886">
        <w:fldChar w:fldCharType="begin" w:fldLock="1"/>
      </w:r>
      <w:r w:rsidR="00FB3282" w:rsidRPr="00C05886">
        <w:instrText xml:space="preserve"> ADDIN ZOTERO_ITEM CSL_CITATION {"citationID":"XOgDWbP6","properties":{"formattedCitation":"(Johansson {\\i{}et al.}, 2014)","plainCitation":"(Johansson et al., 2014)","noteIndex":0},"citationItems":[{"id":8502,"uris":["http://zotero.org/users/local/pAEZdfSt/items/IMLZ568A","http://zotero.org/users/10951124/items/IMLZ568A"],"itemData":{"id":8502,"type":"article-journal","abstract":"Using a multilevel approach, this study investigates direct (perceptual, emotional, and physiological responses [qEEG]) and reflected (preference, attitude, and intention to accept conservation measures) appraisal of different levels of biodiversity in temperate deciduous broad-leaf forest biotopes. Thirty-five participants viewed three series of zoomed pictures from biotopes assessed according to biological criteria to be of High, Intermediate, and Low level of biodiversity. Participants’ appraisal differed between the biotopes, and partly between the conceptualisation of appraisal, but overall there was a consistency across direct and reflected levels of appraisal. The most prominent result of the analysis of qEEG was a higher brain activity in the Theta frequency for the Low biotope. The Theta frequency has amongst others been associated with on-set of sleep and in the present context probably indicating that the Low biotope was less stimulating. The Low biotope was perceived to have the lowest degree of biodiversity followed by the Intermediate and the High biotopes. The Intermediate biotope elicited the most positive emotional response, and was rated highest in preference and in importance to conserve, whereas the intention to accept conservation measures did not differ between the biotopes. Thus biodiversity related criteria presently favoured in forest conservation management schemes are not necessarily prioritised by the public. Emotional components are likely to be at stake tending to favour the conservation of biotopes of an intermediate level of biodiversity.","container-title":"Urban Forestry &amp; Urban Greening","DOI":"https://doi.org/10.1016/j.ufug.2013.10.009","ISSN":"1618-8667","issue":"1","page":"28-37","title":"Does biological quality matter? Direct and reflected appraisal of biodiversity in temperate deciduous broad-leaf forest","volume":"13","author":[{"family":"Johansson","given":"Maria"},{"family":"Gyllin","given":"Mats"},{"family":"Witzell","given":"Jesper"},{"family":"Küller","given":"Marianne"}],"issued":{"date-parts":[["2014"]]}}}],"schema":"https://github.com/citation-style-language/schema/raw/master/csl-citation.json"} </w:instrText>
      </w:r>
      <w:r w:rsidRPr="00C05886">
        <w:fldChar w:fldCharType="separate"/>
      </w:r>
      <w:r w:rsidR="00FB3282" w:rsidRPr="00C05886">
        <w:rPr>
          <w:rFonts w:ascii="Calibri" w:hAnsi="Calibri" w:cs="Calibri"/>
          <w:szCs w:val="24"/>
        </w:rPr>
        <w:t xml:space="preserve">(Johansson </w:t>
      </w:r>
      <w:r w:rsidR="00FB3282" w:rsidRPr="00C05886">
        <w:rPr>
          <w:rFonts w:ascii="Calibri" w:hAnsi="Calibri" w:cs="Calibri"/>
          <w:i/>
          <w:iCs/>
          <w:szCs w:val="24"/>
        </w:rPr>
        <w:t>et al.</w:t>
      </w:r>
      <w:r w:rsidR="00FB3282" w:rsidRPr="00C05886">
        <w:rPr>
          <w:rFonts w:ascii="Calibri" w:hAnsi="Calibri" w:cs="Calibri"/>
          <w:szCs w:val="24"/>
        </w:rPr>
        <w:t>, 2014)</w:t>
      </w:r>
      <w:r w:rsidRPr="00C05886">
        <w:fldChar w:fldCharType="end"/>
      </w:r>
      <w:r w:rsidRPr="00C05886">
        <w:t xml:space="preserve">, slideshows </w:t>
      </w:r>
      <w:r w:rsidRPr="00C05886">
        <w:fldChar w:fldCharType="begin" w:fldLock="1"/>
      </w:r>
      <w:r w:rsidR="00A35208">
        <w:instrText xml:space="preserve"> ADDIN ZOTERO_ITEM CSL_CITATION {"citationID":"vwadSvdO","properties":{"formattedCitation":"(Berto, 2005; Wilkie and Clouston, 2015)","plainCitation":"(Berto, 2005; Wilkie and Clouston, 2015)","noteIndex":0},"citationItems":[{"id":"6pP8vKpK/iMUAFk4N","uris":["http://www.mendeley.com/documents/?uuid=d83c3059-931b-48ff-9c9e-c648b1a41070"],"itemData":{"DOI":"https://doi.org/10.1016/j.jenvp.2005.07.001","ISSN":"0272-4944","abstract":"Three experiments were designed to test the hypothesis that exposure to restorative environments facilitates recovery from mental fatigue. To this end, participants were first mentally fatigued by performing a sustained attention test; then they viewed photographs of restorative environments, nonrestorative environments or geometrical patterns; and finally they performed the sustained attention test again. Only participants exposed to the restorative environments improved their performance on the final attention test, and this improvement occurred whether they viewed the scenes in the standardized time condition or in the self-paced time condition. Results are in agreement with Kaplan's [(1995). The restorative benefits of nature: Toward an integrative framework. Journal of Environmental Psychology, 15, 169–182] attention restoration theory, and support the idea that restorative environments help maintain and restore the capacity to direct attention.","author":[{"dropping-particle":"","family":"Berto","given":"Rita","non-dropping-particle":"","parse-names":false,"suffix":""}],"container-title":"Journal of Environmental Psychology","id":"ITEM-2","issue":"3","issued":{"date-parts":[["2005"]]},"page":"249-259","title":"Exposure to restorative environments helps restore attentional capacity","type":"article-journal","volume":"25"}},{"id":6578,"uris":["http://zotero.org/users/10951124/items/TLX5WSX3"],"itemData":{"id":6578,"type":"article-journal","abstract":"The study aims were to replicate initial findings of an environmental preference/environment type \"congruence effect\" on judgements of perceived restoration potential (Wilkie and Stavridou, 2013. Urban For. Urban Greening, 12, 163) and explore if this congruence influenced restoration outcomes. University students (N= 120) categorized themselves as 'country' or 'city' persons to indicate environmental preference (nature, urban), viewed an imagery slideshow of one environment (nature, urban green space, urban street), and completed pre-post imagery measures of directed attention, mood, and fatigue. They also rated environments like those in the slideshow for perceived restoration potential and then completed a place identity measure in reference to their preferred environment. The use of the dichotomous environmental preference variable as an indicator of place identity was supported with equal, moderate-to-high levels of place identity reported by both groups. An environment type main effect indicated better positive/negative mood and fatigue outcomes for those in the nature condition compared to the urban street condition. Urban green space exposure resulted in a better improvement to negative mood compared to urban street exposure. Nature and urban green spaces provided equivalent changes in direct attention, mood, and fatigue. There was no environment type effect on directed attention or perceived restoration potential. The environmental preference/environment type congruence findings replicated the previously reported effect on perceived restoration potential (Wilkie and Stavridou, 2013. Urban For. Urban Greening, 12, 163). The highest ratings were after exposure to congruent nature environments and the lowest from exposure to urban street imagery incongruent with a nature preference. A pattern of both significant and non-significant results across outcomes indicated the congruence effect was more evident in those who preferred nature; urban preferences resulted in similar benefits outcomes across environments. These findings support growing evidence urban green spaces provide a range of benefits; and suggest person-place concepts such as place identity should also be considered in restoration research.","container-title":"Urban Forestry and Urban Greening","DOI":"10.1016/j.ufug.2015.03.002","ISSN":"16108167","issue":"2","page":"368-376","title":"Environment preference and environment type congruence: Effects on perceived restoration potential and restoration outcomes","volume":"14","author":[{"family":"Wilkie","given":"Stephanie"},{"family":"Clouston","given":"Laura"}],"issued":{"date-parts":[["2015"]]}}}],"schema":"https://github.com/citation-style-language/schema/raw/master/csl-citation.json"} </w:instrText>
      </w:r>
      <w:r w:rsidRPr="00C05886">
        <w:fldChar w:fldCharType="separate"/>
      </w:r>
      <w:r w:rsidR="003E681B" w:rsidRPr="00C05886">
        <w:rPr>
          <w:rFonts w:ascii="Calibri" w:hAnsi="Calibri" w:cs="Calibri"/>
        </w:rPr>
        <w:t>(Berto, 2005; Wilkie and Clouston, 2015)</w:t>
      </w:r>
      <w:r w:rsidRPr="00C05886">
        <w:fldChar w:fldCharType="end"/>
      </w:r>
      <w:r w:rsidRPr="00C05886">
        <w:t xml:space="preserve"> and videos </w:t>
      </w:r>
      <w:r w:rsidRPr="00C05886">
        <w:fldChar w:fldCharType="begin" w:fldLock="1"/>
      </w:r>
      <w:r w:rsidR="003E681B" w:rsidRPr="00C05886">
        <w:instrText xml:space="preserve"> ADDIN ZOTERO_ITEM CSL_CITATION {"citationID":"9Sqok2YS","properties":{"formattedCitation":"(Van Den Berg, Jorgensen and Wilson, 2014; Wang {\\i{}et al.}, 2016)","plainCitation":"(Van Den Berg, Jorgensen and Wilson, 2014; Wang et al., 2016)","noteIndex":0},"citationItems":[{"id":7023,"uris":["http://zotero.org/users/10951124/items/9KGD5Q28"],"itemData":{"id":7023,"type":"article-journal","abstract":"A growing body of research suggests that natural settings are more effective in providing restoration from depleted emotional and cognitive resources than built settings. However, there is a lack of evidence-based guidelines on which options for urban green space design and management are most effective in providing restoration. To address this need, the present study examined the restorative impacts of urban public spaces differing in naturalness. After having been pre-stressed by watching a scary movie, 102 participants were randomly assigned to viewing one of four photo/video presentations depicting an urban street, parkland, tended woodland, or wild woods. Self-reported mood and restorative state were measured at baseline, after the stressor and after viewing the environment. After controlling for stress reactivity, participants in the natural conditions showed stronger recovery on all dependent measures than those in the urban street condition. Differences in recovery among the natural settings did not reach significance. Keyword analysis revealed that the wild woods were described as more arousing than the parkland and tended woodland. There was substantial variation in recovery of vitality within natural conditions, which was related to perceptions of naturalness. In general, the findings suggest that restoration in urban public spaces depends on individual perceptions and needs as well as physical characteristics of the setting.","container-title":"Landscape and Urban Planning","DOI":"10.1016/j.landurbplan.2014.04.012","ISSN":"0169-2046","issue":"C","page":"173-181","title":"Evaluating restoration in urban green spaces: Does setting type make a difference?","volume":"127","author":[{"family":"Van Den Berg","given":"Agnes E"},{"family":"Jorgensen","given":"Anna"},{"family":"Wilson","given":"Edward R"}],"issued":{"date-parts":[["2014"]]}}},{"id":6398,"uris":["http://zotero.org/users/10951124/items/WZYVPK69"],"itemData":{"id":6398,"type":"article-journal","abstract":"Objectives: Many studies have found that natural environments benefit human health and wellbeing, but few have measured restorativeness of specific landscape components, especially in Chinese settings. Because the rapid urbanization of China is accompanied by increasing predomination of hardscape components in cities, the restorative quality of urban green space is a crucial issue. This study explored the stress recovery effects of different videotaped scenes, using six urban parks and one urban roadway scene. Potentially restorative urban park scenes were controlled for nature-based vs. hardscape components, presence/absence of people, and level of openness. Methods: Subjects were Chinese university students (N = 140) aged 18-24. After completing an oral exam as a stressor, an equal number of males and females were randomly assigned to watch one of the seven videotaped scenes during a stress recovery stage, while data were collected on changes in stress and attentional levels. Physiological responses were measured by Electrocardiography (ECG) and Skin Conductance Response (SCR). Psychological responses were measured by the state (short-term) version of the State-Trait Anxiety Inventory (STAI-S), the Digit Span Backwards (DSB) test, and the Perceived Restorativeness Scale (PRS). Results: In a Chinese sample, this study confirmed previous findings that nature-based urban park scenes relieved stress and restored attentional levels, while viewing an urban roadway increased negative feelings. Overall perceived restorativeness was significantly higher in two scenes depicting a Lawn without people and a Small Lake, compared with a paved Plaza with or without people, confirming previous findings that restorativeness is associated with predominance of nature-based landscape components. This study also confirmed previous findings that outdoor scenes without people were more restorative than scenes depicting people. Discussion: This study found different levels of restorativeness associated with different landscape features, and helped confirm that nature-based components are more likely to reduce stress than hardscape components, using Chinese urban scenes with a Chinese population. Findings can be used in future planning and design of urban spaces in China, emphasizing the value of parks and green spaces in relevant contexts.","container-title":"Urban Forestry and Urban Greening","DOI":"10.1016/j.ufug.2015.12.003","ISSN":"16108167","page":"112-122","title":"Stress recovery and restorative effects of viewing different urban park scenes in Shanghai, China","volume":"15","author":[{"family":"Wang","given":"Xinxin"},{"family":"Rodiek","given":"Susan"},{"family":"Wu","given":"Chengzhao"},{"family":"Chen","given":"Yi"},{"family":"Li","given":"Yuxian"}],"issued":{"date-parts":[["2016"]]}}}],"schema":"https://github.com/citation-style-language/schema/raw/master/csl-citation.json"} </w:instrText>
      </w:r>
      <w:r w:rsidRPr="00C05886">
        <w:fldChar w:fldCharType="separate"/>
      </w:r>
      <w:r w:rsidR="003E681B" w:rsidRPr="00C05886">
        <w:rPr>
          <w:rFonts w:ascii="Calibri" w:hAnsi="Calibri" w:cs="Calibri"/>
          <w:szCs w:val="24"/>
        </w:rPr>
        <w:t xml:space="preserve">(Van Den Berg, Jorgensen and Wilson, 2014; Wang </w:t>
      </w:r>
      <w:r w:rsidR="003E681B" w:rsidRPr="00C05886">
        <w:rPr>
          <w:rFonts w:ascii="Calibri" w:hAnsi="Calibri" w:cs="Calibri"/>
          <w:i/>
          <w:iCs/>
          <w:szCs w:val="24"/>
        </w:rPr>
        <w:t>et al.</w:t>
      </w:r>
      <w:r w:rsidR="003E681B" w:rsidRPr="00C05886">
        <w:rPr>
          <w:rFonts w:ascii="Calibri" w:hAnsi="Calibri" w:cs="Calibri"/>
          <w:szCs w:val="24"/>
        </w:rPr>
        <w:t>, 2016)</w:t>
      </w:r>
      <w:r w:rsidRPr="00C05886">
        <w:fldChar w:fldCharType="end"/>
      </w:r>
      <w:r w:rsidRPr="00C05886">
        <w:t xml:space="preserve">. Videos have also been used to expose participants to varying degrees of biodiversity </w:t>
      </w:r>
      <w:r w:rsidRPr="00C05886">
        <w:fldChar w:fldCharType="begin" w:fldLock="1"/>
      </w:r>
      <w:r w:rsidR="003E681B" w:rsidRPr="00C05886">
        <w:rPr>
          <w:color w:val="FF0000"/>
        </w:rPr>
        <w:instrText xml:space="preserve"> ADDIN ZOTERO_ITEM CSL_CITATION {"citationID":"3milqoCo","properties":{"formattedCitation":"(Wolf {\\i{}et al.}, 2017)","plainCitation":"(Wolf et al., 2017)","noteIndex":0},"citationItems":[{"id":4925,"uris":["http://zotero.org/users/10951124/items/T2WHLDQG"],"itemData":{"id":4925,"type":"article-journal","container-title":"PloS one","DOI":"10.1371/journal.pone.0170225","issue":"1","page":"e0170225-e0170225","title":"Is Variety the Spice of Life? An Experimental Investigation into the Effects of Species Richness on Self-Reported Mental Well-Being.","volume":"12","author":[{"family":"Wolf","given":"Lukas J"},{"family":"Zu Ermgassen","given":"Sophus"},{"family":"Balmford","given":"Andrew"},{"family":"White","given":"Mathew"},{"family":"Weinstein","given":"Netta"}],"editor":[{"family":"Wolf","given":"Lukas J"}],"issued":{"date-parts":[["2017"]]}}}],"schema":"https://github.com/citation-style-language/schema/raw/master/csl-citation.json"} </w:instrText>
      </w:r>
      <w:r w:rsidRPr="00C05886">
        <w:fldChar w:fldCharType="separate"/>
      </w:r>
      <w:r w:rsidR="003E681B" w:rsidRPr="00C05886">
        <w:rPr>
          <w:rFonts w:ascii="Calibri" w:hAnsi="Calibri" w:cs="Calibri"/>
          <w:szCs w:val="24"/>
        </w:rPr>
        <w:t xml:space="preserve">(Wolf </w:t>
      </w:r>
      <w:r w:rsidR="003E681B" w:rsidRPr="00C05886">
        <w:rPr>
          <w:rFonts w:ascii="Calibri" w:hAnsi="Calibri" w:cs="Calibri"/>
          <w:i/>
          <w:iCs/>
          <w:szCs w:val="24"/>
        </w:rPr>
        <w:t>et al.</w:t>
      </w:r>
      <w:r w:rsidR="003E681B" w:rsidRPr="00C05886">
        <w:rPr>
          <w:rFonts w:ascii="Calibri" w:hAnsi="Calibri" w:cs="Calibri"/>
          <w:szCs w:val="24"/>
        </w:rPr>
        <w:t>, 2017)</w:t>
      </w:r>
      <w:r w:rsidRPr="00C05886">
        <w:fldChar w:fldCharType="end"/>
      </w:r>
      <w:r w:rsidR="00AF060A" w:rsidRPr="00C05886">
        <w:t>,</w:t>
      </w:r>
      <w:r w:rsidRPr="00C05886">
        <w:rPr>
          <w:color w:val="FF0000"/>
        </w:rPr>
        <w:t xml:space="preserve"> </w:t>
      </w:r>
      <w:r w:rsidR="00AF060A" w:rsidRPr="00C05886">
        <w:t>for example</w:t>
      </w:r>
      <w:r w:rsidR="009912C5" w:rsidRPr="00C05886">
        <w:t>,</w:t>
      </w:r>
      <w:r w:rsidR="00AF060A" w:rsidRPr="00C05886">
        <w:t xml:space="preserve"> showing</w:t>
      </w:r>
      <w:r w:rsidRPr="00C05886">
        <w:t xml:space="preserve"> that participants who watched a video with four species of trees reported better mental well-being than those who watched a video with only one tree species. </w:t>
      </w:r>
    </w:p>
    <w:p w14:paraId="0D6254A1" w14:textId="77777777" w:rsidR="00C12E53" w:rsidRPr="00C05886" w:rsidRDefault="00C12E53" w:rsidP="00C014D3">
      <w:r w:rsidRPr="00C05886">
        <w:t xml:space="preserve">In recent years, a new type of visual media, the 360-degree photo/video, emerged as a novel method to expose participants to green spaces. This trend is partly driven by the decreasing cost of the cameras and software but the 360-degree media offer clear advantages over the standard flat image/video. The 360-degree video allows for more interactivity </w:t>
      </w:r>
      <w:r w:rsidRPr="00C05886">
        <w:fldChar w:fldCharType="begin"/>
      </w:r>
      <w:r w:rsidRPr="00C05886">
        <w:instrText xml:space="preserve"> ADDIN ZOTERO_ITEM CSL_CITATION {"citationID":"88ESqEpY","properties":{"formattedCitation":"(Ausin-Azofra {\\i{}et al.}, 2021)","plainCitation":"(Ausin-Azofra et al., 2021)","noteIndex":0},"citationItems":[{"id":10470,"uris":["http://zotero.org/users/10951124/items/TALYMUZY"],"itemData":{"id":10470,"type":"article-journal","abstract":"This study compares cognitive and emotional responses to 360-degree vs. static (2D) videos in terms of visual attention, brand recognition, engagement of the prefrontal cortex, and emotions. Hypotheses are proposed based on the interactivity literature, cognitive overload, advertising response model and motivation, opportunity, and ability theoretical frameworks, and tested using neurophysiological tools: electroencephalography, eye-tracking, electrodermal activity, and facial coding. The results revealed that gaze view depends on ad content, visual attention paid being lower in 360-degree FMCG ads than in 2D ads. Brand logo recognition is lower in 360-degree ads than in 2D video ads. Overall, 360-degree ads for durable products increase positive emotions, which carries the risk of non-exposure to some of the ad content. In testing four ads for durable goods and fast-moving consumer goods (FMCG) this research explains the mechanism through which 360-degree video ads outperform standard versions.","container-title":"Frontiers in Psychology","DOI":"10.3389/fpsyg.2021.612717","ISSN":"1664-1078","journalAbbreviation":"Front. Psychol.","page":"612717","source":"DOI.org (Crossref)","title":"Do You See What I See? Effectiveness of 360-Degree vs. 2D Video Ads Using a Neuroscience Approach","title-short":"Do You See What I See?","volume":"12","author":[{"family":"Ausin-Azofra","given":"Jose M."},{"family":"Bigne","given":"Enrique"},{"family":"Ruiz","given":"Carla"},{"family":"Marín-Morales","given":"Javier"},{"family":"Guixeres","given":"Jaime"},{"family":"Alcañiz","given":"Mariano"}],"issued":{"date-parts":[["2021",2,19]]}}}],"schema":"https://github.com/citation-style-language/schema/raw/master/csl-citation.json"} </w:instrText>
      </w:r>
      <w:r w:rsidRPr="00C05886">
        <w:fldChar w:fldCharType="separate"/>
      </w:r>
      <w:r w:rsidRPr="00C05886">
        <w:rPr>
          <w:rFonts w:ascii="Calibri" w:hAnsi="Calibri" w:cs="Calibri"/>
          <w:szCs w:val="24"/>
        </w:rPr>
        <w:t xml:space="preserve">(Ausin-Azofra </w:t>
      </w:r>
      <w:r w:rsidRPr="00C05886">
        <w:rPr>
          <w:rFonts w:ascii="Calibri" w:hAnsi="Calibri" w:cs="Calibri"/>
          <w:i/>
          <w:iCs/>
          <w:szCs w:val="24"/>
        </w:rPr>
        <w:t>et al.</w:t>
      </w:r>
      <w:r w:rsidRPr="00C05886">
        <w:rPr>
          <w:rFonts w:ascii="Calibri" w:hAnsi="Calibri" w:cs="Calibri"/>
          <w:szCs w:val="24"/>
        </w:rPr>
        <w:t>, 2021)</w:t>
      </w:r>
      <w:r w:rsidRPr="00C05886">
        <w:fldChar w:fldCharType="end"/>
      </w:r>
      <w:r w:rsidRPr="00C05886">
        <w:t>, allowing the viewer to rotate the camera in any direction and explore the setting. This makes watching a video more active and closer to a direct interaction with the environment (i.e. spatial presence).</w:t>
      </w:r>
    </w:p>
    <w:p w14:paraId="105553C5" w14:textId="1BA948A1" w:rsidR="00C12E53" w:rsidRPr="00C05886" w:rsidRDefault="00C12E53" w:rsidP="00C014D3">
      <w:r w:rsidRPr="00C05886">
        <w:t xml:space="preserve">These characteristics open new possibilities to simulate the contact with green spaces for participants who may have not direct access. This was the case for many during the 2021-22 lockdowns </w:t>
      </w:r>
      <w:r w:rsidRPr="00C05886">
        <w:fldChar w:fldCharType="begin" w:fldLock="1"/>
      </w:r>
      <w:r w:rsidR="009947CC" w:rsidRPr="00C05886">
        <w:instrText xml:space="preserve"> ADDIN ZOTERO_ITEM CSL_CITATION {"citationID":"EEOhKqM8","properties":{"formattedCitation":"(Zabini {\\i{}et al.}, 2020)","plainCitation":"(Zabini et al., 2020)","noteIndex":0},"citationItems":[{"id":5130,"uris":["http://zotero.org/users/10951124/items/TMF5PW9N"],"itemData":{"id":5130,"type":"article-journal","abstract":"The prolonged lockdown imposed to contain the COrona VIrus Disease 19 COVID-19 pandemic prevented many people from direct contact with nature and greenspaces, raising alarms for a possible worsening of mental health. This study investigated the effectiveness of a simple and affordable remedy for improving psychological well-being, based on audio-visual stimuli brought by a short computer video showing forest environments, with an urban video as a control. Randomly selected participants were assigned the forest or urban video, to look at and listen to early in the morning, and questionnaires to fill out. In particular, the State-Trait Anxiety Inventory (STAI) Form Y collected in baseline condition and at the end of the study and the Part II of the Sheehan Patient Rated Anxiety Scale (SPRAS) collected every day immediately before and after watching the video. The virtual exposure to forest environments showed effective to reduce perceived anxiety levels in people forced by lockdown in limited spaces and environmental deprivation. Although significant, the effects were observed only in the short term, highlighting the limitation of the virtual experiences. The reported effects might also represent a benchmark to disentangle the determinants of health effects due to real forest experiences, for example, the inhalation of biogenic volatile organic compounds (BVOC).","container-title":"International Journal of Environmental Research and Public Health","DOI":"10.3390/ijerph17218011","issue":"21","note":"ISBN: 1660-4601","title":"Comparative Study of the Restorative Effects of Forest and Urban Videos during COVID-19 Lockdown: Intrinsic and Benchmark Values","volume":"17","author":[{"family":"Zabini","given":"Federica"},{"family":"Albanese","given":"Lorenzo"},{"family":"Becheri","given":"Francesco R"},{"family":"Gavazzi","given":"Gioele"},{"family":"Giganti","given":"Fiorenza"},{"family":"Giovanelli","given":"Fabio"},{"family":"Gronchi","given":"Giorgio"},{"family":"Guazzini","given":"Andrea"},{"family":"Laurino","given":"Marco"},{"family":"Li","given":"Qing"},{"family":"Marzi","given":"Tessa"},{"family":"Mastorci","given":"Francesca"},{"family":"Meneguzzo","given":"Francesco"},{"family":"Righi","given":"Stefania"},{"family":"Viggiano","given":"Maria P"}],"issued":{"date-parts":[["2020"]]}}}],"schema":"https://github.com/citation-style-language/schema/raw/master/csl-citation.json"} </w:instrText>
      </w:r>
      <w:r w:rsidRPr="00C05886">
        <w:fldChar w:fldCharType="separate"/>
      </w:r>
      <w:r w:rsidR="009947CC" w:rsidRPr="00C05886">
        <w:rPr>
          <w:rFonts w:ascii="Calibri" w:hAnsi="Calibri" w:cs="Calibri"/>
          <w:szCs w:val="24"/>
        </w:rPr>
        <w:t xml:space="preserve">(Zabini </w:t>
      </w:r>
      <w:r w:rsidR="009947CC" w:rsidRPr="00C05886">
        <w:rPr>
          <w:rFonts w:ascii="Calibri" w:hAnsi="Calibri" w:cs="Calibri"/>
          <w:i/>
          <w:iCs/>
          <w:szCs w:val="24"/>
        </w:rPr>
        <w:t>et al.</w:t>
      </w:r>
      <w:r w:rsidR="009947CC" w:rsidRPr="00C05886">
        <w:rPr>
          <w:rFonts w:ascii="Calibri" w:hAnsi="Calibri" w:cs="Calibri"/>
          <w:szCs w:val="24"/>
        </w:rPr>
        <w:t>, 2020)</w:t>
      </w:r>
      <w:r w:rsidRPr="00C05886">
        <w:fldChar w:fldCharType="end"/>
      </w:r>
      <w:r w:rsidRPr="00C05886">
        <w:t xml:space="preserve">. For example, a recent study </w:t>
      </w:r>
      <w:r w:rsidRPr="00C05886">
        <w:fldChar w:fldCharType="begin"/>
      </w:r>
      <w:r w:rsidRPr="00C05886">
        <w:instrText xml:space="preserve"> ADDIN ZOTERO_ITEM CSL_CITATION {"citationID":"himwcoNy","properties":{"formattedCitation":"(Sun {\\i{}et al.}, 2023)","plainCitation":"(Sun et al., 2023)","noteIndex":0},"citationItems":[{"id":10418,"uris":["http://zotero.org/users/10951124/items/J6JGVXXL"],"itemData":{"id":10418,"type":"article-journal","container-title":"Environmental Research","DOI":"10.1016/j.envres.2022.114499","ISSN":"00139351","journalAbbreviation":"Environmental Research","language":"en","page":"114499","source":"DOI.org (Crossref)","title":"Physiological and affective responses to green space virtual reality among pregnant women","volume":"216","author":[{"family":"Sun","given":"Yi"},{"family":"Li","given":"Fu"},{"family":"He","given":"Tao"},{"family":"Meng","given":"Yaohan"},{"family":"Yin","given":"Jie"},{"family":"Yim","given":"Ilona S."},{"family":"Xu","given":"Liyan"},{"family":"Wu","given":"Jun"}],"issued":{"date-parts":[["2023",1]]}}}],"schema":"https://github.com/citation-style-language/schema/raw/master/csl-citation.json"} </w:instrText>
      </w:r>
      <w:r w:rsidRPr="00C05886">
        <w:fldChar w:fldCharType="separate"/>
      </w:r>
      <w:r w:rsidRPr="00C05886">
        <w:rPr>
          <w:rFonts w:ascii="Calibri" w:hAnsi="Calibri" w:cs="Calibri"/>
          <w:szCs w:val="24"/>
        </w:rPr>
        <w:t xml:space="preserve">(Sun </w:t>
      </w:r>
      <w:r w:rsidRPr="00C05886">
        <w:rPr>
          <w:rFonts w:ascii="Calibri" w:hAnsi="Calibri" w:cs="Calibri"/>
          <w:i/>
          <w:iCs/>
          <w:szCs w:val="24"/>
        </w:rPr>
        <w:t>et al.</w:t>
      </w:r>
      <w:r w:rsidRPr="00C05886">
        <w:rPr>
          <w:rFonts w:ascii="Calibri" w:hAnsi="Calibri" w:cs="Calibri"/>
          <w:szCs w:val="24"/>
        </w:rPr>
        <w:t>, 2023)</w:t>
      </w:r>
      <w:r w:rsidRPr="00C05886">
        <w:fldChar w:fldCharType="end"/>
      </w:r>
      <w:r w:rsidRPr="00C05886">
        <w:t xml:space="preserve"> showed the effect of 360-degree videos of urban scenes at different levels of greenery (none, low, moderate) on </w:t>
      </w:r>
      <w:r w:rsidRPr="00C05886">
        <w:lastRenderedPageBreak/>
        <w:t xml:space="preserve">pregnant women, who commonly have limited mobility and higher levels of stress. The results showed that after 5 minutes of watching, women assigned to the green space videos reported lower anxiety and higher happiness than those who watched the non-green video. The high quality of the 360-degree simulation could also be used to deliver customised, green-space-mediated, emotional recovery to hypersensitive patients </w:t>
      </w:r>
      <w:r w:rsidRPr="00C05886">
        <w:fldChar w:fldCharType="begin"/>
      </w:r>
      <w:r w:rsidRPr="00C05886">
        <w:instrText xml:space="preserve"> ADDIN ZOTERO_ITEM CSL_CITATION {"citationID":"leGxGXlm","properties":{"formattedCitation":"(Jo, Lee and Jeon, 2022)","plainCitation":"(Jo, Lee and Jeon, 2022)","noteIndex":0},"citationItems":[{"id":10421,"uris":["http://zotero.org/users/10951124/items/QSBDBJ45"],"itemData":{"id":10421,"type":"article-journal","abstract":"Abstract\n            Noise sensitivity is a crucial factor affecting subjective psychophysiological responses to the acoustic environment of various indoor and outdoor spaces. This study examines how noise sensitivity or hyperacusis affects the recovery of emotional and autonomic nervous system (ANS) responses when experiencing various monoscopic 360 video and stereoscopic sound environments (urban and natural) that represent the actual environment. A total of 60 general participants with mild depression, stress, and anxiety were examined using a survey to investigate individual characteristics, including noise sensitivity, and K-means clustering was used to classify them into sensitivity groups. Emotional and physiological responses were measured using the Korean edition of Profile of Mood States and by assessing heart rate variability, respectively. Overall, the emotional recovery effect was greater in the natural than the urban environment, and the homeostatic mechanism of the ANS was better maintained, thereby increasing stress resistance. Noise sensitivity did not have considerable effect on psychophysiological recovery in the natural environment, but had a significant effect on emotional response in the urban environment. This can be used as basic data in seeking customized emotional recovery for individuals using monoscopic 360 video and stereoscopic sound technology in the future.","container-title":"Scientific Reports","DOI":"10.1038/s41598-022-08374-y","ISSN":"2045-2322","issue":"1","journalAbbreviation":"Sci Rep","language":"en","source":"DOI.org (Crossref)","title":"Effect of noise sensitivity on psychophysiological response through monoscopic 360 video and stereoscopic sound environment experience: a randomized control trial","title-short":"Effect of noise sensitivity on psychophysiological response through monoscopic 360 video and stereoscopic sound environment experience","URL":"https://www.nature.com/articles/s41598-022-08374-y","volume":"12","author":[{"family":"Jo","given":"Hyun In"},{"family":"Lee","given":"Kounseok"},{"family":"Jeon","given":"Jin Yong"}],"accessed":{"date-parts":[["2023",10,6]]},"issued":{"date-parts":[["2022",3,16]]}}}],"schema":"https://github.com/citation-style-language/schema/raw/master/csl-citation.json"} </w:instrText>
      </w:r>
      <w:r w:rsidRPr="00C05886">
        <w:fldChar w:fldCharType="separate"/>
      </w:r>
      <w:r w:rsidRPr="00C05886">
        <w:rPr>
          <w:rFonts w:ascii="Calibri" w:hAnsi="Calibri" w:cs="Calibri"/>
        </w:rPr>
        <w:t>(Jo, Lee and Jeon, 2022)</w:t>
      </w:r>
      <w:r w:rsidRPr="00C05886">
        <w:fldChar w:fldCharType="end"/>
      </w:r>
      <w:r w:rsidRPr="00C05886">
        <w:t xml:space="preserve">. Interestingly, repeated exposure to green spaces through 360-green media, e.g. watching a video each day for four weeks </w:t>
      </w:r>
      <w:r w:rsidRPr="00C05886">
        <w:fldChar w:fldCharType="begin"/>
      </w:r>
      <w:r w:rsidRPr="00C05886">
        <w:instrText xml:space="preserve"> ADDIN ZOTERO_ITEM CSL_CITATION {"citationID":"9T0FUX4N","properties":{"formattedCitation":"(Browning {\\i{}et al.}, 2023)","plainCitation":"(Browning et al., 2023)","noteIndex":0},"citationItems":[{"id":10002,"uris":["http://zotero.org/users/10951124/items/Y7JU7YJ7"],"itemData":{"id":10002,"type":"article-journal","abstract":"Abstract\n            Exposure to natural environments offers an array of mental health benefits. Virtual reality provides simulated experiences of being in nature when outdoor access is limited. Previous studies on virtual nature have focused mainly on single \"doses\" of virtual nature. The effects of repeated exposure remain poorly understood. Motivated by this gap, we studied the influence of a daily virtual nature intervention on symptoms of anxiety, depression, and an underlying cause of poor mental health: rumination. Forty college students (58% non-Hispanic White, median age = 19) were recruited from two U.S. universities and randomly assigned to the intervention or control group. Over several weeks, anxious arousal (panic) and anxious apprehension (worry) decreased with virtual nature exposure. Participants identifying as women, past VR users, experienced with the outdoors, and engaged with the beauty in nature benefited particularly strongly from virtual nature. Virtual nature did not help symptoms of anhedonic depression or rumination. Further research is necessary to distinguish when and for whom virtual nature interventions impact mental health outcomes.","container-title":"Scientific Reports","DOI":"10.1038/s41598-023-28070-9","ISSN":"2045-2322","issue":"1","journalAbbreviation":"Sci Rep","language":"en","page":"1239","source":"DOI.org (Crossref)","title":"Daily exposure to virtual nature reduces symptoms of anxiety in college students","volume":"13","author":[{"family":"Browning","given":"Matthew H. E. M."},{"family":"Shin","given":"Seunguk"},{"family":"Drong","given":"Gabrielle"},{"family":"McAnirlin","given":"Olivia"},{"family":"Gagnon","given":"Ryan J."},{"family":"Ranganathan","given":"Shyam"},{"family":"Sindelar","given":"Kailan"},{"family":"Hoptman","given":"David"},{"family":"Bratman","given":"Gregory N."},{"family":"Yuan","given":"Shuai"},{"family":"Prabhu","given":"Vishnunarayan Girishan"},{"family":"Heller","given":"Wendy"}],"issued":{"date-parts":[["2023",1,23]]}}}],"schema":"https://github.com/citation-style-language/schema/raw/master/csl-citation.json"} </w:instrText>
      </w:r>
      <w:r w:rsidRPr="00C05886">
        <w:fldChar w:fldCharType="separate"/>
      </w:r>
      <w:r w:rsidRPr="00C05886">
        <w:rPr>
          <w:rFonts w:ascii="Calibri" w:hAnsi="Calibri" w:cs="Calibri"/>
          <w:szCs w:val="24"/>
        </w:rPr>
        <w:t xml:space="preserve">(Browning </w:t>
      </w:r>
      <w:r w:rsidRPr="00C05886">
        <w:rPr>
          <w:rFonts w:ascii="Calibri" w:hAnsi="Calibri" w:cs="Calibri"/>
          <w:i/>
          <w:iCs/>
          <w:szCs w:val="24"/>
        </w:rPr>
        <w:t>et al.</w:t>
      </w:r>
      <w:r w:rsidRPr="00C05886">
        <w:rPr>
          <w:rFonts w:ascii="Calibri" w:hAnsi="Calibri" w:cs="Calibri"/>
          <w:szCs w:val="24"/>
        </w:rPr>
        <w:t>, 2023)</w:t>
      </w:r>
      <w:r w:rsidRPr="00C05886">
        <w:fldChar w:fldCharType="end"/>
      </w:r>
      <w:r w:rsidRPr="00C05886">
        <w:t xml:space="preserve">, </w:t>
      </w:r>
      <w:r w:rsidR="00F540F5" w:rsidRPr="00C05886">
        <w:t>continued</w:t>
      </w:r>
      <w:r w:rsidRPr="00C05886">
        <w:t xml:space="preserve"> providing mental well-being outcomes (e.g. reduced anxiety). This could be due to the interactivity of the medium, allowing the viewer to watch the same video from different angles and focus on different details.</w:t>
      </w:r>
    </w:p>
    <w:p w14:paraId="347B77A5" w14:textId="648009FB" w:rsidR="00C12E53" w:rsidRPr="00C05886" w:rsidRDefault="00C12E53" w:rsidP="00C014D3">
      <w:r w:rsidRPr="00C05886">
        <w:t xml:space="preserve">The 360-degree media can be experienced on any kind of flat screen or with a head-mounted visor. On a flat screen, the viewer interacts with the scene by moving the point of view with the mouse but the experience is quite similar to watching a normal video. Instead, the headset allows the viewer to naturally look around the scene by moving the head. Supposedly this allows for a more complete immersion (i.e. a credible illusion of reality) and potentially improves the outcomes of the simulation. A recent study compared the effect of seeing 360-degree videos on a flat screen or with a headset </w:t>
      </w:r>
      <w:r w:rsidRPr="00C05886">
        <w:fldChar w:fldCharType="begin"/>
      </w:r>
      <w:r w:rsidRPr="00C05886">
        <w:instrText xml:space="preserve"> ADDIN ZOTERO_ITEM CSL_CITATION {"citationID":"cVWX3LjH","properties":{"formattedCitation":"(Reece {\\i{}et al.}, 2022)","plainCitation":"(Reece et al., 2022)","noteIndex":0},"citationItems":[{"id":10423,"uris":["http://zotero.org/users/10951124/items/BGW7K4QU"],"itemData":{"id":10423,"type":"article-journal","abstract":"Improving the mental health of urban residents is a global public health priority. This study builds on existing work that demonstrates the ability of virtual exposure to restorative environments to improve population mental health. It compares the restorative effects of green, blue and historic environments delivered by both flat screen and immersive virtual reality technology, and triangulates data from psychological, physiological and qualitative sources. Results from the subjective measure analyses showed that exposures to all the experimental videos were associated with self-reported reduced anxiety and improved mood, although the historic environment was associated with a smaller reduction of anxiety (p &lt; 0.01). These results were supported by the qualitative accounts. For two of the electroencephalography (EEG) frequency bands, higher levels of activity were observed for historic environments. In relation to the mode of delivery, the subjective measures did not suggest any effect, while for the EEG analyses there was evidence of a significant effect of technology across three out of four frequency bands. In conclusion, this study adds to the evidence that the benefits of restorative environments can be delivered through virtual exposure and suggests that virtual reality may provide greater levels of immersion than flat screen viewing.","container-title":"International Journal of Environmental Research and Public Health","DOI":"10.3390/ijerph19159457","ISSN":"1660-4601","issue":"15","journalAbbreviation":"IJERPH","language":"en","page":"9457","source":"DOI.org (Crossref)","title":"Exposure to Green, Blue and Historic Environments and Mental Well-Being: A Comparison between Virtual Reality Head-Mounted Display and Flat Screen Exposure","title-short":"Exposure to Green, Blue and Historic Environments and Mental Well-Being","volume":"19","author":[{"family":"Reece","given":"Rebecca"},{"family":"Bornioli","given":"Anna"},{"family":"Bray","given":"Isabelle"},{"family":"Newbutt","given":"Nigel"},{"family":"Satenstein","given":"David"},{"family":"Alford","given":"Chris"}],"issued":{"date-parts":[["2022",8,2]]}}}],"schema":"https://github.com/citation-style-language/schema/raw/master/csl-citation.json"} </w:instrText>
      </w:r>
      <w:r w:rsidRPr="00C05886">
        <w:fldChar w:fldCharType="separate"/>
      </w:r>
      <w:r w:rsidRPr="00C05886">
        <w:rPr>
          <w:rFonts w:ascii="Calibri" w:hAnsi="Calibri" w:cs="Calibri"/>
          <w:szCs w:val="24"/>
        </w:rPr>
        <w:t xml:space="preserve">(Reece </w:t>
      </w:r>
      <w:r w:rsidRPr="00C05886">
        <w:rPr>
          <w:rFonts w:ascii="Calibri" w:hAnsi="Calibri" w:cs="Calibri"/>
          <w:i/>
          <w:iCs/>
          <w:szCs w:val="24"/>
        </w:rPr>
        <w:t>et al.</w:t>
      </w:r>
      <w:r w:rsidRPr="00C05886">
        <w:rPr>
          <w:rFonts w:ascii="Calibri" w:hAnsi="Calibri" w:cs="Calibri"/>
          <w:szCs w:val="24"/>
        </w:rPr>
        <w:t>, 2022)</w:t>
      </w:r>
      <w:r w:rsidRPr="00C05886">
        <w:fldChar w:fldCharType="end"/>
      </w:r>
      <w:r w:rsidRPr="00C05886">
        <w:t xml:space="preserve">. The videos showed footage of urban green spaces, blue spaces and historic urban spaces. All the videos successfully reduced self-reported anxiety and stress no matter if the participants watched the videos on a flat screen or headset. The same was observed by </w:t>
      </w:r>
      <w:r w:rsidRPr="00C05886">
        <w:fldChar w:fldCharType="begin"/>
      </w:r>
      <w:r w:rsidR="00F27700">
        <w:instrText xml:space="preserve"> ADDIN ZOTERO_ITEM CSL_CITATION {"citationID":"scNt8VnX","properties":{"formattedCitation":"(Knaust {\\i{}et al.}, 2022)","plainCitation":"(Knaust et al., 2022)","dontUpdate":true,"noteIndex":0},"citationItems":[{"id":10472,"uris":["http://zotero.org/users/10951124/items/GTY2GM3F"],"itemData":{"id":10472,"type":"article-journal","abstract":"Abstract\n            It is generally accepted that natural environments reduce stress and improve mood. Since access to natural environments is sometimes limited, virtual natural environments, especially monoscopic 360° nature videos, offer a viable alternative. However, it remains unclear whether presenting monoscopic 360° nature videos via a head-mounted display (HMD) or a PC monitor results in larger relaxation effects. Therefore, this study examined whether a monoscopic 360° beach video presented with an HMD is significantly more relaxing than the same video presented via a PC screen, or no video at all (control condition), in altering skin conductance level (SCL), heart rate (HR), and perceived relaxation. Overall, 102 adults (40.2% females, age range 19–62 years) participated in a counterbalanced, randomized, controlled, within-subject experiment. All participants were subjected to three stressors comprising different mental arithmetic tasks, followed by three different recovery phases (HMD, PC, control). For SCL, the results showed a significantly larger decrease in the HMD and PC than in the control condition, but no significant differences between the HMD and PC condition. For HR, there were no significant differences between the recovery conditions. However, the HMD condition was rated significantly more relaxing than the other conditions, with no significant differences between the PC and control condition. Exploratory analyses showed that these results were not moderated by the participants’ age, gender, or technology anxiety. Overall, the psychophysiological results showed no significant benefit favoring the HMD over PC condition, although the self-reported relaxation ratings did. Future studies are warranted to clarify this divergence.","container-title":"Virtual Reality","DOI":"10.1007/s10055-021-00595-2","ISSN":"1359-4338, 1434-9957","issue":"3","journalAbbreviation":"Virtual Reality","language":"en","page":"925-938","source":"DOI.org (Crossref)","title":"Exposure to virtual nature: the impact of different immersion levels on skin conductance level, heart rate, and perceived relaxation","title-short":"Exposure to virtual nature","volume":"26","author":[{"family":"Knaust","given":"Thiemo"},{"family":"Felnhofer","given":"Anna"},{"family":"Kothgassner","given":"Oswald D."},{"family":"Höllmer","given":"Helge"},{"family":"Gorzka","given":"Robert-Jacek"},{"family":"Schulz","given":"Holger"}],"issued":{"date-parts":[["2022",9]]}}}],"schema":"https://github.com/citation-style-language/schema/raw/master/csl-citation.json"} </w:instrText>
      </w:r>
      <w:r w:rsidRPr="00C05886">
        <w:fldChar w:fldCharType="separate"/>
      </w:r>
      <w:r w:rsidRPr="00C05886">
        <w:rPr>
          <w:rFonts w:ascii="Calibri" w:hAnsi="Calibri" w:cs="Calibri"/>
          <w:szCs w:val="24"/>
        </w:rPr>
        <w:t xml:space="preserve">Knaust </w:t>
      </w:r>
      <w:r w:rsidRPr="00C05886">
        <w:rPr>
          <w:rFonts w:ascii="Calibri" w:hAnsi="Calibri" w:cs="Calibri"/>
          <w:i/>
          <w:iCs/>
          <w:szCs w:val="24"/>
        </w:rPr>
        <w:t>et al.</w:t>
      </w:r>
      <w:r w:rsidRPr="00C05886">
        <w:rPr>
          <w:rFonts w:ascii="Calibri" w:hAnsi="Calibri" w:cs="Calibri"/>
          <w:szCs w:val="24"/>
        </w:rPr>
        <w:t xml:space="preserve"> </w:t>
      </w:r>
      <w:r w:rsidR="004F6E78">
        <w:rPr>
          <w:rFonts w:ascii="Calibri" w:hAnsi="Calibri" w:cs="Calibri"/>
          <w:szCs w:val="24"/>
        </w:rPr>
        <w:t>(</w:t>
      </w:r>
      <w:r w:rsidRPr="00C05886">
        <w:rPr>
          <w:rFonts w:ascii="Calibri" w:hAnsi="Calibri" w:cs="Calibri"/>
          <w:szCs w:val="24"/>
        </w:rPr>
        <w:t>2022)</w:t>
      </w:r>
      <w:r w:rsidRPr="00C05886">
        <w:fldChar w:fldCharType="end"/>
      </w:r>
      <w:r w:rsidRPr="00C05886">
        <w:t>, who compared the physiological stress recovery (skin conductance) of watching the same 360-degree video (a Mediterranean beach) on either a flat screen or a headset. In both cases some marginal evidence in favour of the head-mounted visors was found – i.e. better EEG indicators in Reece et al. and higher self-reported relaxation in Knaust et al. – but not conclusive enough to change the overall results.</w:t>
      </w:r>
    </w:p>
    <w:p w14:paraId="7FA9CEED" w14:textId="5792BD44" w:rsidR="00C12E53" w:rsidRPr="00C05886" w:rsidRDefault="00C12E53" w:rsidP="00C014D3">
      <w:r w:rsidRPr="00C05886">
        <w:t xml:space="preserve">Summarising, virtual exposure to green spaces looks just as effective in improving well-being indicators as the other visual media </w:t>
      </w:r>
      <w:r w:rsidRPr="00C05886">
        <w:fldChar w:fldCharType="begin"/>
      </w:r>
      <w:r w:rsidRPr="00C05886">
        <w:instrText xml:space="preserve"> ADDIN ZOTERO_ITEM CSL_CITATION {"citationID":"C3Ok37c9","properties":{"formattedCitation":"(Lee {\\i{}et al.}, 2022)","plainCitation":"(Lee et al., 2022)","noteIndex":0},"citationItems":[{"id":10419,"uris":["http://zotero.org/users/10951124/items/M6WIGZ8I"],"itemData":{"id":10419,"type":"article-journal","abstract":"As mental health issues increase worldwide, nature-based experiences are being recognized as alternative treatments for improving health and well-being. Increasing urbanization precludes many people from accessing green spaces owing to time or physical limitations. Therefore, opportunities to connect with nature through virtual technology is being encouraged. We conducted a systematic review of studies on the psychological effects of experiencing nature using virtual technology. We searched the academic databases PubMed, Web of Science, and Scopus for relevant studies and assessed their quality using Cochrane’s RoB 2 and ROBINS-I tools. Twenty-one studies were included and the psychological outcomes were negatively synthesized by the intervention characteristics (duration, observation position of the landscape, interaction, environment description, and sensory type). Psychological outcomes were classified into emotional recovery, cognitive recovery, stress reduction, and other indicators. Emotional recovery was most consistently presented, and virtual natural contact alleviated negative emotions more than it elicited positive emotions. Additionally, virtual nature interventions lasting more than 10 min showed more consistent effects than those of less than 10 min. Moreover, an open field of view led to significant emotional recovery and an in-forest view led to significant cognitive recovery. Despite some limitations, our findings will contribute to the development of virtual forest experiences to improve human well-being.","container-title":"Forests","DOI":"10.3390/f13101625","ISSN":"1999-4907","issue":"10","journalAbbreviation":"Forests","language":"en","page":"1625","source":"DOI.org (Crossref)","title":"Psychological Effects of Green Experiences in a Virtual Environment: A Systematic Review","title-short":"Psychological Effects of Green Experiences in a Virtual Environment","volume":"13","author":[{"family":"Lee","given":"Mijin"},{"family":"Kim","given":"Eunsoo"},{"family":"Choe","given":"Jiwon"},{"family":"Choi","given":"Seonhye"},{"family":"Ha","given":"Siyeon"},{"family":"Kim","given":"Geonwoo"}],"issued":{"date-parts":[["2022",10,3]]}}}],"schema":"https://github.com/citation-style-language/schema/raw/master/csl-citation.json"} </w:instrText>
      </w:r>
      <w:r w:rsidRPr="00C05886">
        <w:fldChar w:fldCharType="separate"/>
      </w:r>
      <w:r w:rsidRPr="00C05886">
        <w:rPr>
          <w:rFonts w:ascii="Calibri" w:hAnsi="Calibri" w:cs="Calibri"/>
          <w:szCs w:val="24"/>
        </w:rPr>
        <w:t xml:space="preserve">(Lee </w:t>
      </w:r>
      <w:r w:rsidRPr="00C05886">
        <w:rPr>
          <w:rFonts w:ascii="Calibri" w:hAnsi="Calibri" w:cs="Calibri"/>
          <w:i/>
          <w:iCs/>
          <w:szCs w:val="24"/>
        </w:rPr>
        <w:t>et al.</w:t>
      </w:r>
      <w:r w:rsidRPr="00C05886">
        <w:rPr>
          <w:rFonts w:ascii="Calibri" w:hAnsi="Calibri" w:cs="Calibri"/>
          <w:szCs w:val="24"/>
        </w:rPr>
        <w:t>, 2022)</w:t>
      </w:r>
      <w:r w:rsidRPr="00C05886">
        <w:fldChar w:fldCharType="end"/>
      </w:r>
      <w:r w:rsidRPr="00C05886">
        <w:t xml:space="preserve">. However, direct contact with the natural environment should generate a stronger affective response, compared to any video-mediated exposure </w:t>
      </w:r>
      <w:r w:rsidRPr="00C05886">
        <w:fldChar w:fldCharType="begin" w:fldLock="1"/>
      </w:r>
      <w:r w:rsidRPr="00C05886">
        <w:instrText xml:space="preserve"> ADDIN ZOTERO_ITEM CSL_CITATION {"citationID":"AIwydTOz","properties":{"formattedCitation":"(McMahan and Estes, 2015)","plainCitation":"(McMahan and Estes, 2015)","noteIndex":0},"citationItems":[{"id":6296,"uris":["http://zotero.org/users/10951124/items/UFVUX6YA"],"itemData":{"id":6296,"type":"article-journal","abstract":"&lt;p&gt;A growing body of empirical research suggests that brief contact with natural environments improves emotional well-being. The current study synthesizes this body of research using meta-analytic techniques and assesses the mean effect size of exposure to natural environments on both positive and negative affect. Thirty-two studies with a total of 2356 participants were included. Across these studies, exposure to natural environments was associated with a moderate increase in positive affect and a smaller, yet consistent, decrease in negative affect relative to comparison conditions. Significant heterogeneity was found for the effect of nature on positive affect, and type of emotion assessment, type of exposure to nature, location of study, and mean age of sample were found to moderate this effect. The implications of these findings for existing theory and research are discussed, with particular emphasis placed on potential avenues for fruitful future research examining the effects of nature on well-being.&lt;/p&gt;","container-title":"The Journal of Positive Psychology","DOI":"10.1080/17439760.2014.994224","ISSN":"1743-9760","issue":"6","page":"507-519","title":"The effect of contact with natural environments on positive and negative affect: A meta-analysis","volume":"10","author":[{"family":"McMahan","given":"Ethan A"},{"family":"Estes","given":"David"}],"issued":{"date-parts":[["2015"]]}}}],"schema":"https://github.com/citation-style-language/schema/raw/master/csl-citation.json"} </w:instrText>
      </w:r>
      <w:r w:rsidRPr="00C05886">
        <w:fldChar w:fldCharType="separate"/>
      </w:r>
      <w:r w:rsidRPr="00C05886">
        <w:rPr>
          <w:rFonts w:ascii="Calibri" w:hAnsi="Calibri" w:cs="Calibri"/>
        </w:rPr>
        <w:t>(McMahan and Estes, 2015)</w:t>
      </w:r>
      <w:r w:rsidRPr="00C05886">
        <w:fldChar w:fldCharType="end"/>
      </w:r>
      <w:r w:rsidRPr="00C05886">
        <w:t xml:space="preserve">. This has received experimental support even in the case of the more immersive 360-degree videos. Comparing the psychophysiological benefits of relaxing in a real natural setting vs watching a 360-degree video of the same setting, the researchers have found that both treatments were beneficial, but only the setting with real nature increased the </w:t>
      </w:r>
      <w:r w:rsidR="00E8285F">
        <w:t>Positive Affect</w:t>
      </w:r>
      <w:r w:rsidRPr="00C05886">
        <w:t xml:space="preserve"> </w:t>
      </w:r>
      <w:r w:rsidRPr="00C05886">
        <w:fldChar w:fldCharType="begin"/>
      </w:r>
      <w:r w:rsidRPr="00C05886">
        <w:instrText xml:space="preserve"> ADDIN ZOTERO_ITEM CSL_CITATION {"citationID":"xmGUnNSE","properties":{"formattedCitation":"(Browning, Mimnaugh, {\\i{}et al.}, 2020)","plainCitation":"(Browning, Mimnaugh, et al., 2020)","noteIndex":0},"citationItems":[{"id":4706,"uris":["http://zotero.org/users/10951124/items/I7ZC24VP"],"itemData":{"id":4706,"type":"article-journal","abstract":"Nature exposure in virtual reality (VR) can provide emotional well-being benefits for people who cannot access the outdoors. Little is known about how these simulated experiences compare with real outdoor experiences. We conduct an experiment with healthy undergraduate students that tests the effects of 6 min of outdoor nature exposure with 6 min of exposure to a 360-degree VR nature video, which is recorded at the outdoor nature exposure location. Skin conductivity, restorativeness, and mood before and after exposure are measured. We find that both types of nature exposure increase physiological arousal, benefit positive mood levels, and are restorative compared to an indoor setting without nature","container-title":"Frontiers in psychology","DOI":"10.3389/fpsyg.2019.02667","ISSN":"1664-1078","note":"publisher: Frontiers Media S.A","title":"Can Simulated Nature Support Mental Health? Comparing Short, Single-Doses of 360-Degree Nature Videos in Virtual Reality With the Outdoors","volume":"10","author":[{"family":"Browning","given":"Matthew"},{"family":"Mimnaugh","given":"Katherine J"},{"family":"Riper","given":"Carena J","non-dropping-particle":"van"},{"family":"Laurent","given":"Heidemarie K"},{"family":"LaValle","given":"Steven M"}],"issued":{"date-parts":[["2020"]]}}}],"schema":"https://github.com/citation-style-language/schema/raw/master/csl-citation.json"} </w:instrText>
      </w:r>
      <w:r w:rsidRPr="00C05886">
        <w:fldChar w:fldCharType="separate"/>
      </w:r>
      <w:r w:rsidRPr="00C05886">
        <w:rPr>
          <w:rFonts w:ascii="Calibri" w:hAnsi="Calibri" w:cs="Calibri"/>
          <w:szCs w:val="24"/>
        </w:rPr>
        <w:t xml:space="preserve">(Browning, Mimnaugh, </w:t>
      </w:r>
      <w:r w:rsidRPr="00C05886">
        <w:rPr>
          <w:rFonts w:ascii="Calibri" w:hAnsi="Calibri" w:cs="Calibri"/>
          <w:i/>
          <w:iCs/>
          <w:szCs w:val="24"/>
        </w:rPr>
        <w:t>et al.</w:t>
      </w:r>
      <w:r w:rsidRPr="00C05886">
        <w:rPr>
          <w:rFonts w:ascii="Calibri" w:hAnsi="Calibri" w:cs="Calibri"/>
          <w:szCs w:val="24"/>
        </w:rPr>
        <w:t>, 2020)</w:t>
      </w:r>
      <w:r w:rsidRPr="00C05886">
        <w:fldChar w:fldCharType="end"/>
      </w:r>
      <w:r w:rsidRPr="00C05886">
        <w:t xml:space="preserve">. This was also confirmed by an update of </w:t>
      </w:r>
      <w:r w:rsidRPr="00C05886">
        <w:lastRenderedPageBreak/>
        <w:t xml:space="preserve">McMahan et al. meta-analysis, showing larger effect sizes for the </w:t>
      </w:r>
      <w:r w:rsidR="00E8285F">
        <w:t>Positive Affect</w:t>
      </w:r>
      <w:r w:rsidRPr="00C05886">
        <w:t xml:space="preserve"> in real nature vs virtual nature and moderate effect sizes in reducing the </w:t>
      </w:r>
      <w:r w:rsidR="00E8285F">
        <w:t>Negative Affect</w:t>
      </w:r>
      <w:r w:rsidRPr="00C05886">
        <w:t xml:space="preserve"> </w:t>
      </w:r>
      <w:r w:rsidRPr="00C05886">
        <w:fldChar w:fldCharType="begin"/>
      </w:r>
      <w:r w:rsidRPr="00C05886">
        <w:instrText xml:space="preserve"> ADDIN ZOTERO_ITEM CSL_CITATION {"citationID":"oMG1fUD0","properties":{"formattedCitation":"(Browning, Shipley, {\\i{}et al.}, 2020)","plainCitation":"(Browning, Shipley, et al., 2020)","noteIndex":0},"citationItems":[{"id":5471,"uris":["http://zotero.org/users/10951124/items/HS7BZ2DY"],"itemData":{"id":5471,"type":"article-journal","abstract":"Accumulating evidence indicates that simulated natural settings can engage mechanisms that promote health. Simulations offer alternatives to actual natural settings for populations unable to travel outdoors safely; however, few studies have contrasted the effects of simulations of natural settings to their actual outdoor counterparts. We compared the impacts of simulated and actual natural settings on positive and negative affect (mood) levels using a pooled sample of participants enrolled in extant experimental studies. Relevant articles were identified from a review of research published/in press by March 2020. Of 15 articles identified, five met the inclusion criteria and administered a single cross-cutting, standardized instrument (the Positive and Negative Affect Schedule; PANAS) before and after exposure. Random effects meta-analysis of pooled effects showed that positive affect increased in the actual settings but not in their simulated counterparts (Hedge's g = 0.88; 95% CI: 0.53, 1.25). We observed no difference in effects on negative affect change scores (g = -0.23; 95% CI: -0.60, 0.13), with studies generally showing reductions in negative affect in both settings. Further research with additional populations, settings, antecedent conditions and durations will provide a more robust understanding of differences in effects between these two ways to enhance mood by viewing nature.","container-title":"Frontiers in Psychology","DOI":"10.3389/fpsyg.2020.02200","issue":"September","page":"1-12","title":"An Actual Natural Setting Improves Mood Better Than Its Virtual Counterpart: A Meta-Analysis of Experimental Data","volume":"11","author":[{"family":"Browning","given":"Matthew"},{"family":"Shipley","given":"Nathan"},{"family":"McAnirlin","given":"Olivia"},{"family":"Becker","given":"Douglas"},{"family":"Yu","given":"Chia-Pin"},{"family":"Hartig","given":"Terry"},{"family":"Dzhambov","given":"Angel M."}],"issued":{"date-parts":[["2020"]]}}}],"schema":"https://github.com/citation-style-language/schema/raw/master/csl-citation.json"} </w:instrText>
      </w:r>
      <w:r w:rsidRPr="00C05886">
        <w:fldChar w:fldCharType="separate"/>
      </w:r>
      <w:r w:rsidRPr="00C05886">
        <w:rPr>
          <w:rFonts w:ascii="Calibri" w:hAnsi="Calibri" w:cs="Calibri"/>
          <w:szCs w:val="24"/>
        </w:rPr>
        <w:t xml:space="preserve">(Browning, Shipley, </w:t>
      </w:r>
      <w:r w:rsidRPr="00C05886">
        <w:rPr>
          <w:rFonts w:ascii="Calibri" w:hAnsi="Calibri" w:cs="Calibri"/>
          <w:i/>
          <w:iCs/>
          <w:szCs w:val="24"/>
        </w:rPr>
        <w:t>et al.</w:t>
      </w:r>
      <w:r w:rsidRPr="00C05886">
        <w:rPr>
          <w:rFonts w:ascii="Calibri" w:hAnsi="Calibri" w:cs="Calibri"/>
          <w:szCs w:val="24"/>
        </w:rPr>
        <w:t>, 2020)</w:t>
      </w:r>
      <w:r w:rsidRPr="00C05886">
        <w:fldChar w:fldCharType="end"/>
      </w:r>
      <w:r w:rsidRPr="00C05886">
        <w:t>.</w:t>
      </w:r>
    </w:p>
    <w:p w14:paraId="30746012" w14:textId="77777777" w:rsidR="00C12E53" w:rsidRPr="00C05886" w:rsidRDefault="00C12E53" w:rsidP="00C12E53">
      <w:pPr>
        <w:pStyle w:val="Heading3"/>
      </w:pPr>
      <w:bookmarkStart w:id="34" w:name="_Toc179962293"/>
      <w:r w:rsidRPr="00C05886">
        <w:t>Beyond sight: the raw nature experience</w:t>
      </w:r>
      <w:bookmarkEnd w:id="34"/>
    </w:p>
    <w:p w14:paraId="7B9663AF" w14:textId="77777777" w:rsidR="00C12E53" w:rsidRPr="00C05886" w:rsidRDefault="00C12E53" w:rsidP="00626BC2">
      <w:r w:rsidRPr="00C05886">
        <w:t>Historically, at least in the West, benefits derived from contact with nature have been attributed to a “change of scenery”. Naturally, in centuries when visual media were restricted to figurative arts, the only way to get a change of scenery was to move out to the desired location. Being in the natural environment, or any environment, is a multisensory experience. The environment is sensed, more or less actively, through specialised organs and nerves, and this raw information is then processed in different areas of the brain. When this process enters the domain of cognition, sensations become perceptions. The two can be far removed from each other at the end of the process, as the initial sensory information is filtered and sieved through several cognitive lenses (e.g. past experiences) and triggers other processes (e.g. emotional reactions) which elaborate the final output.</w:t>
      </w:r>
    </w:p>
    <w:p w14:paraId="537B25E9" w14:textId="441C5EAB" w:rsidR="00C12E53" w:rsidRPr="00C05886" w:rsidRDefault="00C12E53" w:rsidP="006B2DF8">
      <w:r w:rsidRPr="00C05886">
        <w:t xml:space="preserve">Although nature is a multisensory experience, with multiple sensations contributing to the perceptual outcome, research investigating the well-being/nature relationship has frequently used a reductionist approach. These attempts to tease out the components of perceiving nature have focused on various well-being outcomes. </w:t>
      </w:r>
      <w:r w:rsidR="009912C5" w:rsidRPr="00C05886">
        <w:t>T</w:t>
      </w:r>
      <w:r w:rsidRPr="00C05886">
        <w:t xml:space="preserve">he following sections summarise research work focused on hearing, smelling and touching. </w:t>
      </w:r>
    </w:p>
    <w:p w14:paraId="366A46DE" w14:textId="77777777" w:rsidR="00C12E53" w:rsidRPr="00C05886" w:rsidRDefault="00C12E53" w:rsidP="00C12E53">
      <w:pPr>
        <w:pStyle w:val="Heading4"/>
      </w:pPr>
      <w:r w:rsidRPr="00C05886">
        <w:t>Hearing</w:t>
      </w:r>
    </w:p>
    <w:p w14:paraId="262D89B8" w14:textId="77777777" w:rsidR="00C12E53" w:rsidRPr="00C05886" w:rsidRDefault="00C12E53" w:rsidP="00DF6315">
      <w:r w:rsidRPr="00C05886">
        <w:t xml:space="preserve">Natural sounds, such as birdsong, breeze, flowing water and sea waves have been commonly used in research </w:t>
      </w:r>
      <w:r w:rsidRPr="00C05886">
        <w:fldChar w:fldCharType="begin"/>
      </w:r>
      <w:r w:rsidRPr="00C05886">
        <w:instrText xml:space="preserve"> ADDIN ZOTERO_ITEM CSL_CITATION {"citationID":"OliwAqGq","properties":{"formattedCitation":"(Franco, Shanahan and Fuller, 2017)","plainCitation":"(Franco, Shanahan and Fuller, 2017)","noteIndex":0},"citationItems":[{"id":9656,"uris":["http://zotero.org/users/10951124/items/LA6VDKEM"],"itemData":{"id":9656,"type":"article-journal","abstract":"Evidence that experiences of nature can benefit people has accumulated rapidly. Yet perhaps because of the domination of the visual sense in humans, most research has focused on the visual aspects of nature experiences. However, humans are multisensory, and it seems likely that many benefits are delivered through the non-visual senses and these are potentially avenues through which a physiological mechanism could occur. Here we review the evidence around these lesser studied sensory pathways—through sound, smell, taste, touch, and three non-sensory pathways. Natural sounds and smells underpin experiences of nature for many people, and this may well be rooted in evolutionary psychology. Tactile experiences of nature, particularly beyond animal petting, are understudied yet potentially fundamentally important. Tastes of nature, through growing and consuming natural foods, have been linked with a range of health and well-being benefits. Beyond the five senses, evidence is emerging for other non-visual pathways for nature experiences to be effective. These include ingestion or inhalation of phytoncides, negative air ions and microbes. We conclude that (i) these non-visual avenues are potentially important for delivering benefits from nature experiences; (ii) the evidence base is relatively weak and often based on correlational studies; and (iii) deeper exploration of these sensory and non-sensory avenues is needed.","container-title":"International Journal of Environmental Research and Public Health","DOI":"10.3390/ijerph14080864","ISSN":"1660-4601","issue":"8","title":"A Review of the Benefits of Nature Experiences: More Than Meets the Eye","volume":"14","author":[{"family":"Franco","given":"Lara S."},{"family":"Shanahan","given":"Danielle F."},{"family":"Fuller","given":"Richard A."}],"issued":{"date-parts":[["2017"]]}}}],"schema":"https://github.com/citation-style-language/schema/raw/master/csl-citation.json"} </w:instrText>
      </w:r>
      <w:r w:rsidRPr="00C05886">
        <w:fldChar w:fldCharType="separate"/>
      </w:r>
      <w:r w:rsidRPr="00C05886">
        <w:rPr>
          <w:rFonts w:ascii="Calibri" w:hAnsi="Calibri" w:cs="Calibri"/>
        </w:rPr>
        <w:t>(Franco, Shanahan and Fuller, 2017)</w:t>
      </w:r>
      <w:r w:rsidRPr="00C05886">
        <w:fldChar w:fldCharType="end"/>
      </w:r>
      <w:r w:rsidRPr="00C05886">
        <w:t>. Generally, the presence of nature sounds seems effective in reducing self-reported and physiological stress, especially when compared with urban noise or a neutral control.</w:t>
      </w:r>
    </w:p>
    <w:p w14:paraId="3C090DDE" w14:textId="7A091E2A" w:rsidR="00C12E53" w:rsidRPr="00C05886" w:rsidRDefault="00C12E53" w:rsidP="00BC2FDD">
      <w:r w:rsidRPr="00C05886">
        <w:t xml:space="preserve">Participants stressed with taxing arithmetic tasks, were able to recover faster when listening to a recording of a fountain with bird calls than when listening to traffic noise or white noise </w:t>
      </w:r>
      <w:r w:rsidRPr="00C05886">
        <w:fldChar w:fldCharType="begin"/>
      </w:r>
      <w:r w:rsidRPr="00C05886">
        <w:instrText xml:space="preserve"> ADDIN ZOTERO_ITEM CSL_CITATION {"citationID":"LjNjLbKu","properties":{"formattedCitation":"(Alvarsson, Wiens and Nilsson, 2010)","plainCitation":"(Alvarsson, Wiens and Nilsson, 2010)","noteIndex":0},"citationItems":[{"id":9491,"uris":["http://zotero.org/users/10951124/items/V82A9G7R"],"itemData":{"id":9491,"type":"article-journal","abstract":"Research suggests that visual impressions of natural compared with urban environments facilitate recovery after psychological stress. To test whether auditory stimulation has similar effects, 40 subjects were exposed to sounds from nature or noisy environments after a stressful mental arithmetic task. Skin conductance level (SCL) was used to index sympathetic activation, and high frequency heart rate variability (HF HRV) was used to index parasympathetic activation. Although HF HRV showed no effects, SCL recovery tended to be faster during natural sound than noisy environments. These results suggest that nature sounds facilitate recovery from sympathetic activation after a psychological stressor.","container-title":"International Journal of Environmental Research and Public Health","DOI":"10.3390/ijerph7031036","ISSN":"1660-4601","issue":"3","page":"1036-1046","title":"Stress Recovery during Exposure to Nature Sound and Environmental Noise","volume":"7","author":[{"family":"Alvarsson","given":"Jesper J."},{"family":"Wiens","given":"Stefan"},{"family":"Nilsson","given":"Mats E."}],"issued":{"date-parts":[["2010"]]}}}],"schema":"https://github.com/citation-style-language/schema/raw/master/csl-citation.json"} </w:instrText>
      </w:r>
      <w:r w:rsidRPr="00C05886">
        <w:fldChar w:fldCharType="separate"/>
      </w:r>
      <w:r w:rsidRPr="00C05886">
        <w:rPr>
          <w:rFonts w:ascii="Calibri" w:hAnsi="Calibri" w:cs="Calibri"/>
        </w:rPr>
        <w:t>(Alvarsson, Wiens and Nilsson, 2010)</w:t>
      </w:r>
      <w:r w:rsidRPr="00C05886">
        <w:fldChar w:fldCharType="end"/>
      </w:r>
      <w:r w:rsidRPr="00C05886">
        <w:t xml:space="preserve">. Similar responses were observed in another experiment, where stressed participants were shown footage of a forest stream with or without sounds </w:t>
      </w:r>
      <w:r w:rsidRPr="00C05886">
        <w:fldChar w:fldCharType="begin"/>
      </w:r>
      <w:r w:rsidRPr="00C05886">
        <w:instrText xml:space="preserve"> ADDIN ZOTERO_ITEM CSL_CITATION {"citationID":"U2GtlpaA","properties":{"formattedCitation":"(Annerstedt {\\i{}et al.}, 2013)","plainCitation":"(Annerstedt et al., 2013)","noteIndex":0},"citationItems":[{"id":9492,"uris":["http://zotero.org/users/10951124/items/4SAG2MEC"],"itemData":{"id":9492,"type":"article-journal","abstract":"Experimental research on stress recovery in natural environments is limited, as is study of the effect of sounds of nature. After inducing stress by means of a virtual stress test, we explored physiological recovery in two different virtual natural environments (with and without exposure to sounds of nature) and in one control condition. Cardiovascular data and saliva cortisol were collected. Repeated ANOVA measurements indicated parasympathetic activation in the group subjected to sounds of nature in a virtual natural environment, suggesting enhanced stress recovery may occur in such surroundings. The group that recovered in virtual nature without sound and the control group displayed no particular autonomic activation or deactivation. The results demonstrate a potential mechanistic link between nature, the sounds of nature, and stress recovery, and suggest the potential importance of virtual reality as a tool in this research field.","container-title":"Physiology &amp; Behavior","DOI":"10.1016/j.physbeh.2013.05.023","ISSN":"0031-9384","journalAbbreviation":"Physiology &amp; Behavior","page":"240-250","title":"Inducing physiological stress recovery with sounds of nature in a virtual reality forest — Results from a pilot study","volume":"118","author":[{"family":"Annerstedt","given":"Matilda"},{"family":"Jönsson","given":"Peter"},{"family":"Wallergård","given":"Mattias"},{"family":"Johansson","given":"Gerd"},{"family":"Karlson","given":"Björn"},{"family":"Grahn","given":"Patrik"},{"family":"Hansen","given":"Åse Marie"},{"family":"Währborg","given":"Peter"}],"issued":{"date-parts":[["2013",6,13]]}}}],"schema":"https://github.com/citation-style-language/schema/raw/master/csl-citation.json"} </w:instrText>
      </w:r>
      <w:r w:rsidRPr="00C05886">
        <w:fldChar w:fldCharType="separate"/>
      </w:r>
      <w:r w:rsidRPr="00C05886">
        <w:rPr>
          <w:rFonts w:ascii="Calibri" w:hAnsi="Calibri" w:cs="Calibri"/>
          <w:szCs w:val="24"/>
        </w:rPr>
        <w:t xml:space="preserve">(Annerstedt </w:t>
      </w:r>
      <w:r w:rsidRPr="00C05886">
        <w:rPr>
          <w:rFonts w:ascii="Calibri" w:hAnsi="Calibri" w:cs="Calibri"/>
          <w:i/>
          <w:iCs/>
          <w:szCs w:val="24"/>
        </w:rPr>
        <w:t>et al.</w:t>
      </w:r>
      <w:r w:rsidRPr="00C05886">
        <w:rPr>
          <w:rFonts w:ascii="Calibri" w:hAnsi="Calibri" w:cs="Calibri"/>
          <w:szCs w:val="24"/>
        </w:rPr>
        <w:t>, 2013)</w:t>
      </w:r>
      <w:r w:rsidRPr="00C05886">
        <w:fldChar w:fldCharType="end"/>
      </w:r>
      <w:r w:rsidRPr="00C05886">
        <w:t xml:space="preserve">. Although both groups of participants reported similar recovery, those who watched the video with the sounds also showed increased physiological recovery from stress. This difference was also noted in </w:t>
      </w:r>
      <w:r w:rsidRPr="00C05886">
        <w:fldChar w:fldCharType="begin"/>
      </w:r>
      <w:r w:rsidRPr="00C05886">
        <w:instrText xml:space="preserve"> ADDIN ZOTERO_ITEM CSL_CITATION {"citationID":"exwfYA1V","properties":{"formattedCitation":"(Kjellgren and Buhrkall, 2010)","plainCitation":"(Kjellgren and Buhrkall, 2010)","dontUpdate":true,"noteIndex":0},"citationItems":[{"id":4761,"uris":["http://zotero.org/users/10951124/items/4KN7YECW"],"itemData":{"id":4761,"type":"article-journal","abstract":"This study aimed to compare the restorative effects of 30 min relaxation in a natural environment with an indoor simulation of the same natural environment. A repeated-measure design was carried out and 18 participants suffering from stress and/or burnout syndrome were counterbalanced into the two conditions. Both physiological measures and psychological instruments were applied. Further, qualitative descriptions of experiences were obtained. A phenomenological analysis of the qualitative data resulted in six categories for the natural environment: Intensified sensory perception; A feeling of harmony and union with nature; Well-being and quality of life; Renewed energy and awakening; “Here-and-now” thinking; and A sense of tranquillity, while for the simulated natural environment, there were five categories: Restlessness and anxiety; Lack of concentration; A sense of being cut off from nature's sensory input; A longing to be in ‘real’ nature; and Positive emotions. The natural environment yielded a significantly higher rating of degree of altered states of consciousness (ASC) and energy than the simulated natural environment. The results suggest that both environments facilitated stress reduction, with the natural environment additionally bringing increased energy and ASC, thus possibly enhancing and promoting restoration.","container-title":"Journal of Environmental Psychology","DOI":"https://doi.org/10.1016/j.jenvp.2010.01.011","ISSN":"0272-4944","issue":"4","page":"464-472","title":"A comparison of the restorative effect of a natural environment with that of a simulated natural environment","volume":"30","author":[{"family":"Kjellgren","given":"Anette"},{"family":"Buhrkall","given":"Hanne"}],"issued":{"date-parts":[["2010"]]}}}],"schema":"https://github.com/citation-style-language/schema/raw/master/csl-citation.json"} </w:instrText>
      </w:r>
      <w:r w:rsidRPr="00C05886">
        <w:fldChar w:fldCharType="separate"/>
      </w:r>
      <w:r w:rsidRPr="00C05886">
        <w:rPr>
          <w:rFonts w:ascii="Calibri" w:hAnsi="Calibri" w:cs="Calibri"/>
        </w:rPr>
        <w:t>Kjellgren and Buhrkall (2010)</w:t>
      </w:r>
      <w:r w:rsidRPr="00C05886">
        <w:fldChar w:fldCharType="end"/>
      </w:r>
      <w:r w:rsidRPr="00C05886">
        <w:t xml:space="preserve">, who suggested that the absence of sounds can reduce the credibility of a simulation and produce </w:t>
      </w:r>
      <w:r w:rsidR="00E8285F">
        <w:t>Negative Affect</w:t>
      </w:r>
      <w:r w:rsidRPr="00C05886">
        <w:t xml:space="preserve">. More recent studies have looked at the </w:t>
      </w:r>
      <w:r w:rsidRPr="00C05886">
        <w:lastRenderedPageBreak/>
        <w:t xml:space="preserve">potential longer-term effects of nature sounds. University students in China, tasked to listen to at least 30 minutes of nature sounds via an app while doing coursework, showed improved </w:t>
      </w:r>
      <w:r w:rsidR="00E8285F">
        <w:t>Positive Affect</w:t>
      </w:r>
      <w:r w:rsidRPr="00C05886">
        <w:t xml:space="preserve">, working memory and attention restoration after 4 weeks </w:t>
      </w:r>
      <w:r w:rsidRPr="00C05886">
        <w:fldChar w:fldCharType="begin"/>
      </w:r>
      <w:r w:rsidRPr="00C05886">
        <w:instrText xml:space="preserve"> ADDIN ZOTERO_ITEM CSL_CITATION {"citationID":"Ej2XtM8K","properties":{"formattedCitation":"(Luo, Wang and Chen, 2021)","plainCitation":"(Luo, Wang and Chen, 2021)","noteIndex":0},"citationItems":[{"id":10506,"uris":["http://zotero.org/users/10951124/items/JY463WDG"],"itemData":{"id":10506,"type":"article-journal","abstract":"Many university students have been struggling with multiple challenges that may cause mental fatigue. Exposure to the natural environment is found to have restorative effects on mental fatigue, which can be explained by its benefits in physiological, psychological, and cognitive aspects. While the natural environment contains both visual and auditory elements, research on the effects of auditory elements, such as nature sounds, is underdeveloped and limited to laboratory settings. It remains unclear what are the effects of exposure to nature sounds in daily life settings. The study was conducted with 71 students from a university, who were randomly assigned to the experimental group using a nature-sound mobile application in daily life and the control group not using the application. After a 4-week exposure to the intervention, the students in the experimental group outperformed their counterparts in the control group on psychological well-being reflected in positive affect, as well as cognitive performance reflected in flow state, attention (in terms of alerting) and working memory (in terms of accuracy and reaction time). The findings reveal the positive impact of exposure to relaxing nature sounds on university students’ psychological well-being and cognitive performance, as well as the potential of mobile applications to provide easy exposure to nature sounds.","container-title":"Frontiers in Psychology","DOI":"10.3389/fpsyg.2021.699908","ISSN":"1664-1078","journalAbbreviation":"Front. Psychol.","page":"699908","source":"DOI.org (Crossref)","title":"The Effects of Using a Nature-Sound Mobile Application on Psychological Well-Being and Cognitive Performance Among University Students","volume":"12","author":[{"family":"Luo","given":"Jiutong"},{"family":"Wang","given":"Minhong"},{"family":"Chen","given":"Ling"}],"issued":{"date-parts":[["2021",11,24]]}}}],"schema":"https://github.com/citation-style-language/schema/raw/master/csl-citation.json"} </w:instrText>
      </w:r>
      <w:r w:rsidRPr="00C05886">
        <w:fldChar w:fldCharType="separate"/>
      </w:r>
      <w:r w:rsidRPr="00C05886">
        <w:rPr>
          <w:rFonts w:ascii="Calibri" w:hAnsi="Calibri" w:cs="Calibri"/>
        </w:rPr>
        <w:t>(Luo, Wang and Chen, 2021)</w:t>
      </w:r>
      <w:r w:rsidRPr="00C05886">
        <w:fldChar w:fldCharType="end"/>
      </w:r>
      <w:r w:rsidRPr="00C05886">
        <w:t xml:space="preserve">. In Japan, a pilot study with surgeons showed that 10 minutes of natural sounds could reduce stress and improve mood after an operation, compared with a break without sounds </w:t>
      </w:r>
      <w:r w:rsidRPr="00C05886">
        <w:fldChar w:fldCharType="begin"/>
      </w:r>
      <w:r w:rsidRPr="00C05886">
        <w:instrText xml:space="preserve"> ADDIN ZOTERO_ITEM CSL_CITATION {"citationID":"R0lIRaEs","properties":{"formattedCitation":"(Suko {\\i{}et al.}, 2022)","plainCitation":"(Suko et al., 2022)","noteIndex":0},"citationItems":[{"id":10510,"uris":["http://zotero.org/users/10951124/items/G4SC2KVN"],"itemData":{"id":10510,"type":"article-journal","abstract":"Background: Natural sounds are reportedly restorative, but most research has used one-off experiments conducted in artificial conditions. Research based on field experiments is still in its infancy. This study aimed to generate hypotheses on the restorative effects of listening to natural sounds on surgeons, representing professionals working in stressful conditions. Methods: Each of four surgeons (two experts and two residents) participated six times in an experiment where they took a 10-min break listening to natural sounds (four times) or without natural sounds (twice) after a surgical operation. We measured their skin conductance level, an indicator of sympathetic arousal, continuously during the break (measurement occasions N = 2520) and assessed their mood using two questionnaires before and after the break (N = 69 and N = 42). We also interviewed them after the break. Results: Based on statistical Linear Mixed-Effects modeling, we developed two hypotheses for further, more detailed studies: (H1) Listening to natural sounds after an operation improves surgeons’ mood. (H2) Inexperienced surgeons’ tension persists so long that the effect of natural sounds on their sympathetic arousal is negligible. Conclusions: This risk-free, easy-to-use means of stress alleviation through natural sounds could benefit highly-stressed people working indoors.","container-title":"International Journal of Environmental Research and Public Health","DOI":"10.3390/ijerph191912736","ISSN":"1660-4601","issue":"19","journalAbbreviation":"IJERPH","language":"en","page":"12736","source":"DOI.org (Crossref)","title":"Alleviating Surgeons’ Stress through Listening to Natural Sounds in a Half-Encapsulated Rest Space after an Operation: A Pilot, Longitudinal Field Study","title-short":"Alleviating Surgeons’ Stress through Listening to Natural Sounds in a Half-Encapsulated Rest Space after an Operation","volume":"19","author":[{"family":"Suko","given":"Yasushi"},{"family":"Shindo","given":"Tomoharu"},{"family":"Saito","given":"Kaoru"},{"family":"Takayama","given":"Norimasa"},{"family":"Warisawa","given":"Shin’ichi"},{"family":"Sakuma","given":"Tetsuya"},{"family":"Ito","given":"Masaaki"},{"family":"Kytölä","given":"Pasi"},{"family":"Nummi","given":"Tapio"},{"family":"Korpela","given":"Kalevi"}],"issued":{"date-parts":[["2022",10,5]]}}}],"schema":"https://github.com/citation-style-language/schema/raw/master/csl-citation.json"} </w:instrText>
      </w:r>
      <w:r w:rsidRPr="00C05886">
        <w:fldChar w:fldCharType="separate"/>
      </w:r>
      <w:r w:rsidRPr="00C05886">
        <w:rPr>
          <w:rFonts w:ascii="Calibri" w:hAnsi="Calibri" w:cs="Calibri"/>
          <w:szCs w:val="24"/>
        </w:rPr>
        <w:t xml:space="preserve">(Suko </w:t>
      </w:r>
      <w:r w:rsidRPr="00C05886">
        <w:rPr>
          <w:rFonts w:ascii="Calibri" w:hAnsi="Calibri" w:cs="Calibri"/>
          <w:i/>
          <w:iCs/>
          <w:szCs w:val="24"/>
        </w:rPr>
        <w:t>et al.</w:t>
      </w:r>
      <w:r w:rsidRPr="00C05886">
        <w:rPr>
          <w:rFonts w:ascii="Calibri" w:hAnsi="Calibri" w:cs="Calibri"/>
          <w:szCs w:val="24"/>
        </w:rPr>
        <w:t>, 2022)</w:t>
      </w:r>
      <w:r w:rsidRPr="00C05886">
        <w:fldChar w:fldCharType="end"/>
      </w:r>
      <w:r w:rsidRPr="00C05886">
        <w:t>.</w:t>
      </w:r>
    </w:p>
    <w:p w14:paraId="4265D610" w14:textId="77777777" w:rsidR="00C12E53" w:rsidRPr="00C05886" w:rsidRDefault="00C12E53" w:rsidP="00BC2FDD">
      <w:r w:rsidRPr="00C05886">
        <w:t xml:space="preserve">The cognitive process of identifying sounds as natural or urban is important for subjective preference, through which more restorative benefits could be generated. A series of experiments, presented by </w:t>
      </w:r>
      <w:r w:rsidRPr="00C05886">
        <w:rPr>
          <w:color w:val="FF0000"/>
        </w:rPr>
        <w:fldChar w:fldCharType="begin"/>
      </w:r>
      <w:r w:rsidRPr="00C05886">
        <w:rPr>
          <w:color w:val="FF0000"/>
        </w:rPr>
        <w:instrText xml:space="preserve"> ADDIN ZOTERO_ITEM CSL_CITATION {"citationID":"6bra5YF1","properties":{"formattedCitation":"(Van Hedger {\\i{}et al.}, 2019)","plainCitation":"(Van Hedger et al., 2019)","dontUpdate":true,"noteIndex":0},"citationItems":[{"id":9498,"uris":["http://zotero.org/users/10951124/items/AGE6G7XD"],"itemData":{"id":9498,"type":"article-journal","abstract":"Abstract People across the world seek out beautiful sounds in nature, such as a babbling brook or a nightingale song, for positive human experiences. However, it is unclear whether this positive aesthetic response is driven by a preference for the perceptual features typical of nature sounds versus a higher-order association of nature with beauty. To test these hypotheses, participants provided aesthetic judgments for nature and urban soundscapes that varied on ease of recognition. Results demonstrated that the aesthetic preference for nature soundscapes was eliminated for the sounds hardest to recognize, and moreover the relationship between aesthetic ratings and several measured acoustic features significantly changed as a function of recognition. In a follow-up experiment, requiring participants to classify these difficult-to-identify sounds into nature or urban categories resulted in a robust preference for nature sounds and a relationship between aesthetic ratings and our measured acoustic features that was more typical of easy-to-identify sounds. This pattern of results was replicated with computer-generated artificial noises, which acoustically shared properties with the nature and urban soundscapes but by definition did not come from these environments. Taken together, these results support the conclusion that the recognition of a sound as either natural or urban dynamically organizes the relationship between aesthetic preference and perceptual features and that these preferences are not inherent to the acoustic features. Implications for nature's role in cognitive and affective restoration are discussed.","container-title":"Cognitive Science","DOI":"10.1111/cogs.12734","ISSN":"0364-0213","issue":"5","journalAbbreviation":"Cognitive Science","note":"publisher: John Wiley &amp; Sons, Ltd","page":"e12734","title":"The Aesthetic Preference for Nature Sounds Depends on Sound Object Recognition","volume":"43","author":[{"family":"Van Hedger","given":"Stephen C."},{"family":"Nusbaum","given":"Howard C."},{"family":"Heald","given":"Shannon L. M."},{"family":"Huang","given":"Alex"},{"family":"Kotabe","given":"Hiroki P."},{"family":"Berman","given":"Marc G."}],"issued":{"date-parts":[["2019",5,1]]}}}],"schema":"https://github.com/citation-style-language/schema/raw/master/csl-citation.json"} </w:instrText>
      </w:r>
      <w:r w:rsidRPr="00C05886">
        <w:rPr>
          <w:color w:val="FF0000"/>
        </w:rPr>
        <w:fldChar w:fldCharType="separate"/>
      </w:r>
      <w:r w:rsidRPr="00C05886">
        <w:rPr>
          <w:rFonts w:ascii="Calibri" w:hAnsi="Calibri" w:cs="Calibri"/>
          <w:szCs w:val="24"/>
        </w:rPr>
        <w:t xml:space="preserve">Van Hedger </w:t>
      </w:r>
      <w:r w:rsidRPr="00C05886">
        <w:rPr>
          <w:rFonts w:ascii="Calibri" w:hAnsi="Calibri" w:cs="Calibri"/>
          <w:i/>
          <w:iCs/>
          <w:szCs w:val="24"/>
        </w:rPr>
        <w:t>et al.</w:t>
      </w:r>
      <w:r w:rsidRPr="00C05886">
        <w:rPr>
          <w:rFonts w:ascii="Calibri" w:hAnsi="Calibri" w:cs="Calibri"/>
          <w:szCs w:val="24"/>
        </w:rPr>
        <w:t xml:space="preserve"> (2019)</w:t>
      </w:r>
      <w:r w:rsidRPr="00C05886">
        <w:rPr>
          <w:color w:val="FF0000"/>
        </w:rPr>
        <w:fldChar w:fldCharType="end"/>
      </w:r>
      <w:r w:rsidRPr="00C05886">
        <w:rPr>
          <w:color w:val="FF0000"/>
        </w:rPr>
        <w:t xml:space="preserve"> </w:t>
      </w:r>
      <w:r w:rsidRPr="00C05886">
        <w:t>showed that when unknown sounds were identified as natural, these received a higher aesthetic preference, even when the sounds were scrambled or distorted.</w:t>
      </w:r>
    </w:p>
    <w:p w14:paraId="57D20A8A" w14:textId="4AD71F54" w:rsidR="00C12E53" w:rsidRPr="00C05886" w:rsidRDefault="00C12E53" w:rsidP="00BC2FDD">
      <w:r w:rsidRPr="00C05886">
        <w:t xml:space="preserve">It is worth going deeper into the role of birdsong, as a stricter example of biodiversity sensory stimulation. Studies on university students showed that listening to birdsong improved mood </w:t>
      </w:r>
      <w:r w:rsidRPr="00C05886">
        <w:fldChar w:fldCharType="begin"/>
      </w:r>
      <w:r w:rsidRPr="00C05886">
        <w:instrText xml:space="preserve"> ADDIN ZOTERO_ITEM CSL_CITATION {"citationID":"IOPvr19C","properties":{"formattedCitation":"(Benfield {\\i{}et al.}, 2014)","plainCitation":"(Benfield et al., 2014)","noteIndex":0},"citationItems":[{"id":9497,"uris":["http://zotero.org/users/10951124/items/TPJ9AFYW"],"itemData":{"id":9497,"type":"article-journal","container-title":"Ecopsychology","ISSN":"1942-9347","issue":"3","journalAbbreviation":"Ecopsychology","note":"publisher: Mary Ann Liebert, Inc. 140 Huguenot Street, 3rd Floor New Rochelle, NY 10801 USA","page":"183-188","title":"Natural sound facilitates mood recovery","volume":"6","author":[{"family":"Benfield","given":"Jacob A"},{"family":"Taff","given":"B Derrick"},{"family":"Newman","given":"Peter"},{"family":"Smyth","given":"Joshua"}],"issued":{"date-parts":[["2014"]]}}}],"schema":"https://github.com/citation-style-language/schema/raw/master/csl-citation.json"} </w:instrText>
      </w:r>
      <w:r w:rsidRPr="00C05886">
        <w:fldChar w:fldCharType="separate"/>
      </w:r>
      <w:r w:rsidRPr="00C05886">
        <w:rPr>
          <w:rFonts w:ascii="Calibri" w:hAnsi="Calibri" w:cs="Calibri"/>
          <w:szCs w:val="24"/>
        </w:rPr>
        <w:t xml:space="preserve">(Benfield </w:t>
      </w:r>
      <w:r w:rsidRPr="00C05886">
        <w:rPr>
          <w:rFonts w:ascii="Calibri" w:hAnsi="Calibri" w:cs="Calibri"/>
          <w:i/>
          <w:iCs/>
          <w:szCs w:val="24"/>
        </w:rPr>
        <w:t>et al.</w:t>
      </w:r>
      <w:r w:rsidRPr="00C05886">
        <w:rPr>
          <w:rFonts w:ascii="Calibri" w:hAnsi="Calibri" w:cs="Calibri"/>
          <w:szCs w:val="24"/>
        </w:rPr>
        <w:t>, 2014)</w:t>
      </w:r>
      <w:r w:rsidRPr="00C05886">
        <w:fldChar w:fldCharType="end"/>
      </w:r>
      <w:r w:rsidRPr="00C05886">
        <w:t xml:space="preserve"> and perceived attention restoration </w:t>
      </w:r>
      <w:r w:rsidRPr="00C05886">
        <w:fldChar w:fldCharType="begin"/>
      </w:r>
      <w:r w:rsidRPr="00C05886">
        <w:instrText xml:space="preserve"> ADDIN ZOTERO_ITEM CSL_CITATION {"citationID":"71zKNoon","properties":{"formattedCitation":"(Uebel {\\i{}et al.}, 2021)","plainCitation":"(Uebel et al., 2021)","noteIndex":0},"citationItems":[{"id":10508,"uris":["http://zotero.org/users/10951124/items/9HDY5DRA"],"itemData":{"id":10508,"type":"article-journal","abstract":"Abstract\n            \n              \n                \n                  The positive influence of urban green spaces on human health and well‐being is well known while the pathways are little understood. Past research has largely focused on visual stimuli, yet the auditory pathway is also an important means for contact with nature.\n                \n                \n                  The sonic environments of urban green spaces, however, are rarely entirely natural and many differ in their composition of natural sounds and anthropogenic noise. Few studies have investigated how these differences may impact the restorative potential of these soundscapes and, in particular, how the presence of traffic noise may constrain the benefits of natural sounds.\n                \n                \n                  To address this gap, we examined differences in the perceived restorativeness and perceived restorative outcomes across a gradient of eight park soundscapes that differed in bird and traffic sounds. In a laboratory setting, 162 participants listened to sound samples and reported on perceptions of the soundscapes and restorative potential and outcomes.\n                \n                \n                  The results strongly indicate that park soundscapes with a rich array of perceived bird sounds and minimal perceived traffic noise offer the greatest perceived restoration. Traffic noise was found to moderate the positive effect of bird sounds. The duration of time lived in the city and noise sensitivity were also positively associated with greater perceived restorative benefits while noise‐sensitive people were also more negatively affected by traffic noise.\n                \n                \n                  The promotion of highly natural soundscapes in urban green spaces and the reduction of traffic noise can provide nature‐based solutions to human health and well‐being in urban areas.\n                \n              \n            \n            \n              A free\n              Plain Language Summary\n              can be found within the Supporting Information of this article.","container-title":"People and Nature","DOI":"10.1002/pan3.10215","ISSN":"2575-8314, 2575-8314","issue":"3","journalAbbreviation":"People and Nature","language":"en","page":"756-769","source":"DOI.org (Crossref)","title":"Urban green space soundscapes and their perceived restorativeness","volume":"3","author":[{"family":"Uebel","given":"Konrad"},{"family":"Marselle","given":"Melissa"},{"family":"Dean","given":"Angela J."},{"family":"Rhodes","given":"Jonathan R."},{"family":"Bonn","given":"Aletta"}],"issued":{"date-parts":[["2021",6]]}}}],"schema":"https://github.com/citation-style-language/schema/raw/master/csl-citation.json"} </w:instrText>
      </w:r>
      <w:r w:rsidRPr="00C05886">
        <w:fldChar w:fldCharType="separate"/>
      </w:r>
      <w:r w:rsidRPr="00C05886">
        <w:rPr>
          <w:rFonts w:ascii="Calibri" w:hAnsi="Calibri" w:cs="Calibri"/>
          <w:szCs w:val="24"/>
        </w:rPr>
        <w:t xml:space="preserve">(Uebel </w:t>
      </w:r>
      <w:r w:rsidRPr="00C05886">
        <w:rPr>
          <w:rFonts w:ascii="Calibri" w:hAnsi="Calibri" w:cs="Calibri"/>
          <w:i/>
          <w:iCs/>
          <w:szCs w:val="24"/>
        </w:rPr>
        <w:t>et al.</w:t>
      </w:r>
      <w:r w:rsidRPr="00C05886">
        <w:rPr>
          <w:rFonts w:ascii="Calibri" w:hAnsi="Calibri" w:cs="Calibri"/>
          <w:szCs w:val="24"/>
        </w:rPr>
        <w:t>, 2021)</w:t>
      </w:r>
      <w:r w:rsidRPr="00C05886">
        <w:fldChar w:fldCharType="end"/>
      </w:r>
      <w:r w:rsidRPr="00C05886">
        <w:t xml:space="preserve">. Interestingly, in both studies, the benefits of birdsongs decreased when human voices were also present in the audio file and disappeared in the presence of traffic noises. This suggests that excessive traffic could be hampering some of the restorative benefits provided by urban green infrastructure. However, this was not observed in physiological stress. </w:t>
      </w:r>
      <w:r w:rsidRPr="00C05886">
        <w:fldChar w:fldCharType="begin"/>
      </w:r>
      <w:r w:rsidR="00A056BC" w:rsidRPr="00C05886">
        <w:instrText xml:space="preserve"> ADDIN ZOTERO_ITEM CSL_CITATION {"citationID":"MkjAVLp7","properties":{"formattedCitation":"(Hedblom, Gunnarsson, Schaefer, {\\i{}et al.}, 2019)","plainCitation":"(Hedblom, Gunnarsson, Schaefer, et al., 2019)","dontUpdate":true,"noteIndex":0},"citationItems":[{"id":9500,"uris":["http://zotero.org/users/10951124/items/LRURK8RT"],"itemData":{"id":9500,"type":"article-journal","abstract":"Noise from city traffic is one of the most significant environmental stressors. Natural soundscapes, such as bird songs, have been suggested to potentially mitigate or mask noise. All previous studies on masking noise use self-evaluation data rather than physiological data. In this study, while respondents (n = 117) watched a 360&amp;deg; virtual reality (VR) photograph of a park, they were exposed to different soundscapes and mild electrical shocks. The soundscapes&amp;mdash;&amp;ldquo;bird song&amp;rdquo;, &amp;ldquo;bird song and traffic noise&amp;rdquo;, and &amp;ldquo;traffic noise&amp;rdquo;&amp;mdash;were played during a 10 min recovery period while their skin conductance levels were assessed as a measure of arousal/stress. No significant difference in stress recovery was found between the soundscapes although a tendency for less stress in &amp;ldquo;bird song&amp;rdquo; and more stress in &amp;ldquo;traffic noise&amp;rdquo; was noted. All three soundscapes, however, significantly reduced stress. This result could be attributed to the stress-reducing effect of the visual VR environment, to the noise levels being higher than 47 dBA (a level known to make masking ineffective), or to the respondents finding bird songs stressful. Reduction of stress in cities using masking with natural sounds requires further studies with not only larger samples but also sufficient methods to detect potential sex differences.","container-title":"International Journal of Environmental Research and Public Health","DOI":"10.3390/ijerph16081390","ISSN":"1660-4601","issue":"8","title":"Sounds of Nature in the City: No Evidence of Bird Song Improving Stress Recovery","volume":"16","author":[{"family":"Hedblom","given":"Marcus"},{"family":"Gunnarsson","given":"Bengt"},{"family":"Schaefer","given":"Martin"},{"family":"Knez","given":"Igor"},{"family":"Thorsson","given":"Pontus"},{"family":"Lundström","given":"Johan N."}],"issued":{"date-parts":[["2019"]]}}}],"schema":"https://github.com/citation-style-language/schema/raw/master/csl-citation.json"} </w:instrText>
      </w:r>
      <w:r w:rsidRPr="00C05886">
        <w:fldChar w:fldCharType="separate"/>
      </w:r>
      <w:r w:rsidRPr="00C05886">
        <w:rPr>
          <w:rFonts w:ascii="Calibri" w:hAnsi="Calibri" w:cs="Calibri"/>
          <w:szCs w:val="24"/>
        </w:rPr>
        <w:t xml:space="preserve">Hedblom, Gunnarsson, Schaefer, </w:t>
      </w:r>
      <w:r w:rsidRPr="00C05886">
        <w:rPr>
          <w:rFonts w:ascii="Calibri" w:hAnsi="Calibri" w:cs="Calibri"/>
          <w:i/>
          <w:iCs/>
          <w:szCs w:val="24"/>
        </w:rPr>
        <w:t>et al.</w:t>
      </w:r>
      <w:r w:rsidR="004A525E" w:rsidRPr="00C05886">
        <w:rPr>
          <w:rFonts w:ascii="Calibri" w:hAnsi="Calibri" w:cs="Calibri"/>
          <w:i/>
          <w:iCs/>
          <w:szCs w:val="24"/>
        </w:rPr>
        <w:t xml:space="preserve"> </w:t>
      </w:r>
      <w:r w:rsidR="004A525E" w:rsidRPr="00C05886">
        <w:rPr>
          <w:rFonts w:ascii="Calibri" w:hAnsi="Calibri" w:cs="Calibri"/>
          <w:szCs w:val="24"/>
        </w:rPr>
        <w:t>(</w:t>
      </w:r>
      <w:r w:rsidRPr="00C05886">
        <w:rPr>
          <w:rFonts w:ascii="Calibri" w:hAnsi="Calibri" w:cs="Calibri"/>
          <w:szCs w:val="24"/>
        </w:rPr>
        <w:t>2019)</w:t>
      </w:r>
      <w:r w:rsidRPr="00C05886">
        <w:fldChar w:fldCharType="end"/>
      </w:r>
      <w:r w:rsidRPr="00C05886">
        <w:t xml:space="preserve"> showed the same VR image of a park to stressed participants while listening to different sounds (birdsong, traffic, birdsong and traffic). All soundscapes reduced the skin conductance, without significant differences between them. It is likely that not all birdsongs can be restorative, as different species receive different appreciation. For example, interviews of British participants revealed that raucous corvids such as crows (</w:t>
      </w:r>
      <w:r w:rsidRPr="00C05886">
        <w:rPr>
          <w:i/>
          <w:iCs/>
        </w:rPr>
        <w:t xml:space="preserve">Corvus </w:t>
      </w:r>
      <w:proofErr w:type="spellStart"/>
      <w:r w:rsidRPr="00C05886">
        <w:rPr>
          <w:i/>
          <w:iCs/>
        </w:rPr>
        <w:t>corone</w:t>
      </w:r>
      <w:proofErr w:type="spellEnd"/>
      <w:r w:rsidRPr="00C05886">
        <w:t xml:space="preserve"> L.) and magpies (</w:t>
      </w:r>
      <w:r w:rsidRPr="00C05886">
        <w:rPr>
          <w:i/>
          <w:iCs/>
        </w:rPr>
        <w:t xml:space="preserve">Pica </w:t>
      </w:r>
      <w:proofErr w:type="spellStart"/>
      <w:r w:rsidRPr="00C05886">
        <w:rPr>
          <w:i/>
          <w:iCs/>
        </w:rPr>
        <w:t>pica</w:t>
      </w:r>
      <w:proofErr w:type="spellEnd"/>
      <w:r w:rsidRPr="00C05886">
        <w:t xml:space="preserve"> L.) induced </w:t>
      </w:r>
      <w:r w:rsidR="00E8285F">
        <w:t>Negative Affect</w:t>
      </w:r>
      <w:r w:rsidRPr="00C05886">
        <w:t>, while melodious species like blackbirds (</w:t>
      </w:r>
      <w:r w:rsidRPr="00C05886">
        <w:rPr>
          <w:i/>
          <w:iCs/>
        </w:rPr>
        <w:t>Turdus merula L.</w:t>
      </w:r>
      <w:r w:rsidRPr="00C05886">
        <w:t>) were welcomed as relaxing</w:t>
      </w:r>
      <w:r w:rsidR="00134B49">
        <w:t xml:space="preserve"> </w:t>
      </w:r>
      <w:r w:rsidR="00134B49">
        <w:fldChar w:fldCharType="begin"/>
      </w:r>
      <w:r w:rsidR="00134B49">
        <w:instrText xml:space="preserve"> ADDIN ZOTERO_ITEM CSL_CITATION {"citationID":"4uzqvDLr","properties":{"formattedCitation":"(Ratcliffe, Gatersleben and Sowden, 2013)","plainCitation":"(Ratcliffe, Gatersleben and Sowden, 2013)","noteIndex":0},"citationItems":[{"id":9495,"uris":["http://zotero.org/users/10951124/items/NC95TJKW"],"itemData":{"id":9495,"type":"article-journal","abstract":"Natural environments, and particularly visual stimuli in nature, are usually perceived as restorative following stress and attention fatigue. Studies extending these findings to auditory natural stimuli have used soundscapes comprising multiple types of sound. Birdsong recurs as a type of sound used in such studies, but little is known about restorative perceptions of bird sounds on their own and how these may relate to existing theories of environmental restoration. Via semi-structured interviews with twenty adult participants, bird songs and calls were found to be the type of natural sound most commonly associated with perceived stress recovery and attention restoration. However, not all bird sounds were regarded as helpful for such processes. Three themes formed the basis of these perceived relationships: affective appraisals, cognitive appraisals, and relationships with nature. Sub-themes of the acoustic, aesthetic, and associative properties of bird sounds were also related to restorative perceptions. Future studies should quantitatively examine the potential of a variety of bird sounds to aid attention restoration and stress recovery, and how these might be predicted by acoustic, aesthetic, and associative properties, in order to better understand how and why sounds such as birdsong might provide restorative benefits.","container-title":"Journal of Environmental Psychology","DOI":"10.1016/j.jenvp.2013.08.004","ISSN":"0272-4944","journalAbbreviation":"Journal of Environmental Psychology","page":"221-228","title":"Bird sounds and their contributions to perceived attention restoration and stress recovery","volume":"36","author":[{"family":"Ratcliffe","given":"Eleanor"},{"family":"Gatersleben","given":"Birgitta"},{"family":"Sowden","given":"Paul T."}],"issued":{"date-parts":[["2013",12,1]]}}}],"schema":"https://github.com/citation-style-language/schema/raw/master/csl-citation.json"} </w:instrText>
      </w:r>
      <w:r w:rsidR="00134B49">
        <w:fldChar w:fldCharType="separate"/>
      </w:r>
      <w:r w:rsidR="00134B49" w:rsidRPr="00134B49">
        <w:rPr>
          <w:rFonts w:ascii="Calibri" w:hAnsi="Calibri" w:cs="Calibri"/>
        </w:rPr>
        <w:t>(Ratcliffe, Gatersleben and Sowden, 2013)</w:t>
      </w:r>
      <w:r w:rsidR="00134B49">
        <w:fldChar w:fldCharType="end"/>
      </w:r>
      <w:r w:rsidRPr="00C05886">
        <w:t>.</w:t>
      </w:r>
    </w:p>
    <w:p w14:paraId="2FEB2B19" w14:textId="388ADBC4" w:rsidR="00C12E53" w:rsidRPr="00C05886" w:rsidRDefault="00C12E53" w:rsidP="005C3600">
      <w:r w:rsidRPr="00C05886">
        <w:t xml:space="preserve">Finally, birdsong is interesting as an easy, convenient medium to experimentally manipulate biodiversity. Ferraro et al. </w:t>
      </w:r>
      <w:r w:rsidRPr="00C05886">
        <w:fldChar w:fldCharType="begin"/>
      </w:r>
      <w:r w:rsidRPr="00C05886">
        <w:instrText xml:space="preserve"> ADDIN ZOTERO_ITEM CSL_CITATION {"citationID":"9rXnhhIQ","properties":{"formattedCitation":"(Ferraro {\\i{}et al.}, 2020)","plainCitation":"(Ferraro et al., 2020)","noteIndex":0},"citationItems":[{"id":10489,"uris":["http://zotero.org/users/10951124/items/WLGVXA6T"],"itemData":{"id":10489,"type":"article-journal","abstract":"Spending time in nature is known to benefit human health and well-being, but evidence is mixed as to whether biodiversity or perceptions of biodiversity contribute to these benefits. Perhaps more importantly, little is known about the sensory modalities by which humans perceive biodiversity and obtain benefits from their interactions with nature. Here, we used a ‘phantom birdsong chorus' consisting of hidden speakers to experimentally increase audible birdsong biodiversity during ‘on' and ‘off' (i.e. ambient conditions) blocks on two trails to study the role of audition in biodiversity perception and self-reported well-being among hikers. Hikers exposed to the phantom chorus reported higher levels of restorative effects compared to those that experienced ambient conditions on both trails; however, increased restorative effects were directly linked to the phantom chorus on one trail and indirectly linked to the phantom chorus on the other trail through perceptions of avian biodiversity. Our findings add to a growing body of evidence linking mental health to nature experiences and suggest that audition is an important modality by which natural environments confer restorative effects. Finally, our results suggest that maintaining or improving natural soundscapes within protected areas may be an important component to maximizing human experiences.","container-title":"Proceedings of the Royal Society B: Biological Sciences","DOI":"10.1098/rspb.2020.1811","ISSN":"0962-8452, 1471-2954","issue":"1941","journalAbbreviation":"Proc. R. Soc. B.","language":"en","page":"20201811","source":"DOI.org (Crossref)","title":"The phantom chorus: birdsong boosts human well-being in protected areas","title-short":"The phantom chorus","volume":"287","author":[{"family":"Ferraro","given":"Danielle M."},{"family":"Miller","given":"Zachary D."},{"family":"Ferguson","given":"Lauren A."},{"family":"Taff","given":"B. Derrick"},{"family":"Barber","given":"Jesse R."},{"family":"Newman","given":"Peter"},{"family":"Francis","given":"Clinton D."}],"issued":{"date-parts":[["2020",12,23]]}}}],"schema":"https://github.com/citation-style-language/schema/raw/master/csl-citation.json"} </w:instrText>
      </w:r>
      <w:r w:rsidRPr="00C05886">
        <w:fldChar w:fldCharType="separate"/>
      </w:r>
      <w:r w:rsidRPr="00C05886">
        <w:rPr>
          <w:rFonts w:ascii="Calibri" w:hAnsi="Calibri" w:cs="Calibri"/>
          <w:szCs w:val="24"/>
        </w:rPr>
        <w:t xml:space="preserve">(Ferraro </w:t>
      </w:r>
      <w:r w:rsidRPr="00C05886">
        <w:rPr>
          <w:rFonts w:ascii="Calibri" w:hAnsi="Calibri" w:cs="Calibri"/>
          <w:i/>
          <w:iCs/>
          <w:szCs w:val="24"/>
        </w:rPr>
        <w:t>et al.</w:t>
      </w:r>
      <w:r w:rsidRPr="00C05886">
        <w:rPr>
          <w:rFonts w:ascii="Calibri" w:hAnsi="Calibri" w:cs="Calibri"/>
          <w:szCs w:val="24"/>
        </w:rPr>
        <w:t>, 2020)</w:t>
      </w:r>
      <w:r w:rsidRPr="00C05886">
        <w:fldChar w:fldCharType="end"/>
      </w:r>
      <w:r w:rsidRPr="00C05886">
        <w:t xml:space="preserve"> used a technique called “phantom chorus” (hidden speakers playing a sound at regular intervals) to increase the aural bird diversity of two forest trails in the US. The ‘increase’ in biodiversity induced more attention restoration in hikers. However, laboratory exposure to low or high bird diversity did not show a difference in attention restoration </w:t>
      </w:r>
      <w:r w:rsidRPr="00C05886">
        <w:fldChar w:fldCharType="begin"/>
      </w:r>
      <w:r w:rsidR="000309A4" w:rsidRPr="00C05886">
        <w:instrText xml:space="preserve"> ADDIN ZOTERO_ITEM CSL_CITATION {"citationID":"ndEHFRDT","properties":{"formattedCitation":"(Douglas and Evans, 2022)","plainCitation":"(Douglas and Evans, 2022)","noteIndex":0},"citationItems":[{"id":9921,"uris":["http://zotero.org/users/10951124/items/BHP82I45"],"itemData":{"id":9921,"type":"article-journal","container-title":"People and Nature","DOI":"10.1002/pan3.10279","ISSN":"2575-8314, 2575-8314","issue":"1","journalAbbreviation":"People and Nature","language":"en","page":"243-259","source":"DOI.org (Crossref)","title":"An experimental test of the impact of avian diversity on attentional benefits and enjoyment of people experiencing urban green‐space","volume":"4","author":[{"family":"Douglas","given":"Joseph W. A."},{"family":"Evans","given":"Karl L."}],"issued":{"date-parts":[["2022",2]]}}}],"schema":"https://github.com/citation-style-language/schema/raw/master/csl-citation.json"} </w:instrText>
      </w:r>
      <w:r w:rsidRPr="00C05886">
        <w:fldChar w:fldCharType="separate"/>
      </w:r>
      <w:r w:rsidRPr="00C05886">
        <w:rPr>
          <w:rFonts w:ascii="Calibri" w:hAnsi="Calibri" w:cs="Calibri"/>
        </w:rPr>
        <w:t>(Douglas and Evans, 2022)</w:t>
      </w:r>
      <w:r w:rsidRPr="00C05886">
        <w:fldChar w:fldCharType="end"/>
      </w:r>
      <w:r w:rsidRPr="00C05886">
        <w:t>, although high bird diversity made the experience more enjoyable.</w:t>
      </w:r>
    </w:p>
    <w:p w14:paraId="6BE12530" w14:textId="77777777" w:rsidR="00C12E53" w:rsidRPr="00C05886" w:rsidRDefault="00C12E53" w:rsidP="00C12E53">
      <w:pPr>
        <w:pStyle w:val="Heading4"/>
      </w:pPr>
      <w:r w:rsidRPr="00C05886">
        <w:lastRenderedPageBreak/>
        <w:t>Sense of Smell</w:t>
      </w:r>
    </w:p>
    <w:p w14:paraId="375C8ABD" w14:textId="4311C083" w:rsidR="00C12E53" w:rsidRPr="00C05886" w:rsidRDefault="00C12E53" w:rsidP="00593C7A">
      <w:r w:rsidRPr="00C05886">
        <w:t xml:space="preserve">The </w:t>
      </w:r>
      <w:r w:rsidR="009912C5" w:rsidRPr="00C05886">
        <w:t xml:space="preserve">sense of </w:t>
      </w:r>
      <w:r w:rsidRPr="00C05886">
        <w:t xml:space="preserve">smell is evolutionary the most ancient human sense and it is more directly connected to the brain than other senses </w:t>
      </w:r>
      <w:r w:rsidRPr="00C05886">
        <w:fldChar w:fldCharType="begin"/>
      </w:r>
      <w:r w:rsidR="000309A4" w:rsidRPr="00C05886">
        <w:instrText xml:space="preserve"> ADDIN ZOTERO_ITEM CSL_CITATION {"citationID":"bHOMhpZz","properties":{"formattedCitation":"(Hedblom, Gunnarsson, Iravani, {\\i{}et al.}, 2019; Bentley {\\i{}et al.}, 2023)","plainCitation":"(Hedblom, Gunnarsson, Iravani, et al., 2019; Bentley et al., 2023)","noteIndex":0},"citationItems":[{"id":5754,"uris":["http://zotero.org/users/10951124/items/8IGL8KLV"],"itemData":{"id":5754,"type":"article-journal","abstract":"Although stress is an increasing global health problem in cities, urban green spaces can provide health benefits. There is, however, a lack of understanding of the link between physiological mechanisms and qualities of urban green spaces. Here, we compare the effects of visual stimuli (360 degree virtual photos of an urban environment, forest, and park) to the effects of congruent olfactory stimuli (nature and city odours) and auditory stimuli (bird songs and noise) on physiological stress recovery. Participants (N = 154) were pseudo-randomised into participating in one of the three environments and subsequently exposed to stress (operationalised by skin conductance levels). The park and forest, but not the urban area, provided significant stress reduction. High pleasantness ratings of the environment were linked to low physiological stress responses for olfactory and to some extent for auditory, but not for visual stimuli. This result indicates that olfactory stimuli may be better at facilitating stress reduction than visual stimuli. Currently, urban planners prioritise visual stimuli when planning open green spaces, but urban planners should also consider multisensory qualities.","container-title":"Scientific Reports","DOI":"10.1038/s41598-019-46099-7","ISSN":"20452322","issue":"1","note":"PMID: 31300656","page":"1-11","title":"Reduction of physiological stress by urban green space in a multisensory virtual experiment","volume":"9","author":[{"family":"Hedblom","given":"Marcus"},{"family":"Gunnarsson","given":"Bengt"},{"family":"Iravani","given":"Behzad"},{"family":"Knez","given":"Igor"},{"family":"Schaefer","given":"Martin"},{"family":"Thorsson","given":"Pontus"},{"family":"Lundström","given":"Johan N."}],"issued":{"date-parts":[["2019"]]}}},{"id":9977,"uris":["http://zotero.org/users/10951124/items/FLSHYP2J"],"itemData":{"id":9977,"type":"article-journal","abstract":"Abstract\n            The link between nature and human wellbeing is well established. However, few studies go beyond considering the visual and auditory underpinnings of this relationship, even though engaging with nature is a multisensory experience. While research linking smell to wellbeing exists, it focuses predominantly on smells as a source of nuisance/offence. Smells clearly have a prominent influence, but a significant knowledge gap remains in the nexus of nature, smell, and wellbeing. Here, we examine how smells experienced in woodlands contribute to wellbeing across four seasons. We show that smells are associated with multiple wellbeing domains, both positively and negatively. They are linked to memories, and specific ecological characteristics and processes over space/time. By making the link between the spatiotemporal variability in biodiversity and wellbeing explicit, we unearth a new line of enquiry. Overall, the multisensory experience must be considered by researchers, practitioners, policy-makers and planners looking to improve wellbeing through nature.","container-title":"Ambio","DOI":"10.1007/s13280-022-01760-w","ISSN":"0044-7447, 1654-7209","issue":"1","journalAbbreviation":"Ambio","language":"en","page":"1-14","source":"DOI.org (Crossref)","title":"Nature, smells, and human wellbeing","volume":"52","author":[{"family":"Bentley","given":"Phoebe R."},{"family":"Fisher","given":"Jessica C."},{"family":"Dallimer","given":"Martin"},{"family":"Fish","given":"Robert D."},{"family":"Austen","given":"Gail E."},{"family":"Irvine","given":"Katherine N."},{"family":"Davies","given":"Zoe G."}],"issued":{"date-parts":[["2023",1]]}}}],"schema":"https://github.com/citation-style-language/schema/raw/master/csl-citation.json"} </w:instrText>
      </w:r>
      <w:r w:rsidRPr="00C05886">
        <w:fldChar w:fldCharType="separate"/>
      </w:r>
      <w:r w:rsidRPr="00C05886">
        <w:rPr>
          <w:rFonts w:ascii="Calibri" w:hAnsi="Calibri" w:cs="Calibri"/>
          <w:szCs w:val="24"/>
        </w:rPr>
        <w:t xml:space="preserve">(Hedblom, Gunnarsson, Iravani, </w:t>
      </w:r>
      <w:r w:rsidRPr="00C05886">
        <w:rPr>
          <w:rFonts w:ascii="Calibri" w:hAnsi="Calibri" w:cs="Calibri"/>
          <w:i/>
          <w:iCs/>
          <w:szCs w:val="24"/>
        </w:rPr>
        <w:t>et al.</w:t>
      </w:r>
      <w:r w:rsidRPr="00C05886">
        <w:rPr>
          <w:rFonts w:ascii="Calibri" w:hAnsi="Calibri" w:cs="Calibri"/>
          <w:szCs w:val="24"/>
        </w:rPr>
        <w:t xml:space="preserve">, 2019; Bentley </w:t>
      </w:r>
      <w:r w:rsidRPr="00C05886">
        <w:rPr>
          <w:rFonts w:ascii="Calibri" w:hAnsi="Calibri" w:cs="Calibri"/>
          <w:i/>
          <w:iCs/>
          <w:szCs w:val="24"/>
        </w:rPr>
        <w:t>et al.</w:t>
      </w:r>
      <w:r w:rsidRPr="00C05886">
        <w:rPr>
          <w:rFonts w:ascii="Calibri" w:hAnsi="Calibri" w:cs="Calibri"/>
          <w:szCs w:val="24"/>
        </w:rPr>
        <w:t>, 2023)</w:t>
      </w:r>
      <w:r w:rsidRPr="00C05886">
        <w:fldChar w:fldCharType="end"/>
      </w:r>
      <w:r w:rsidRPr="00C05886">
        <w:t>. The olfactory stimuli are processed in the same areas of the brain where emotions and memories are produced (e.g. the amygdala). Therefore, it is not surprising that many studies were able to measure strong psychological and physiological responses to certain odours, especially those of natural origin.</w:t>
      </w:r>
    </w:p>
    <w:p w14:paraId="74434881" w14:textId="39D9ACE9" w:rsidR="00C12E53" w:rsidRPr="00C05886" w:rsidRDefault="00C12E53" w:rsidP="008204AA">
      <w:r w:rsidRPr="00C05886">
        <w:t xml:space="preserve">Some of the volatile chemical compounds contained in citrus peel seem capable of inducing relaxing physiological responses since early infancy. A Japanese experiment </w:t>
      </w:r>
      <w:r w:rsidRPr="00C05886">
        <w:fldChar w:fldCharType="begin"/>
      </w:r>
      <w:r w:rsidRPr="00C05886">
        <w:instrText xml:space="preserve"> ADDIN ZOTERO_ITEM CSL_CITATION {"citationID":"NKPtQEl3","properties":{"formattedCitation":"(Tsunetsugu and Ishibashi, 2019)","plainCitation":"(Tsunetsugu and Ishibashi, 2019)","noteIndex":0},"citationItems":[{"id":10582,"uris":["http://zotero.org/users/10951124/items/RPYSYMVP"],"itemData":{"id":10582,"type":"article-journal","container-title":"Annals of Human Biology","DOI":"10.1080/03014460.2019.1622775","ISSN":"0301-4460, 1464-5033","issue":"4","journalAbbreviation":"Annals of Human Biology","language":"en","page":"347-353","source":"DOI.org (Crossref)","title":"Heart rate and heart rate variability in infants during olfactory stimulation","volume":"46","author":[{"family":"Tsunetsugu","given":"Yuko"},{"family":"Ishibashi","given":"Keita"}],"issued":{"date-parts":[["2019",5,19]]}}}],"schema":"https://github.com/citation-style-language/schema/raw/master/csl-citation.json"} </w:instrText>
      </w:r>
      <w:r w:rsidRPr="00C05886">
        <w:fldChar w:fldCharType="separate"/>
      </w:r>
      <w:r w:rsidRPr="00C05886">
        <w:rPr>
          <w:rFonts w:ascii="Calibri" w:hAnsi="Calibri" w:cs="Calibri"/>
        </w:rPr>
        <w:t>(Tsunetsugu and Ishibashi, 2019)</w:t>
      </w:r>
      <w:r w:rsidRPr="00C05886">
        <w:fldChar w:fldCharType="end"/>
      </w:r>
      <w:r w:rsidRPr="00C05886">
        <w:t xml:space="preserve"> observed an increase in parasympathetic activity (i.e. indicating relaxation) in infants aged 1-3 months in response to inhalation of D-limonene. The researchers argued the parasympathetic response was comparable to that observed in adults, suggesting that certain fragrances may be innately relaxing. However other flower scents have shown an uplifting effect. Japanese students reported higher levels of high arousal </w:t>
      </w:r>
      <w:r w:rsidR="00E8285F">
        <w:t>Positive Affect</w:t>
      </w:r>
      <w:r w:rsidRPr="00C05886">
        <w:t xml:space="preserve"> (e.g. joy, excitement) in response to the scent of plum blossoms (</w:t>
      </w:r>
      <w:r w:rsidRPr="00C05886">
        <w:rPr>
          <w:i/>
          <w:iCs/>
        </w:rPr>
        <w:t xml:space="preserve">Prunus </w:t>
      </w:r>
      <w:proofErr w:type="spellStart"/>
      <w:r w:rsidRPr="00C05886">
        <w:rPr>
          <w:i/>
          <w:iCs/>
        </w:rPr>
        <w:t>mume</w:t>
      </w:r>
      <w:proofErr w:type="spellEnd"/>
      <w:r w:rsidRPr="00C05886">
        <w:rPr>
          <w:i/>
          <w:iCs/>
        </w:rPr>
        <w:t xml:space="preserve"> </w:t>
      </w:r>
      <w:r w:rsidRPr="00C05886">
        <w:t xml:space="preserve">Siebold) </w:t>
      </w:r>
      <w:r w:rsidRPr="00C05886">
        <w:fldChar w:fldCharType="begin"/>
      </w:r>
      <w:r w:rsidRPr="00C05886">
        <w:instrText xml:space="preserve"> ADDIN ZOTERO_ITEM CSL_CITATION {"citationID":"BXw3dLq9","properties":{"formattedCitation":"(Jo {\\i{}et al.}, 2013)","plainCitation":"(Jo et al., 2013)","noteIndex":0},"citationItems":[{"id":10589,"uris":["http://zotero.org/users/10951124/items/4MHASZH2"],"itemData":{"id":10589,"type":"article-journal","abstract":"To better understand how fragrance may enhance human health, this study examined psychophysiological responses to Japanese plum blossom fragrance. Although previous studies used essential oils or fragrance components, the present study measured the effects of floral scent naturally diffused by the plant itself to simulate the way we generally experience natural scent in everyday life. Subjects were Japanese males (n = 26), and the data collected included cerebral and autonomic nervous system activities, semantic differential (SD) scale, and profile of mood states (POMS). Exposure to the fragrance significantly activated the sympathetic nervous system and the cerebral areas related to movement, speech, and memory. SD scale and POMS results showed the fragrance evoked cheerful, exciting, and active images and changed mood states by enhancing vigor while suppressing feelings of depression. These findings indicate that contact with a floral scent such as plum blossom fragrance can improve mood states and may foster the brain functions of memory, speech, and movement, potentially leading to improvements in emotional health, depression, and memory disorders.","container-title":"HortScience","DOI":"10.21273/HORTSCI.48.1.82","ISSN":"0018-5345, 2327-9834","issue":"1","journalAbbreviation":"horts","page":"82-88","source":"DOI.org (Crossref)","title":"Physiological and Psychological Response to Floral Scent","volume":"48","author":[{"family":"Jo","given":"Hyunju"},{"family":"Rodiek","given":"Susan"},{"family":"Fujii","given":"Eijiro"},{"family":"Miyazaki","given":"Yoshifumi"},{"family":"Park","given":"Bum-Jin"},{"family":"Ann","given":"Seoung-Won"}],"issued":{"date-parts":[["2013",1]]}}}],"schema":"https://github.com/citation-style-language/schema/raw/master/csl-citation.json"} </w:instrText>
      </w:r>
      <w:r w:rsidRPr="00C05886">
        <w:fldChar w:fldCharType="separate"/>
      </w:r>
      <w:r w:rsidRPr="00C05886">
        <w:rPr>
          <w:rFonts w:ascii="Calibri" w:hAnsi="Calibri" w:cs="Calibri"/>
          <w:szCs w:val="24"/>
        </w:rPr>
        <w:t xml:space="preserve">(Jo </w:t>
      </w:r>
      <w:r w:rsidRPr="00C05886">
        <w:rPr>
          <w:rFonts w:ascii="Calibri" w:hAnsi="Calibri" w:cs="Calibri"/>
          <w:i/>
          <w:iCs/>
          <w:szCs w:val="24"/>
        </w:rPr>
        <w:t>et al.</w:t>
      </w:r>
      <w:r w:rsidRPr="00C05886">
        <w:rPr>
          <w:rFonts w:ascii="Calibri" w:hAnsi="Calibri" w:cs="Calibri"/>
          <w:szCs w:val="24"/>
        </w:rPr>
        <w:t>, 2013)</w:t>
      </w:r>
      <w:r w:rsidRPr="00C05886">
        <w:fldChar w:fldCharType="end"/>
      </w:r>
      <w:r w:rsidRPr="00C05886">
        <w:t>. The self-reported measures were consistent with physiological parameters (heart rate variability, oxygenated haemoglobin in the brain vessels) in indicating an increase in sympathetic activity.</w:t>
      </w:r>
    </w:p>
    <w:p w14:paraId="54416084" w14:textId="6ECB46DA" w:rsidR="00C12E53" w:rsidRPr="00C05886" w:rsidRDefault="00C12E53" w:rsidP="006B2DF8">
      <w:r w:rsidRPr="00C05886">
        <w:t xml:space="preserve">The deep, multifaceted nature of the olfactory experience was also explored with qualitative methods. Two recent examples are provided. </w:t>
      </w:r>
      <w:r w:rsidRPr="00C05886">
        <w:fldChar w:fldCharType="begin"/>
      </w:r>
      <w:r w:rsidRPr="00C05886">
        <w:instrText xml:space="preserve"> ADDIN ZOTERO_ITEM CSL_CITATION {"citationID":"tA9YL4AJ","properties":{"formattedCitation":"(P\\uc0\\u225{}lsd\\uc0\\u243{}ttir {\\i{}et al.}, 2021)","plainCitation":"(Pálsdóttir et al., 2021)","noteIndex":0},"citationItems":[{"id":9617,"uris":["http://zotero.org/users/10951124/items/MA4DL9S6"],"itemData":{"id":9617,"type":"article-journal","abstract":"This study explores how participants suffering from stress-related mental disorders describe their perception, interaction, and lived experience of garden smellscape during their nature-based rehabilitation. Natural elements, and especially nature smells, have been found to have a profound effect on stress reduction, suggesting an interesting link between odor in nature and stress reduction. The study was conducted as a longitudinal case-study, running over a period of 5 years, investigating participants’ perceptions of a garden smellscape, after completing a 12-weeks nature-based rehabilitation in Alnarp Rehabilitation Garden, Sweden. All participants were treated for stress-related mental disorders. Data were collected through retrospective semi-structured individual interviews and analyzed according to interpretative phenomenological analysis. The results revealed in what way nature odor (odor in nature) evoked associations, emotions, and physical reactions and provide examples of how nature scents function as a catalyst for sensory awareness and memories. Findings supported the understanding that experiencing the smell of plants, especially pelargonium, may facilitate stress reduction and support mental recovery in a real-life context. The results of the study can be used for several purposes; thus, they are relevant for actors within the development of nature-based therapy, as well as stakeholders within the horticultural industry.","container-title":"Frontiers in Psychology","ISSN":"1664-1078","journalAbbreviation":"Frontiers in Psychology","title":"Garden Smellscape–Experiences of Plant Scents in a Nature-Based Intervention","URL":"https://www.frontiersin.org/articles/10.3389/fpsyg.2021.667957","volume":"12","author":[{"family":"Pálsdóttir","given":"Anna María"},{"family":"Spendrup","given":"Sara"},{"family":"Mårtensson","given":"Lennart"},{"family":"Wendin","given":"Karin"}],"issued":{"date-parts":[["2021"]]}}}],"schema":"https://github.com/citation-style-language/schema/raw/master/csl-citation.json"} </w:instrText>
      </w:r>
      <w:r w:rsidRPr="00C05886">
        <w:fldChar w:fldCharType="separate"/>
      </w:r>
      <w:r w:rsidRPr="00C05886">
        <w:rPr>
          <w:rFonts w:ascii="Calibri" w:hAnsi="Calibri" w:cs="Calibri"/>
          <w:szCs w:val="24"/>
        </w:rPr>
        <w:t xml:space="preserve">(Pálsdóttir </w:t>
      </w:r>
      <w:r w:rsidRPr="00C05886">
        <w:rPr>
          <w:rFonts w:ascii="Calibri" w:hAnsi="Calibri" w:cs="Calibri"/>
          <w:i/>
          <w:iCs/>
          <w:szCs w:val="24"/>
        </w:rPr>
        <w:t>et al.</w:t>
      </w:r>
      <w:r w:rsidRPr="00C05886">
        <w:rPr>
          <w:rFonts w:ascii="Calibri" w:hAnsi="Calibri" w:cs="Calibri"/>
          <w:szCs w:val="24"/>
        </w:rPr>
        <w:t>, 2021)</w:t>
      </w:r>
      <w:r w:rsidRPr="00C05886">
        <w:fldChar w:fldCharType="end"/>
      </w:r>
      <w:r w:rsidRPr="00C05886">
        <w:t xml:space="preserve"> interviewed participants suffering from stress-related disorders. At the end of a 12-week gardening intervention, the interviewees provided clear accounts of how the smells of the plants and the soil were associated with </w:t>
      </w:r>
      <w:r w:rsidR="00E8285F">
        <w:t>Positive Affect</w:t>
      </w:r>
      <w:r w:rsidRPr="00C05886">
        <w:t xml:space="preserve"> (both joy and relaxation), increased awareness and happy childhood memories in the garden or the countryside. Interestingly, by the end of the intervention, the participants deemed “unnatural” scents as stressful and unpleasant. These not only included smog and polluting odours (e.g. cigarette smoke) but also supposed positive scents (floral-based perfumes), which were perceived as too intrusive and associable with power relationships in the working environment. In another study, a large group of UK participants (N = 194) took part in a series of forest-based activities, followed by focus groups </w:t>
      </w:r>
      <w:r w:rsidRPr="00C05886">
        <w:fldChar w:fldCharType="begin"/>
      </w:r>
      <w:r w:rsidRPr="00C05886">
        <w:instrText xml:space="preserve"> ADDIN ZOTERO_ITEM CSL_CITATION {"citationID":"B0TwG2ou","properties":{"formattedCitation":"(Bentley {\\i{}et al.}, 2023)","plainCitation":"(Bentley et al., 2023)","noteIndex":0},"citationItems":[{"id":9977,"uris":["http://zotero.org/users/10951124/items/FLSHYP2J"],"itemData":{"id":9977,"type":"article-journal","abstract":"Abstract\n            The link between nature and human wellbeing is well established. However, few studies go beyond considering the visual and auditory underpinnings of this relationship, even though engaging with nature is a multisensory experience. While research linking smell to wellbeing exists, it focuses predominantly on smells as a source of nuisance/offence. Smells clearly have a prominent influence, but a significant knowledge gap remains in the nexus of nature, smell, and wellbeing. Here, we examine how smells experienced in woodlands contribute to wellbeing across four seasons. We show that smells are associated with multiple wellbeing domains, both positively and negatively. They are linked to memories, and specific ecological characteristics and processes over space/time. By making the link between the spatiotemporal variability in biodiversity and wellbeing explicit, we unearth a new line of enquiry. Overall, the multisensory experience must be considered by researchers, practitioners, policy-makers and planners looking to improve wellbeing through nature.","container-title":"Ambio","DOI":"10.1007/s13280-022-01760-w","ISSN":"0044-7447, 1654-7209","issue":"1","journalAbbreviation":"Ambio","language":"en","page":"1-14","source":"DOI.org (Crossref)","title":"Nature, smells, and human wellbeing","volume":"52","author":[{"family":"Bentley","given":"Phoebe R."},{"family":"Fisher","given":"Jessica C."},{"family":"Dallimer","given":"Martin"},{"family":"Fish","given":"Robert D."},{"family":"Austen","given":"Gail E."},{"family":"Irvine","given":"Katherine N."},{"family":"Davies","given":"Zoe G."}],"issued":{"date-parts":[["2023",1]]}}}],"schema":"https://github.com/citation-style-language/schema/raw/master/csl-citation.json"} </w:instrText>
      </w:r>
      <w:r w:rsidRPr="00C05886">
        <w:fldChar w:fldCharType="separate"/>
      </w:r>
      <w:r w:rsidRPr="00C05886">
        <w:rPr>
          <w:rFonts w:ascii="Calibri" w:hAnsi="Calibri" w:cs="Calibri"/>
          <w:szCs w:val="24"/>
        </w:rPr>
        <w:t xml:space="preserve">(Bentley </w:t>
      </w:r>
      <w:r w:rsidRPr="00C05886">
        <w:rPr>
          <w:rFonts w:ascii="Calibri" w:hAnsi="Calibri" w:cs="Calibri"/>
          <w:i/>
          <w:iCs/>
          <w:szCs w:val="24"/>
        </w:rPr>
        <w:t>et al.</w:t>
      </w:r>
      <w:r w:rsidRPr="00C05886">
        <w:rPr>
          <w:rFonts w:ascii="Calibri" w:hAnsi="Calibri" w:cs="Calibri"/>
          <w:szCs w:val="24"/>
        </w:rPr>
        <w:t>, 2023)</w:t>
      </w:r>
      <w:r w:rsidRPr="00C05886">
        <w:fldChar w:fldCharType="end"/>
      </w:r>
      <w:r w:rsidRPr="00C05886">
        <w:t xml:space="preserve">. Although comments on the forest’s smells covered only a fraction of the participants' discussions, the response to these scents – or the absence of other smells, e.g. smog – were mentioned in relationship with most aspects of well-being. Well-being was expressed in terms of muscle relaxation (physical well-being), feeling happy </w:t>
      </w:r>
      <w:r w:rsidRPr="00C05886">
        <w:lastRenderedPageBreak/>
        <w:t>and energetic (emotional well-being) and more aware and focused (cognitive well-being). Not all natural odours were positively related to well-being, however, especially from participants suffering from pollen allergies.</w:t>
      </w:r>
    </w:p>
    <w:p w14:paraId="6B209845" w14:textId="77777777" w:rsidR="00C12E53" w:rsidRPr="00C05886" w:rsidRDefault="00C12E53" w:rsidP="00C12E53">
      <w:pPr>
        <w:pStyle w:val="Heading4"/>
      </w:pPr>
      <w:r w:rsidRPr="00C05886">
        <w:t>Touch</w:t>
      </w:r>
    </w:p>
    <w:p w14:paraId="5C7E739E" w14:textId="77777777" w:rsidR="00C12E53" w:rsidRPr="00C05886" w:rsidRDefault="00C12E53" w:rsidP="003E4763">
      <w:r w:rsidRPr="00C05886">
        <w:t xml:space="preserve">In their review of the literature, Franco et al. (2017) stated that touch did not receive much research attention and that there was a gap concerning non-animal studies. Most of the evidence they reviewed concerned petting animals, especially dogs. A laboratory experiment on university students from Tel Aviv, Israel, </w:t>
      </w:r>
      <w:r w:rsidRPr="00C05886">
        <w:fldChar w:fldCharType="begin"/>
      </w:r>
      <w:r w:rsidRPr="00C05886">
        <w:instrText xml:space="preserve"> ADDIN ZOTERO_ITEM CSL_CITATION {"citationID":"qkf1Db6m","properties":{"formattedCitation":"(Shiloh, Sorek\\uc0\\u8224{} and Terkel, 2003)","plainCitation":"(Shiloh, Sorek† and Terkel, 2003)","noteIndex":0},"citationItems":[{"id":10675,"uris":["http://zotero.org/users/10951124/items/K6EI8GNN"],"itemData":{"id":10675,"type":"article-journal","container-title":"Anxiety, Stress &amp; Coping","DOI":"10.1080/1061580031000091582","ISSN":"1061-5806, 1477-2205","issue":"4","journalAbbreviation":"Anxiety, Stress &amp; Coping","language":"en","page":"387-395","source":"DOI.org (Crossref)","title":"REDUCTION OF STATE-ANXIETY BY PETTING ANIMALS IN A CONTROLLED LABORATORY EXPERIMENT","volume":"16","author":[{"family":"Shiloh","given":"Shoshana"},{"family":"Sorek†","given":"Gal"},{"family":"Terkel","given":"Joseph"}],"issued":{"date-parts":[["2003",12]]}}}],"schema":"https://github.com/citation-style-language/schema/raw/master/csl-citation.json"} </w:instrText>
      </w:r>
      <w:r w:rsidRPr="00C05886">
        <w:fldChar w:fldCharType="separate"/>
      </w:r>
      <w:r w:rsidRPr="00C05886">
        <w:rPr>
          <w:rFonts w:ascii="Calibri" w:hAnsi="Calibri" w:cs="Calibri"/>
          <w:szCs w:val="24"/>
        </w:rPr>
        <w:t>(Shiloh, Sorek† and Terkel, 2003)</w:t>
      </w:r>
      <w:r w:rsidRPr="00C05886">
        <w:fldChar w:fldCharType="end"/>
      </w:r>
      <w:r w:rsidRPr="00C05886">
        <w:t xml:space="preserve"> showed that petting a rabbit or a turtle reduced state anxiety, while petting toy equivalents of these animals did not. Interestingly these reductions in anxiety were independent from the participants' disposition towards animals in general. Even more interestingly, state anxiety had previously been induced with a </w:t>
      </w:r>
      <w:proofErr w:type="spellStart"/>
      <w:r w:rsidRPr="00C05886">
        <w:t>biophobic</w:t>
      </w:r>
      <w:proofErr w:type="spellEnd"/>
      <w:r w:rsidRPr="00C05886">
        <w:t xml:space="preserve"> task: a real tarantula was present in the lab, in a glass jar, and the participants had to accept the possibility that the experiment may require them to hold the spider in their hands. This suggests a great potential in the restorative power of touching, even when the stress is caused by another animal.</w:t>
      </w:r>
    </w:p>
    <w:p w14:paraId="7A266B9B" w14:textId="77777777" w:rsidR="00C12E53" w:rsidRPr="00C05886" w:rsidRDefault="00C12E53" w:rsidP="00B551F6">
      <w:r w:rsidRPr="00C05886">
        <w:t xml:space="preserve">Although excluded by the criteria of Franco et al. (2017), studies on touching natural materials such as wood, have been carried out in Japan for over twenty years. Researchers observed that touching wooden surfaces barely disturbed heart rate and systolic pressure </w:t>
      </w:r>
      <w:r w:rsidRPr="00C05886">
        <w:fldChar w:fldCharType="begin"/>
      </w:r>
      <w:r w:rsidRPr="00C05886">
        <w:instrText xml:space="preserve"> ADDIN ZOTERO_ITEM CSL_CITATION {"citationID":"9EREQfiM","properties":{"formattedCitation":"(Morikawa, Miyazaki and Kobayashi, 1998)","plainCitation":"(Morikawa, Miyazaki and Kobayashi, 1998)","noteIndex":0},"citationItems":[{"id":10585,"uris":["http://zotero.org/users/10951124/items/DXKYVJAP"],"itemData":{"id":10585,"type":"article-journal","container-title":"Journal of Wood Science","DOI":"10.1007/BF00833417","ISSN":"1435-0211, 1611-4663","issue":"6","journalAbbreviation":"J Wood Sci","language":"en","page":"495-497","source":"DOI.org (Crossref)","title":"Time-series variations of blood pressure due to contact with wood","volume":"44","author":[{"family":"Morikawa","given":"Takeshi"},{"family":"Miyazaki","given":"Yoshifumi"},{"family":"Kobayashi","given":"Shigeo"}],"issued":{"date-parts":[["1998",12]]}}}],"schema":"https://github.com/citation-style-language/schema/raw/master/csl-citation.json"} </w:instrText>
      </w:r>
      <w:r w:rsidRPr="00C05886">
        <w:fldChar w:fldCharType="separate"/>
      </w:r>
      <w:r w:rsidRPr="00C05886">
        <w:rPr>
          <w:rFonts w:ascii="Calibri" w:hAnsi="Calibri" w:cs="Calibri"/>
        </w:rPr>
        <w:t>(Morikawa, Miyazaki and Kobayashi, 1998)</w:t>
      </w:r>
      <w:r w:rsidRPr="00C05886">
        <w:fldChar w:fldCharType="end"/>
      </w:r>
      <w:r w:rsidRPr="00C05886">
        <w:t xml:space="preserve"> and showed lower brain oxyhaemoglobin (a stress indicator) compared with touching stainless steel, tiles or a sac filled with cold water </w:t>
      </w:r>
      <w:r w:rsidRPr="00C05886">
        <w:fldChar w:fldCharType="begin"/>
      </w:r>
      <w:r w:rsidRPr="00C05886">
        <w:instrText xml:space="preserve"> ADDIN ZOTERO_ITEM CSL_CITATION {"citationID":"2mdhhP1J","properties":{"formattedCitation":"(Ikei, Song and Miyazaki, 2017)","plainCitation":"(Ikei, Song and Miyazaki, 2017)","noteIndex":0},"citationItems":[{"id":10587,"uris":["http://zotero.org/users/10951124/items/PJNWF3CI"],"itemData":{"id":10587,"type":"article-journal","container-title":"International Journal of Environmental Research and Public Health","DOI":"10.3390/ijerph14070801","ISSN":"1660-4601","issue":"7","journalAbbreviation":"IJERPH","language":"en","page":"801","source":"DOI.org (Crossref)","title":"Physiological Effects of Touching Wood","volume":"14","author":[{"family":"Ikei","given":"Harumi"},{"family":"Song","given":"Chorong"},{"family":"Miyazaki","given":"Yoshifumi"}],"issued":{"date-parts":[["2017",7,18]]}}}],"schema":"https://github.com/citation-style-language/schema/raw/master/csl-citation.json"} </w:instrText>
      </w:r>
      <w:r w:rsidRPr="00C05886">
        <w:fldChar w:fldCharType="separate"/>
      </w:r>
      <w:r w:rsidRPr="00C05886">
        <w:rPr>
          <w:rFonts w:ascii="Calibri" w:hAnsi="Calibri" w:cs="Calibri"/>
        </w:rPr>
        <w:t>(Ikei, Song and Miyazaki, 2017)</w:t>
      </w:r>
      <w:r w:rsidRPr="00C05886">
        <w:fldChar w:fldCharType="end"/>
      </w:r>
      <w:r w:rsidRPr="00C05886">
        <w:t xml:space="preserve">. Interviewing the participants after these experiments revealed that wood surfaces, felt warmer and, therefore more comfortable to touch. By comparing the surface temperature of the palm before and after touching the surfaces, researchers revealed that wood had a lower heat transfer than other materials </w:t>
      </w:r>
      <w:r w:rsidRPr="00C05886">
        <w:fldChar w:fldCharType="begin"/>
      </w:r>
      <w:r w:rsidRPr="00C05886">
        <w:instrText xml:space="preserve"> ADDIN ZOTERO_ITEM CSL_CITATION {"citationID":"ziMoKxNp","properties":{"formattedCitation":"(Tsunetsugu and Sugiyama, 2021)","plainCitation":"(Tsunetsugu and Sugiyama, 2021)","noteIndex":0},"citationItems":[{"id":10583,"uris":["http://zotero.org/users/10951124/items/J8XJNABZ"],"itemData":{"id":10583,"type":"article-journal","abstract":"Abstract\n            \n              This study investigates the physiological responses and subjective perceptions of touching wood. In particular, it focuses on their respective relationships with the amount of heat transfer across the hand–material interface during contact. The study participants included 55 university students (20 females and 35 males) who gave written informed consent. The participants’ blood pressure, pulse rate, and cerebral blood hemoglobin concentrations were measured continuously for 90 s while they gently held vertical bar-shaped specimens of Japanese cypress (\n              Chamaecyparis obtusa\n              ), Japanese oak (\n              Quercus crispula\n              ), polyethylene, and aluminum. The specimens also included wood with a surface coating. We measured subjective warmth and comfort as well as the heat flux between the palm and the surface of the material. The wooden materials were rated as significantly warmer compared to aluminum and polyethylene, regardless of the wood species (cypress or oak) or its coating; this result corresponds with smaller heat transfers in the wooden materials. Additionally, the wooden materials were more comfortable to hold as compared to the aluminum bar. Based on the changes in blood pressure, touching Japanese cypress and uncoated Japanese oak were interpreted to induce less physiological stress. Therefore, we can conclude that wood, with lower thermal conductivity, feels warm, and it causes relatively smaller physiological changes compared to other materials with higher thermal conductivity. Thus, they may present less physiological burdens when touched.","container-title":"Journal of Wood Science","DOI":"10.1186/s10086-021-01960-0","ISSN":"1435-0211, 1611-4663","issue":"1","journalAbbreviation":"J Wood Sci","language":"en","page":"27","source":"DOI.org (Crossref)","title":"Heat transfer, physiological responses, and subjective perceptions during short contact time with wood or other materials","volume":"67","author":[{"family":"Tsunetsugu","given":"Yuko"},{"family":"Sugiyama","given":"Masaki"}],"issued":{"date-parts":[["2021",12]]}}}],"schema":"https://github.com/citation-style-language/schema/raw/master/csl-citation.json"} </w:instrText>
      </w:r>
      <w:r w:rsidRPr="00C05886">
        <w:fldChar w:fldCharType="separate"/>
      </w:r>
      <w:r w:rsidRPr="00C05886">
        <w:rPr>
          <w:rFonts w:ascii="Calibri" w:hAnsi="Calibri" w:cs="Calibri"/>
        </w:rPr>
        <w:t>(Tsunetsugu and Sugiyama, 2021)</w:t>
      </w:r>
      <w:r w:rsidRPr="00C05886">
        <w:fldChar w:fldCharType="end"/>
      </w:r>
      <w:r w:rsidRPr="00C05886">
        <w:t>, therefore exerting lower physiological stress.</w:t>
      </w:r>
    </w:p>
    <w:p w14:paraId="2EFB1923" w14:textId="77777777" w:rsidR="00C12E53" w:rsidRPr="00C05886" w:rsidRDefault="00C12E53" w:rsidP="00C12E53">
      <w:pPr>
        <w:pStyle w:val="Heading4"/>
      </w:pPr>
      <w:r w:rsidRPr="00C05886">
        <w:t>Multisensory approaches</w:t>
      </w:r>
    </w:p>
    <w:p w14:paraId="7200290E" w14:textId="77777777" w:rsidR="00C12E53" w:rsidRPr="00C05886" w:rsidRDefault="00C12E53" w:rsidP="00C402D2">
      <w:r w:rsidRPr="00C05886">
        <w:t xml:space="preserve">When integrated, sensorial stimuli interact in various ways. Congruency among stimuli (e.g. a video of a forest with the sounds of a forest) can lead to an amplified emotional response to the environment </w:t>
      </w:r>
      <w:r w:rsidRPr="00C05886">
        <w:fldChar w:fldCharType="begin"/>
      </w:r>
      <w:r w:rsidRPr="00C05886">
        <w:instrText xml:space="preserve"> ADDIN ZOTERO_ITEM CSL_CITATION {"citationID":"6B8Aqw0h","properties":{"formattedCitation":"(Schreuder {\\i{}et al.}, 2016)","plainCitation":"(Schreuder et al., 2016)","noteIndex":0},"citationItems":[{"id":10680,"uris":["http://zotero.org/users/10951124/items/ERCR44IY"],"itemData":{"id":10680,"type":"article-journal","abstract":"How we perceive our environment affects the way we feel and behave. The impressions of our ambient environment are influenced by its entire spectrum of physical characteristics (e.g., luminosity, sound, scents, temperature) in a dynamic and interactive way. The ability to manipulate the sensory aspects of an environment such that people feel comfortable or exhibit a desired behavior is gaining interest and social relevance. Although much is known about the sensory effects of individual environmental characteristics, their combined effects are not a priori evident due to a wide range of non-linear interactions in the processing of sensory cues. As a result, it is currently not known how different environmental characteristics should be combined to effectively induce desired emotional and behavioral effects. To gain more insight into this matter, we performed a literature review on the emotional effects of multisensory stimulation. Although we found some interesting mechanisms, the outcome also reveals that empirical evidence is still scarce and haphazard. To stimulate further discussion and research, we propose a conceptual framework that describes how environmental interventions are likely to affect human emotional responses. This framework leads to some critical research questions that suggest opportunities for further investigation.","container-title":"SAGE Open","DOI":"10.1177/2158244016630591","ISSN":"2158-2440, 2158-2440","issue":"1","journalAbbreviation":"SAGE Open","language":"en","page":"215824401663059","source":"DOI.org (Crossref)","title":"Emotional Responses to Multisensory Environmental Stimuli: A Conceptual Framework and Literature Review","title-short":"Emotional Responses to Multisensory Environmental Stimuli","volume":"6","author":[{"family":"Schreuder","given":"Eliane"},{"family":"Van Erp","given":"Jan"},{"family":"Toet","given":"Alexander"},{"family":"Kallen","given":"Victor L."}],"issued":{"date-parts":[["2016",1,1]]}}}],"schema":"https://github.com/citation-style-language/schema/raw/master/csl-citation.json"} </w:instrText>
      </w:r>
      <w:r w:rsidRPr="00C05886">
        <w:fldChar w:fldCharType="separate"/>
      </w:r>
      <w:r w:rsidRPr="00C05886">
        <w:rPr>
          <w:rFonts w:ascii="Calibri" w:hAnsi="Calibri" w:cs="Calibri"/>
          <w:szCs w:val="24"/>
        </w:rPr>
        <w:t xml:space="preserve">(Schreuder </w:t>
      </w:r>
      <w:r w:rsidRPr="00C05886">
        <w:rPr>
          <w:rFonts w:ascii="Calibri" w:hAnsi="Calibri" w:cs="Calibri"/>
          <w:i/>
          <w:iCs/>
          <w:szCs w:val="24"/>
        </w:rPr>
        <w:t>et al.</w:t>
      </w:r>
      <w:r w:rsidRPr="00C05886">
        <w:rPr>
          <w:rFonts w:ascii="Calibri" w:hAnsi="Calibri" w:cs="Calibri"/>
          <w:szCs w:val="24"/>
        </w:rPr>
        <w:t>, 2016)</w:t>
      </w:r>
      <w:r w:rsidRPr="00C05886">
        <w:fldChar w:fldCharType="end"/>
      </w:r>
      <w:r w:rsidRPr="00C05886">
        <w:t>, but other combinations are also possible. Depending on the context, (e.g. being in a given mood), certain senses can be dominant and suppress other stimuli.</w:t>
      </w:r>
    </w:p>
    <w:p w14:paraId="0B33FA05" w14:textId="111101C5" w:rsidR="00C12E53" w:rsidRPr="00C05886" w:rsidRDefault="00C12E53" w:rsidP="00670B8D">
      <w:r w:rsidRPr="00C05886">
        <w:t xml:space="preserve">In terms of simulating the effects of the natural environment (and of biodiversity), the multisensory approach promises higher ecological validity for controlled experiments. For instance, 3 different levels of multisensory biodiversity (High vs Low vs none) were used to relax participants after stress </w:t>
      </w:r>
      <w:r w:rsidRPr="00C05886">
        <w:lastRenderedPageBreak/>
        <w:t xml:space="preserve">induction </w:t>
      </w:r>
      <w:r w:rsidRPr="00C05886">
        <w:fldChar w:fldCharType="begin"/>
      </w:r>
      <w:r w:rsidR="000309A4" w:rsidRPr="00C05886">
        <w:instrText xml:space="preserve"> ADDIN ZOTERO_ITEM CSL_CITATION {"citationID":"Bnd0zOCX","properties":{"formattedCitation":"(Hedblom, Gunnarsson, Iravani, {\\i{}et al.}, 2019)","plainCitation":"(Hedblom, Gunnarsson, Iravani, et al., 2019)","noteIndex":0},"citationItems":[{"id":5754,"uris":["http://zotero.org/users/10951124/items/8IGL8KLV"],"itemData":{"id":5754,"type":"article-journal","abstract":"Although stress is an increasing global health problem in cities, urban green spaces can provide health benefits. There is, however, a lack of understanding of the link between physiological mechanisms and qualities of urban green spaces. Here, we compare the effects of visual stimuli (360 degree virtual photos of an urban environment, forest, and park) to the effects of congruent olfactory stimuli (nature and city odours) and auditory stimuli (bird songs and noise) on physiological stress recovery. Participants (N = 154) were pseudo-randomised into participating in one of the three environments and subsequently exposed to stress (operationalised by skin conductance levels). The park and forest, but not the urban area, provided significant stress reduction. High pleasantness ratings of the environment were linked to low physiological stress responses for olfactory and to some extent for auditory, but not for visual stimuli. This result indicates that olfactory stimuli may be better at facilitating stress reduction than visual stimuli. Currently, urban planners prioritise visual stimuli when planning open green spaces, but urban planners should also consider multisensory qualities.","container-title":"Scientific Reports","DOI":"10.1038/s41598-019-46099-7","ISSN":"20452322","issue":"1","note":"PMID: 31300656","page":"1-11","title":"Reduction of physiological stress by urban green space in a multisensory virtual experiment","volume":"9","author":[{"family":"Hedblom","given":"Marcus"},{"family":"Gunnarsson","given":"Bengt"},{"family":"Iravani","given":"Behzad"},{"family":"Knez","given":"Igor"},{"family":"Schaefer","given":"Martin"},{"family":"Thorsson","given":"Pontus"},{"family":"Lundström","given":"Johan N."}],"issued":{"date-parts":[["2019"]]}}}],"schema":"https://github.com/citation-style-language/schema/raw/master/csl-citation.json"} </w:instrText>
      </w:r>
      <w:r w:rsidRPr="00C05886">
        <w:fldChar w:fldCharType="separate"/>
      </w:r>
      <w:r w:rsidRPr="00C05886">
        <w:rPr>
          <w:rFonts w:ascii="Calibri" w:hAnsi="Calibri" w:cs="Calibri"/>
          <w:szCs w:val="24"/>
        </w:rPr>
        <w:t xml:space="preserve">(Hedblom, Gunnarsson, Iravani, </w:t>
      </w:r>
      <w:r w:rsidRPr="00C05886">
        <w:rPr>
          <w:rFonts w:ascii="Calibri" w:hAnsi="Calibri" w:cs="Calibri"/>
          <w:i/>
          <w:iCs/>
          <w:szCs w:val="24"/>
        </w:rPr>
        <w:t>et al.</w:t>
      </w:r>
      <w:r w:rsidRPr="00C05886">
        <w:rPr>
          <w:rFonts w:ascii="Calibri" w:hAnsi="Calibri" w:cs="Calibri"/>
          <w:szCs w:val="24"/>
        </w:rPr>
        <w:t>, 2019)</w:t>
      </w:r>
      <w:r w:rsidRPr="00C05886">
        <w:fldChar w:fldCharType="end"/>
      </w:r>
      <w:r w:rsidRPr="00C05886">
        <w:t xml:space="preserve">. The participant could see the biodiversity (360-degree images), hear it (birdsong) and smell it (scents of firs, mushrooms or cut grass). Both high and low biodiversity achieved physiological relaxation (lower skin conductance) while the no biodiversity condition (urban road, traffic noise and smell of diesel) did not. Similar results were found observing the psychological relaxation of Australian participants </w:t>
      </w:r>
      <w:r w:rsidRPr="00C05886">
        <w:fldChar w:fldCharType="begin"/>
      </w:r>
      <w:r w:rsidRPr="00C05886">
        <w:instrText xml:space="preserve"> ADDIN ZOTERO_ITEM CSL_CITATION {"citationID":"kcrxEgYd","properties":{"formattedCitation":"(Schebella {\\i{}et al.}, 2020)","plainCitation":"(Schebella et al., 2020)","noteIndex":0},"citationItems":[{"id":9668,"uris":["http://zotero.org/users/10951124/items/XY8G99AE"],"itemData":{"id":9668,"type":"article-journal","abstract":"Immersive virtual environments (IVEs) were used to test the effects of biodiversity on recovery from induced stress. Three natural environments and one urban environment were used to represent ordinal levels of biodiversity (none, low, moderate, and high). The four IVEs comprised visual, auditory, and olfactory stimuli. An additional high biodiversity IVE without auditory or olfactory stimuli was also included to study the effects of multisensory stimulation per se on recovery from stress and perceptions of biodiversity. Following stress induction via a novel IVE Trier Social Stress Test (TSST-IVE), heart rate and five self-reported well-being measures were used to assess participants&amp;rsquo; recovery after immersion in one of the five IVEs. The results showed consistent well-being responses across both self-reported and physiological measures, suggesting biodiversity does directly affect human well-being. However, the relationship was not linear. For most measures of well-being, stress recovery was least effective in the urban IVE, consistent with past research. The low biodiversity IVE elicited the greatest improvement in all well-being measures except self-reported calmness. One could speculate that the landscape features of the least biodiverse IVE may elicit subconscious preferences toward savanna-like landscapes, as suggested by previous studies. The IVE depicting a moderate level of biodiversity was the least restorative of the natural environments. A multisensory experience was associated with better recovery in all measures of well-being than a visual-only experience, and perceptions of landscape components significantly differed between two identical nature scenes when auditory and olfactory stimuli were removed. Nuances in the data and implications of the findings are discussed. The results signal a need for caution and question the assumption that cultural ecosystem services align with positive outcomes for biodiversity conservation.","container-title":"International Journal of Environmental Research and Public Health","DOI":"10.3390/ijerph17010056","ISSN":"1660-4601","issue":"1","title":"The Nature of Reality: Human Stress Recovery during Exposure to Biodiverse, Multisensory Virtual Environments","volume":"17","author":[{"family":"Schebella","given":"Morgan F."},{"family":"Weber","given":"Delene"},{"family":"Schultz","given":"Lisa"},{"family":"Weinstein","given":"Philip"}],"issued":{"date-parts":[["2020"]]}}}],"schema":"https://github.com/citation-style-language/schema/raw/master/csl-citation.json"} </w:instrText>
      </w:r>
      <w:r w:rsidRPr="00C05886">
        <w:fldChar w:fldCharType="separate"/>
      </w:r>
      <w:r w:rsidRPr="00C05886">
        <w:rPr>
          <w:rFonts w:ascii="Calibri" w:hAnsi="Calibri" w:cs="Calibri"/>
          <w:szCs w:val="24"/>
        </w:rPr>
        <w:t xml:space="preserve">(Schebella </w:t>
      </w:r>
      <w:r w:rsidRPr="00C05886">
        <w:rPr>
          <w:rFonts w:ascii="Calibri" w:hAnsi="Calibri" w:cs="Calibri"/>
          <w:i/>
          <w:iCs/>
          <w:szCs w:val="24"/>
        </w:rPr>
        <w:t>et al.</w:t>
      </w:r>
      <w:r w:rsidRPr="00C05886">
        <w:rPr>
          <w:rFonts w:ascii="Calibri" w:hAnsi="Calibri" w:cs="Calibri"/>
          <w:szCs w:val="24"/>
        </w:rPr>
        <w:t>, 2020)</w:t>
      </w:r>
      <w:r w:rsidRPr="00C05886">
        <w:fldChar w:fldCharType="end"/>
      </w:r>
      <w:r w:rsidRPr="00C05886">
        <w:t xml:space="preserve">, by comparing the stress recovery provided by multisensory biodiversity and visual-only biodiversity. When biodiversity stimulated multiple senses – i.e. with 7 visual layers of vegetation, sounds from 3 bird species and 3 natural scents – it elicited greater stress recovery and lower anxiety than when presented only visually. When the effect of audio and video of a forest were analysed, combined and individually, the multisensory forest produced </w:t>
      </w:r>
      <w:r w:rsidR="00303D2B" w:rsidRPr="00C05886">
        <w:t>higher</w:t>
      </w:r>
      <w:r w:rsidRPr="00C05886">
        <w:t xml:space="preserve"> physiological stress</w:t>
      </w:r>
      <w:r w:rsidR="00303D2B" w:rsidRPr="00C05886">
        <w:t xml:space="preserve"> recovery</w:t>
      </w:r>
      <w:r w:rsidRPr="00C05886">
        <w:t xml:space="preserve"> </w:t>
      </w:r>
      <w:r w:rsidRPr="00C05886">
        <w:fldChar w:fldCharType="begin"/>
      </w:r>
      <w:r w:rsidRPr="00C05886">
        <w:instrText xml:space="preserve"> ADDIN ZOTERO_ITEM CSL_CITATION {"citationID":"3YcaLSeq","properties":{"formattedCitation":"(Song, Ikei and Miyazaki, 2021)","plainCitation":"(Song, Ikei and Miyazaki, 2021)","noteIndex":0},"citationItems":[{"id":10679,"uris":["http://zotero.org/users/10951124/items/6RHSVDYR"],"itemData":{"id":10679,"type":"article-journal","container-title":"Urban Forestry &amp; Urban Greening","DOI":"10.1016/j.ufug.2021.127253","ISSN":"16188667","journalAbbreviation":"Urban Forestry &amp; Urban Greening","language":"en","page":"127253","source":"DOI.org (Crossref)","title":"Effects of forest-derived visual, auditory, and combined stimuli","volume":"64","author":[{"family":"Song","given":"Chorong"},{"family":"Ikei","given":"Harumi"},{"family":"Miyazaki","given":"Yoshifumi"}],"issued":{"date-parts":[["2021",9]]}}}],"schema":"https://github.com/citation-style-language/schema/raw/master/csl-citation.json"} </w:instrText>
      </w:r>
      <w:r w:rsidRPr="00C05886">
        <w:fldChar w:fldCharType="separate"/>
      </w:r>
      <w:r w:rsidRPr="00C05886">
        <w:rPr>
          <w:rFonts w:ascii="Calibri" w:hAnsi="Calibri" w:cs="Calibri"/>
        </w:rPr>
        <w:t>(Song, Ikei and Miyazaki, 2021)</w:t>
      </w:r>
      <w:r w:rsidRPr="00C05886">
        <w:fldChar w:fldCharType="end"/>
      </w:r>
      <w:r w:rsidRPr="00C05886">
        <w:t xml:space="preserve">. </w:t>
      </w:r>
    </w:p>
    <w:p w14:paraId="640B5613" w14:textId="25E1A9C9" w:rsidR="00C12E53" w:rsidRPr="00C05886" w:rsidRDefault="00C12E53" w:rsidP="00670B8D">
      <w:r w:rsidRPr="00C05886">
        <w:t xml:space="preserve">In all these three studies, the congruence among stimuli appeared important. This could explain why a recent multisensory study in China </w:t>
      </w:r>
      <w:r w:rsidRPr="00C05886">
        <w:fldChar w:fldCharType="begin"/>
      </w:r>
      <w:r w:rsidRPr="00C05886">
        <w:instrText xml:space="preserve"> ADDIN ZOTERO_ITEM CSL_CITATION {"citationID":"2l4bXevT","properties":{"formattedCitation":"(Qi {\\i{}et al.}, 2022)","plainCitation":"(Qi et al., 2022)","noteIndex":0},"citationItems":[{"id":10513,"uris":["http://zotero.org/users/10951124/items/P2RHWWUJ"],"itemData":{"id":10513,"type":"article-journal","container-title":"Journal of Environmental Psychology","DOI":"10.1016/j.jenvp.2022.101879","ISSN":"02724944","journalAbbreviation":"Journal of Environmental Psychology","language":"en","page":"101879","source":"DOI.org (Crossref)","title":"Comparative study on birdsong and its multi-sensory combinational effects on physio-psychological restoration","volume":"83","author":[{"family":"Qi","given":"Ying"},{"family":"Chen","given":"Qujing"},{"family":"Lin","given":"Feng"},{"family":"Liu","given":"Qi"},{"family":"Zhang","given":"Xiaowan"},{"family":"Guo","given":"Jiayu"},{"family":"Qiu","given":"Ling"},{"family":"Gao","given":"Tian"}],"issued":{"date-parts":[["2022",10]]}}}],"schema":"https://github.com/citation-style-language/schema/raw/master/csl-citation.json"} </w:instrText>
      </w:r>
      <w:r w:rsidRPr="00C05886">
        <w:fldChar w:fldCharType="separate"/>
      </w:r>
      <w:r w:rsidRPr="00C05886">
        <w:rPr>
          <w:rFonts w:ascii="Calibri" w:hAnsi="Calibri" w:cs="Calibri"/>
          <w:szCs w:val="24"/>
        </w:rPr>
        <w:t xml:space="preserve">(Qi </w:t>
      </w:r>
      <w:r w:rsidRPr="00C05886">
        <w:rPr>
          <w:rFonts w:ascii="Calibri" w:hAnsi="Calibri" w:cs="Calibri"/>
          <w:i/>
          <w:iCs/>
          <w:szCs w:val="24"/>
        </w:rPr>
        <w:t>et al.</w:t>
      </w:r>
      <w:r w:rsidRPr="00C05886">
        <w:rPr>
          <w:rFonts w:ascii="Calibri" w:hAnsi="Calibri" w:cs="Calibri"/>
          <w:szCs w:val="24"/>
        </w:rPr>
        <w:t>, 2022)</w:t>
      </w:r>
      <w:r w:rsidRPr="00C05886">
        <w:fldChar w:fldCharType="end"/>
      </w:r>
      <w:r w:rsidRPr="00C05886">
        <w:t xml:space="preserve"> reported mixed results.</w:t>
      </w:r>
      <w:r w:rsidR="00303D2B" w:rsidRPr="00C05886">
        <w:t xml:space="preserve"> They found that simulated environments with congruent stimuli (images of a park and birdsong) had a better effect on psychophysiological indicators than </w:t>
      </w:r>
      <w:r w:rsidR="00EC1A6F" w:rsidRPr="00C05886">
        <w:t>a simulation that included images, birdsong and pleasant but unrelated scents (e.g. rose petals).</w:t>
      </w:r>
      <w:r w:rsidR="00303D2B" w:rsidRPr="00C05886">
        <w:t xml:space="preserve"> </w:t>
      </w:r>
    </w:p>
    <w:p w14:paraId="21F202F3" w14:textId="77777777" w:rsidR="00C12E53" w:rsidRPr="00C05886" w:rsidRDefault="00C12E53" w:rsidP="007459E2">
      <w:r w:rsidRPr="00C05886">
        <w:t xml:space="preserve">Biodiversity is certainly a great source of sensory traits. A recent study </w:t>
      </w:r>
      <w:r w:rsidRPr="00C05886">
        <w:fldChar w:fldCharType="begin"/>
      </w:r>
      <w:r w:rsidRPr="00C05886">
        <w:instrText xml:space="preserve"> ADDIN ZOTERO_ITEM CSL_CITATION {"citationID":"18nka3QJ","properties":{"formattedCitation":"(Fisher {\\i{}et al.}, 2023)","plainCitation":"(Fisher et al., 2023)","noteIndex":0},"citationItems":[{"id":9979,"uris":["http://zotero.org/users/10951124/items/S7HV6RJN"],"itemData":{"id":9979,"type":"article-journal","abstract":"Abstract\n            People rely on well-functioning ecosystems to provide critical services that underpin human health and well-being. Consequently, biodiversity loss has profound negative implications for humanity. Human–biodiversity interactions can deliver individual-level well-being gains, equating to substantial healthcare cost savings when scaled up across populations. However, critical questions remain about which species and/or traits (for example, colours, sounds and smells) elicit well-being responses. The traits that influence well-being can be considered ‘effect’ traits. Using techniques from community ecology, we have analysed a database of species’ effect traits articulated by people to identify those that generate different types of well-being (physical, emotional, cognitive, social, spiritual and ‘global’ well-being, the latter being akin to ‘whole-person health’). Effect traits have a predominately positive impact on well-being, influenced by the identity and taxonomic kingdom of each species. Different sets of effect traits deliver different types of well-being. However, traits cannot be considered independently of species because multiple traits can be supported by a single species. Indeed, we have found that numerous effect traits from across the ecological community can elicit multiple types of well-being, illustrating the complexity of biodiversity experiences. Our empirical approach can help to implement interdisciplinary thinking for biodiversity conservation and nature-based public health interventions designed to support human well-being.","container-title":"Nature Sustainability","DOI":"10.1038/s41893-023-01151-3","ISSN":"2398-9629","journalAbbreviation":"Nat Sustain","language":"en","source":"DOI.org (Crossref)","title":"Human well-being responses to species’ traits","URL":"https://www.nature.com/articles/s41893-023-01151-3","author":[{"family":"Fisher","given":"J. C."},{"family":"Dallimer","given":"M."},{"family":"Irvine","given":"K. N."},{"family":"Aizlewood","given":"S. G."},{"family":"Austen","given":"G. E."},{"family":"Fish","given":"R. D."},{"family":"King","given":"P. M."},{"family":"Davies","given":"Z. G."}],"accessed":{"date-parts":[["2023",8,9]]},"issued":{"date-parts":[["2023",6,19]]}}}],"schema":"https://github.com/citation-style-language/schema/raw/master/csl-citation.json"} </w:instrText>
      </w:r>
      <w:r w:rsidRPr="00C05886">
        <w:fldChar w:fldCharType="separate"/>
      </w:r>
      <w:r w:rsidRPr="00C05886">
        <w:rPr>
          <w:rFonts w:ascii="Calibri" w:hAnsi="Calibri" w:cs="Calibri"/>
          <w:szCs w:val="24"/>
        </w:rPr>
        <w:t xml:space="preserve">(Fisher </w:t>
      </w:r>
      <w:r w:rsidRPr="00C05886">
        <w:rPr>
          <w:rFonts w:ascii="Calibri" w:hAnsi="Calibri" w:cs="Calibri"/>
          <w:i/>
          <w:iCs/>
          <w:szCs w:val="24"/>
        </w:rPr>
        <w:t>et al.</w:t>
      </w:r>
      <w:r w:rsidRPr="00C05886">
        <w:rPr>
          <w:rFonts w:ascii="Calibri" w:hAnsi="Calibri" w:cs="Calibri"/>
          <w:szCs w:val="24"/>
        </w:rPr>
        <w:t>, 2023)</w:t>
      </w:r>
      <w:r w:rsidRPr="00C05886">
        <w:fldChar w:fldCharType="end"/>
      </w:r>
      <w:r w:rsidRPr="00C05886">
        <w:t xml:space="preserve"> listed 102 traits across 403 species found in the UK. Most of these traits were also associated with the participants’ well-being, summing up to over a thousand unique species-wellbeing associations, most of which (85%) were positive. The study highlighted that the same species, especially trees, could provide well-being differently through different traits and cautioned against disentangling the effect of each species trait when looking at the well-being outcome.</w:t>
      </w:r>
    </w:p>
    <w:p w14:paraId="5C67FB45" w14:textId="77777777" w:rsidR="00C12E53" w:rsidRPr="00C05886" w:rsidRDefault="00C12E53" w:rsidP="00C12E53">
      <w:pPr>
        <w:pStyle w:val="Heading2"/>
      </w:pPr>
      <w:bookmarkStart w:id="35" w:name="_Toc179962294"/>
      <w:r w:rsidRPr="00C05886">
        <w:t>Charisma in biodiversity</w:t>
      </w:r>
      <w:bookmarkEnd w:id="35"/>
    </w:p>
    <w:p w14:paraId="1C1F5B7D" w14:textId="07EAE305" w:rsidR="00C12E53" w:rsidRPr="00C05886" w:rsidRDefault="00F27700" w:rsidP="00BB6589">
      <w:r>
        <w:t xml:space="preserve">Given its complexity as a concept, </w:t>
      </w:r>
      <w:r w:rsidR="00C12E53" w:rsidRPr="00C05886">
        <w:t xml:space="preserve">Biodiversity </w:t>
      </w:r>
      <w:r>
        <w:t>can be addressed from different angles</w:t>
      </w:r>
      <w:r w:rsidR="00C12E53" w:rsidRPr="00C05886">
        <w:t xml:space="preserve">. </w:t>
      </w:r>
      <w:r>
        <w:t xml:space="preserve">For instance, although </w:t>
      </w:r>
      <w:r w:rsidR="00C12E53" w:rsidRPr="00C05886">
        <w:t>it is true that all species are equal when we consider species richness, the relationships between living beings are better highlighted with other dimensions. Scientists have commonly thought in terms of ratios – e.g. abundance and evenness – or more complex indexes – e.g.</w:t>
      </w:r>
      <w:r w:rsidR="009912C5" w:rsidRPr="00C05886">
        <w:t xml:space="preserve"> the</w:t>
      </w:r>
      <w:r w:rsidR="00C12E53" w:rsidRPr="00C05886">
        <w:t xml:space="preserve"> Shannon’s diversity index which takes both species richness and abundance into account.</w:t>
      </w:r>
    </w:p>
    <w:p w14:paraId="4022BA7B" w14:textId="5701B8DA" w:rsidR="00C12E53" w:rsidRPr="00C05886" w:rsidRDefault="00F27700" w:rsidP="00BE573E">
      <w:r>
        <w:t xml:space="preserve">To raise support for conservation efforts, biodiversity has often been presented to the public as individual species </w:t>
      </w:r>
      <w:r>
        <w:fldChar w:fldCharType="begin"/>
      </w:r>
      <w:r>
        <w:instrText xml:space="preserve"> ADDIN ZOTERO_ITEM CSL_CITATION {"citationID":"WKeNq8j2","properties":{"formattedCitation":"(Bowen-Jones and Entwistle, 2002)","plainCitation":"(Bowen-Jones and Entwistle, 2002)","noteIndex":0},"citationItems":[{"id":11241,"uris":["http://zotero.org/users/10951124/items/ERFBIZFW"],"itemData":{"id":11241,"type":"article-journal","abstract":"Over the last 50 years there has been increasing use of charismatic large mammals and birds as ‘flagship species’ to raise funds and promote the ethos of conservation. However, species chosen to appeal to donor and membership groups may not necessarily be considered popular among local communities. A growing recognition of the need to engage local communities in conservation makes them an increasingly important audience for information about conservation. In such situations an awareness of the local perception and value of different species is central to choosing effective flagships. Emphasising this, we propose 10 criteria for the selection of flagship species. We then describe three examples of local flagship species and assess their use against these criteria: the Asian elephant\n              Elephas maximus\n              for the conservation of landscapes in Aceh, Indonesia, the flying fox\n              Pteropus voeltzkowi\n              for forest protection on Pemba Island, Tanzania, and the ceiba or kapok tree\n              Ceiba pentandra\n              for the conservation of forests in Belize.","container-title":"Oryx","DOI":"10.1017/S0030605302000261","ISSN":"0030-6053, 1365-3008","issue":"2","journalAbbreviation":"Oryx","language":"en","license":"https://www.cambridge.org/core/terms","page":"189-195","source":"DOI.org (Crossref)","title":"Identifying appropriate flagship species: the importance of culture and local contexts","title-short":"Identifying appropriate flagship species","volume":"36","author":[{"family":"Bowen-Jones","given":"Evan"},{"family":"Entwistle","given":"Abigail"}],"issued":{"date-parts":[["2002",4]]}}}],"schema":"https://github.com/citation-style-language/schema/raw/master/csl-citation.json"} </w:instrText>
      </w:r>
      <w:r>
        <w:fldChar w:fldCharType="separate"/>
      </w:r>
      <w:r w:rsidRPr="00F27700">
        <w:rPr>
          <w:rFonts w:ascii="Calibri" w:hAnsi="Calibri" w:cs="Calibri"/>
        </w:rPr>
        <w:t>(Bowen-Jones and Entwistle, 2002)</w:t>
      </w:r>
      <w:r>
        <w:fldChar w:fldCharType="end"/>
      </w:r>
      <w:r w:rsidR="00C12E53" w:rsidRPr="00C05886">
        <w:t xml:space="preserve">. </w:t>
      </w:r>
      <w:r w:rsidR="00BE573E">
        <w:t xml:space="preserve">These are called flagship species and “are </w:t>
      </w:r>
      <w:r w:rsidR="00BE573E">
        <w:lastRenderedPageBreak/>
        <w:t xml:space="preserve">popular, charismatic species that serve as symbols and rallying points to stimulate conservation awareness and action” </w:t>
      </w:r>
      <w:r w:rsidR="00BE573E">
        <w:fldChar w:fldCharType="begin"/>
      </w:r>
      <w:r w:rsidR="00C97A44">
        <w:instrText xml:space="preserve"> ADDIN ZOTERO_ITEM CSL_CITATION {"citationID":"AIuctJcA","properties":{"formattedCitation":"(Heywood and Watson, 1995)","plainCitation":"(Heywood and Watson, 1995)","dontUpdate":true,"noteIndex":0},"citationItems":[{"id":11256,"uris":["http://zotero.org/users/10951124/items/FLIFSIQ3"],"itemData":{"id":11256,"type":"book","publisher":"Cambridge university press Cambridge","title":"Global biodiversity assessment","volume":"1140","author":[{"family":"Heywood","given":"Vernon Hilton"},{"family":"Watson","given":"Robert Tony"}],"issued":{"date-parts":[["1995"]]}}}],"schema":"https://github.com/citation-style-language/schema/raw/master/csl-citation.json"} </w:instrText>
      </w:r>
      <w:r w:rsidR="00BE573E">
        <w:fldChar w:fldCharType="separate"/>
      </w:r>
      <w:r w:rsidR="00BE573E" w:rsidRPr="00BE573E">
        <w:rPr>
          <w:rFonts w:ascii="Calibri" w:hAnsi="Calibri" w:cs="Calibri"/>
        </w:rPr>
        <w:t>(Heywood and Watson, 1995</w:t>
      </w:r>
      <w:r w:rsidR="00BE573E">
        <w:rPr>
          <w:rFonts w:ascii="Calibri" w:hAnsi="Calibri" w:cs="Calibri"/>
        </w:rPr>
        <w:t>; p. 491</w:t>
      </w:r>
      <w:r w:rsidR="00BE573E" w:rsidRPr="00BE573E">
        <w:rPr>
          <w:rFonts w:ascii="Calibri" w:hAnsi="Calibri" w:cs="Calibri"/>
        </w:rPr>
        <w:t>)</w:t>
      </w:r>
      <w:r w:rsidR="00BE573E">
        <w:fldChar w:fldCharType="end"/>
      </w:r>
      <w:r w:rsidR="00BE573E">
        <w:t xml:space="preserve">. </w:t>
      </w:r>
      <w:r w:rsidR="00C12E53" w:rsidRPr="00C05886">
        <w:t xml:space="preserve">The polar bear, the great whales, and the lions hunting under the scorching sun all convey the mystery and the aesthetics needed to captivate human imagination since infancy </w:t>
      </w:r>
      <w:r w:rsidR="00C12E53" w:rsidRPr="00C05886">
        <w:fldChar w:fldCharType="begin"/>
      </w:r>
      <w:r w:rsidR="00C12E53" w:rsidRPr="00C05886">
        <w:instrText xml:space="preserve"> ADDIN ZOTERO_ITEM CSL_CITATION {"citationID":"s4YzhjEX","properties":{"formattedCitation":"(Montgomery {\\i{}et al.}, 2022)","plainCitation":"(Montgomery et al., 2022)","noteIndex":0},"citationItems":[{"id":10619,"uris":["http://zotero.org/users/10951124/items/NPH6GJZ5"],"itemData":{"id":10619,"type":"article-journal","container-title":"Journal of Adventure Education and Outdoor Learning","DOI":"10.1080/14729679.2022.2100801","ISSN":"1472-9679, 1754-0402","journalAbbreviation":"Journal of Adventure Education and Outdoor Learning","language":"en","page":"1-15","source":"DOI.org (Crossref)","title":"Children’s perception of biodiversity in their school grounds and its influence on their wellbeing and resilience","author":[{"family":"Montgomery","given":"Louise N."},{"family":"Gange","given":"Alan C."},{"family":"Watling","given":"Dawn"},{"family":"Harvey","given":"Deborah J."}],"issued":{"date-parts":[["2022",7,28]]}}}],"schema":"https://github.com/citation-style-language/schema/raw/master/csl-citation.json"} </w:instrText>
      </w:r>
      <w:r w:rsidR="00C12E53" w:rsidRPr="00C05886">
        <w:fldChar w:fldCharType="separate"/>
      </w:r>
      <w:r w:rsidR="00C12E53" w:rsidRPr="00C05886">
        <w:rPr>
          <w:rFonts w:ascii="Calibri" w:hAnsi="Calibri" w:cs="Calibri"/>
          <w:szCs w:val="24"/>
        </w:rPr>
        <w:t xml:space="preserve">(Montgomery </w:t>
      </w:r>
      <w:r w:rsidR="00C12E53" w:rsidRPr="00C05886">
        <w:rPr>
          <w:rFonts w:ascii="Calibri" w:hAnsi="Calibri" w:cs="Calibri"/>
          <w:i/>
          <w:iCs/>
          <w:szCs w:val="24"/>
        </w:rPr>
        <w:t>et al.</w:t>
      </w:r>
      <w:r w:rsidR="00C12E53" w:rsidRPr="00C05886">
        <w:rPr>
          <w:rFonts w:ascii="Calibri" w:hAnsi="Calibri" w:cs="Calibri"/>
          <w:szCs w:val="24"/>
        </w:rPr>
        <w:t>, 2022)</w:t>
      </w:r>
      <w:r w:rsidR="00C12E53" w:rsidRPr="00C05886">
        <w:fldChar w:fldCharType="end"/>
      </w:r>
      <w:r w:rsidR="00C12E53" w:rsidRPr="00C05886">
        <w:t xml:space="preserve">. The paradox is that these species are usually exotic, removed and rare, thus not </w:t>
      </w:r>
      <w:r w:rsidR="00BE573E">
        <w:t xml:space="preserve">necessarily </w:t>
      </w:r>
      <w:r w:rsidR="00C12E53" w:rsidRPr="00C05886">
        <w:t xml:space="preserve">representative of </w:t>
      </w:r>
      <w:r w:rsidR="00BE573E">
        <w:t>the species richness of a given region (which likely include</w:t>
      </w:r>
      <w:r w:rsidR="004507B0">
        <w:t>s</w:t>
      </w:r>
      <w:r w:rsidR="00BE573E">
        <w:t xml:space="preserve"> thousands of invertebrate species). Flagship species also are not </w:t>
      </w:r>
      <w:r w:rsidR="004507B0">
        <w:t>always</w:t>
      </w:r>
      <w:r w:rsidR="00BE573E">
        <w:t xml:space="preserve"> </w:t>
      </w:r>
      <w:r w:rsidR="004507B0">
        <w:t xml:space="preserve">good indicators of a given </w:t>
      </w:r>
      <w:r w:rsidR="00E8285F">
        <w:t>ecosystem's</w:t>
      </w:r>
      <w:r w:rsidR="004507B0">
        <w:t xml:space="preserve"> health </w:t>
      </w:r>
      <w:r w:rsidR="004507B0">
        <w:fldChar w:fldCharType="begin"/>
      </w:r>
      <w:r w:rsidR="004507B0">
        <w:instrText xml:space="preserve"> ADDIN ZOTERO_ITEM CSL_CITATION {"citationID":"uhz0kkTC","properties":{"formattedCitation":"(Simberloff, 1998)","plainCitation":"(Simberloff, 1998)","noteIndex":0},"citationItems":[{"id":11253,"uris":["http://zotero.org/users/10951124/items/5EME6BQE"],"itemData":{"id":11253,"type":"article-journal","container-title":"Biological Conservation","DOI":"10.1016/S0006-3207(97)00081-5","ISSN":"00063207","issue":"3","journalAbbreviation":"Biological Conservation","language":"en","license":"https://www.elsevier.com/tdm/userlicense/1.0/","page":"247-257","source":"DOI.org (Crossref)","title":"Flagships, umbrellas, and keystones: Is single-species management passé in the landscape era?","title-short":"Flagships, umbrellas, and keystones","volume":"83","author":[{"family":"Simberloff","given":"Daniel"}],"issued":{"date-parts":[["1998",3]]}}}],"schema":"https://github.com/citation-style-language/schema/raw/master/csl-citation.json"} </w:instrText>
      </w:r>
      <w:r w:rsidR="004507B0">
        <w:fldChar w:fldCharType="separate"/>
      </w:r>
      <w:r w:rsidR="004507B0" w:rsidRPr="004507B0">
        <w:rPr>
          <w:rFonts w:ascii="Calibri" w:hAnsi="Calibri" w:cs="Calibri"/>
        </w:rPr>
        <w:t>(Simberloff, 1998)</w:t>
      </w:r>
      <w:r w:rsidR="004507B0">
        <w:fldChar w:fldCharType="end"/>
      </w:r>
      <w:r w:rsidR="004507B0">
        <w:t xml:space="preserve"> and need not to be endangered to attract support </w:t>
      </w:r>
      <w:r w:rsidR="004507B0">
        <w:fldChar w:fldCharType="begin"/>
      </w:r>
      <w:r w:rsidR="00C97A44">
        <w:instrText xml:space="preserve"> ADDIN ZOTERO_ITEM CSL_CITATION {"citationID":"Yc679Auf","properties":{"formattedCitation":"(Bowen-Jones and Entwistle, 2002)","plainCitation":"(Bowen-Jones and Entwistle, 2002)","noteIndex":0},"citationItems":[{"id":11241,"uris":["http://zotero.org/users/10951124/items/ERFBIZFW"],"itemData":{"id":11241,"type":"article-journal","abstract":"Over the last 50 years there has been increasing use of charismatic large mammals and birds as ‘flagship species’ to raise funds and promote the ethos of conservation. However, species chosen to appeal to donor and membership groups may not necessarily be considered popular among local communities. A growing recognition of the need to engage local communities in conservation makes them an increasingly important audience for information about conservation. In such situations an awareness of the local perception and value of different species is central to choosing effective flagships. Emphasising this, we propose 10 criteria for the selection of flagship species. We then describe three examples of local flagship species and assess their use against these criteria: the Asian elephant\n              Elephas maximus\n              for the conservation of landscapes in Aceh, Indonesia, the flying fox\n              Pteropus voeltzkowi\n              for forest protection on Pemba Island, Tanzania, and the ceiba or kapok tree\n              Ceiba pentandra\n              for the conservation of forests in Belize.","container-title":"Oryx","DOI":"10.1017/S0030605302000261","ISSN":"0030-6053, 1365-3008","issue":"2","journalAbbreviation":"Oryx","language":"en","license":"https://www.cambridge.org/core/terms","page":"189-195","source":"DOI.org (Crossref)","title":"Identifying appropriate flagship species: the importance of culture and local contexts","title-short":"Identifying appropriate flagship species","volume":"36","author":[{"family":"Bowen-Jones","given":"Evan"},{"family":"Entwistle","given":"Abigail"}],"issued":{"date-parts":[["2002",4]]}}}],"schema":"https://github.com/citation-style-language/schema/raw/master/csl-citation.json"} </w:instrText>
      </w:r>
      <w:r w:rsidR="004507B0">
        <w:fldChar w:fldCharType="separate"/>
      </w:r>
      <w:r w:rsidR="004507B0" w:rsidRPr="00F27700">
        <w:rPr>
          <w:rFonts w:ascii="Calibri" w:hAnsi="Calibri" w:cs="Calibri"/>
        </w:rPr>
        <w:t>(Bowen-Jones and Entwistle, 2002)</w:t>
      </w:r>
      <w:r w:rsidR="004507B0">
        <w:fldChar w:fldCharType="end"/>
      </w:r>
      <w:r w:rsidR="00C12E53" w:rsidRPr="00C05886">
        <w:t xml:space="preserve">. A recent study with a large group of UK school children </w:t>
      </w:r>
      <w:r w:rsidR="00C12E53" w:rsidRPr="00C05886">
        <w:fldChar w:fldCharType="begin"/>
      </w:r>
      <w:r w:rsidR="00C12E53" w:rsidRPr="00C05886">
        <w:instrText xml:space="preserve"> ADDIN ZOTERO_ITEM CSL_CITATION {"citationID":"Ft4jubvO","properties":{"formattedCitation":"(Montgomery {\\i{}et al.}, 2022)","plainCitation":"(Montgomery et al., 2022)","noteIndex":0},"citationItems":[{"id":10619,"uris":["http://zotero.org/users/10951124/items/NPH6GJZ5"],"itemData":{"id":10619,"type":"article-journal","container-title":"Journal of Adventure Education and Outdoor Learning","DOI":"10.1080/14729679.2022.2100801","ISSN":"1472-9679, 1754-0402","journalAbbreviation":"Journal of Adventure Education and Outdoor Learning","language":"en","page":"1-15","source":"DOI.org (Crossref)","title":"Children’s perception of biodiversity in their school grounds and its influence on their wellbeing and resilience","author":[{"family":"Montgomery","given":"Louise N."},{"family":"Gange","given":"Alan C."},{"family":"Watling","given":"Dawn"},{"family":"Harvey","given":"Deborah J."}],"issued":{"date-parts":[["2022",7,28]]}}}],"schema":"https://github.com/citation-style-language/schema/raw/master/csl-citation.json"} </w:instrText>
      </w:r>
      <w:r w:rsidR="00C12E53" w:rsidRPr="00C05886">
        <w:fldChar w:fldCharType="separate"/>
      </w:r>
      <w:r w:rsidR="00C12E53" w:rsidRPr="00C05886">
        <w:rPr>
          <w:rFonts w:ascii="Calibri" w:hAnsi="Calibri" w:cs="Calibri"/>
          <w:szCs w:val="24"/>
        </w:rPr>
        <w:t xml:space="preserve">(Montgomery </w:t>
      </w:r>
      <w:r w:rsidR="00C12E53" w:rsidRPr="00C05886">
        <w:rPr>
          <w:rFonts w:ascii="Calibri" w:hAnsi="Calibri" w:cs="Calibri"/>
          <w:i/>
          <w:iCs/>
          <w:szCs w:val="24"/>
        </w:rPr>
        <w:t>et al.</w:t>
      </w:r>
      <w:r w:rsidR="00C12E53" w:rsidRPr="00C05886">
        <w:rPr>
          <w:rFonts w:ascii="Calibri" w:hAnsi="Calibri" w:cs="Calibri"/>
          <w:szCs w:val="24"/>
        </w:rPr>
        <w:t>, 2022)</w:t>
      </w:r>
      <w:r w:rsidR="00C12E53" w:rsidRPr="00C05886">
        <w:fldChar w:fldCharType="end"/>
      </w:r>
      <w:r w:rsidR="00C12E53" w:rsidRPr="00C05886">
        <w:t xml:space="preserve"> showed that charismatic large species were predominant in pupils’ drawings of nature and remained predominant after a year-long biodiversity course. Despite this retained pre</w:t>
      </w:r>
      <w:r w:rsidR="00866567" w:rsidRPr="00C05886">
        <w:t>occupation</w:t>
      </w:r>
      <w:r w:rsidR="00C12E53" w:rsidRPr="00C05886">
        <w:t xml:space="preserve"> with larger charismatic animals, the pupils who took part in the course were also able to identify and draw many more species of local biodiversity, especially invertebrates.</w:t>
      </w:r>
    </w:p>
    <w:p w14:paraId="0F58DF52" w14:textId="6CD6EFAE" w:rsidR="00C12E53" w:rsidRPr="00C05886" w:rsidRDefault="00C12E53" w:rsidP="00BB6589">
      <w:r w:rsidRPr="00C05886">
        <w:t xml:space="preserve">Lorimer </w:t>
      </w:r>
      <w:r w:rsidRPr="00C05886">
        <w:fldChar w:fldCharType="begin"/>
      </w:r>
      <w:r w:rsidRPr="00C05886">
        <w:instrText xml:space="preserve"> ADDIN ZOTERO_ITEM CSL_CITATION {"citationID":"wfZt4qH2","properties":{"formattedCitation":"(Lorimer, 2015)","plainCitation":"(Lorimer, 2015)","dontUpdate":true,"noteIndex":0},"citationItems":[{"id":10651,"uris":["http://zotero.org/users/10951124/items/AUX24H33"],"itemData":{"id":10651,"type":"book","event-place":"Minneapolis, Minnesota","ISBN":"978-1-4529-4428-9","publisher":"Minneapolis, Minnesota","publisher-place":"Minneapolis, Minnesota","title":"Wildlife in the Anthropocene: conservation after nature","author":[{"family":"Lorimer","given":"Jamie"}],"issued":{"date-parts":[["2015"]]}}}],"schema":"https://github.com/citation-style-language/schema/raw/master/csl-citation.json"} </w:instrText>
      </w:r>
      <w:r w:rsidRPr="00C05886">
        <w:fldChar w:fldCharType="separate"/>
      </w:r>
      <w:r w:rsidRPr="00C05886">
        <w:rPr>
          <w:rFonts w:ascii="Calibri" w:hAnsi="Calibri" w:cs="Calibri"/>
        </w:rPr>
        <w:t>(2015; Ch. 2)</w:t>
      </w:r>
      <w:r w:rsidRPr="00C05886">
        <w:fldChar w:fldCharType="end"/>
      </w:r>
      <w:r w:rsidRPr="00C05886">
        <w:t xml:space="preserve"> attempted to explain the mechanisms which make a species charismatic by exploring “non-human charisma”. Focusing on wildlife, Lorimer divided charisma into three categories</w:t>
      </w:r>
      <w:r w:rsidR="008F1178">
        <w:t xml:space="preserve"> which will be shortly summarised</w:t>
      </w:r>
      <w:r w:rsidRPr="00C05886">
        <w:t>: ecological, aesthetic and corporal. Counterintuitively, ecological charisma is not related to the more or less important ecological role played by a given species (e.g. pollinators). Instead, this kind of charisma represents how easy it is for humans to perceive, to be aware that this species exists, through the senses. Size, smell, shape, noise, and behaviour are all components of the ecological charisma. This helps explain why most charismatic species are large vertebrates, monumental trees or showy flowers. These are easier to perceive.</w:t>
      </w:r>
    </w:p>
    <w:p w14:paraId="5F7C1013" w14:textId="7D9F6C6B" w:rsidR="00C12E53" w:rsidRPr="00C05886" w:rsidRDefault="00C12E53" w:rsidP="00BB6589">
      <w:r w:rsidRPr="00C05886">
        <w:t>The aesthetic charisma reflects the emotional response to the visual qualities of wildlife, experienced indirectly through the media</w:t>
      </w:r>
      <w:r w:rsidR="00AE50DF">
        <w:t xml:space="preserve"> (Lorimer, 2015; Ch. 2, p. 44)</w:t>
      </w:r>
      <w:r w:rsidRPr="00C05886">
        <w:t>. The aesthetic charisma would rely on human preferences for anthropomorphism, deeming as more charismatic those species which have relatable characteristics or behaviours. For example, animals with “faces” (i.e. both eyes on the frontal part of the skull) would be favourite, due to the easier identification with human facial expression. At the same time, negative aesthetic charisma would be attributed to species with opposite characteristics. Lorimer speculates that the widespread low consideration for many kinds of insects could be due to their odd anatomy (from the human perspective), their collective behaviour and frequent parasitic behaviour.</w:t>
      </w:r>
    </w:p>
    <w:p w14:paraId="35818717" w14:textId="77777777" w:rsidR="00C12E53" w:rsidRPr="00C05886" w:rsidRDefault="00C12E53" w:rsidP="00BB6589">
      <w:r w:rsidRPr="00C05886">
        <w:lastRenderedPageBreak/>
        <w:t xml:space="preserve">Finally, corporeal charisma defines the emotional response to direct contact (face-to-face) with wildlife. The value of the corporeal charisma would be highly context-dependent, and the same species would be more or less esteemed by different people. For example, an entomologist specialising in the </w:t>
      </w:r>
      <w:proofErr w:type="spellStart"/>
      <w:r w:rsidRPr="00C05886">
        <w:rPr>
          <w:i/>
          <w:iCs/>
        </w:rPr>
        <w:t>Blattoidea</w:t>
      </w:r>
      <w:proofErr w:type="spellEnd"/>
      <w:r w:rsidRPr="00C05886">
        <w:rPr>
          <w:i/>
          <w:iCs/>
        </w:rPr>
        <w:t xml:space="preserve"> </w:t>
      </w:r>
      <w:r w:rsidRPr="00C05886">
        <w:t>group (cockroaches) would possibly be delighted to discover a rare species in his basement, while the average person could probably become unsettled at the encounter.</w:t>
      </w:r>
    </w:p>
    <w:p w14:paraId="45283D32" w14:textId="77777777" w:rsidR="00C12E53" w:rsidRPr="00C05886" w:rsidRDefault="00C12E53" w:rsidP="00BB6589">
      <w:r w:rsidRPr="00C05886">
        <w:t xml:space="preserve">Interestingly, none of these aspects of charisma seem to reflect the ecological importance of the species. It seems that the charisma we tribute to biodiversity relies on our convenience to take notice of them, in how much we can identify ourselves with another creature and in the </w:t>
      </w:r>
      <w:proofErr w:type="gramStart"/>
      <w:r w:rsidRPr="00C05886">
        <w:t>joy</w:t>
      </w:r>
      <w:proofErr w:type="gramEnd"/>
      <w:r w:rsidRPr="00C05886">
        <w:t xml:space="preserve"> we harvest from our relationship with the species.</w:t>
      </w:r>
    </w:p>
    <w:p w14:paraId="33C077B7" w14:textId="77777777" w:rsidR="00C12E53" w:rsidRPr="00C05886" w:rsidRDefault="00C12E53" w:rsidP="00BB6589">
      <w:r w:rsidRPr="00C05886">
        <w:t xml:space="preserve">Charismatic species can be powerful symbols and conservation initiatives are commonly crowdfunded by catalysing the attention of a particular animal or plant (e.g. the WWF Panda). To find out which characteristics would make a successful icon to help promote funding, Macdonald and colleagues </w:t>
      </w:r>
      <w:r w:rsidRPr="00C05886">
        <w:fldChar w:fldCharType="begin"/>
      </w:r>
      <w:r w:rsidRPr="00C05886">
        <w:instrText xml:space="preserve"> ADDIN ZOTERO_ITEM CSL_CITATION {"citationID":"P5UQsvHv","properties":{"formattedCitation":"(Macdonald {\\i{}et al.}, 2015)","plainCitation":"(Macdonald et al., 2015)","dontUpdate":true,"noteIndex":0},"citationItems":[{"id":10653,"uris":["http://zotero.org/users/10951124/items/DFRPNBUE"],"itemData":{"id":10653,"type":"article-journal","container-title":"Global Ecology and Conservation","DOI":"10.1016/j.gecco.2015.04.006","ISSN":"23519894","journalAbbreviation":"Global Ecology and Conservation","language":"en","page":"851-866","source":"DOI.org (Crossref)","title":"Conservation inequality and the charismatic cat: Felis felicis","title-short":"Conservation inequality and the charismatic cat","volume":"3","author":[{"family":"Macdonald","given":"E.A."},{"family":"Burnham","given":"D."},{"family":"Hinks","given":"A.E."},{"family":"Dickman","given":"A.J."},{"family":"Malhi","given":"Y."},{"family":"Macdonald","given":"D.W."}],"issued":{"date-parts":[["2015",1]]}}}],"schema":"https://github.com/citation-style-language/schema/raw/master/csl-citation.json"} </w:instrText>
      </w:r>
      <w:r w:rsidRPr="00C05886">
        <w:fldChar w:fldCharType="separate"/>
      </w:r>
      <w:r w:rsidRPr="00C05886">
        <w:rPr>
          <w:rFonts w:ascii="Calibri" w:hAnsi="Calibri" w:cs="Calibri"/>
          <w:szCs w:val="24"/>
        </w:rPr>
        <w:t>(2015)</w:t>
      </w:r>
      <w:r w:rsidRPr="00C05886">
        <w:fldChar w:fldCharType="end"/>
      </w:r>
      <w:r w:rsidRPr="00C05886">
        <w:t xml:space="preserve"> surveyed over 1500 participants across the five continents. Results showed that large mammals, especially large felids, had the largest number of charismatic traits. Corroborating Lorimer’s typology, the most effective traits included large size (i.e. high ecological charisma) and forward-facing eyes (i.e. high aesthetic charisma).</w:t>
      </w:r>
    </w:p>
    <w:p w14:paraId="79BD6511" w14:textId="77777777" w:rsidR="00C12E53" w:rsidRPr="00C05886" w:rsidRDefault="00C12E53" w:rsidP="00BB6589">
      <w:r w:rsidRPr="00C05886">
        <w:t xml:space="preserve">The presence of charismatic species can also attract people to specific places for tourism and recreation. Cultural ecosystem services (including a sense of belonging and well-being) are higher where species richness is high and charismatic species are present </w:t>
      </w:r>
      <w:r w:rsidRPr="00C05886">
        <w:fldChar w:fldCharType="begin"/>
      </w:r>
      <w:r w:rsidRPr="00C05886">
        <w:instrText xml:space="preserve"> ADDIN ZOTERO_ITEM CSL_CITATION {"citationID":"QKvhcgX1","properties":{"formattedCitation":"(Bryce {\\i{}et al.}, 2016)","plainCitation":"(Bryce et al., 2016)","noteIndex":0},"citationItems":[{"id":10615,"uris":["http://zotero.org/users/10951124/items/MILP7NRU"],"itemData":{"id":10615,"type":"article-journal","container-title":"Ecosystem Services","DOI":"10.1016/j.ecoser.2016.07.015","ISSN":"22120416","journalAbbreviation":"Ecosystem Services","language":"en","page":"258-269","source":"DOI.org (Crossref)","title":"Subjective well-being indicators for large-scale assessment of cultural ecosystem services","volume":"21","author":[{"family":"Bryce","given":"Rosalind"},{"family":"Irvine","given":"Katherine N."},{"family":"Church","given":"Andrew"},{"family":"Fish","given":"Robert"},{"family":"Ranger","given":"Sue"},{"family":"Kenter","given":"Jasper O."}],"issued":{"date-parts":[["2016",10]]}}}],"schema":"https://github.com/citation-style-language/schema/raw/master/csl-citation.json"} </w:instrText>
      </w:r>
      <w:r w:rsidRPr="00C05886">
        <w:fldChar w:fldCharType="separate"/>
      </w:r>
      <w:r w:rsidRPr="00C05886">
        <w:rPr>
          <w:rFonts w:ascii="Calibri" w:hAnsi="Calibri" w:cs="Calibri"/>
          <w:szCs w:val="24"/>
        </w:rPr>
        <w:t xml:space="preserve">(Bryce </w:t>
      </w:r>
      <w:r w:rsidRPr="00C05886">
        <w:rPr>
          <w:rFonts w:ascii="Calibri" w:hAnsi="Calibri" w:cs="Calibri"/>
          <w:i/>
          <w:iCs/>
          <w:szCs w:val="24"/>
        </w:rPr>
        <w:t>et al.</w:t>
      </w:r>
      <w:r w:rsidRPr="00C05886">
        <w:rPr>
          <w:rFonts w:ascii="Calibri" w:hAnsi="Calibri" w:cs="Calibri"/>
          <w:szCs w:val="24"/>
        </w:rPr>
        <w:t>, 2016)</w:t>
      </w:r>
      <w:r w:rsidRPr="00C05886">
        <w:fldChar w:fldCharType="end"/>
      </w:r>
      <w:r w:rsidRPr="00C05886">
        <w:t xml:space="preserve">. In the UK, encounters with charismatic species (e.g. deer, dolphins, badgers) in everyday life have been associated with mental restoration (being away, compatibility) and a strong sense of belonging </w:t>
      </w:r>
      <w:r w:rsidRPr="00C05886">
        <w:fldChar w:fldCharType="begin"/>
      </w:r>
      <w:r w:rsidRPr="00C05886">
        <w:instrText xml:space="preserve"> ADDIN ZOTERO_ITEM CSL_CITATION {"citationID":"QG3VBGX0","properties":{"formattedCitation":"(Bell {\\i{}et al.}, 2018)","plainCitation":"(Bell et al., 2018)","noteIndex":0},"citationItems":[{"id":10618,"uris":["http://zotero.org/users/10951124/items/UUZ46B5L"],"itemData":{"id":10618,"type":"article-journal","container-title":"Landscape Research","DOI":"10.1080/01426397.2016.1267721","ISSN":"0142-6397, 1469-9710","issue":"1","journalAbbreviation":"Landscape Research","language":"en","page":"8-19","source":"DOI.org (Crossref)","title":"Everyday green space and experienced well-being: the significance of wildlife encounters","title-short":"Everyday green space and experienced well-being","volume":"43","author":[{"family":"Bell","given":"Sarah L."},{"family":"Westley","given":"Michael"},{"family":"Lovell","given":"Rebecca"},{"family":"Wheeler","given":"Benedict W."}],"issued":{"date-parts":[["2018",1,2]]}}}],"schema":"https://github.com/citation-style-language/schema/raw/master/csl-citation.json"} </w:instrText>
      </w:r>
      <w:r w:rsidRPr="00C05886">
        <w:fldChar w:fldCharType="separate"/>
      </w:r>
      <w:r w:rsidRPr="00C05886">
        <w:rPr>
          <w:rFonts w:ascii="Calibri" w:hAnsi="Calibri" w:cs="Calibri"/>
          <w:szCs w:val="24"/>
        </w:rPr>
        <w:t xml:space="preserve">(Bell </w:t>
      </w:r>
      <w:r w:rsidRPr="00C05886">
        <w:rPr>
          <w:rFonts w:ascii="Calibri" w:hAnsi="Calibri" w:cs="Calibri"/>
          <w:i/>
          <w:iCs/>
          <w:szCs w:val="24"/>
        </w:rPr>
        <w:t>et al.</w:t>
      </w:r>
      <w:r w:rsidRPr="00C05886">
        <w:rPr>
          <w:rFonts w:ascii="Calibri" w:hAnsi="Calibri" w:cs="Calibri"/>
          <w:szCs w:val="24"/>
        </w:rPr>
        <w:t>, 2018)</w:t>
      </w:r>
      <w:r w:rsidRPr="00C05886">
        <w:fldChar w:fldCharType="end"/>
      </w:r>
      <w:r w:rsidRPr="00C05886">
        <w:t>, which are linked to short-term and long-term well-being.</w:t>
      </w:r>
    </w:p>
    <w:p w14:paraId="71DB4937" w14:textId="08BCCE84" w:rsidR="00C12E53" w:rsidRPr="00C05886" w:rsidRDefault="00C12E53" w:rsidP="00BB6589">
      <w:r w:rsidRPr="00C05886">
        <w:t xml:space="preserve">As a final point, another study in the UK </w:t>
      </w:r>
      <w:r w:rsidRPr="00C05886">
        <w:fldChar w:fldCharType="begin"/>
      </w:r>
      <w:r w:rsidR="00AA4815">
        <w:instrText xml:space="preserve"> ADDIN ZOTERO_ITEM CSL_CITATION {"citationID":"B2jj4g65","properties":{"formattedCitation":"(McGinlay {\\i{}et al.}, 2017)","plainCitation":"(McGinlay et al., 2017)","noteIndex":0},"citationItems":[{"id":6881,"uris":["http://zotero.org/users/10951124/items/535D3U2A"],"itemData":{"id":6881,"type":"article-journal","abstract":"&lt;p&gt;The relationship between nature and cultural ecosystem service (CES) benefits is well accepted but poorly understood, as is the potential role of biodiversity in the relationship. By means of a public questionnaire survey in Wiltshire, UK, the relationship between the presence of a range of common species groups, species group ‘charisma’, group abundance in the landscape, and the benefit that people felt that they derived from the species groups was investigated for a lowland multifunctional landscape.&lt;/p&gt; &lt;p&gt;Findings showed that species group charisma influenced the benefit reported by respondents for current abundance levels, and influenced their response to potential increases or decreases in abundance. Respondents reported high levels of benefit from species groups hypothesised to be charismatic (birds, flowering plants, butterflies) and there was high consistency in the pattern of response. Respondents reported less benefit from groups hypothesised to be less charismatic (beetles/bugs, brambles and nettles), the latter response patterns showing much greater variation. These results could be used to promote a more holistic understanding of the value of biodiversity by educating and informing the public so that they derive benefit not just from the charismatic, but also from the everyday, the commonplace and less obviously charismatic species.&lt;/p&gt;","container-title":"Ecosystem Services","DOI":"10.1016/j.ecoser.2017.07.007","ISSN":"2212-0416","issue":"PA","page":"15-24","title":"Do charismatic species groups generate more cultural ecosystem service benefits?","volume":"27","author":[{"family":"McGinlay","given":"James"},{"family":"Parsons","given":"David J"},{"family":"Morris","given":"Joe"},{"family":"Hubatova","given":"Marie"},{"family":"Graves","given":"Anil"},{"family":"Bradbury","given":"Richard B"},{"family":"Bullock","given":"James M"}],"issued":{"date-parts":[["2017"]]}}}],"schema":"https://github.com/citation-style-language/schema/raw/master/csl-citation.json"} </w:instrText>
      </w:r>
      <w:r w:rsidRPr="00C05886">
        <w:fldChar w:fldCharType="separate"/>
      </w:r>
      <w:r w:rsidR="00AA4815" w:rsidRPr="00AA4815">
        <w:rPr>
          <w:rFonts w:ascii="Calibri" w:hAnsi="Calibri" w:cs="Calibri"/>
          <w:szCs w:val="24"/>
        </w:rPr>
        <w:t xml:space="preserve">(McGinlay </w:t>
      </w:r>
      <w:r w:rsidR="00AA4815" w:rsidRPr="00AA4815">
        <w:rPr>
          <w:rFonts w:ascii="Calibri" w:hAnsi="Calibri" w:cs="Calibri"/>
          <w:i/>
          <w:iCs/>
          <w:szCs w:val="24"/>
        </w:rPr>
        <w:t>et al.</w:t>
      </w:r>
      <w:r w:rsidR="00AA4815" w:rsidRPr="00AA4815">
        <w:rPr>
          <w:rFonts w:ascii="Calibri" w:hAnsi="Calibri" w:cs="Calibri"/>
          <w:szCs w:val="24"/>
        </w:rPr>
        <w:t>, 2017)</w:t>
      </w:r>
      <w:r w:rsidRPr="00C05886">
        <w:fldChar w:fldCharType="end"/>
      </w:r>
      <w:r w:rsidRPr="00C05886">
        <w:t xml:space="preserve"> may illustrate another angle of the evaluation of the species as charismatic or not. Participants expressed their satisfaction and enjoyment towards charismatic (orchids, daisies, </w:t>
      </w:r>
      <w:r w:rsidR="00092D81" w:rsidRPr="00C05886">
        <w:t>songbirds</w:t>
      </w:r>
      <w:r w:rsidRPr="00C05886">
        <w:t>, butterflies)</w:t>
      </w:r>
      <w:r w:rsidR="00092D81" w:rsidRPr="002A6A93">
        <w:rPr>
          <w:rStyle w:val="FootnoteReference"/>
        </w:rPr>
        <w:footnoteReference w:id="1"/>
      </w:r>
      <w:r w:rsidR="00092D81" w:rsidRPr="00C05886">
        <w:t xml:space="preserve"> </w:t>
      </w:r>
      <w:r w:rsidRPr="00C05886">
        <w:t xml:space="preserve">and uncharismatic </w:t>
      </w:r>
      <w:r w:rsidRPr="00C05886">
        <w:lastRenderedPageBreak/>
        <w:t>(brambles, beetles, nettles)</w:t>
      </w:r>
      <w:r w:rsidR="00A0407A" w:rsidRPr="002A6A93">
        <w:rPr>
          <w:rStyle w:val="FootnoteReference"/>
        </w:rPr>
        <w:footnoteReference w:id="2"/>
      </w:r>
      <w:r w:rsidRPr="00C05886">
        <w:t xml:space="preserve"> species. They also expressed their feelings towards hypothetical management scenarios that could have changed the abundance of the species, ranging from complete eradication to an increase of 50%. As predicted, the results favoured the charismatic species but, surprisingly, the researcher</w:t>
      </w:r>
      <w:r w:rsidR="00866567" w:rsidRPr="00C05886">
        <w:t>s</w:t>
      </w:r>
      <w:r w:rsidRPr="00C05886">
        <w:t xml:space="preserve"> found that the reduction and eradication of uncharismatic species received only marginal support. The participants largely preferred the status quo. As the researchers pointed out, this could be due to the shifting baseline syndrome </w:t>
      </w:r>
      <w:r w:rsidRPr="00C05886">
        <w:fldChar w:fldCharType="begin"/>
      </w:r>
      <w:r w:rsidRPr="00C05886">
        <w:instrText xml:space="preserve"> ADDIN ZOTERO_ITEM CSL_CITATION {"citationID":"VwJ4R7qc","properties":{"formattedCitation":"(Soga and Gaston, 2018)","plainCitation":"(Soga and Gaston, 2018)","noteIndex":0},"citationItems":[{"id":10922,"uris":["http://zotero.org/users/10951124/items/URI2GI5M"],"itemData":{"id":10922,"type":"article-journal","abstract":"With ongoing environmental degradation at local, regional, and global scales, people's accepted thresholds for environmental conditions are continually being lowered. In the absence of past information or experience with historical conditions, members of each new generation accept the situation in which they were raised as being normal. This psychological and sociological phenomenon is termed shifting baseline syndrome (SBS), which is increasingly recognized as one of the fundamental obstacles to addressing a wide range of today's global environmental issues. Yet our understanding of this phenomenon remains incomplete. We provide an overview of the nature and extent of SBS and propose a conceptual framework for understanding its causes, consequences, and implications. We suggest that there are several self‐reinforcing feedback loops that allow the consequences of SBS to further accelerate SBS through progressive environmental degradation. Such negative implications highlight the urgent need to dedicate considerable effort to preventing and ultimately reversing SBS.","container-title":"Frontiers in Ecology and the Environment","DOI":"10.1002/fee.1794","ISSN":"1540-9295, 1540-9309","issue":"4","journalAbbreviation":"Frontiers in Ecol &amp; Environ","language":"en","page":"222-230","source":"DOI.org (Crossref)","title":"Shifting baseline syndrome: causes, consequences, and implications","title-short":"Shifting baseline syndrome","volume":"16","author":[{"family":"Soga","given":"Masashi"},{"family":"Gaston","given":"Kevin J"}],"issued":{"date-parts":[["2018",5]]}}}],"schema":"https://github.com/citation-style-language/schema/raw/master/csl-citation.json"} </w:instrText>
      </w:r>
      <w:r w:rsidRPr="00C05886">
        <w:fldChar w:fldCharType="separate"/>
      </w:r>
      <w:r w:rsidRPr="00C05886">
        <w:rPr>
          <w:rFonts w:ascii="Calibri" w:hAnsi="Calibri" w:cs="Calibri"/>
        </w:rPr>
        <w:t>(Soga and Gaston, 2018)</w:t>
      </w:r>
      <w:r w:rsidRPr="00C05886">
        <w:fldChar w:fldCharType="end"/>
      </w:r>
      <w:r w:rsidRPr="00C05886">
        <w:t>. Laypeople are likely unaware of the current state of decline of many species – e.g. in the UK, almost one</w:t>
      </w:r>
      <w:r w:rsidR="00866567" w:rsidRPr="00C05886">
        <w:t>-</w:t>
      </w:r>
      <w:r w:rsidRPr="00C05886">
        <w:t xml:space="preserve">sixth of species risk extinction </w:t>
      </w:r>
      <w:r w:rsidRPr="00C05886">
        <w:fldChar w:fldCharType="begin"/>
      </w:r>
      <w:r w:rsidRPr="00C05886">
        <w:instrText xml:space="preserve"> ADDIN ZOTERO_ITEM CSL_CITATION {"citationID":"VQALnDgZ","properties":{"formattedCitation":"(Burns {\\i{}et al.}, 2023)","plainCitation":"(Burns et al., 2023)","noteIndex":0},"citationItems":[{"id":10895,"uris":["http://zotero.org/users/10951124/items/J863GJK5"],"itemData":{"id":10895,"type":"report","publisher":"State of Nature partnership","title":"State of Nature 2023","URL":"www.stateofnature.org.uk","author":[{"family":"Burns","given":"F"},{"family":"Mordue","given":"S"},{"family":"Fulaij","given":"N","non-dropping-particle":"al"},{"family":"Boersch-Supan","given":"PH"},{"family":"Boswell","given":"J"},{"family":"Boyd","given":"RJ"},{"family":"Bradfer-Lawrence","given":"T"},{"family":"Ornellas","given":"P","non-dropping-particle":"de"},{"family":"Palma","given":"A","non-dropping-particle":"de"},{"family":"Zylva","given":"P","non-dropping-particle":"de"},{"family":"Dennis","given":"EB"}],"accessed":{"date-parts":[["2024",1,8]]},"issued":{"date-parts":[["2023"]]}}}],"schema":"https://github.com/citation-style-language/schema/raw/master/csl-citation.json"} </w:instrText>
      </w:r>
      <w:r w:rsidRPr="00C05886">
        <w:fldChar w:fldCharType="separate"/>
      </w:r>
      <w:r w:rsidRPr="00C05886">
        <w:rPr>
          <w:rFonts w:ascii="Calibri" w:hAnsi="Calibri" w:cs="Calibri"/>
          <w:szCs w:val="24"/>
        </w:rPr>
        <w:t xml:space="preserve">(Burns </w:t>
      </w:r>
      <w:r w:rsidRPr="00C05886">
        <w:rPr>
          <w:rFonts w:ascii="Calibri" w:hAnsi="Calibri" w:cs="Calibri"/>
          <w:i/>
          <w:iCs/>
          <w:szCs w:val="24"/>
        </w:rPr>
        <w:t>et al.</w:t>
      </w:r>
      <w:r w:rsidRPr="00C05886">
        <w:rPr>
          <w:rFonts w:ascii="Calibri" w:hAnsi="Calibri" w:cs="Calibri"/>
          <w:szCs w:val="24"/>
        </w:rPr>
        <w:t>, 2023)</w:t>
      </w:r>
      <w:r w:rsidRPr="00C05886">
        <w:fldChar w:fldCharType="end"/>
      </w:r>
      <w:r w:rsidRPr="00C05886">
        <w:t xml:space="preserve"> – and the survey showed they did not endorse management that would increase the numbers of any species, except the most charismatic.</w:t>
      </w:r>
      <w:r w:rsidR="00C97A44">
        <w:t xml:space="preserve"> However, </w:t>
      </w:r>
      <w:r w:rsidR="0072018C">
        <w:t xml:space="preserve">in the scenario presented by </w:t>
      </w:r>
      <w:proofErr w:type="spellStart"/>
      <w:r w:rsidR="0072018C">
        <w:t>McGinlay</w:t>
      </w:r>
      <w:proofErr w:type="spellEnd"/>
      <w:r w:rsidR="0072018C">
        <w:t xml:space="preserve"> and colleagues (2017), the eradication of any of the species did not predict any potential benefit, while keeping the status quo suggested no benefits but also no losses. The </w:t>
      </w:r>
      <w:r w:rsidR="00C97A44">
        <w:t xml:space="preserve">preference for the status quo may </w:t>
      </w:r>
      <w:r w:rsidR="0072018C">
        <w:t>have also</w:t>
      </w:r>
      <w:r w:rsidR="00C97A44">
        <w:t xml:space="preserve"> be</w:t>
      </w:r>
      <w:r w:rsidR="007A00AC">
        <w:t>en</w:t>
      </w:r>
      <w:r w:rsidR="00C97A44">
        <w:t xml:space="preserve"> determined by the principle of loss aversion – i.e. when choosing between potential losses and equivalent gains, “losses loom larger than gains” </w:t>
      </w:r>
      <w:r w:rsidR="00C97A44">
        <w:fldChar w:fldCharType="begin"/>
      </w:r>
      <w:r w:rsidR="00AA4815">
        <w:instrText xml:space="preserve"> ADDIN ZOTERO_ITEM CSL_CITATION {"citationID":"yONV4H2i","properties":{"formattedCitation":"(Tversky and Kahneman, 1992)","plainCitation":"(Tversky and Kahneman, 1992)","dontUpdate":true,"noteIndex":0},"citationItems":[{"id":11258,"uris":["http://zotero.org/users/10951124/items/CJ4NP3PD"],"itemData":{"id":11258,"type":"article-journal","container-title":"Journal of Risk and Uncertainty","DOI":"10.1007/BF00122574","ISSN":"0895-5646, 1573-0476","issue":"4","journalAbbreviation":"J Risk Uncertainty","language":"en","license":"http://www.springer.com/tdm","page":"297-323","source":"DOI.org (Crossref)","title":"Advances in prospect theory: Cumulative representation of uncertainty","title-short":"Advances in prospect theory","volume":"5","author":[{"family":"Tversky","given":"Amos"},{"family":"Kahneman","given":"Daniel"}],"issued":{"date-parts":[["1992",10]]}}}],"schema":"https://github.com/citation-style-language/schema/raw/master/csl-citation.json"} </w:instrText>
      </w:r>
      <w:r w:rsidR="00C97A44">
        <w:fldChar w:fldCharType="separate"/>
      </w:r>
      <w:r w:rsidR="00C97A44" w:rsidRPr="00C97A44">
        <w:rPr>
          <w:rFonts w:ascii="Calibri" w:hAnsi="Calibri" w:cs="Calibri"/>
        </w:rPr>
        <w:t>(Tversky and Kahneman, 1992</w:t>
      </w:r>
      <w:r w:rsidR="00C97A44">
        <w:rPr>
          <w:rFonts w:ascii="Calibri" w:hAnsi="Calibri" w:cs="Calibri"/>
        </w:rPr>
        <w:t>; p. 303</w:t>
      </w:r>
      <w:r w:rsidR="00C97A44" w:rsidRPr="00C97A44">
        <w:rPr>
          <w:rFonts w:ascii="Calibri" w:hAnsi="Calibri" w:cs="Calibri"/>
        </w:rPr>
        <w:t>)</w:t>
      </w:r>
      <w:r w:rsidR="00C97A44">
        <w:fldChar w:fldCharType="end"/>
      </w:r>
      <w:r w:rsidR="00C97A44">
        <w:t xml:space="preserve">. </w:t>
      </w:r>
      <w:r w:rsidR="007A00AC">
        <w:t>For example, a study from Denmark showed that participants were more willing to pay</w:t>
      </w:r>
      <w:r w:rsidR="00104161">
        <w:t xml:space="preserve"> to avert the loss of habitat for migratory birds than to fund its expansion </w:t>
      </w:r>
      <w:r w:rsidR="00104161">
        <w:fldChar w:fldCharType="begin"/>
      </w:r>
      <w:r w:rsidR="00104161">
        <w:instrText xml:space="preserve"> ADDIN ZOTERO_ITEM CSL_CITATION {"citationID":"62FnX1ab","properties":{"formattedCitation":"(Vogdrup-Schmidt, Strange and Thorsen, 2019)","plainCitation":"(Vogdrup-Schmidt, Strange and Thorsen, 2019)","noteIndex":0},"citationItems":[{"id":11259,"uris":["http://zotero.org/users/10951124/items/NAB22JGS"],"itemData":{"id":11259,"type":"article-journal","container-title":"Ecological Economics","DOI":"10.1016/j.ecolecon.2019.04.026","ISSN":"09218009","journalAbbreviation":"Ecological Economics","language":"en","page":"49-58","source":"DOI.org (Crossref)","title":"Support for Transnational Conservation in a Gain-Loss Context","volume":"162","author":[{"family":"Vogdrup-Schmidt","given":"Mathias"},{"family":"Strange","given":"Niels"},{"family":"Thorsen","given":"Bo Jellesmark"}],"issued":{"date-parts":[["2019",8]]}}}],"schema":"https://github.com/citation-style-language/schema/raw/master/csl-citation.json"} </w:instrText>
      </w:r>
      <w:r w:rsidR="00104161">
        <w:fldChar w:fldCharType="separate"/>
      </w:r>
      <w:r w:rsidR="00104161" w:rsidRPr="00104161">
        <w:rPr>
          <w:rFonts w:ascii="Calibri" w:hAnsi="Calibri" w:cs="Calibri"/>
        </w:rPr>
        <w:t>(Vogdrup-Schmidt, Strange and Thorsen, 2019)</w:t>
      </w:r>
      <w:r w:rsidR="00104161">
        <w:fldChar w:fldCharType="end"/>
      </w:r>
      <w:r w:rsidR="00104161">
        <w:t>.</w:t>
      </w:r>
      <w:r w:rsidR="004828BC">
        <w:t xml:space="preserve"> </w:t>
      </w:r>
    </w:p>
    <w:p w14:paraId="0494AF8E" w14:textId="77777777" w:rsidR="00C12E53" w:rsidRPr="00C05886" w:rsidRDefault="00C12E53" w:rsidP="00C12E53">
      <w:pPr>
        <w:pStyle w:val="Heading2"/>
      </w:pPr>
      <w:bookmarkStart w:id="36" w:name="_Toc179962295"/>
      <w:r w:rsidRPr="00C05886">
        <w:t>The People – Biodiversity Paradox</w:t>
      </w:r>
      <w:bookmarkEnd w:id="36"/>
    </w:p>
    <w:p w14:paraId="571F95B4" w14:textId="77777777" w:rsidR="00C12E53" w:rsidRPr="00C05886" w:rsidRDefault="00C12E53" w:rsidP="000D4E14">
      <w:r w:rsidRPr="00C05886">
        <w:t xml:space="preserve">Biodiversity declines globally </w:t>
      </w:r>
      <w:r w:rsidRPr="00C05886">
        <w:fldChar w:fldCharType="begin"/>
      </w:r>
      <w:r w:rsidRPr="00C05886">
        <w:instrText xml:space="preserve"> ADDIN ZOTERO_ITEM CSL_CITATION {"citationID":"3j2QobXv","properties":{"formattedCitation":"(Fisher {\\i{}et al.}, 2023)","plainCitation":"(Fisher et al., 2023)","noteIndex":0},"citationItems":[{"id":9979,"uris":["http://zotero.org/users/10951124/items/S7HV6RJN"],"itemData":{"id":9979,"type":"article-journal","abstract":"Abstract\n            People rely on well-functioning ecosystems to provide critical services that underpin human health and well-being. Consequently, biodiversity loss has profound negative implications for humanity. Human–biodiversity interactions can deliver individual-level well-being gains, equating to substantial healthcare cost savings when scaled up across populations. However, critical questions remain about which species and/or traits (for example, colours, sounds and smells) elicit well-being responses. The traits that influence well-being can be considered ‘effect’ traits. Using techniques from community ecology, we have analysed a database of species’ effect traits articulated by people to identify those that generate different types of well-being (physical, emotional, cognitive, social, spiritual and ‘global’ well-being, the latter being akin to ‘whole-person health’). Effect traits have a predominately positive impact on well-being, influenced by the identity and taxonomic kingdom of each species. Different sets of effect traits deliver different types of well-being. However, traits cannot be considered independently of species because multiple traits can be supported by a single species. Indeed, we have found that numerous effect traits from across the ecological community can elicit multiple types of well-being, illustrating the complexity of biodiversity experiences. Our empirical approach can help to implement interdisciplinary thinking for biodiversity conservation and nature-based public health interventions designed to support human well-being.","container-title":"Nature Sustainability","DOI":"10.1038/s41893-023-01151-3","ISSN":"2398-9629","journalAbbreviation":"Nat Sustain","language":"en","source":"DOI.org (Crossref)","title":"Human well-being responses to species’ traits","URL":"https://www.nature.com/articles/s41893-023-01151-3","author":[{"family":"Fisher","given":"J. C."},{"family":"Dallimer","given":"M."},{"family":"Irvine","given":"K. N."},{"family":"Aizlewood","given":"S. G."},{"family":"Austen","given":"G. E."},{"family":"Fish","given":"R. D."},{"family":"King","given":"P. M."},{"family":"Davies","given":"Z. G."}],"accessed":{"date-parts":[["2023",8,9]]},"issued":{"date-parts":[["2023",6,19]]}}}],"schema":"https://github.com/citation-style-language/schema/raw/master/csl-citation.json"} </w:instrText>
      </w:r>
      <w:r w:rsidRPr="00C05886">
        <w:fldChar w:fldCharType="separate"/>
      </w:r>
      <w:r w:rsidRPr="00C05886">
        <w:rPr>
          <w:rFonts w:ascii="Calibri" w:hAnsi="Calibri" w:cs="Calibri"/>
          <w:szCs w:val="24"/>
        </w:rPr>
        <w:t xml:space="preserve">(Fisher </w:t>
      </w:r>
      <w:r w:rsidRPr="00C05886">
        <w:rPr>
          <w:rFonts w:ascii="Calibri" w:hAnsi="Calibri" w:cs="Calibri"/>
          <w:i/>
          <w:iCs/>
          <w:szCs w:val="24"/>
        </w:rPr>
        <w:t>et al.</w:t>
      </w:r>
      <w:r w:rsidRPr="00C05886">
        <w:rPr>
          <w:rFonts w:ascii="Calibri" w:hAnsi="Calibri" w:cs="Calibri"/>
          <w:szCs w:val="24"/>
        </w:rPr>
        <w:t>, 2023)</w:t>
      </w:r>
      <w:r w:rsidRPr="00C05886">
        <w:fldChar w:fldCharType="end"/>
      </w:r>
      <w:r w:rsidRPr="00C05886">
        <w:t xml:space="preserve">, due also to urbanisation, climate change and intensification of agriculture, which leads to loss of habitat. It has been suggested that laypeople living in cities are progressively losing the day-to-day experience of biodiversity </w:t>
      </w:r>
      <w:r w:rsidRPr="00C05886">
        <w:fldChar w:fldCharType="begin"/>
      </w:r>
      <w:r w:rsidRPr="00C05886">
        <w:instrText xml:space="preserve"> ADDIN ZOTERO_ITEM CSL_CITATION {"citationID":"91JJEcoI","properties":{"formattedCitation":"(Soga and Gaston, 2016)","plainCitation":"(Soga and Gaston, 2016)","noteIndex":0},"citationItems":[{"id":5772,"uris":["http://zotero.org/users/10951124/items/XDZIGFHA"],"itemData":{"id":5772,"type":"article-journal","abstract":"Increasingly, people are becoming less likely to have direct contact with nature (natural environments and their associated wildlife) in their everyday lives. Over 20 years ago, Robert M Pyle termed this ongoing alienation the \"extinction of experience\", but the phenomenon has continued to receive surprisingly limited attention. Here, we present current understanding of the extinction of experience, with particular emphasis on its causes and consequences, and suggest future research directions. Our review illustrates that the loss of interaction with nature not only diminishes a wide range of benefits relating to health and well-being, but also discourages positive emotions, attitudes, and behavior with regard to the environment, implying a cycle of disaffection toward nature. Such serious implications highlight the importance of reconnecting people with nature, as well as focusing research and public policy on addressing and improving awareness of the extinction of experience.","container-title":"Frontiers in Ecology and the Environment","DOI":"10.1002/fee.1225","ISSN":"15409309","issue":"2","note":"publisher: Ecological Society of America","page":"94-101","title":"Extinction of experience: The loss of human-nature interactions","volume":"14","author":[{"family":"Soga","given":"Masashi"},{"family":"Gaston","given":"Kevin J."}],"issued":{"date-parts":[["2016",3,1]]}}}],"schema":"https://github.com/citation-style-language/schema/raw/master/csl-citation.json"} </w:instrText>
      </w:r>
      <w:r w:rsidRPr="00C05886">
        <w:fldChar w:fldCharType="separate"/>
      </w:r>
      <w:r w:rsidRPr="00C05886">
        <w:rPr>
          <w:rFonts w:ascii="Calibri" w:hAnsi="Calibri" w:cs="Calibri"/>
        </w:rPr>
        <w:t>(Soga and Gaston, 2016)</w:t>
      </w:r>
      <w:r w:rsidRPr="00C05886">
        <w:fldChar w:fldCharType="end"/>
      </w:r>
      <w:r w:rsidRPr="00C05886">
        <w:t xml:space="preserve">, which not only may preclude them from receiving the well-being benefits but could also incentivise behaviours (e.g. consumerism) that drive the aforementioned reasons for habitat loss </w:t>
      </w:r>
      <w:r w:rsidRPr="00C05886">
        <w:fldChar w:fldCharType="begin"/>
      </w:r>
      <w:r w:rsidRPr="00C05886">
        <w:instrText xml:space="preserve"> ADDIN ZOTERO_ITEM CSL_CITATION {"citationID":"GOBc6DhZ","properties":{"formattedCitation":"(Upreti, 2023)","plainCitation":"(Upreti, 2023)","noteIndex":0},"citationItems":[{"id":10896,"uris":["http://zotero.org/users/10951124/items/L3J2MJJE"],"itemData":{"id":10896,"type":"chapter","container-title":"Ecosociocentrism","event-place":"Cham","ISBN":"978-3-031-41753-5","language":"en","note":"DOI: 10.1007/978-3-031-41754-2_3","page":"31-64","publisher":"Springer Nature Switzerland","publisher-place":"Cham","source":"DOI.org (Crossref)","title":"Biodiversity and Ecosystem Destruction","URL":"https://link.springer.com/10.1007/978-3-031-41754-2_3","container-author":[{"family":"Upreti","given":"Gopi"}],"author":[{"family":"Upreti","given":"Gopi"}],"accessed":{"date-parts":[["2024",1,8]]},"issued":{"date-parts":[["2023"]]}}}],"schema":"https://github.com/citation-style-language/schema/raw/master/csl-citation.json"} </w:instrText>
      </w:r>
      <w:r w:rsidRPr="00C05886">
        <w:fldChar w:fldCharType="separate"/>
      </w:r>
      <w:r w:rsidRPr="00C05886">
        <w:rPr>
          <w:rFonts w:ascii="Calibri" w:hAnsi="Calibri" w:cs="Calibri"/>
        </w:rPr>
        <w:t>(Upreti, 2023)</w:t>
      </w:r>
      <w:r w:rsidRPr="00C05886">
        <w:fldChar w:fldCharType="end"/>
      </w:r>
      <w:r w:rsidRPr="00C05886">
        <w:t>.</w:t>
      </w:r>
    </w:p>
    <w:p w14:paraId="71BF004A" w14:textId="77777777" w:rsidR="00C12E53" w:rsidRPr="00C05886" w:rsidRDefault="00C12E53" w:rsidP="000D4E14">
      <w:r w:rsidRPr="00C05886">
        <w:t xml:space="preserve">During the span of many years, researchers have noticed a peculiar trend in people’s relationship with biodiversity. Participants exposed to different green spaces, seem to prefer those with high biodiversity. This could be explained by the “aesthetic value” (sensu Kellert, 1993), finding pleasure </w:t>
      </w:r>
      <w:r w:rsidRPr="00C05886">
        <w:lastRenderedPageBreak/>
        <w:t xml:space="preserve">in certain combinations of plants and the presence of certain animals. However, this preference for biodiversity does not correlate with the participant's skills to identify/perceive how much biodiversity is truly around them. In other words, people hardly notice the difference between high and low biodiversity, but nevertheless they prefer highly biodiverse places.  </w:t>
      </w:r>
    </w:p>
    <w:p w14:paraId="477B1849" w14:textId="77777777" w:rsidR="00C12E53" w:rsidRPr="00C05886" w:rsidRDefault="00C12E53" w:rsidP="000D4E14">
      <w:r w:rsidRPr="00C05886">
        <w:t xml:space="preserve">This observation was made by Shwartz and colleagues </w:t>
      </w:r>
      <w:r w:rsidRPr="00C05886">
        <w:fldChar w:fldCharType="begin"/>
      </w:r>
      <w:r w:rsidRPr="00C05886">
        <w:instrText xml:space="preserve"> ADDIN ZOTERO_ITEM CSL_CITATION {"citationID":"neYqgS5K","properties":{"formattedCitation":"(Shwartz {\\i{}et al.}, 2014)","plainCitation":"(Shwartz et al., 2014)","dontUpdate":true,"noteIndex":0},"citationItems":[{"id":6077,"uris":["http://zotero.org/users/10951124/items/VACRBVJJ"],"itemData":{"id":6077,"type":"article-journal","abstract":"© 2014 Elsevier Ltd. Researchers, advocates and policymakers have proposed urban conservation as an emerging, integrative discipline that can contribute to sustainable cities by delivering co-benefits to human and non-human components of biodiversity. Given the recent growth in biodiversity-friendly designs and management schemes, there is an urgent need for a synthesis of this fragmented research base to inform planners and decision-makers. We conducted a systematic multidisciplinary literature review (787 papers) and found that the importance of urban areas for general conservation is not convincingly supported by empirical research. Only few studies demonstrated that cities can directly contribute to conservation efforts, by hosting viable populations of rare or endangered species, or by providing green corridors for the passage of natural populations. From a social perspective, while several studies demonstrated that green infrastructure could provide services for people (notably cultural services), only few studies explored the role of species diversity per se. Our review also shows strong geographical, location and taxonomic biases in urban biodiversity conservation research that make generalisations difficult. It is a disturbing paradox that while research in urban biodiversity conservation is rising exponentially, the main motivations for conserving urban biodiversity remain largely untested and unproven. We thus propose a framework for promoting integrative urban conservation research to bridge those gaps. Together, these findings warn against expanding cities under green planning and call for enhancing biodiversity experience by improving the quality of existing green spaces throughout the entire urban matrix. We provide a set of recommendations for practitioners and decision-makers to continue action.","container-title":"Global Environmental Change","DOI":"10.1016/j.gloenvcha.2014.06.002","issue":"1","page":"39-49","title":"Outstanding challenges for urban conservation research and action","volume":"28","author":[{"family":"Shwartz","given":"A."},{"family":"Turbé","given":"A."},{"family":"Julliard","given":"R."},{"family":"Simon","given":"L."},{"family":"Prévot","given":"A.-C."}],"issued":{"date-parts":[["2014"]]}}}],"schema":"https://github.com/citation-style-language/schema/raw/master/csl-citation.json"} </w:instrText>
      </w:r>
      <w:r w:rsidRPr="00C05886">
        <w:fldChar w:fldCharType="separate"/>
      </w:r>
      <w:r w:rsidRPr="00C05886">
        <w:rPr>
          <w:rFonts w:ascii="Calibri" w:hAnsi="Calibri" w:cs="Calibri"/>
          <w:szCs w:val="24"/>
        </w:rPr>
        <w:t>(2014)</w:t>
      </w:r>
      <w:r w:rsidRPr="00C05886">
        <w:fldChar w:fldCharType="end"/>
      </w:r>
      <w:r w:rsidRPr="00C05886">
        <w:t>. In their experiment, they implemented a number of biodiverse meadows at various locations in Paris and asked visitors about their preferences and perceptions. Although the newer biodiverse meadows were preferred, visitors' perceptions of biodiversity were similar between the meadows and the control plots (mostly mowed grass).</w:t>
      </w:r>
    </w:p>
    <w:p w14:paraId="585F76AB" w14:textId="745D98CE" w:rsidR="00C12E53" w:rsidRPr="00C05886" w:rsidRDefault="00C12E53" w:rsidP="000D4E14">
      <w:r w:rsidRPr="00C05886">
        <w:fldChar w:fldCharType="begin"/>
      </w:r>
      <w:r w:rsidRPr="00C05886">
        <w:instrText xml:space="preserve"> ADDIN ZOTERO_ITEM CSL_CITATION {"citationID":"taZpWUX4","properties":{"formattedCitation":"(Pett {\\i{}et al.}, 2016)","plainCitation":"(Pett et al., 2016)","dontUpdate":true,"noteIndex":0},"citationItems":[{"id":6856,"uris":["http://zotero.org/users/10951124/items/X7EKZDIM"],"itemData":{"id":6856,"type":"article-journal","abstract":"© 2016. Published by Oxford University Press on behalf of the American Institute of Biological Sciences. All rights reserved. Global phenomena, including urbanization, agricultural intensification, and biotic homogenization, have led to extensive ecosystem degradation, species extinctions, and, consequently, a reduction in biodiversity. However, although it is now widely asserted in the research, policy, and practice arenas that interacting with nature is fundamental to human health and well-being, there is a paucity of nuanced evidence characterizing how the living components of nature, biodiversity, play a role in this accepted truth. Understanding these human-biodiversity relationships is essential if the conservation agenda is to be aligned successfully with that of public health by policymakers and practitioners. Here, we show that an apparent \"people-biodiversity paradox\" is emerging from the literature, comprising a mismatch between (a) people's biodiversity preferences and how these inclinations relate to personal subjective well-being and (b) the limited ability of individuals to accurately perceive the biodiversity surrounding them. In addition, we present a conceptual framework for understanding the complexity underpinning human-biodiversity interactions.","container-title":"BioScience","DOI":"10.1093/biosci/biw036","issue":"7","page":"576-583","title":"Unpacking the people-biodiversity paradox: A conceptual framework","volume":"66","author":[{"family":"Pett","given":"T.J."},{"family":"Shwartz","given":"A."},{"family":"Irvine","given":"K.N."},{"family":"Dallimer","given":"M."},{"family":"Davies","given":"Z.G."}],"issued":{"date-parts":[["2016"]]}}}],"schema":"https://github.com/citation-style-language/schema/raw/master/csl-citation.json"} </w:instrText>
      </w:r>
      <w:r w:rsidRPr="00C05886">
        <w:fldChar w:fldCharType="separate"/>
      </w:r>
      <w:r w:rsidRPr="00C05886">
        <w:rPr>
          <w:rFonts w:ascii="Calibri" w:hAnsi="Calibri" w:cs="Calibri"/>
          <w:szCs w:val="24"/>
        </w:rPr>
        <w:t xml:space="preserve">Pett </w:t>
      </w:r>
      <w:r w:rsidRPr="00C05886">
        <w:rPr>
          <w:rFonts w:ascii="Calibri" w:hAnsi="Calibri" w:cs="Calibri"/>
          <w:i/>
          <w:iCs/>
          <w:szCs w:val="24"/>
        </w:rPr>
        <w:t>et al.</w:t>
      </w:r>
      <w:r w:rsidRPr="00C05886">
        <w:rPr>
          <w:rFonts w:ascii="Calibri" w:hAnsi="Calibri" w:cs="Calibri"/>
          <w:szCs w:val="24"/>
        </w:rPr>
        <w:t xml:space="preserve"> (2016)</w:t>
      </w:r>
      <w:r w:rsidRPr="00C05886">
        <w:fldChar w:fldCharType="end"/>
      </w:r>
      <w:r w:rsidRPr="00C05886">
        <w:t xml:space="preserve"> proposed some explanation </w:t>
      </w:r>
      <w:r w:rsidR="00E8285F">
        <w:t>for</w:t>
      </w:r>
      <w:r w:rsidR="00E8285F" w:rsidRPr="00C05886">
        <w:t xml:space="preserve"> </w:t>
      </w:r>
      <w:r w:rsidRPr="00C05886">
        <w:t>this paradox. On the one hand, they argued, there is a lack of identification skills among the general population.</w:t>
      </w:r>
      <w:r w:rsidR="0058028D">
        <w:t xml:space="preserve"> This has been observed in the aforementioned </w:t>
      </w:r>
      <w:r w:rsidR="00E8285F">
        <w:t>experiment by </w:t>
      </w:r>
      <w:r w:rsidR="0058028D" w:rsidRPr="00C05886">
        <w:t xml:space="preserve">Shwartz and colleagues </w:t>
      </w:r>
      <w:r w:rsidR="0058028D" w:rsidRPr="00C05886">
        <w:fldChar w:fldCharType="begin"/>
      </w:r>
      <w:r w:rsidR="0058028D">
        <w:instrText xml:space="preserve"> ADDIN ZOTERO_ITEM CSL_CITATION {"citationID":"g8MemGJI","properties":{"formattedCitation":"(Shwartz {\\i{}et al.}, 2014)","plainCitation":"(Shwartz et al., 2014)","dontUpdate":true,"noteIndex":0},"citationItems":[{"id":6077,"uris":["http://zotero.org/users/10951124/items/VACRBVJJ"],"itemData":{"id":6077,"type":"article-journal","abstract":"© 2014 Elsevier Ltd. Researchers, advocates and policymakers have proposed urban conservation as an emerging, integrative discipline that can contribute to sustainable cities by delivering co-benefits to human and non-human components of biodiversity. Given the recent growth in biodiversity-friendly designs and management schemes, there is an urgent need for a synthesis of this fragmented research base to inform planners and decision-makers. We conducted a systematic multidisciplinary literature review (787 papers) and found that the importance of urban areas for general conservation is not convincingly supported by empirical research. Only few studies demonstrated that cities can directly contribute to conservation efforts, by hosting viable populations of rare or endangered species, or by providing green corridors for the passage of natural populations. From a social perspective, while several studies demonstrated that green infrastructure could provide services for people (notably cultural services), only few studies explored the role of species diversity per se. Our review also shows strong geographical, location and taxonomic biases in urban biodiversity conservation research that make generalisations difficult. It is a disturbing paradox that while research in urban biodiversity conservation is rising exponentially, the main motivations for conserving urban biodiversity remain largely untested and unproven. We thus propose a framework for promoting integrative urban conservation research to bridge those gaps. Together, these findings warn against expanding cities under green planning and call for enhancing biodiversity experience by improving the quality of existing green spaces throughout the entire urban matrix. We provide a set of recommendations for practitioners and decision-makers to continue action.","container-title":"Global Environmental Change","DOI":"10.1016/j.gloenvcha.2014.06.002","issue":"1","page":"39-49","title":"Outstanding challenges for urban conservation research and action","volume":"28","author":[{"family":"Shwartz","given":"A."},{"family":"Turbé","given":"A."},{"family":"Julliard","given":"R."},{"family":"Simon","given":"L."},{"family":"Prévot","given":"A.-C."}],"issued":{"date-parts":[["2014"]]}}}],"schema":"https://github.com/citation-style-language/schema/raw/master/csl-citation.json"} </w:instrText>
      </w:r>
      <w:r w:rsidR="0058028D" w:rsidRPr="00C05886">
        <w:fldChar w:fldCharType="separate"/>
      </w:r>
      <w:r w:rsidR="0058028D" w:rsidRPr="00C05886">
        <w:rPr>
          <w:rFonts w:ascii="Calibri" w:hAnsi="Calibri" w:cs="Calibri"/>
          <w:szCs w:val="24"/>
        </w:rPr>
        <w:t>(2014)</w:t>
      </w:r>
      <w:r w:rsidR="0058028D" w:rsidRPr="00C05886">
        <w:fldChar w:fldCharType="end"/>
      </w:r>
      <w:r w:rsidR="0058028D">
        <w:t xml:space="preserve">, but also by </w:t>
      </w:r>
      <w:proofErr w:type="spellStart"/>
      <w:r w:rsidR="0058028D">
        <w:t>Dallimer</w:t>
      </w:r>
      <w:proofErr w:type="spellEnd"/>
      <w:r w:rsidR="0058028D">
        <w:t xml:space="preserve"> et al. (2012) in the UK and more recently in the Netherlands </w:t>
      </w:r>
      <w:r w:rsidR="0058028D">
        <w:fldChar w:fldCharType="begin"/>
      </w:r>
      <w:r w:rsidR="0058028D">
        <w:instrText xml:space="preserve"> ADDIN ZOTERO_ITEM CSL_CITATION {"citationID":"i1CxuReI","properties":{"formattedCitation":"(Hooykaas {\\i{}et al.}, 2019)","plainCitation":"(Hooykaas et al., 2019)","noteIndex":0},"citationItems":[{"id":11239,"uris":["http://zotero.org/users/10951124/items/R5YYPDPI"],"itemData":{"id":11239,"type":"article-journal","container-title":"Biological Conservation","DOI":"10.1016/j.biocon.2019.108202","ISSN":"00063207","journalAbbreviation":"Biological Conservation","language":"en","page":"108202","source":"DOI.org (Crossref)","title":"Identification skills in biodiversity professionals and laypeople: A gap in species literacy","title-short":"Identification skills in biodiversity professionals and laypeople","volume":"238","author":[{"family":"Hooykaas","given":"Michiel J.D."},{"family":"Schilthuizen","given":"Menno"},{"family":"Aten","given":"Cathelijn"},{"family":"Hemelaar","given":"Elisabeth M."},{"family":"Albers","given":"Casper J."},{"family":"Smeets","given":"Ionica"}],"issued":{"date-parts":[["2019",10]]}}}],"schema":"https://github.com/citation-style-language/schema/raw/master/csl-citation.json"} </w:instrText>
      </w:r>
      <w:r w:rsidR="0058028D">
        <w:fldChar w:fldCharType="separate"/>
      </w:r>
      <w:r w:rsidR="0058028D" w:rsidRPr="0058028D">
        <w:rPr>
          <w:rFonts w:ascii="Calibri" w:hAnsi="Calibri" w:cs="Calibri"/>
          <w:szCs w:val="24"/>
        </w:rPr>
        <w:t xml:space="preserve">(Hooykaas </w:t>
      </w:r>
      <w:r w:rsidR="0058028D" w:rsidRPr="0058028D">
        <w:rPr>
          <w:rFonts w:ascii="Calibri" w:hAnsi="Calibri" w:cs="Calibri"/>
          <w:i/>
          <w:iCs/>
          <w:szCs w:val="24"/>
        </w:rPr>
        <w:t>et al.</w:t>
      </w:r>
      <w:r w:rsidR="0058028D" w:rsidRPr="0058028D">
        <w:rPr>
          <w:rFonts w:ascii="Calibri" w:hAnsi="Calibri" w:cs="Calibri"/>
          <w:szCs w:val="24"/>
        </w:rPr>
        <w:t>, 2019)</w:t>
      </w:r>
      <w:r w:rsidR="0058028D">
        <w:fldChar w:fldCharType="end"/>
      </w:r>
      <w:r w:rsidR="0058028D">
        <w:t xml:space="preserve">. </w:t>
      </w:r>
      <w:r w:rsidRPr="00C05886">
        <w:t>On the other</w:t>
      </w:r>
      <w:r w:rsidR="0058028D">
        <w:t xml:space="preserve"> hand</w:t>
      </w:r>
      <w:r w:rsidRPr="00C05886">
        <w:t>, the relationship between people and biodiversity is multifaceted, heavily influenced by individual characteristics (e.g. age) and experiences (e.g. negative interactions with wildlife) which concur in the development of different sensitivities. For example, not all would be comfortable with the idea of encountering a wolf during a forest walk, but most people would recognise, sometimes even esteem, the role of the wolf as a predator, regulating problematic species such as deer or boar.</w:t>
      </w:r>
    </w:p>
    <w:p w14:paraId="61586944" w14:textId="77777777" w:rsidR="00C12E53" w:rsidRPr="00C05886" w:rsidRDefault="00C12E53" w:rsidP="000D4E14">
      <w:r w:rsidRPr="00C05886">
        <w:t xml:space="preserve">Two more solutions to the paradox have been suggested. The first is changing how perceived biodiversity is measured, while the second is designing green spaces differently so that the biodiversity could be easier to perceive. Addressing the first solution, </w:t>
      </w:r>
      <w:proofErr w:type="spellStart"/>
      <w:r w:rsidRPr="00C05886">
        <w:t>Gyllin</w:t>
      </w:r>
      <w:proofErr w:type="spellEnd"/>
      <w:r w:rsidRPr="00C05886">
        <w:t xml:space="preserve"> and </w:t>
      </w:r>
      <w:proofErr w:type="spellStart"/>
      <w:r w:rsidRPr="00C05886">
        <w:t>Ghran</w:t>
      </w:r>
      <w:proofErr w:type="spellEnd"/>
      <w:r w:rsidRPr="00C05886">
        <w:t xml:space="preserve"> </w:t>
      </w:r>
      <w:r w:rsidRPr="00C05886">
        <w:fldChar w:fldCharType="begin"/>
      </w:r>
      <w:r w:rsidRPr="00C05886">
        <w:instrText xml:space="preserve"> ADDIN ZOTERO_ITEM CSL_CITATION {"citationID":"y5hzmRXD","properties":{"formattedCitation":"(Gyllin and Grahn, 2005)","plainCitation":"(Gyllin and Grahn, 2005)","dontUpdate":true,"noteIndex":0},"citationItems":[{"id":9629,"uris":["http://zotero.org/users/10951124/items/S8LZIJHI"],"itemData":{"id":9629,"type":"article-journal","abstract":"Biodiversity is a significant element of our everyday experience of urban environments, though it is generally only perceived subconsciously. Thus, there is a need to develop a method for defining and measuring experienced biodiversity. As a first step towards such a method, a semantic test was presented to a group of 102 participants. The test consisted of a form containing words/expressions selected as possible components of biodiversity. The participants rated the words on a five-grade scale, and the form was completed at six different study sites. Statistical analyses indicated that words with biological content were strongly correlated with biodiversity, as were words associated with wilderness and variation. Correlations with words of preference were less strong. Following factor analysis, a biodiversity experience index was calculated based on the factor loadings of words strongly correlated with biological diversity. The index was then calculated for all six sites. It was suggested that the index, by measuring words/expressions with higher linguistic codability, offers a valuable tool for assessing experienced biodiversity. It was further concluded that areas containing spontaneous vegetation and water obtained higher biodiversity index scores than did areas characterized by a short-cut lawn and more uniform vegetation.","container-title":"Urban Forestry &amp; Urban Greening","DOI":"10.1016/j.ufug.2005.04.004","ISSN":"1618-8667","issue":"3","journalAbbreviation":"Urban Forestry &amp; Urban Greening","page":"149-161","title":"A semantic model for assessing the experience of urban biodiversity","volume":"3","author":[{"family":"Gyllin","given":"Mats"},{"family":"Grahn","given":"Patrik"}],"issued":{"date-parts":[["2005",6,23]]}}}],"schema":"https://github.com/citation-style-language/schema/raw/master/csl-citation.json"} </w:instrText>
      </w:r>
      <w:r w:rsidRPr="00C05886">
        <w:fldChar w:fldCharType="separate"/>
      </w:r>
      <w:r w:rsidRPr="00C05886">
        <w:rPr>
          <w:rFonts w:ascii="Calibri" w:hAnsi="Calibri" w:cs="Calibri"/>
        </w:rPr>
        <w:t>(2005)</w:t>
      </w:r>
      <w:r w:rsidRPr="00C05886">
        <w:fldChar w:fldCharType="end"/>
      </w:r>
      <w:r w:rsidRPr="00C05886">
        <w:t xml:space="preserve">, developed the biodiversity experience index (BEI) as an alternative to measure perceived biodiversity. Rather than asking people to count, recall or guess “how many” species a given location could host, the BEI relies on a simpler semantic, that both experts and non-experts can share. The questionnaire focuses on visual plant and animal richness (i.e. the macroscale, easier to perceive), on hints of variation and on a sense of “wild-looking”. In their test, ecologists and laypeople provided similar BEI ratings of the green spaces under analysis, which was much closer to the surveyed actual biodiversity than traditional measures of perceived biodiversity. Concerning the second solution, among the design elements that could help visitors perceive biodiversity, habitat and visual heterogeneity seem promising. A recent experiment </w:t>
      </w:r>
      <w:r w:rsidRPr="00C05886">
        <w:fldChar w:fldCharType="begin"/>
      </w:r>
      <w:r w:rsidRPr="00C05886">
        <w:instrText xml:space="preserve"> ADDIN ZOTERO_ITEM CSL_CITATION {"citationID":"szBvp3BN","properties":{"formattedCitation":"(Schebella {\\i{}et al.}, 2019)","plainCitation":"(Schebella et al., 2019)","noteIndex":0},"citationItems":[{"id":9985,"uris":["http://zotero.org/users/10951124/items/TWY3NIZJ"],"itemData":{"id":9985,"type":"article-journal","container-title":"International Journal of Environmental Research","DOI":"10.1007/s41742-019-00200-0","ISSN":"1735-6865, 2008-2304","issue":"4","journalAbbreviation":"Int J Environ Res","language":"en","page":"707-720","source":"DOI.org (Crossref)","title":"In Pursuit of Urban Sustainability: Predicting Public Perceptions of Park Biodiversity Using Simple Assessment Tools","title-short":"In Pursuit of Urban Sustainability","volume":"13","author":[{"family":"Schebella","given":"M. F."},{"family":"Weber","given":"D."},{"family":"Schultz","given":"L."},{"family":"Weinstein","given":"P."}],"issued":{"date-parts":[["2019",8]]}}}],"schema":"https://github.com/citation-style-language/schema/raw/master/csl-citation.json"} </w:instrText>
      </w:r>
      <w:r w:rsidRPr="00C05886">
        <w:fldChar w:fldCharType="separate"/>
      </w:r>
      <w:r w:rsidRPr="00C05886">
        <w:rPr>
          <w:rFonts w:ascii="Calibri" w:hAnsi="Calibri" w:cs="Calibri"/>
          <w:szCs w:val="24"/>
        </w:rPr>
        <w:t xml:space="preserve">(Schebella </w:t>
      </w:r>
      <w:r w:rsidRPr="00C05886">
        <w:rPr>
          <w:rFonts w:ascii="Calibri" w:hAnsi="Calibri" w:cs="Calibri"/>
          <w:i/>
          <w:iCs/>
          <w:szCs w:val="24"/>
        </w:rPr>
        <w:t>et al.</w:t>
      </w:r>
      <w:r w:rsidRPr="00C05886">
        <w:rPr>
          <w:rFonts w:ascii="Calibri" w:hAnsi="Calibri" w:cs="Calibri"/>
          <w:szCs w:val="24"/>
        </w:rPr>
        <w:t>, 2019)</w:t>
      </w:r>
      <w:r w:rsidRPr="00C05886">
        <w:fldChar w:fldCharType="end"/>
      </w:r>
      <w:r w:rsidRPr="00C05886">
        <w:t xml:space="preserve"> found that one additional habitat in a park increases the chances that visitors will perceive that park as more </w:t>
      </w:r>
      <w:r w:rsidRPr="00C05886">
        <w:lastRenderedPageBreak/>
        <w:t xml:space="preserve">biodiverse. If the preference for biodiverse spaces plays a role, this could lead to more visits (and more </w:t>
      </w:r>
      <w:proofErr w:type="spellStart"/>
      <w:r w:rsidRPr="00C05886">
        <w:t>salutogenic</w:t>
      </w:r>
      <w:proofErr w:type="spellEnd"/>
      <w:r w:rsidRPr="00C05886">
        <w:t xml:space="preserve"> contact).</w:t>
      </w:r>
    </w:p>
    <w:p w14:paraId="28EA2154" w14:textId="272D6792" w:rsidR="00133DC9" w:rsidRPr="00C05886" w:rsidRDefault="00C12E53" w:rsidP="00133DC9">
      <w:r w:rsidRPr="00C05886">
        <w:t xml:space="preserve">Despite </w:t>
      </w:r>
      <w:r w:rsidR="00BC4D80">
        <w:t xml:space="preserve">the </w:t>
      </w:r>
      <w:r w:rsidR="0058028D">
        <w:t>difficulties and lack of identification skills to perceive the species richness</w:t>
      </w:r>
      <w:r w:rsidRPr="00C05886">
        <w:t xml:space="preserve"> correctly, this does not appear to hinder </w:t>
      </w:r>
      <w:r w:rsidR="0058028D">
        <w:t>non-experts</w:t>
      </w:r>
      <w:r w:rsidR="0058028D" w:rsidRPr="00C05886">
        <w:t xml:space="preserve"> </w:t>
      </w:r>
      <w:r w:rsidRPr="00C05886">
        <w:t xml:space="preserve">from benefitting from the contact with biodiversity </w:t>
      </w:r>
      <w:r w:rsidRPr="00C05886">
        <w:fldChar w:fldCharType="begin"/>
      </w:r>
      <w:r w:rsidRPr="00C05886">
        <w:instrText xml:space="preserve"> ADDIN ZOTERO_ITEM CSL_CITATION {"citationID":"Uoht32qT","properties":{"formattedCitation":"(Dallimer {\\i{}et al.}, 2012)","plainCitation":"(Dallimer et al., 2012)","noteIndex":0},"citationItems":[{"id":5841,"uris":["http://zotero.org/users/10951124/items/KQUVK8G6"],"itemData":{"id":5841,"type":"article-journal","abstract":"Over half of the world's human population lives in cities, and for many, urban greenspaces are the only places where they encounter biodiversity. This is of particular concern because there is growing evidence that human well-being is enhanced by exposure to nature. However, the specific qualities of greenspaces that offer the greatest benefits remain poorly understood. One possibility is that humans respond positively to increased levels of biodiversity. Here, we demonstrate the lack of a consistent relationship between actual plant, butterfly, and bird species richness and the psychological well-being of urban greenspace visitors. Instead, well-being shows a positive relationship with the richness that the greenspace users perceived to be present. One plausible explanation for this discrepancy, which we investigate, is that people generally have poor biodiversity-identification skills. The apparent importance of perceived species richness and the mismatch between reality and perception pose a serious challenge for aligning conservation and human well-being agendas.","container-title":"BioScience","DOI":"10.1525/bio.2012.62.1.9","ISSN":"00063568","issue":"1","page":"47-55","title":"Biodiversity and the Feel-Good Factor: Understanding Associations between Self-Reported Human Well-being and Species Richness","volume":"62","author":[{"family":"Dallimer","given":"Martin"},{"family":"Irvine","given":"Katherine N."},{"family":"Skinner","given":"Andrew M.J. J"},{"family":"Davies","given":"Zoe G."},{"family":"Rouquette","given":"James R."},{"family":"Maltby","given":"Lorraine L."},{"family":"Warren","given":"Philip H."},{"family":"Armsworth","given":"Paul R."},{"family":"Gaston","given":"Kevin J."}],"issued":{"date-parts":[["2012"]]}}}],"schema":"https://github.com/citation-style-language/schema/raw/master/csl-citation.json"} </w:instrText>
      </w:r>
      <w:r w:rsidRPr="00C05886">
        <w:fldChar w:fldCharType="separate"/>
      </w:r>
      <w:r w:rsidRPr="00C05886">
        <w:rPr>
          <w:rFonts w:ascii="Calibri" w:hAnsi="Calibri" w:cs="Calibri"/>
          <w:szCs w:val="24"/>
        </w:rPr>
        <w:t xml:space="preserve">(Dallimer </w:t>
      </w:r>
      <w:r w:rsidRPr="00C05886">
        <w:rPr>
          <w:rFonts w:ascii="Calibri" w:hAnsi="Calibri" w:cs="Calibri"/>
          <w:i/>
          <w:iCs/>
          <w:szCs w:val="24"/>
        </w:rPr>
        <w:t>et al.</w:t>
      </w:r>
      <w:r w:rsidRPr="00C05886">
        <w:rPr>
          <w:rFonts w:ascii="Calibri" w:hAnsi="Calibri" w:cs="Calibri"/>
          <w:szCs w:val="24"/>
        </w:rPr>
        <w:t>, 2012)</w:t>
      </w:r>
      <w:r w:rsidRPr="00C05886">
        <w:fldChar w:fldCharType="end"/>
      </w:r>
      <w:r w:rsidRPr="00C05886">
        <w:t xml:space="preserve">. </w:t>
      </w:r>
      <w:r w:rsidR="00133DC9" w:rsidRPr="00C05886">
        <w:t>For example,</w:t>
      </w:r>
      <w:r w:rsidR="00AA4815">
        <w:t xml:space="preserve"> the </w:t>
      </w:r>
      <w:r w:rsidR="00133DC9" w:rsidRPr="00C05886">
        <w:t xml:space="preserve">cooling provided by urban trees </w:t>
      </w:r>
      <w:r w:rsidR="00AA4815">
        <w:t>varies depending on the species, as they behave differently in terms of</w:t>
      </w:r>
      <w:r w:rsidR="00133DC9" w:rsidRPr="00C05886">
        <w:t xml:space="preserve"> evapotranspiration </w:t>
      </w:r>
      <w:r w:rsidR="00133DC9" w:rsidRPr="00C05886">
        <w:fldChar w:fldCharType="begin"/>
      </w:r>
      <w:r w:rsidR="00133DC9" w:rsidRPr="00C05886">
        <w:instrText xml:space="preserve"> ADDIN ZOTERO_ITEM CSL_CITATION {"citationID":"1n7msDM7","properties":{"formattedCitation":"(Gunawardena, Wells and Kershaw, 2017)","plainCitation":"(Gunawardena, Wells and Kershaw, 2017)","noteIndex":0},"citationItems":[{"id":10212,"uris":["http://zotero.org/users/10951124/items/JZM3AYBU"],"itemData":{"id":10212,"type":"article-journal","container-title":"Science of The Total Environment","DOI":"10.1016/j.scitotenv.2017.01.158","ISSN":"00489697","journalAbbreviation":"Science of The Total Environment","language":"en","page":"1040-1055","source":"DOI.org (Crossref)","title":"Utilising green and bluespace to mitigate urban heat island intensity","volume":"584-585","author":[{"family":"Gunawardena","given":"K.R."},{"family":"Wells","given":"M.J."},{"family":"Kershaw","given":"T."}],"issued":{"date-parts":[["2017",4]]}}}],"schema":"https://github.com/citation-style-language/schema/raw/master/csl-citation.json"} </w:instrText>
      </w:r>
      <w:r w:rsidR="00133DC9" w:rsidRPr="00C05886">
        <w:fldChar w:fldCharType="separate"/>
      </w:r>
      <w:r w:rsidR="00133DC9" w:rsidRPr="00C05886">
        <w:rPr>
          <w:rFonts w:ascii="Calibri" w:hAnsi="Calibri" w:cs="Calibri"/>
        </w:rPr>
        <w:t>(Gunawardena, Wells and Kershaw, 2017)</w:t>
      </w:r>
      <w:r w:rsidR="00133DC9" w:rsidRPr="00C05886">
        <w:fldChar w:fldCharType="end"/>
      </w:r>
      <w:r w:rsidR="00133DC9" w:rsidRPr="00C05886">
        <w:t xml:space="preserve"> and shading </w:t>
      </w:r>
      <w:r w:rsidR="00133DC9" w:rsidRPr="00C05886">
        <w:fldChar w:fldCharType="begin"/>
      </w:r>
      <w:r w:rsidR="00AA4815">
        <w:instrText xml:space="preserve"> ADDIN ZOTERO_ITEM CSL_CITATION {"citationID":"XC20KdQe","properties":{"formattedCitation":"(Speak {\\i{}et al.}, 2020)","plainCitation":"(Speak et al., 2020)","noteIndex":0},"citationItems":[{"id":10214,"uris":["http://zotero.org/users/10951124/items/VNCUEZ4V"],"itemData":{"id":10214,"type":"article-journal","container-title":"Landscape and Urban Planning","DOI":"10.1016/j.landurbplan.2020.103748","ISSN":"01692046","journalAbbreviation":"Landscape and Urban Planning","language":"en","page":"103748","source":"DOI.org (Crossref)","title":"The influence of tree traits on urban ground surface shade cooling","volume":"197","author":[{"family":"Speak","given":"Andrew"},{"family":"Montagnani","given":"Leonardo"},{"family":"Wellstein","given":"Camilla"},{"family":"Zerbe","given":"Stefan"}],"issued":{"date-parts":[["2020",5]]}}}],"schema":"https://github.com/citation-style-language/schema/raw/master/csl-citation.json"} </w:instrText>
      </w:r>
      <w:r w:rsidR="00133DC9" w:rsidRPr="00C05886">
        <w:fldChar w:fldCharType="separate"/>
      </w:r>
      <w:r w:rsidR="00AA4815" w:rsidRPr="00AA4815">
        <w:rPr>
          <w:rFonts w:ascii="Calibri" w:hAnsi="Calibri" w:cs="Calibri"/>
          <w:szCs w:val="24"/>
        </w:rPr>
        <w:t xml:space="preserve">(Speak </w:t>
      </w:r>
      <w:r w:rsidR="00AA4815" w:rsidRPr="00AA4815">
        <w:rPr>
          <w:rFonts w:ascii="Calibri" w:hAnsi="Calibri" w:cs="Calibri"/>
          <w:i/>
          <w:iCs/>
          <w:szCs w:val="24"/>
        </w:rPr>
        <w:t>et al.</w:t>
      </w:r>
      <w:r w:rsidR="00AA4815" w:rsidRPr="00AA4815">
        <w:rPr>
          <w:rFonts w:ascii="Calibri" w:hAnsi="Calibri" w:cs="Calibri"/>
          <w:szCs w:val="24"/>
        </w:rPr>
        <w:t>, 2020)</w:t>
      </w:r>
      <w:r w:rsidR="00133DC9" w:rsidRPr="00C05886">
        <w:fldChar w:fldCharType="end"/>
      </w:r>
      <w:r w:rsidR="00133DC9" w:rsidRPr="00C05886">
        <w:t>.</w:t>
      </w:r>
      <w:r w:rsidR="003B5549">
        <w:t xml:space="preserve"> Summarising, b</w:t>
      </w:r>
      <w:r w:rsidR="003B5549" w:rsidRPr="00C05886">
        <w:t xml:space="preserve">iodiversity </w:t>
      </w:r>
      <w:r w:rsidR="003B5549">
        <w:t>is at the base of all</w:t>
      </w:r>
      <w:r w:rsidR="003B5549" w:rsidRPr="00C05886">
        <w:t xml:space="preserve"> ecosystem services </w:t>
      </w:r>
      <w:r w:rsidR="003B5549">
        <w:fldChar w:fldCharType="begin"/>
      </w:r>
      <w:r w:rsidR="003B5549">
        <w:instrText xml:space="preserve"> ADDIN ZOTERO_ITEM CSL_CITATION {"citationID":"kEtIzDeU","properties":{"formattedCitation":"(Corvalan {\\i{}et al.}, 2005)","plainCitation":"(Corvalan et al., 2005)","noteIndex":0},"citationItems":[{"id":11265,"uris":["http://zotero.org/users/10951124/items/KZ84F5Y7"],"itemData":{"id":11265,"type":"book","abstract":"This report synthesizes the findings from the Millennium Ecosystem Assessment (MA) global and sub-global assessments of how ecosystem changes do, or could, affect human health and well-being. Over the past 50 years humans have changed natural ecosystems more rapidly and extensively than any comparable period in human history. The findings provide the strongest evidence so far of the ways in which pressures on ecosystems have resulted in the loss of vital ecosystem services, which purify and replenish water, soil and air resources essential to health, and also keep many diseases in check. Loss","edition":"1st ed.","event-place":"Geneva","ISBN":"1-280-43628-X","publisher":"Geneva : World Health Organization, c2005","publisher-place":"Geneva","title":"Ecosystems and human well-being: a report of the millennium ecosystem assessment","author":[{"family":"Corvalan","given":"Carlos F"},{"family":"Corvalán","given":"C. (Carlos)"},{"family":"Hales","given":"Simon"},{"family":"McMichael","given":"A. J. (Anthony J.)"}],"collection-editor":[{"family":"Corvalán","given":"C. (Carlos)"},{"family":"Hales","given":"Simon"},{"family":"McMichael","given":"A. J. (Anthony J.)"},{"literal":"World Health Organization"},{"literal":"Interim Commission of the World Health Organization"},{"family":"High-Level Working Group on the Health and Human Rights of Women","given":"Children and Adolescents"},{"literal":"United Nations"}],"issued":{"date-parts":[["2005"]]}}}],"schema":"https://github.com/citation-style-language/schema/raw/master/csl-citation.json"} </w:instrText>
      </w:r>
      <w:r w:rsidR="003B5549">
        <w:fldChar w:fldCharType="separate"/>
      </w:r>
      <w:r w:rsidR="003B5549" w:rsidRPr="00AA4815">
        <w:rPr>
          <w:rFonts w:ascii="Calibri" w:hAnsi="Calibri" w:cs="Calibri"/>
          <w:szCs w:val="24"/>
        </w:rPr>
        <w:t xml:space="preserve">(Corvalan </w:t>
      </w:r>
      <w:r w:rsidR="003B5549" w:rsidRPr="00AA4815">
        <w:rPr>
          <w:rFonts w:ascii="Calibri" w:hAnsi="Calibri" w:cs="Calibri"/>
          <w:i/>
          <w:iCs/>
          <w:szCs w:val="24"/>
        </w:rPr>
        <w:t>et al.</w:t>
      </w:r>
      <w:r w:rsidR="003B5549" w:rsidRPr="00AA4815">
        <w:rPr>
          <w:rFonts w:ascii="Calibri" w:hAnsi="Calibri" w:cs="Calibri"/>
          <w:szCs w:val="24"/>
        </w:rPr>
        <w:t>, 2005)</w:t>
      </w:r>
      <w:r w:rsidR="003B5549">
        <w:fldChar w:fldCharType="end"/>
      </w:r>
      <w:r w:rsidR="003B5549">
        <w:t xml:space="preserve"> and some of these are especially important for urban environments. </w:t>
      </w:r>
      <w:r w:rsidR="003B5549" w:rsidRPr="00C05886">
        <w:t xml:space="preserve">However, </w:t>
      </w:r>
      <w:r w:rsidR="003B5549">
        <w:t xml:space="preserve">Pett and colleagues (2016) argue, </w:t>
      </w:r>
      <w:r w:rsidR="003B5549" w:rsidRPr="00C05886">
        <w:t xml:space="preserve">the absence of </w:t>
      </w:r>
      <w:r w:rsidR="003B5549">
        <w:t xml:space="preserve">a clear </w:t>
      </w:r>
      <w:r w:rsidR="003B5549" w:rsidRPr="00C05886">
        <w:t xml:space="preserve">cause-and-effect link between biodiversity and the </w:t>
      </w:r>
      <w:r w:rsidR="00A1778F">
        <w:t xml:space="preserve">well-being does not help generating pro-biodiversity behaviours. This </w:t>
      </w:r>
      <w:r w:rsidR="003B5549" w:rsidRPr="00C05886">
        <w:t xml:space="preserve">could make things more difficult for </w:t>
      </w:r>
      <w:r w:rsidR="003B5549">
        <w:t xml:space="preserve">both </w:t>
      </w:r>
      <w:r w:rsidR="003B5549" w:rsidRPr="00C05886">
        <w:t>conservationists and urban planners</w:t>
      </w:r>
      <w:r w:rsidR="00A1778F">
        <w:t xml:space="preserve">, </w:t>
      </w:r>
      <w:r w:rsidR="00E07A73">
        <w:t xml:space="preserve">for the long-term success of solutions to provide more ecosystem services relies on public acceptance </w:t>
      </w:r>
      <w:r w:rsidR="00E07A73">
        <w:fldChar w:fldCharType="begin"/>
      </w:r>
      <w:r w:rsidR="00E07A73">
        <w:instrText xml:space="preserve"> ADDIN ZOTERO_ITEM CSL_CITATION {"citationID":"RKSZxyYe","properties":{"formattedCitation":"(Anderson and Renaud, 2021)","plainCitation":"(Anderson and Renaud, 2021)","noteIndex":0},"citationItems":[{"id":11266,"uris":["http://zotero.org/users/10951124/items/TLLZ6E2U"],"itemData":{"id":11266,"type":"article-journal","abstract":"Abstract\n            Nature-based solutions (NbS) are increasingly recognized as sustainable approaches to address societal challenges. Disaster risk reduction (DRR) has benefited by moving away from purely ‘grey’ infrastructure measures towards NbS. However, this shift also furthers an increasing trend of reliance on public acceptance to plan, implement and manage DRR measures. In this review, we examine how unique NbS characteristics relate to public acceptance through a comparison with grey measures, and we identify influential acceptance factors related to individuals, society, and DRR measures. Based on the review, we introduce the PA-NbS model that highlights the role of risk perception, trust, competing societal interests, and ecosystem services. Efforts to increase acceptance should focus on providing and promoting awareness of benefits combined with effective communication and collaboration. Further research is required to understand interconnections among identified factors and how they can be leveraged for the success and further uptake of NbS.","container-title":"Ambio","DOI":"10.1007/s13280-021-01502-4","ISSN":"0044-7447, 1654-7209","issue":"8","journalAbbreviation":"Ambio","language":"en","page":"1552-1573","source":"DOI.org (Crossref)","title":"A review of public acceptance of nature-based solutions: The ‘why’, ‘when’, and ‘how’ of success for disaster risk reduction measures","title-short":"A review of public acceptance of nature-based solutions","volume":"50","author":[{"family":"Anderson","given":"Carl C."},{"family":"Renaud","given":"Fabrice G."}],"issued":{"date-parts":[["2021",8]]}}}],"schema":"https://github.com/citation-style-language/schema/raw/master/csl-citation.json"} </w:instrText>
      </w:r>
      <w:r w:rsidR="00E07A73">
        <w:fldChar w:fldCharType="separate"/>
      </w:r>
      <w:r w:rsidR="00E07A73" w:rsidRPr="00E07A73">
        <w:rPr>
          <w:rFonts w:ascii="Calibri" w:hAnsi="Calibri" w:cs="Calibri"/>
        </w:rPr>
        <w:t>(Anderson and Renaud, 2021)</w:t>
      </w:r>
      <w:r w:rsidR="00E07A73">
        <w:fldChar w:fldCharType="end"/>
      </w:r>
    </w:p>
    <w:p w14:paraId="5860F502" w14:textId="77777777" w:rsidR="00133DC9" w:rsidRPr="00C05886" w:rsidRDefault="00133DC9" w:rsidP="000D4E14"/>
    <w:p w14:paraId="6D35C7C3" w14:textId="77777777" w:rsidR="00C12E53" w:rsidRPr="00C05886" w:rsidRDefault="00C12E53" w:rsidP="00BB6589"/>
    <w:p w14:paraId="136AE4C1" w14:textId="77777777" w:rsidR="0032320D" w:rsidRPr="00C05886" w:rsidRDefault="0032320D">
      <w:pPr>
        <w:spacing w:line="259" w:lineRule="auto"/>
        <w:rPr>
          <w:rFonts w:asciiTheme="majorHAnsi" w:eastAsiaTheme="majorEastAsia" w:hAnsiTheme="majorHAnsi" w:cstheme="majorBidi"/>
          <w:color w:val="2F5496" w:themeColor="accent1" w:themeShade="BF"/>
          <w:sz w:val="32"/>
          <w:szCs w:val="32"/>
        </w:rPr>
      </w:pPr>
      <w:bookmarkStart w:id="37" w:name="_Hlk139963838"/>
      <w:r w:rsidRPr="00C05886">
        <w:br w:type="page"/>
      </w:r>
    </w:p>
    <w:p w14:paraId="0154EFE1" w14:textId="600AA50E" w:rsidR="00C12E53" w:rsidRPr="00C05886" w:rsidRDefault="0032320D" w:rsidP="00C12E53">
      <w:pPr>
        <w:pStyle w:val="Heading1"/>
      </w:pPr>
      <w:bookmarkStart w:id="38" w:name="_Toc179962296"/>
      <w:r w:rsidRPr="00C05886">
        <w:lastRenderedPageBreak/>
        <w:t xml:space="preserve">Chapter 3 - </w:t>
      </w:r>
      <w:r w:rsidR="00C12E53" w:rsidRPr="00C05886">
        <w:t>Methodology</w:t>
      </w:r>
      <w:bookmarkEnd w:id="38"/>
    </w:p>
    <w:p w14:paraId="32834E06" w14:textId="77777777" w:rsidR="00C12E53" w:rsidRPr="00C05886" w:rsidRDefault="00C12E53" w:rsidP="001064E3"/>
    <w:p w14:paraId="72551A5D" w14:textId="77777777" w:rsidR="00C12E53" w:rsidRPr="00C05886" w:rsidRDefault="00C12E53" w:rsidP="00C12E53">
      <w:pPr>
        <w:pStyle w:val="Heading2"/>
      </w:pPr>
      <w:bookmarkStart w:id="39" w:name="_Toc179962297"/>
      <w:r w:rsidRPr="00C05886">
        <w:t>Introduction to the Chapter</w:t>
      </w:r>
      <w:bookmarkEnd w:id="39"/>
    </w:p>
    <w:p w14:paraId="45E1537D" w14:textId="13EB049D" w:rsidR="00C12E53" w:rsidRPr="00C05886" w:rsidRDefault="00C12E53" w:rsidP="00FD20F3">
      <w:r w:rsidRPr="00C05886">
        <w:t xml:space="preserve">The role of this Chapter is to illustrate the methodological choices made to address the research questions. Each of the paper-Chapters (4 to 7) will detail the materials and methods used, while this Chapter aims to </w:t>
      </w:r>
      <w:r w:rsidR="007A1181">
        <w:t>illustrate what was done in more general terms, as some of the approaches presented may be uncommon to landscape research</w:t>
      </w:r>
      <w:r w:rsidRPr="00C05886">
        <w:t>.</w:t>
      </w:r>
    </w:p>
    <w:p w14:paraId="704CC1A4" w14:textId="77777777" w:rsidR="00C12E53" w:rsidRPr="00C05886" w:rsidRDefault="00C12E53" w:rsidP="00FD20F3">
      <w:r w:rsidRPr="00C05886">
        <w:t>In the beginning, there will be a summary of the research questions, showing how these pertain to the quantitative domain. Following, the Chapter will introduce two concepts used in the experimental procedure: randomised trials and repeated measures. It will then move on to the practicalities, discussing the advantages and challenges of surveys as a tool for data collection, and also how to address the challenges when collecting data online. The media developed for this PhD project (i.e. 360-degree videos and tours) will be briefly described, focusing on their role in providing controlled exposure to green spaces. The second half of the Chapter will illustrate the measures used in the project. In particular, it will detail the choices concerning measuring biodiversity and perceived biodiversity. Then, the discussion will turn to measuring well-being, illustrating how psychological states and bodily functions (heart rate and brain activity) can reflect each other, and how this can improve the reliability of the evidence when investigating stress and recovery. At the end, a general experiment template will be presented.</w:t>
      </w:r>
    </w:p>
    <w:p w14:paraId="4BADAB9C" w14:textId="77777777" w:rsidR="00C12E53" w:rsidRPr="00C05886" w:rsidRDefault="00C12E53" w:rsidP="00C12E53">
      <w:pPr>
        <w:pStyle w:val="Heading3"/>
      </w:pPr>
      <w:bookmarkStart w:id="40" w:name="_Toc179962298"/>
      <w:r w:rsidRPr="00C05886">
        <w:t>Addressing the research questions</w:t>
      </w:r>
      <w:bookmarkEnd w:id="40"/>
    </w:p>
    <w:p w14:paraId="609D6366" w14:textId="77777777" w:rsidR="00C12E53" w:rsidRPr="00C05886" w:rsidRDefault="00C12E53" w:rsidP="000535B0">
      <w:r w:rsidRPr="00C05886">
        <w:t>At the start of this Chapter, it is useful to analyse the research questions from a more theoretical angle. Simplified to the bone, most of the research questions presented in Chapter 1 could also be expressed as:</w:t>
      </w:r>
    </w:p>
    <w:p w14:paraId="10FB3732" w14:textId="77777777" w:rsidR="00C12E53" w:rsidRPr="00C05886" w:rsidRDefault="00C12E53" w:rsidP="000535B0">
      <w:r w:rsidRPr="00C05886">
        <w:t>“Does more biodiversity provide more mental well-being?”</w:t>
      </w:r>
    </w:p>
    <w:p w14:paraId="1081254D" w14:textId="77777777" w:rsidR="00C12E53" w:rsidRPr="00C05886" w:rsidRDefault="00C12E53" w:rsidP="000535B0">
      <w:r w:rsidRPr="00C05886">
        <w:t xml:space="preserve">The question is clearly quantitative, as it implies a comparison of quantities of biodiversity and quantities of mental well-being. This question has been addressed in different ways in the various Chapters, each one introducing different constraints through different hypotheses. In general, the research question could look similar to a clinical trial, where the green space is the vector and the </w:t>
      </w:r>
      <w:r w:rsidRPr="00C05886">
        <w:lastRenderedPageBreak/>
        <w:t>biodiversity is the drug under analysis. Will a higher “dose” of biodiversity elicit more stress recovery than a lower dose?</w:t>
      </w:r>
    </w:p>
    <w:p w14:paraId="4580ADED" w14:textId="77777777" w:rsidR="00C12E53" w:rsidRPr="00C05886" w:rsidRDefault="00C12E53" w:rsidP="00C12E53">
      <w:pPr>
        <w:pStyle w:val="Heading3"/>
      </w:pPr>
      <w:bookmarkStart w:id="41" w:name="_Toc179962299"/>
      <w:r w:rsidRPr="00C05886">
        <w:t>Randomised trials</w:t>
      </w:r>
      <w:bookmarkEnd w:id="41"/>
    </w:p>
    <w:p w14:paraId="749D245A" w14:textId="77777777" w:rsidR="00C12E53" w:rsidRPr="00C05886" w:rsidRDefault="00C12E53" w:rsidP="000535B0">
      <w:r w:rsidRPr="00C05886">
        <w:t xml:space="preserve">To answer this question, it is necessary to compare the effect on at least two groups of participants, each exposed to a different treatment (i.e. a different level of biodiversity). These groups need to be comparable, in size and, most importantly, in quality, accounting for the many factors that may have an impact on the response. For instance, in the case of recovery from stress, age and gender are significant factors to account for </w:t>
      </w:r>
      <w:r w:rsidRPr="00C05886">
        <w:fldChar w:fldCharType="begin"/>
      </w:r>
      <w:r w:rsidRPr="00C05886">
        <w:instrText xml:space="preserve"> ADDIN ZOTERO_ITEM CSL_CITATION {"citationID":"tyv68cUE","properties":{"formattedCitation":"(Sousa {\\i{}et al.}, 2021)","plainCitation":"(Sousa et al., 2021)","noteIndex":0},"citationItems":[{"id":8527,"uris":["http://zotero.org/users/10951124/items/KYVHJVQ4"],"itemData":{"id":8527,"type":"article-journal","abstract":"Evolutionary perspectives of human behavior propose the existence of three emotion regulation systems (i.e., threat, drive and soothing systems). An unbalanced functioning of the systems represents greater risk for emotion dysregulation and psychopathology. In recent years, heart rate variability (HRV) has been reported as an accurate index of emotion regulation, and although adolescence is characterized by multiple neurophysiological, psychological and social changes, there is no study exploring the HRV patterns of each emotion regulation system in this developmental stage. In Study 1, a standardized procedure (SP) aiming to elicit the three different systems was developed and validated by experts (n = 14) and community adolescents (n = 31). In study 2, differences in HRV patterns across the three emotion regulation systems and across sex, were investigated in a sample of community adolescents (n = 155; 70 males), aged between 14 and 18 years old. Results showed that the threat and drive systems were associated with decreases in HRV, while the soothing system was associated with decreased heart rate. Sex differences were found for the activation of the threat system: while males maintained a decreasing trend in HRV indexes, from resting to recovery, females did not show a decrease in HRV during the activation of this system. Overall, physiological correlates of each specific emotion regulation system corroborate the theoretical assumptions. Moreover, a SP able to trigger each system independently while measuring physiological data is now available and can be used in future research.","container-title":"International Journal of Psychophysiology","DOI":"https://doi.org/10.1016/j.ijpsycho.2021.10.009","ISSN":"0167-8760","page":"156-167","title":"HRV patterns associated with different affect regulation systems: Sex differences in adolescents","volume":"170","author":[{"family":"Sousa","given":"Rúben"},{"family":"Petrocchi","given":"Nicola"},{"family":"Gilbert","given":"Paul"},{"family":"Rijo","given":"Daniel"}],"issued":{"date-parts":[["2021"]]}}}],"schema":"https://github.com/citation-style-language/schema/raw/master/csl-citation.json"} </w:instrText>
      </w:r>
      <w:r w:rsidRPr="00C05886">
        <w:fldChar w:fldCharType="separate"/>
      </w:r>
      <w:r w:rsidRPr="00C05886">
        <w:rPr>
          <w:rFonts w:ascii="Calibri" w:hAnsi="Calibri" w:cs="Calibri"/>
          <w:szCs w:val="24"/>
        </w:rPr>
        <w:t xml:space="preserve">(Sousa </w:t>
      </w:r>
      <w:r w:rsidRPr="00C05886">
        <w:rPr>
          <w:rFonts w:ascii="Calibri" w:hAnsi="Calibri" w:cs="Calibri"/>
          <w:i/>
          <w:iCs/>
          <w:szCs w:val="24"/>
        </w:rPr>
        <w:t>et al.</w:t>
      </w:r>
      <w:r w:rsidRPr="00C05886">
        <w:rPr>
          <w:rFonts w:ascii="Calibri" w:hAnsi="Calibri" w:cs="Calibri"/>
          <w:szCs w:val="24"/>
        </w:rPr>
        <w:t>, 2021)</w:t>
      </w:r>
      <w:r w:rsidRPr="00C05886">
        <w:fldChar w:fldCharType="end"/>
      </w:r>
      <w:r w:rsidRPr="00C05886">
        <w:t>. As shown in Chapter 2, there are so many factors that may affect mental well-being that it is not surprising that previous research has found sometimes contrasting results. Therefore, how to ensure that the experimental groups will be comparable? Enter randomisation.</w:t>
      </w:r>
    </w:p>
    <w:p w14:paraId="4B8886EF" w14:textId="77777777" w:rsidR="00C12E53" w:rsidRPr="00C05886" w:rsidRDefault="00C12E53" w:rsidP="000535B0">
      <w:r w:rsidRPr="00C05886">
        <w:t xml:space="preserve">Randomly assigning each participant to a treatment group or a placebo/control group is one of the most established tools to infer causal relationships </w:t>
      </w:r>
      <w:r w:rsidRPr="00C05886">
        <w:fldChar w:fldCharType="begin"/>
      </w:r>
      <w:r w:rsidRPr="00C05886">
        <w:instrText xml:space="preserve"> ADDIN ZOTERO_ITEM CSL_CITATION {"citationID":"FcayYP8H","properties":{"formattedCitation":"(Bloom, 2008)","plainCitation":"(Bloom, 2008)","noteIndex":0},"citationItems":[{"id":10877,"uris":["http://zotero.org/users/10951124/items/DASEVW6T"],"itemData":{"id":10877,"type":"chapter","container-title":"The SAGE Handbook of Social Research Methods","event-place":"London","note":"DOI: 10.4135/9781446212165","publisher":"SAGE Publications Ltd","publisher-place":"London","title":"The core analytics of randomized experiments for social research","URL":"https://methods.sagepub.com/book/the-sage-handbook-of-social-research-methods","author":[{"family":"Bloom","given":"Howard S."}],"container-author":[{"literal":"pages 115-133"}],"issued":{"date-parts":[["2008"]]}}}],"schema":"https://github.com/citation-style-language/schema/raw/master/csl-citation.json"} </w:instrText>
      </w:r>
      <w:r w:rsidRPr="00C05886">
        <w:fldChar w:fldCharType="separate"/>
      </w:r>
      <w:r w:rsidRPr="00C05886">
        <w:rPr>
          <w:rFonts w:ascii="Calibri" w:hAnsi="Calibri" w:cs="Calibri"/>
        </w:rPr>
        <w:t>(Bloom, 2008)</w:t>
      </w:r>
      <w:r w:rsidRPr="00C05886">
        <w:fldChar w:fldCharType="end"/>
      </w:r>
      <w:r w:rsidRPr="00C05886">
        <w:t>, as it allows to (theoretically) eliminate bias. More realistically, bias will be significantly reduced as, due to the laws of probability, most of the differences existing in a sampled population should be equally distributed across all treatment groups. This allows the validation of the treatment effect – i.e. if all groups are comparable, any effect is due to the treatment. In other words, randomisation increases internal validity. However, for a result to be completely unbiased and representative, randomisation should also be applied when sampling the population, which is usually unpractical in terms of time and cost. Moreover, there is always the possibility that someone assigned to the treatment group will not receive it (e.g. by not showing up or being distracted). These are common limitations for many experiments, especially when the sample size is restricted by budget.</w:t>
      </w:r>
    </w:p>
    <w:p w14:paraId="4FAD4A93" w14:textId="77777777" w:rsidR="00C12E53" w:rsidRPr="00C05886" w:rsidRDefault="00C12E53" w:rsidP="00B71AD6">
      <w:pPr>
        <w:pStyle w:val="Heading3"/>
      </w:pPr>
      <w:bookmarkStart w:id="42" w:name="_Toc179962300"/>
      <w:r w:rsidRPr="00C05886">
        <w:t>Repeated measures</w:t>
      </w:r>
      <w:bookmarkEnd w:id="42"/>
    </w:p>
    <w:p w14:paraId="4612DBBE" w14:textId="77777777" w:rsidR="00C12E53" w:rsidRPr="00C05886" w:rsidRDefault="00C12E53" w:rsidP="00087E64">
      <w:r w:rsidRPr="00C05886">
        <w:t xml:space="preserve">To strengthen the confidence in measuring the effect of a treatment, researchers often measure at least two times: 1) before the treatment (i.e. at the baseline) and 2) after the treatment. The repeated measures design allows for two empirical observations: first verify whether there was an effect (i.e. the two measurements are different) and, second, quantifying the effect (e.g. calculating the difference between the two measurements). The assumption here is that possible subjective factors tied to the participant (e.g. age, gender) should be similar between the two measurements if the time between them is relatively short. Therefore, any change in the response can be reasonably attributed to what happened between the two measurements (i.e. the treatment). </w:t>
      </w:r>
      <w:r w:rsidRPr="00C05886">
        <w:lastRenderedPageBreak/>
        <w:t xml:space="preserve">Introducing more measurement points in the procedure improves the precision of the estimates </w:t>
      </w:r>
      <w:r w:rsidRPr="00C05886">
        <w:fldChar w:fldCharType="begin"/>
      </w:r>
      <w:r w:rsidRPr="00C05886">
        <w:instrText xml:space="preserve"> ADDIN ZOTERO_ITEM CSL_CITATION {"citationID":"rtbADcQg","properties":{"formattedCitation":"(Clifford, Sheagley and Piston, 2021)","plainCitation":"(Clifford, Sheagley and Piston, 2021)","noteIndex":0},"citationItems":[{"id":9953,"uris":["http://zotero.org/users/10951124/items/ZVIHCC4Y"],"itemData":{"id":9953,"type":"article-journal","abstract":"The use of survey experiments has surged in political science. The most common design is the between-subjects design in which the outcome is only measured posttreatment. This design relies heavily on recruiting a large number of subjects to precisely estimate treatment effects. Alternative designs that involve repeated measurements of the dependent variable promise greater precision, but they are rarely used out of fears that these designs will yield different results than a standard design (e.g., due to consistency pressures). Across six studies, we assess this conventional wisdom by testing experimental designs against each other. Contrary to common fears, repeated measures designs tend to yield the same results as more common designs while substantially increasing precision. These designs also offer new insights into treatment effect size and heterogeneity. We conclude by encouraging researchers to adopt repeated measures designs and providing guidelines for when and how to use them.","container-title":"American Political Science Review","DOI":"10.1017/S0003055421000241","ISSN":"0003-0554, 1537-5943","issue":"3","journalAbbreviation":"Am Polit Sci Rev","language":"en","page":"1048-1065","source":"DOI.org (Crossref)","title":"Increasing Precision without Altering Treatment Effects: Repeated Measures Designs in Survey Experiments","title-short":"Increasing Precision without Altering Treatment Effects","volume":"115","author":[{"family":"Clifford","given":"Scott"},{"family":"Sheagley","given":"Geoffrey"},{"family":"Piston","given":"Spencer"}],"issued":{"date-parts":[["2021",8]]}}}],"schema":"https://github.com/citation-style-language/schema/raw/master/csl-citation.json"} </w:instrText>
      </w:r>
      <w:r w:rsidRPr="00C05886">
        <w:fldChar w:fldCharType="separate"/>
      </w:r>
      <w:r w:rsidRPr="00C05886">
        <w:rPr>
          <w:rFonts w:ascii="Calibri" w:hAnsi="Calibri" w:cs="Calibri"/>
        </w:rPr>
        <w:t>(Clifford, Sheagley and Piston, 2021)</w:t>
      </w:r>
      <w:r w:rsidRPr="00C05886">
        <w:fldChar w:fldCharType="end"/>
      </w:r>
      <w:r w:rsidRPr="00C05886">
        <w:t>.</w:t>
      </w:r>
    </w:p>
    <w:p w14:paraId="5C84E8E8" w14:textId="7416791B" w:rsidR="00C12E53" w:rsidRPr="00C05886" w:rsidRDefault="00C12E53" w:rsidP="00087E64">
      <w:r w:rsidRPr="00C05886">
        <w:t xml:space="preserve">This also allows for additional control of the variable of interest. For example, introducing a stressful task before exposing a participant to the green space is an effective way to make the effect of the green space on recovery more evident </w:t>
      </w:r>
      <w:r w:rsidRPr="00C05886">
        <w:fldChar w:fldCharType="begin"/>
      </w:r>
      <w:r w:rsidR="00FB3282" w:rsidRPr="00C05886">
        <w:instrText xml:space="preserve"> ADDIN ZOTERO_ITEM CSL_CITATION {"citationID":"IegIYg3n","properties":{"formattedCitation":"(Van Den Berg, Jorgensen and Wilson, 2014)","plainCitation":"(Van Den Berg, Jorgensen and Wilson, 2014)","noteIndex":0},"citationItems":[{"id":7023,"uris":["http://zotero.org/users/10951124/items/9KGD5Q28"],"itemData":{"id":7023,"type":"article-journal","abstract":"A growing body of research suggests that natural settings are more effective in providing restoration from depleted emotional and cognitive resources than built settings. However, there is a lack of evidence-based guidelines on which options for urban green space design and management are most effective in providing restoration. To address this need, the present study examined the restorative impacts of urban public spaces differing in naturalness. After having been pre-stressed by watching a scary movie, 102 participants were randomly assigned to viewing one of four photo/video presentations depicting an urban street, parkland, tended woodland, or wild woods. Self-reported mood and restorative state were measured at baseline, after the stressor and after viewing the environment. After controlling for stress reactivity, participants in the natural conditions showed stronger recovery on all dependent measures than those in the urban street condition. Differences in recovery among the natural settings did not reach significance. Keyword analysis revealed that the wild woods were described as more arousing than the parkland and tended woodland. There was substantial variation in recovery of vitality within natural conditions, which was related to perceptions of naturalness. In general, the findings suggest that restoration in urban public spaces depends on individual perceptions and needs as well as physical characteristics of the setting.","container-title":"Landscape and Urban Planning","DOI":"10.1016/j.landurbplan.2014.04.012","ISSN":"0169-2046","issue":"C","page":"173-181","title":"Evaluating restoration in urban green spaces: Does setting type make a difference?","volume":"127","author":[{"family":"Van Den Berg","given":"Agnes E"},{"family":"Jorgensen","given":"Anna"},{"family":"Wilson","given":"Edward R"}],"issued":{"date-parts":[["2014"]]}}}],"schema":"https://github.com/citation-style-language/schema/raw/master/csl-citation.json"} </w:instrText>
      </w:r>
      <w:r w:rsidRPr="00C05886">
        <w:fldChar w:fldCharType="separate"/>
      </w:r>
      <w:r w:rsidR="00FB3282" w:rsidRPr="00C05886">
        <w:rPr>
          <w:rFonts w:ascii="Calibri" w:hAnsi="Calibri" w:cs="Calibri"/>
        </w:rPr>
        <w:t>(Van Den Berg, Jorgensen and Wilson, 2014)</w:t>
      </w:r>
      <w:r w:rsidRPr="00C05886">
        <w:fldChar w:fldCharType="end"/>
      </w:r>
      <w:r w:rsidRPr="00C05886">
        <w:t xml:space="preserve">. In this project, since all participants were online and likely had different baseline stress levels, introducing a stressor ensured that all participants responded to the treatment starting from a comparable point. </w:t>
      </w:r>
    </w:p>
    <w:p w14:paraId="71E7E0CC" w14:textId="77777777" w:rsidR="00C12E53" w:rsidRPr="00C05886" w:rsidRDefault="00C12E53" w:rsidP="00B71AD6">
      <w:pPr>
        <w:pStyle w:val="Heading3"/>
      </w:pPr>
      <w:bookmarkStart w:id="43" w:name="_Toc179962301"/>
      <w:r w:rsidRPr="00C05886">
        <w:t>Analytic approach</w:t>
      </w:r>
      <w:bookmarkEnd w:id="43"/>
    </w:p>
    <w:p w14:paraId="67A7EE1D" w14:textId="77777777" w:rsidR="00C12E53" w:rsidRPr="00C05886" w:rsidRDefault="00C12E53" w:rsidP="00B71AD6">
      <w:pPr>
        <w:pStyle w:val="Heading4"/>
      </w:pPr>
      <w:r w:rsidRPr="00C05886">
        <w:t>Statistics</w:t>
      </w:r>
    </w:p>
    <w:p w14:paraId="3066C00E" w14:textId="77777777" w:rsidR="00C12E53" w:rsidRPr="00C05886" w:rsidRDefault="00C12E53" w:rsidP="00087E64">
      <w:r w:rsidRPr="00C05886">
        <w:t xml:space="preserve">The main statistical method used in this PhD project was the repeated measure mixed ANOVA, or simply mixed ANOVA </w:t>
      </w:r>
      <w:r w:rsidRPr="00C05886">
        <w:fldChar w:fldCharType="begin"/>
      </w:r>
      <w:r w:rsidRPr="00C05886">
        <w:instrText xml:space="preserve"> ADDIN ZOTERO_ITEM CSL_CITATION {"citationID":"5XTqMmcJ","properties":{"formattedCitation":"(Field, 2018)","plainCitation":"(Field, 2018)","dontUpdate":true,"noteIndex":0},"citationItems":[{"id":10878,"uris":["http://zotero.org/users/10951124/items/G4BCZHMK"],"itemData":{"id":10878,"type":"book","edition":"Fifth edition.","event-place":"Los Angeles","ISBN":"978-1-5264-1952-1","publisher":"Los Angeles : SAGE, 2018","publisher-place":"Los Angeles","title":"Discovering statistics using IBM SPSS statistics","author":[{"family":"Field","given":"Andy P"}],"issued":{"date-parts":[["2018"]]}}}],"schema":"https://github.com/citation-style-language/schema/raw/master/csl-citation.json"} </w:instrText>
      </w:r>
      <w:r w:rsidRPr="00C05886">
        <w:fldChar w:fldCharType="separate"/>
      </w:r>
      <w:r w:rsidRPr="00C05886">
        <w:rPr>
          <w:rFonts w:ascii="Calibri" w:hAnsi="Calibri" w:cs="Calibri"/>
        </w:rPr>
        <w:t>(Field, 2018; ch. 16)</w:t>
      </w:r>
      <w:r w:rsidRPr="00C05886">
        <w:fldChar w:fldCharType="end"/>
      </w:r>
      <w:r w:rsidRPr="00C05886">
        <w:t xml:space="preserve">. This is an extension of the one-way ANOVA, which is a test used to compare the means of a dependent variable between groups determined by an independent variable (e.g. the height of two groups of shrubs subjected to different irrigation regimes). The mixed ANOVA combines the one-way design and the repeated measure design, comparing the means between the experimental groups and between the measurement stages. In more technical terms the analysis considers both the differences within participants (e.g. how their negative affect varied during the experiment) and between participants (e.g. if the negative affect was different between groups of participants). For example, consider the following analysis extracted from Chapter 7. Two groups of participants were first stressed and then exposed to two different environments to relax: one group relaxed in a car park, the other in a green park. The procedure was identical for both groups, except for the place where they could relax. </w:t>
      </w:r>
    </w:p>
    <w:p w14:paraId="70E293AD" w14:textId="472EF10F" w:rsidR="00C12E53" w:rsidRPr="00C05886" w:rsidRDefault="00C12E53" w:rsidP="00087E64">
      <w:r w:rsidRPr="00C05886">
        <w:t xml:space="preserve">Table 1 shows that: a) the dependent variable (the Joviality score) varied during the procedure (i.e. at least one of the stages is different from the others); b) the two groups showed similar Joviality scores, averaging the three measurement points together. However, the mixed ANOVA introduces an interaction element, testing if the two groups were different at least at one of the measurement points. As shown in Figure </w:t>
      </w:r>
      <w:r w:rsidR="005D0E98" w:rsidRPr="00C05886">
        <w:t>2</w:t>
      </w:r>
      <w:r w:rsidRPr="00C05886">
        <w:t xml:space="preserve">, there was a clear difference between the two groups at stage 3 (the relaxation stage), indicating that relaxing in a vegetated park elicited more joviality than in a car park. </w:t>
      </w:r>
    </w:p>
    <w:p w14:paraId="2165673F" w14:textId="77777777" w:rsidR="005D0E98" w:rsidRPr="00C05886" w:rsidRDefault="005D0E98">
      <w:pPr>
        <w:spacing w:line="259" w:lineRule="auto"/>
        <w:jc w:val="left"/>
        <w:rPr>
          <w:i/>
          <w:iCs/>
          <w:color w:val="44546A" w:themeColor="text2"/>
          <w:kern w:val="2"/>
          <w:sz w:val="18"/>
          <w:szCs w:val="18"/>
          <w14:ligatures w14:val="standardContextual"/>
        </w:rPr>
      </w:pPr>
      <w:r w:rsidRPr="00C05886">
        <w:br w:type="page"/>
      </w:r>
    </w:p>
    <w:p w14:paraId="3F4855B3" w14:textId="09D4CF4F" w:rsidR="00C12E53" w:rsidRPr="00C05886" w:rsidRDefault="00C12E53" w:rsidP="003A3D5E">
      <w:pPr>
        <w:pStyle w:val="Caption"/>
        <w:keepNext/>
      </w:pPr>
      <w:r w:rsidRPr="00C05886">
        <w:lastRenderedPageBreak/>
        <w:t xml:space="preserve">Table </w:t>
      </w:r>
      <w:r w:rsidRPr="00C05886">
        <w:fldChar w:fldCharType="begin"/>
      </w:r>
      <w:r w:rsidRPr="00C05886">
        <w:instrText xml:space="preserve"> SEQ Table \* ARABIC </w:instrText>
      </w:r>
      <w:r w:rsidRPr="00C05886">
        <w:fldChar w:fldCharType="separate"/>
      </w:r>
      <w:r w:rsidR="00FD16CF">
        <w:rPr>
          <w:noProof/>
        </w:rPr>
        <w:t>1</w:t>
      </w:r>
      <w:r w:rsidRPr="00C05886">
        <w:fldChar w:fldCharType="end"/>
      </w:r>
      <w:r w:rsidRPr="00C05886">
        <w:t>. Example of mixed ANOVA</w:t>
      </w:r>
      <w:r w:rsidR="005D0E98" w:rsidRPr="00C05886">
        <w:t xml:space="preserve"> summary</w:t>
      </w:r>
    </w:p>
    <w:tbl>
      <w:tblPr>
        <w:tblStyle w:val="TableGrid"/>
        <w:tblW w:w="0" w:type="auto"/>
        <w:tblLook w:val="04A0" w:firstRow="1" w:lastRow="0" w:firstColumn="1" w:lastColumn="0" w:noHBand="0" w:noVBand="1"/>
      </w:tblPr>
      <w:tblGrid>
        <w:gridCol w:w="3209"/>
        <w:gridCol w:w="3209"/>
        <w:gridCol w:w="3210"/>
      </w:tblGrid>
      <w:tr w:rsidR="00C12E53" w:rsidRPr="00C05886" w14:paraId="3970FAA2" w14:textId="77777777" w:rsidTr="003A3D5E">
        <w:tc>
          <w:tcPr>
            <w:tcW w:w="3209" w:type="dxa"/>
          </w:tcPr>
          <w:p w14:paraId="550C85A0" w14:textId="77777777" w:rsidR="00C12E53" w:rsidRPr="00C05886" w:rsidRDefault="00C12E53" w:rsidP="00087E64">
            <w:r w:rsidRPr="00C05886">
              <w:t>Within-subjects test</w:t>
            </w:r>
          </w:p>
        </w:tc>
        <w:tc>
          <w:tcPr>
            <w:tcW w:w="3209" w:type="dxa"/>
          </w:tcPr>
          <w:p w14:paraId="5C6F1D8B" w14:textId="77777777" w:rsidR="00C12E53" w:rsidRPr="00C05886" w:rsidRDefault="00C12E53" w:rsidP="00087E64">
            <w:r w:rsidRPr="00C05886">
              <w:t>F = 14.808</w:t>
            </w:r>
          </w:p>
        </w:tc>
        <w:tc>
          <w:tcPr>
            <w:tcW w:w="3210" w:type="dxa"/>
          </w:tcPr>
          <w:p w14:paraId="2DCD5635" w14:textId="77777777" w:rsidR="00C12E53" w:rsidRPr="00C05886" w:rsidRDefault="00C12E53" w:rsidP="00087E64">
            <w:r w:rsidRPr="00C05886">
              <w:t>P-value = 0.001</w:t>
            </w:r>
          </w:p>
        </w:tc>
      </w:tr>
      <w:tr w:rsidR="00C12E53" w:rsidRPr="00C05886" w14:paraId="70030513" w14:textId="77777777" w:rsidTr="003A3D5E">
        <w:tc>
          <w:tcPr>
            <w:tcW w:w="3209" w:type="dxa"/>
          </w:tcPr>
          <w:p w14:paraId="3E4BE85A" w14:textId="77777777" w:rsidR="00C12E53" w:rsidRPr="00C05886" w:rsidRDefault="00C12E53" w:rsidP="003A3D5E">
            <w:r w:rsidRPr="00C05886">
              <w:t>Between-groups test</w:t>
            </w:r>
          </w:p>
        </w:tc>
        <w:tc>
          <w:tcPr>
            <w:tcW w:w="3209" w:type="dxa"/>
          </w:tcPr>
          <w:p w14:paraId="011D93D3" w14:textId="77777777" w:rsidR="00C12E53" w:rsidRPr="00C05886" w:rsidRDefault="00C12E53" w:rsidP="003A3D5E">
            <w:r w:rsidRPr="00C05886">
              <w:t>F = 1.006</w:t>
            </w:r>
          </w:p>
        </w:tc>
        <w:tc>
          <w:tcPr>
            <w:tcW w:w="3210" w:type="dxa"/>
          </w:tcPr>
          <w:p w14:paraId="66BCB1EF" w14:textId="77777777" w:rsidR="00C12E53" w:rsidRPr="00C05886" w:rsidRDefault="00C12E53" w:rsidP="003A3D5E">
            <w:r w:rsidRPr="00C05886">
              <w:t>P-value = 0.318</w:t>
            </w:r>
          </w:p>
        </w:tc>
      </w:tr>
      <w:tr w:rsidR="00C12E53" w:rsidRPr="00C05886" w14:paraId="76454057" w14:textId="77777777" w:rsidTr="003A3D5E">
        <w:tc>
          <w:tcPr>
            <w:tcW w:w="3209" w:type="dxa"/>
          </w:tcPr>
          <w:p w14:paraId="3EE69ABF" w14:textId="77777777" w:rsidR="00C12E53" w:rsidRPr="00C05886" w:rsidRDefault="00C12E53" w:rsidP="003A3D5E">
            <w:r w:rsidRPr="00C05886">
              <w:t>Interaction test</w:t>
            </w:r>
          </w:p>
        </w:tc>
        <w:tc>
          <w:tcPr>
            <w:tcW w:w="3209" w:type="dxa"/>
          </w:tcPr>
          <w:p w14:paraId="2FCB5A25" w14:textId="77777777" w:rsidR="00C12E53" w:rsidRPr="00C05886" w:rsidRDefault="00C12E53" w:rsidP="003A3D5E">
            <w:r w:rsidRPr="00C05886">
              <w:t>F = 14.328</w:t>
            </w:r>
          </w:p>
        </w:tc>
        <w:tc>
          <w:tcPr>
            <w:tcW w:w="3210" w:type="dxa"/>
          </w:tcPr>
          <w:p w14:paraId="274DFF3B" w14:textId="77777777" w:rsidR="00C12E53" w:rsidRPr="00C05886" w:rsidRDefault="00C12E53" w:rsidP="003A3D5E">
            <w:r w:rsidRPr="00C05886">
              <w:t>P-value = 0.001</w:t>
            </w:r>
          </w:p>
        </w:tc>
      </w:tr>
    </w:tbl>
    <w:p w14:paraId="59C23580" w14:textId="77777777" w:rsidR="00C12E53" w:rsidRPr="00C05886" w:rsidRDefault="00C12E53" w:rsidP="00087E64"/>
    <w:p w14:paraId="0A8B5EEC" w14:textId="77777777" w:rsidR="00C12E53" w:rsidRPr="00C05886" w:rsidRDefault="00C12E53" w:rsidP="003A3D5E">
      <w:pPr>
        <w:keepNext/>
      </w:pPr>
      <w:r w:rsidRPr="00134B49">
        <w:rPr>
          <w:noProof/>
        </w:rPr>
        <w:drawing>
          <wp:inline distT="0" distB="0" distL="0" distR="0" wp14:anchorId="3E2B08CD" wp14:editId="13FD7046">
            <wp:extent cx="5298097" cy="3124200"/>
            <wp:effectExtent l="0" t="0" r="0" b="0"/>
            <wp:docPr id="3949679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302324" cy="3126693"/>
                    </a:xfrm>
                    <a:prstGeom prst="rect">
                      <a:avLst/>
                    </a:prstGeom>
                    <a:noFill/>
                  </pic:spPr>
                </pic:pic>
              </a:graphicData>
            </a:graphic>
          </wp:inline>
        </w:drawing>
      </w:r>
    </w:p>
    <w:p w14:paraId="1FC53B09" w14:textId="545AD06E" w:rsidR="00C12E53" w:rsidRPr="00C05886" w:rsidRDefault="00C12E53" w:rsidP="00D77C99">
      <w:pPr>
        <w:pStyle w:val="Caption"/>
      </w:pPr>
      <w:r w:rsidRPr="00C05886">
        <w:t xml:space="preserve">Figure </w:t>
      </w:r>
      <w:r w:rsidR="005D0E98" w:rsidRPr="00C05886">
        <w:t>2</w:t>
      </w:r>
      <w:r w:rsidRPr="00C05886">
        <w:t>. Example of mixed ANOVA. Stage 1 = baseline Joviality, 2 = post-stressor Joviality, 3 post-treatment Joviality.</w:t>
      </w:r>
    </w:p>
    <w:p w14:paraId="6C767DB1" w14:textId="3760192C" w:rsidR="00C12E53" w:rsidRPr="00C05886" w:rsidRDefault="00675563" w:rsidP="00B71AD6">
      <w:pPr>
        <w:pStyle w:val="Heading4"/>
      </w:pPr>
      <w:r>
        <w:t xml:space="preserve">Quantitative </w:t>
      </w:r>
      <w:r w:rsidR="00C12E53" w:rsidRPr="00C05886">
        <w:t>Content analysis</w:t>
      </w:r>
    </w:p>
    <w:p w14:paraId="18C0DCB3" w14:textId="0927A750" w:rsidR="00C12E53" w:rsidRPr="00C05886" w:rsidRDefault="00C12E53" w:rsidP="00D77C99">
      <w:r w:rsidRPr="00C05886">
        <w:t xml:space="preserve">Photographs (Chapter 4) and answers to open questions (Chapters 5 and 6) </w:t>
      </w:r>
      <w:r w:rsidR="00675563">
        <w:t>were analysed with</w:t>
      </w:r>
      <w:r w:rsidRPr="00C05886">
        <w:t xml:space="preserve"> </w:t>
      </w:r>
      <w:r w:rsidR="00675563">
        <w:t xml:space="preserve">quantitative </w:t>
      </w:r>
      <w:r w:rsidRPr="00C05886">
        <w:t>content analysis</w:t>
      </w:r>
      <w:r w:rsidR="00675563">
        <w:t>, which</w:t>
      </w:r>
      <w:r w:rsidRPr="00C05886">
        <w:t xml:space="preserve"> is a “systematic quantitative analysis of message characteristics” </w:t>
      </w:r>
      <w:r w:rsidRPr="00C05886">
        <w:fldChar w:fldCharType="begin"/>
      </w:r>
      <w:r w:rsidRPr="00C05886">
        <w:instrText xml:space="preserve"> ADDIN ZOTERO_ITEM CSL_CITATION {"citationID":"BRhX8yPX","properties":{"formattedCitation":"(Neuendorf, 2017)","plainCitation":"(Neuendorf, 2017)","noteIndex":0},"citationItems":[{"id":9148,"uris":["http://zotero.org/users/10951124/items/JM7R66WG"],"itemData":{"id":9148,"type":"document","note":"DOI: 10.4135/9781071802878\npublisher-place: Thousand Oaks, California","title":"The Content Analysis Guidebook","URL":"https://methods.sagepub.com/book/the-content-analysis-guidebook-2e","author":[{"family":"Neuendorf","given":"Kimberly A"}],"issued":{"date-parts":[["2017"]]}}}],"schema":"https://github.com/citation-style-language/schema/raw/master/csl-citation.json"} </w:instrText>
      </w:r>
      <w:r w:rsidRPr="00C05886">
        <w:fldChar w:fldCharType="separate"/>
      </w:r>
      <w:r w:rsidRPr="00C05886">
        <w:rPr>
          <w:rFonts w:ascii="Calibri" w:hAnsi="Calibri" w:cs="Calibri"/>
        </w:rPr>
        <w:t>(Neuendorf, 2017)</w:t>
      </w:r>
      <w:r w:rsidRPr="00C05886">
        <w:fldChar w:fldCharType="end"/>
      </w:r>
      <w:r w:rsidRPr="00C05886">
        <w:t xml:space="preserve">, in which words or images are categorised (“coded”) in order to “count” how many times a specific answer was given. </w:t>
      </w:r>
      <w:r w:rsidR="00675563">
        <w:t>The reason to do this was to</w:t>
      </w:r>
      <w:r w:rsidRPr="00C05886">
        <w:t xml:space="preserve"> produce descriptive statistics (e.g. how many participants noticed </w:t>
      </w:r>
      <w:r w:rsidR="00675563">
        <w:t xml:space="preserve">the </w:t>
      </w:r>
      <w:r w:rsidRPr="00C05886">
        <w:t xml:space="preserve">flowers) and </w:t>
      </w:r>
      <w:r w:rsidR="00675563">
        <w:t>identify sub-groups in the sample that could be</w:t>
      </w:r>
      <w:r w:rsidR="00675563" w:rsidRPr="00C05886">
        <w:t xml:space="preserve"> </w:t>
      </w:r>
      <w:r w:rsidRPr="00C05886">
        <w:t>test</w:t>
      </w:r>
      <w:r w:rsidR="00675563">
        <w:t>ed</w:t>
      </w:r>
      <w:r w:rsidRPr="00C05886">
        <w:t xml:space="preserve"> statistically (e.g. were those who noticed the flowers more joyful than the others?).</w:t>
      </w:r>
      <w:r w:rsidR="00BC457E">
        <w:t xml:space="preserve"> </w:t>
      </w:r>
      <w:r w:rsidR="00110BC5">
        <w:t>In chapters 5</w:t>
      </w:r>
      <w:r w:rsidR="003D251C">
        <w:t>-6</w:t>
      </w:r>
      <w:r w:rsidR="00110BC5">
        <w:t xml:space="preserve"> t</w:t>
      </w:r>
      <w:r w:rsidR="00BC457E">
        <w:t>he approach to coding was primarily deductive</w:t>
      </w:r>
      <w:r w:rsidR="008137B3">
        <w:t xml:space="preserve"> and looked for </w:t>
      </w:r>
      <w:r w:rsidR="00110BC5">
        <w:t>words indicating whether the participant had noticed the species shown in the video/virtual tour</w:t>
      </w:r>
      <w:r w:rsidR="001C5A6D">
        <w:t xml:space="preserve"> (e.g. “trees”)</w:t>
      </w:r>
      <w:r w:rsidR="00110BC5">
        <w:t>.</w:t>
      </w:r>
      <w:r w:rsidR="00DD3CD9">
        <w:t xml:space="preserve"> </w:t>
      </w:r>
      <w:r w:rsidR="001C5A6D">
        <w:t xml:space="preserve">Following </w:t>
      </w:r>
      <w:r w:rsidR="001C5A6D">
        <w:fldChar w:fldCharType="begin"/>
      </w:r>
      <w:r w:rsidR="002C4256">
        <w:instrText xml:space="preserve"> ADDIN ZOTERO_ITEM CSL_CITATION {"citationID":"GKbZdfC0","properties":{"formattedCitation":"(Krippendorff, 2019)","plainCitation":"(Krippendorff, 2019)","dontUpdate":true,"noteIndex":0},"citationItems":[{"id":11285,"uris":["http://zotero.org/users/10951124/items/R4W4B7JY"],"itemData":{"id":11285,"type":"chapter","container-title":"Content Analysis: An Introduction to Its Methodology","edition":"Fourth Edition","event-place":"Thousand Oaks","note":"DOI: 10.4135/9781071878781","publisher":"SAGE Publications, Inc.","publisher-place":"Thousand Oaks","title":"Recording/coding.","URL":"https://methods.sagepub.com/book/content-analysis-4e","author":[{"family":"Krippendorff","given":"Klaus"}],"container-author":[{"literal":"pages 128-156"}],"issued":{"date-parts":[["2019"]]}}}],"schema":"https://github.com/citation-style-language/schema/raw/master/csl-citation.json"} </w:instrText>
      </w:r>
      <w:r w:rsidR="001C5A6D">
        <w:fldChar w:fldCharType="separate"/>
      </w:r>
      <w:r w:rsidR="001C5A6D" w:rsidRPr="001C5A6D">
        <w:rPr>
          <w:rFonts w:ascii="Calibri" w:hAnsi="Calibri" w:cs="Calibri"/>
        </w:rPr>
        <w:t xml:space="preserve">Krippendorff </w:t>
      </w:r>
      <w:r w:rsidR="001C5A6D">
        <w:rPr>
          <w:rFonts w:ascii="Calibri" w:hAnsi="Calibri" w:cs="Calibri"/>
        </w:rPr>
        <w:t>(</w:t>
      </w:r>
      <w:r w:rsidR="001C5A6D" w:rsidRPr="001C5A6D">
        <w:rPr>
          <w:rFonts w:ascii="Calibri" w:hAnsi="Calibri" w:cs="Calibri"/>
        </w:rPr>
        <w:t>2019)</w:t>
      </w:r>
      <w:r w:rsidR="001C5A6D">
        <w:fldChar w:fldCharType="end"/>
      </w:r>
      <w:r w:rsidR="001C5A6D">
        <w:t>, the entire comment written by the participant (usually a single sentence) was used as the “context unit” t</w:t>
      </w:r>
      <w:r w:rsidR="003D251C">
        <w:t xml:space="preserve">o ensure a correct categorisation of the content. </w:t>
      </w:r>
      <w:r w:rsidR="001C5A6D">
        <w:t xml:space="preserve"> </w:t>
      </w:r>
      <w:r w:rsidR="00DD3CD9">
        <w:t xml:space="preserve">One of the advantages of deductive coding is </w:t>
      </w:r>
      <w:r w:rsidR="003D251C">
        <w:t xml:space="preserve">its “intercoder reliability” </w:t>
      </w:r>
      <w:r w:rsidR="003D251C">
        <w:fldChar w:fldCharType="begin"/>
      </w:r>
      <w:r w:rsidR="003D251C">
        <w:instrText xml:space="preserve"> ADDIN ZOTERO_ITEM CSL_CITATION {"citationID":"KgZtK6z0","properties":{"formattedCitation":"(Coe and Scacco, 2017)","plainCitation":"(Coe and Scacco, 2017)","noteIndex":0},"citationItems":[{"id":11268,"uris":["http://zotero.org/users/10951124/items/L2ID5K6T"],"itemData":{"id":11268,"type":"chapter","abstract":"Quantitative content analysis is a research method in which features of textual, visual, or aural material are systematically categorized and recorded so that they can be analyzed. Widely employed in the field of communication, it also has utility in a range of other fields. Central to content analysis is the process of coding, which involves following a set of instructions about what features to look for in a text and then making the designated notation when that feature appears. Conducting a successful content analysis requires careful attention to unitizing (segmenting the texts for analysis), sampling (selecting an appropriate collection of units to analyze), reliability (different researchers making codes consistently), and validity (using a coding scheme that adequately represents the specified phenomena).","container-title":"The International Encyclopedia of Communication Research Methods","edition":"1","ISBN":"978-1-118-90176-2","language":"en","license":"http://doi.wiley.com/10.1002/tdm_license_1.1","note":"DOI: 10.1002/9781118901731.iecrm0045","page":"1-11","publisher":"Wiley","source":"DOI.org (Crossref)","title":"Content Analysis, Quantitative","URL":"https://onlinelibrary.wiley.com/doi/10.1002/9781118901731.iecrm0045","editor":[{"family":"Matthes","given":"Jörg"},{"family":"Davis","given":"Christine S."},{"family":"Potter","given":"Robert F."}],"author":[{"family":"Coe","given":"Kevin"},{"family":"Scacco","given":"Joshua M."}],"accessed":{"date-parts":[["2024",9,5]]},"issued":{"date-parts":[["2017",11,7]]}}}],"schema":"https://github.com/citation-style-language/schema/raw/master/csl-citation.json"} </w:instrText>
      </w:r>
      <w:r w:rsidR="003D251C">
        <w:fldChar w:fldCharType="separate"/>
      </w:r>
      <w:r w:rsidR="003D251C" w:rsidRPr="003D251C">
        <w:rPr>
          <w:rFonts w:ascii="Calibri" w:hAnsi="Calibri" w:cs="Calibri"/>
        </w:rPr>
        <w:t>(Coe and Scacco, 2017)</w:t>
      </w:r>
      <w:r w:rsidR="003D251C">
        <w:fldChar w:fldCharType="end"/>
      </w:r>
      <w:r w:rsidR="003D251C">
        <w:t xml:space="preserve">, meaning that different coders should reach the same coding results by following the predetermined coding definitions. However, this </w:t>
      </w:r>
      <w:r w:rsidR="009E7A9F">
        <w:t xml:space="preserve">requires the codes to be exhaustive (i.e. categorising all the </w:t>
      </w:r>
      <w:r w:rsidR="009E7A9F">
        <w:lastRenderedPageBreak/>
        <w:t xml:space="preserve">possible meanings of the code) and mutually exclusive </w:t>
      </w:r>
      <w:r w:rsidR="009E7A9F">
        <w:fldChar w:fldCharType="begin"/>
      </w:r>
      <w:r w:rsidR="009E7A9F">
        <w:instrText xml:space="preserve"> ADDIN ZOTERO_ITEM CSL_CITATION {"citationID":"ouqq9YKc","properties":{"formattedCitation":"(Krippendorff, 2019)","plainCitation":"(Krippendorff, 2019)","noteIndex":0},"citationItems":[{"id":11285,"uris":["http://zotero.org/users/10951124/items/R4W4B7JY"],"itemData":{"id":11285,"type":"chapter","container-title":"Content Analysis: An Introduction to Its Methodology","edition":"Fourth Edition","event-place":"Thousand Oaks","note":"DOI: 10.4135/9781071878781","publisher":"SAGE Publications, Inc.","publisher-place":"Thousand Oaks","title":"Recording/coding.","URL":"https://methods.sagepub.com/book/content-analysis-4e","author":[{"family":"Krippendorff","given":"Klaus"}],"container-author":[{"literal":"pages 128-156"}],"issued":{"date-parts":[["2019"]]}}}],"schema":"https://github.com/citation-style-language/schema/raw/master/csl-citation.json"} </w:instrText>
      </w:r>
      <w:r w:rsidR="009E7A9F">
        <w:fldChar w:fldCharType="separate"/>
      </w:r>
      <w:r w:rsidR="009E7A9F" w:rsidRPr="009E7A9F">
        <w:rPr>
          <w:rFonts w:ascii="Calibri" w:hAnsi="Calibri" w:cs="Calibri"/>
        </w:rPr>
        <w:t>(Krippendorff, 2019)</w:t>
      </w:r>
      <w:r w:rsidR="009E7A9F">
        <w:fldChar w:fldCharType="end"/>
      </w:r>
      <w:r w:rsidR="00F110E3">
        <w:t>, which is sometimes difficult to achieve when coding non-textual material (e.g. photographs) with a predetermined code instruction</w:t>
      </w:r>
      <w:r w:rsidR="009E7A9F">
        <w:t>. One of the disadvantages of the deductive approach is that it prevents the coding of more subtle themes/dimensions which could be important for the interpretation of the</w:t>
      </w:r>
      <w:r w:rsidR="00646A0C">
        <w:t xml:space="preserve"> results. </w:t>
      </w:r>
      <w:r w:rsidR="00F110E3">
        <w:t>Therefore</w:t>
      </w:r>
      <w:r w:rsidR="00E4164E">
        <w:t>,</w:t>
      </w:r>
      <w:r w:rsidR="00F110E3">
        <w:t xml:space="preserve"> a combination of deduction and induction is frequently used in content analysis, </w:t>
      </w:r>
      <w:r w:rsidR="00E4164E">
        <w:t xml:space="preserve">as it allows the post-hoc consideration of variables that, although not considered initially, may be “critical” for </w:t>
      </w:r>
      <w:r w:rsidR="001F3B63">
        <w:t>interpreting</w:t>
      </w:r>
      <w:r w:rsidR="00E4164E">
        <w:t xml:space="preserve"> the context or the medium </w:t>
      </w:r>
      <w:r w:rsidR="00E4164E">
        <w:fldChar w:fldCharType="begin"/>
      </w:r>
      <w:r w:rsidR="002C4256">
        <w:instrText xml:space="preserve"> ADDIN ZOTERO_ITEM CSL_CITATION {"citationID":"BmYu4FvC","properties":{"formattedCitation":"(Neuendorf, 2017)","plainCitation":"(Neuendorf, 2017)","dontUpdate":true,"noteIndex":0},"citationItems":[{"id":9148,"uris":["http://zotero.org/users/10951124/items/JM7R66WG"],"itemData":{"id":9148,"type":"document","note":"DOI: 10.4135/9781071802878\npublisher-place: Thousand Oaks, California","title":"The Content Analysis Guidebook","URL":"https://methods.sagepub.com/book/the-content-analysis-guidebook-2e","author":[{"family":"Neuendorf","given":"Kimberly A"}],"issued":{"date-parts":[["2017"]]}}}],"schema":"https://github.com/citation-style-language/schema/raw/master/csl-citation.json"} </w:instrText>
      </w:r>
      <w:r w:rsidR="00E4164E">
        <w:fldChar w:fldCharType="separate"/>
      </w:r>
      <w:r w:rsidR="00E4164E" w:rsidRPr="00E4164E">
        <w:rPr>
          <w:rFonts w:ascii="Calibri" w:hAnsi="Calibri" w:cs="Calibri"/>
        </w:rPr>
        <w:t>(Neuendorf, 2017</w:t>
      </w:r>
      <w:r w:rsidR="00E4164E">
        <w:rPr>
          <w:rFonts w:ascii="Calibri" w:hAnsi="Calibri" w:cs="Calibri"/>
        </w:rPr>
        <w:t>; p. 97</w:t>
      </w:r>
      <w:r w:rsidR="00E4164E" w:rsidRPr="00E4164E">
        <w:rPr>
          <w:rFonts w:ascii="Calibri" w:hAnsi="Calibri" w:cs="Calibri"/>
        </w:rPr>
        <w:t>)</w:t>
      </w:r>
      <w:r w:rsidR="00E4164E">
        <w:fldChar w:fldCharType="end"/>
      </w:r>
      <w:r w:rsidR="00E4164E">
        <w:t>.</w:t>
      </w:r>
    </w:p>
    <w:p w14:paraId="39DF79FF" w14:textId="514A4F79" w:rsidR="00C12E53" w:rsidRPr="00C05886" w:rsidRDefault="00C12E53" w:rsidP="00B71AD6">
      <w:pPr>
        <w:pStyle w:val="Heading2"/>
      </w:pPr>
      <w:bookmarkStart w:id="44" w:name="_Toc179962302"/>
      <w:r w:rsidRPr="00C05886">
        <w:t>Data collection</w:t>
      </w:r>
      <w:bookmarkEnd w:id="44"/>
    </w:p>
    <w:p w14:paraId="4D58039A" w14:textId="2AD7C3A1" w:rsidR="00C12E53" w:rsidRPr="00C05886" w:rsidRDefault="00C12E53" w:rsidP="006218CD">
      <w:r w:rsidRPr="00C05886">
        <w:t>Due to the social restrictions imposed by the pandemic for almost two years (2021-2022), designing a face-to-face experiment was not feasible</w:t>
      </w:r>
      <w:r w:rsidR="0035244F" w:rsidRPr="00C05886">
        <w:t xml:space="preserve"> for </w:t>
      </w:r>
      <w:r w:rsidR="005D5A08">
        <w:t>most</w:t>
      </w:r>
      <w:r w:rsidR="0035244F" w:rsidRPr="00C05886">
        <w:t xml:space="preserve"> part of the project</w:t>
      </w:r>
      <w:r w:rsidRPr="00C05886">
        <w:t>. Therefore, with the exception of Chapter 4, which analysed secondary data,</w:t>
      </w:r>
      <w:r w:rsidR="005D5A08">
        <w:t xml:space="preserve"> and Chapter 7, which includes a </w:t>
      </w:r>
      <w:r w:rsidR="001F3B63">
        <w:t>face-to-face</w:t>
      </w:r>
      <w:r w:rsidR="005D5A08">
        <w:t xml:space="preserve"> sample,</w:t>
      </w:r>
      <w:r w:rsidRPr="00C05886">
        <w:t xml:space="preserve"> </w:t>
      </w:r>
      <w:r w:rsidR="00707C18" w:rsidRPr="00C05886">
        <w:t>most</w:t>
      </w:r>
      <w:r w:rsidRPr="00C05886">
        <w:t xml:space="preserve"> primary data for this PhD were collected online with surveys. Surveys are one of the most used tools to collect quantitative data in the social sciences, including experimental data </w:t>
      </w:r>
      <w:r w:rsidRPr="00C05886">
        <w:fldChar w:fldCharType="begin"/>
      </w:r>
      <w:r w:rsidRPr="00C05886">
        <w:instrText xml:space="preserve"> ADDIN ZOTERO_ITEM CSL_CITATION {"citationID":"sU6rgBoI","properties":{"formattedCitation":"(Gaines, Kuklinski and Quirk, 2007)","plainCitation":"(Gaines, Kuklinski and Quirk, 2007)","noteIndex":0},"citationItems":[{"id":4940,"uris":["http://zotero.org/users/10951124/items/HFVD89QM"],"itemData":{"id":4940,"type":"article-journal","abstract":"Scholars of political behavior increasingly embed experimental designs in opinion surveys by randomly assigning respondents alternative versions of questionnaire items. Such experiments have major advantages: they are simple to implement and they dodge some of the difficulties of making inferences from conventional survey data. But survey experiments are no panacea. We identify problems of inference associated with typical uses of survey experiments in political science and highlight a range of difficulties, some of which have straightforward solutions within the survey-experimental approach and some of which can be dealt with only by exercising greater caution in interpreting findings and bringing to bear alternative strategies of research. © 2007 Oxford University Press.","container-title":"Political Analysis","DOI":"10.1093/pan/mpl008","ISSN":"10471987","issue":"1","page":"1-20","title":"The logic of the survey experiment reexamined","volume":"15","author":[{"family":"Gaines","given":"Brian J."},{"family":"Kuklinski","given":"James H."},{"family":"Quirk","given":"Paul J."}],"issued":{"date-parts":[["2007"]]}}}],"schema":"https://github.com/citation-style-language/schema/raw/master/csl-citation.json"} </w:instrText>
      </w:r>
      <w:r w:rsidRPr="00C05886">
        <w:fldChar w:fldCharType="separate"/>
      </w:r>
      <w:r w:rsidRPr="00C05886">
        <w:rPr>
          <w:rFonts w:ascii="Calibri" w:hAnsi="Calibri" w:cs="Calibri"/>
        </w:rPr>
        <w:t>(Gaines, Kuklinski and Quirk, 2007)</w:t>
      </w:r>
      <w:r w:rsidRPr="00C05886">
        <w:fldChar w:fldCharType="end"/>
      </w:r>
      <w:r w:rsidRPr="00C05886">
        <w:t>. Compared to qualitative methods, the main limitation of this approach is that the data has usually limited depth of information, which is often synthesised into proxies to convey the bigger picture at the expense of the detail.</w:t>
      </w:r>
    </w:p>
    <w:p w14:paraId="448F0E3A" w14:textId="21ABDA74" w:rsidR="00C12E53" w:rsidRPr="00C05886" w:rsidRDefault="00C12E53" w:rsidP="006218CD">
      <w:r w:rsidRPr="00C05886">
        <w:t xml:space="preserve">Online data collection </w:t>
      </w:r>
      <w:r w:rsidR="005D5A08">
        <w:t>can be</w:t>
      </w:r>
      <w:r w:rsidRPr="00C05886">
        <w:t xml:space="preserve"> asynchronous, as the researcher and the participant </w:t>
      </w:r>
      <w:r w:rsidR="005D5A08">
        <w:t>might</w:t>
      </w:r>
      <w:r w:rsidR="005D5A08" w:rsidRPr="00C05886">
        <w:t xml:space="preserve"> </w:t>
      </w:r>
      <w:r w:rsidRPr="00C05886">
        <w:t>not</w:t>
      </w:r>
      <w:r w:rsidR="005D5A08">
        <w:t xml:space="preserve"> be</w:t>
      </w:r>
      <w:r w:rsidRPr="00C05886">
        <w:t xml:space="preserve"> present at the same time. </w:t>
      </w:r>
      <w:r w:rsidR="005D5A08">
        <w:t>In such case</w:t>
      </w:r>
      <w:r w:rsidRPr="00C05886">
        <w:t xml:space="preserve">, collecting data relies heavily on the goodwill and engagement of the respondent. One of the most important factors for engagement is the survey duration, which is directly related to the response/completion rate </w:t>
      </w:r>
      <w:r w:rsidRPr="00C05886">
        <w:fldChar w:fldCharType="begin"/>
      </w:r>
      <w:r w:rsidRPr="00C05886">
        <w:instrText xml:space="preserve"> ADDIN ZOTERO_ITEM CSL_CITATION {"citationID":"5h1OTp9H","properties":{"formattedCitation":"(Liu and Wronski, 2018)","plainCitation":"(Liu and Wronski, 2018)","noteIndex":0},"citationItems":[{"id":9957,"uris":["http://zotero.org/users/10951124/items/CAQRX4K3"],"itemData":{"id":9957,"type":"article-journal","abstract":"A survey’s completion rate is one of its most important data quality measures. There are quite a few published studies examining web survey completion rate through experimental approaches. In this study, we expand the existing literature by examining the predictors of web survey completion rate using 25,080 real-world web surveys conducted by a single online panel. Our findings are consistent with the literature on some dimensions, such as finding a negative relationship between completion rate and survey length and question difficulty. Also, surveys without progress bars have higher completion rates than surveys with progress bars. This study also generates new insights into survey design features, such as the impact of the first question type and length on completion rate.","container-title":"Social Science Computer Review","DOI":"10.1177/0894439317695581","ISSN":"0894-4393, 1552-8286","issue":"1","journalAbbreviation":"Social Science Computer Review","language":"en","page":"116-124","source":"DOI.org (Crossref)","title":"Examining Completion Rates in Web Surveys via Over 25,000 Real-World Surveys","volume":"36","author":[{"family":"Liu","given":"Mingnan"},{"family":"Wronski","given":"Laura"}],"issued":{"date-parts":[["2018",2]]}}}],"schema":"https://github.com/citation-style-language/schema/raw/master/csl-citation.json"} </w:instrText>
      </w:r>
      <w:r w:rsidRPr="00C05886">
        <w:fldChar w:fldCharType="separate"/>
      </w:r>
      <w:r w:rsidRPr="00C05886">
        <w:rPr>
          <w:rFonts w:ascii="Calibri" w:hAnsi="Calibri" w:cs="Calibri"/>
        </w:rPr>
        <w:t>(Liu and Wronski, 2018)</w:t>
      </w:r>
      <w:r w:rsidRPr="00C05886">
        <w:fldChar w:fldCharType="end"/>
      </w:r>
      <w:r w:rsidRPr="00C05886">
        <w:t xml:space="preserve">. The longer the survey, the harder it will be to collect a complete response. Online, potential participants </w:t>
      </w:r>
      <w:r w:rsidR="005D5A08">
        <w:t>can be</w:t>
      </w:r>
      <w:r w:rsidR="005D5A08" w:rsidRPr="00C05886">
        <w:t xml:space="preserve"> </w:t>
      </w:r>
      <w:r w:rsidR="005D5A08">
        <w:t>subjected</w:t>
      </w:r>
      <w:r w:rsidR="005D5A08" w:rsidRPr="00C05886">
        <w:t xml:space="preserve"> </w:t>
      </w:r>
      <w:r w:rsidR="005D5A08">
        <w:t>to</w:t>
      </w:r>
      <w:r w:rsidR="005D5A08" w:rsidRPr="00C05886">
        <w:t xml:space="preserve"> </w:t>
      </w:r>
      <w:r w:rsidRPr="00C05886">
        <w:t>competing stimuli</w:t>
      </w:r>
      <w:r w:rsidR="005D5A08">
        <w:t xml:space="preserve"> (e.g. notifications)</w:t>
      </w:r>
      <w:r w:rsidRPr="00C05886">
        <w:t xml:space="preserve"> and can easily close the survey page once their patience is exhausted. Therefore, the survey experiment had to be as short as possible. Informed by previous empirical evidence </w:t>
      </w:r>
      <w:r w:rsidRPr="00C05886">
        <w:fldChar w:fldCharType="begin"/>
      </w:r>
      <w:r w:rsidRPr="00C05886">
        <w:instrText xml:space="preserve"> ADDIN ZOTERO_ITEM CSL_CITATION {"citationID":"xX7t9AyQ","properties":{"formattedCitation":"(Deutskens {\\i{}et al.}, 2004; Galesic and Bosnjak, 2009)","plainCitation":"(Deutskens et al., 2004; Galesic and Bosnjak, 2009)","noteIndex":0},"citationItems":[{"id":9960,"uris":["http://zotero.org/users/10951124/items/HGZ6PF48"],"itemData":{"id":9960,"type":"article-journal","container-title":"Marketing Letters","DOI":"10.1023/B:MARK.0000021968.86465.00","ISSN":"0923-0645","issue":"1","journalAbbreviation":"Marketing Letters","language":"en","page":"21-36","source":"DOI.org (Crossref)","title":"Response Rate and Response Quality of Internet-Based Surveys: An Experimental Study","title-short":"Response Rate and Response Quality of Internet-Based Surveys","volume":"15","author":[{"family":"Deutskens","given":"Elisabeth"},{"family":"De Ruyter","given":"Ko"},{"family":"Wetzels","given":"Martin"},{"family":"Oosterveld","given":"Paul"}],"issued":{"date-parts":[["2004",2]]}}},{"id":9959,"uris":["http://zotero.org/users/10951124/items/M8MGDILH"],"itemData":{"id":9959,"type":"article-journal","container-title":"Public Opinion Quarterly","DOI":"10.1093/poq/nfp031","ISSN":"0033-362X, 1537-5331","issue":"2","journalAbbreviation":"Public Opinion Quarterly","language":"en","page":"349-360","source":"DOI.org (Crossref)","title":"Effects of Questionnaire Length on Participation and Indicators of Response Quality in a Web Survey","volume":"73","author":[{"family":"Galesic","given":"M."},{"family":"Bosnjak","given":"M."}],"issued":{"date-parts":[["2009",6,1]]}}}],"schema":"https://github.com/citation-style-language/schema/raw/master/csl-citation.json"} </w:instrText>
      </w:r>
      <w:r w:rsidRPr="00C05886">
        <w:fldChar w:fldCharType="separate"/>
      </w:r>
      <w:r w:rsidRPr="00C05886">
        <w:rPr>
          <w:rFonts w:ascii="Calibri" w:hAnsi="Calibri" w:cs="Calibri"/>
          <w:szCs w:val="24"/>
        </w:rPr>
        <w:t xml:space="preserve">(Deutskens </w:t>
      </w:r>
      <w:r w:rsidRPr="00C05886">
        <w:rPr>
          <w:rFonts w:ascii="Calibri" w:hAnsi="Calibri" w:cs="Calibri"/>
          <w:i/>
          <w:iCs/>
          <w:szCs w:val="24"/>
        </w:rPr>
        <w:t>et al.</w:t>
      </w:r>
      <w:r w:rsidRPr="00C05886">
        <w:rPr>
          <w:rFonts w:ascii="Calibri" w:hAnsi="Calibri" w:cs="Calibri"/>
          <w:szCs w:val="24"/>
        </w:rPr>
        <w:t>, 2004; Galesic and Bosnjak, 2009)</w:t>
      </w:r>
      <w:r w:rsidRPr="00C05886">
        <w:fldChar w:fldCharType="end"/>
      </w:r>
      <w:r w:rsidRPr="00C05886">
        <w:t xml:space="preserve">, a target duration of 10 minutes was established to minimise the dropout rate. Overall, all surveys developed for this PhD had an estimated completion time of 10 to 15 minutes. Further, the survey questions had to be easy to understand </w:t>
      </w:r>
      <w:r w:rsidRPr="00C05886">
        <w:fldChar w:fldCharType="begin"/>
      </w:r>
      <w:r w:rsidRPr="00C05886">
        <w:instrText xml:space="preserve"> ADDIN ZOTERO_ITEM CSL_CITATION {"citationID":"JQlF7BKo","properties":{"formattedCitation":"(Liu and Wronski, 2018)","plainCitation":"(Liu and Wronski, 2018)","noteIndex":0},"citationItems":[{"id":9957,"uris":["http://zotero.org/users/10951124/items/CAQRX4K3"],"itemData":{"id":9957,"type":"article-journal","abstract":"A survey’s completion rate is one of its most important data quality measures. There are quite a few published studies examining web survey completion rate through experimental approaches. In this study, we expand the existing literature by examining the predictors of web survey completion rate using 25,080 real-world web surveys conducted by a single online panel. Our findings are consistent with the literature on some dimensions, such as finding a negative relationship between completion rate and survey length and question difficulty. Also, surveys without progress bars have higher completion rates than surveys with progress bars. This study also generates new insights into survey design features, such as the impact of the first question type and length on completion rate.","container-title":"Social Science Computer Review","DOI":"10.1177/0894439317695581","ISSN":"0894-4393, 1552-8286","issue":"1","journalAbbreviation":"Social Science Computer Review","language":"en","page":"116-124","source":"DOI.org (Crossref)","title":"Examining Completion Rates in Web Surveys via Over 25,000 Real-World Surveys","volume":"36","author":[{"family":"Liu","given":"Mingnan"},{"family":"Wronski","given":"Laura"}],"issued":{"date-parts":[["2018",2]]}}}],"schema":"https://github.com/citation-style-language/schema/raw/master/csl-citation.json"} </w:instrText>
      </w:r>
      <w:r w:rsidRPr="00C05886">
        <w:fldChar w:fldCharType="separate"/>
      </w:r>
      <w:r w:rsidRPr="00C05886">
        <w:rPr>
          <w:rFonts w:ascii="Calibri" w:hAnsi="Calibri" w:cs="Calibri"/>
        </w:rPr>
        <w:t>(Liu and Wronski, 2018)</w:t>
      </w:r>
      <w:r w:rsidRPr="00C05886">
        <w:fldChar w:fldCharType="end"/>
      </w:r>
      <w:r w:rsidRPr="00C05886">
        <w:t xml:space="preserve"> as well as reliable – i.e. widely tested on a large population. As detailed in Chapters 5 to 7, the surveys were built by combining standardised questionnaires from the UK Census for demographics </w:t>
      </w:r>
      <w:r w:rsidRPr="00C05886">
        <w:fldChar w:fldCharType="begin"/>
      </w:r>
      <w:r w:rsidRPr="00C05886">
        <w:instrText xml:space="preserve"> ADDIN ZOTERO_ITEM CSL_CITATION {"citationID":"JtulGsPK","properties":{"formattedCitation":"(Statistics, 2016)","plainCitation":"(Statistics, 2016)","noteIndex":0},"citationItems":[{"id":7856,"uris":["http://zotero.org/users/10951124/items/SHI4KWEY"],"itemData":{"id":7856,"type":"webpage","abstract":"Measuring equality: A guide for the collection and classification of ethnic group, national identity and religion data in the UK.","container-title":"Ons.Gov.Uk","title":"Ethnic group, national identity and religion","URL":"https://www.ons.gov.uk/methodology/classificationsandstandards/measuringequality/ethnicgroupnationalidentityandreligion","author":[{"family":"Statistics","given":"Office of National"}],"accessed":{"date-parts":[["2021",8,3]]},"issued":{"date-parts":[["2016"]]}}}],"schema":"https://github.com/citation-style-language/schema/raw/master/csl-citation.json"} </w:instrText>
      </w:r>
      <w:r w:rsidRPr="00C05886">
        <w:fldChar w:fldCharType="separate"/>
      </w:r>
      <w:r w:rsidRPr="00C05886">
        <w:rPr>
          <w:rFonts w:ascii="Calibri" w:hAnsi="Calibri" w:cs="Calibri"/>
        </w:rPr>
        <w:t>(Statistics, 2016)</w:t>
      </w:r>
      <w:r w:rsidRPr="00C05886">
        <w:fldChar w:fldCharType="end"/>
      </w:r>
      <w:r w:rsidRPr="00C05886">
        <w:t xml:space="preserve"> with validated psychological scales</w:t>
      </w:r>
      <w:r w:rsidR="005D5A08">
        <w:t>.</w:t>
      </w:r>
    </w:p>
    <w:p w14:paraId="3F219466" w14:textId="58E853AE" w:rsidR="00C12E53" w:rsidRDefault="00C12E53" w:rsidP="006218CD">
      <w:r w:rsidRPr="00C05886">
        <w:lastRenderedPageBreak/>
        <w:t xml:space="preserve">Another challenge of </w:t>
      </w:r>
      <w:r w:rsidR="005D5A08">
        <w:t>this kind of online surveys</w:t>
      </w:r>
      <w:r w:rsidRPr="00C05886">
        <w:t xml:space="preserve"> is the limited control of the researcher over the participant experience. Different participants will likely take part at different times of the day, with different levels of engagement and using different devices. A way to peer through these uncertainties was analysing the Metadata – i.e. the information embedded in the response. Metadata included temporal information (e.g. date and time of the participation), geographical information (through the IP address) and technical information. For instance, it was possible to know the type of device used to participate, along with its screen resolution, the browser version and the operative system. Although not related directly to the experimental variables, these indicators provided useful hints for understanding the participant experience and informed decisions about data, such as the exclusion from the analysis. For instance, in Chapter 5, the information sheet recommended that the participant use a large screen (laptop or larger) to maximise the effect of the treatment video. With metadata, it was possible to see if the participant complied or not and to test, statistically, if the size of the screen determined a significant difference in the response. Since the analysis did not show a difference between laptop users and smartphone users, complete responses provided via smartphone were included to increase representativeness </w:t>
      </w:r>
      <w:r w:rsidRPr="00C05886">
        <w:fldChar w:fldCharType="begin"/>
      </w:r>
      <w:r w:rsidRPr="00C05886">
        <w:instrText xml:space="preserve"> ADDIN ZOTERO_ITEM CSL_CITATION {"citationID":"gwVoWqBD","properties":{"formattedCitation":"(Brosnan, Gr\\uc0\\u252{}n and Dolnicar, 2017)","plainCitation":"(Brosnan, Grün and Dolnicar, 2017)","noteIndex":0},"citationItems":[{"id":9955,"uris":["http://zotero.org/users/10951124/items/8NNK5DEL"],"itemData":{"id":9955,"type":"article-journal","abstract":"This study investigates whether it is the case that representativity is undermined if personal computer, tablet and smartphone respondents differ in socio-demographic characteristics and display different survey completion rates. Online market research is struggling with sample representativity. The analysis of more than ten million survey invitations, as well as stated device preference information, suggests that web survey respondents who are members of online panels still mostly use their personal computers, but do express increasing interest in using smartphones and tablets. Survey completion rates do vary across devices, and device use is significantly associated with socio-demographic characteristics and length of membership on a panel. Therefore, researchers must not limit respondents to use a specific device for completing a survey as this may compromise the quality of the survey completion experience, increase non-response error and negatively affect representativity.","container-title":"International Journal of Market Research","DOI":"10.2501/IJMR-2016-049","ISSN":"1470-7853","issue":"1","note":"publisher: SAGE Publications","page":"35-55","title":"PC, Phone or Tablet?: Use, Preference and Completion Rates for Web Surveys","volume":"59","author":[{"family":"Brosnan","given":"Kylie"},{"family":"Grün","given":"Bettina"},{"family":"Dolnicar","given":"Sara"}],"issued":{"date-parts":[["2017",1,1]]}}}],"schema":"https://github.com/citation-style-language/schema/raw/master/csl-citation.json"} </w:instrText>
      </w:r>
      <w:r w:rsidRPr="00C05886">
        <w:fldChar w:fldCharType="separate"/>
      </w:r>
      <w:r w:rsidRPr="00C05886">
        <w:rPr>
          <w:rFonts w:ascii="Calibri" w:hAnsi="Calibri" w:cs="Calibri"/>
          <w:szCs w:val="24"/>
        </w:rPr>
        <w:t>(Brosnan, Grün and Dolnicar, 2017)</w:t>
      </w:r>
      <w:r w:rsidRPr="00C05886">
        <w:fldChar w:fldCharType="end"/>
      </w:r>
      <w:r w:rsidRPr="00C05886">
        <w:t>.</w:t>
      </w:r>
    </w:p>
    <w:p w14:paraId="1DD5BC24" w14:textId="70038B60" w:rsidR="00347195" w:rsidRDefault="00347195" w:rsidP="005D7515">
      <w:pPr>
        <w:pStyle w:val="Heading3"/>
      </w:pPr>
      <w:bookmarkStart w:id="45" w:name="_Toc179962303"/>
      <w:r>
        <w:t>Target population and sampling</w:t>
      </w:r>
      <w:bookmarkEnd w:id="45"/>
    </w:p>
    <w:p w14:paraId="0DEF5622" w14:textId="78363F85" w:rsidR="00347195" w:rsidRDefault="00120E59" w:rsidP="006218CD">
      <w:r>
        <w:t xml:space="preserve">The population of interest for this PhD was that of young adults aged 18-35. Considering the start during the second part of the Covid-19 pandemic, this age group, which includes university students, was deemed to be the most accessible, due to its relatively high familiarity with online surveys and online videos. Further, students are known to experience high stress levels due to their academic work </w:t>
      </w:r>
      <w:r w:rsidR="002C4256">
        <w:fldChar w:fldCharType="begin"/>
      </w:r>
      <w:r w:rsidR="002C4256">
        <w:instrText xml:space="preserve"> ADDIN ZOTERO_ITEM CSL_CITATION {"citationID":"P78btHLE","properties":{"formattedCitation":"(Robotham and Julian, 2006; Hipp {\\i{}et al.}, 2016; Browning {\\i{}et al.}, 2023)","plainCitation":"(Robotham and Julian, 2006; Hipp et al., 2016; Browning et al., 2023)","noteIndex":0},"citationItems":[{"id":11297,"uris":["http://zotero.org/users/10951124/items/QRYM4PNW"],"itemData":{"id":11297,"type":"article-journal","container-title":"Journal of Further and Higher Education","DOI":"10.1080/03098770600617513","ISSN":"0309-877X, 1469-9486","issue":"2","journalAbbreviation":"Journal of Further and Higher Education","language":"en","page":"107-117","source":"DOI.org (Crossref)","title":"Stress and the higher education student: a critical review of the literature","title-short":"Stress and the higher education student","volume":"30","author":[{"family":"Robotham","given":"David"},{"family":"Julian","given":"Claire"}],"issued":{"date-parts":[["2006",5]]}}},{"id":5746,"uris":["http://zotero.org/users/10951124/items/B8NRKGWY"],"itemData":{"id":5746,"type":"article-journal","abstract":"University students are exposed to many stressors, necessitating opportunities for restoration. Research has indicated that actual experiences in nearby green spaces are associated with restorative psychological and physiological health benefits. However, the perception of greenness and restorativeness of environments might also impact health outcomes. Can green campus spaces provide restorative potential to university students? Do students perceive the greenness and restorative benefits? To explore these questions, students at three universities (convenience sample) were surveyed with items on perceived greenness of campus, perceived restorativeness of campus, and the World Health Organization Quality-of-Life Scale. Results indicate that those with higher perceived campus greenness report greater quality of life, a pathway significantly and partially mediated by perceived campus restorativeness. Future research should help identify effective ways in which university green spaces can be developed as health resources for students.","container-title":"Environment and Behavior","DOI":"10.1177/0013916515598200","ISSN":"0013-9165","issue":"10","note":"publisher: Sage Publications\npublisher-place: Hipp, J. Aaron: Department of Parks, Recreation, and Tourism Management, North Carolina State University, 5124 Jordan Hall, Campus Box 8004, Raleigh, NC, US, 27695, jahipp@ncsu.edu","page":"1292-1308","title":"The Relationship Between Perceived Greenness and Perceived Restorativeness of University Campuses and Student-Reported Quality of Life","volume":"48","author":[{"family":"Hipp","given":"J. Aaron"},{"family":"Gulwadi","given":"Gowri Betrabet"},{"family":"Alves","given":"Susana"},{"family":"Sequeira","given":"Sonia"}],"editor":[{"family":"Adams Arnett, Atri, Banning, Carrus, Chiesura, Coombes, Dyson, Fan, Felsten, Giles-Corti, Hansen-Ketchum, Hartig, Hartig, Hartig, Hipp, Honold, Jorgensen, Kaplan, Kelz, Korpela, Korpela, Kuh, Kuo, Kuo, Lau, Maas, McFarland, Ogunseitan, Rawson, Seitz, Ske","given":"Arbogast"}],"issued":{"date-parts":[["2016",12,28]]}}},{"id":10002,"uris":["http://zotero.org/users/10951124/items/Y7JU7YJ7"],"itemData":{"id":10002,"type":"article-journal","abstract":"Abstract\n            Exposure to natural environments offers an array of mental health benefits. Virtual reality provides simulated experiences of being in nature when outdoor access is limited. Previous studies on virtual nature have focused mainly on single \"doses\" of virtual nature. The effects of repeated exposure remain poorly understood. Motivated by this gap, we studied the influence of a daily virtual nature intervention on symptoms of anxiety, depression, and an underlying cause of poor mental health: rumination. Forty college students (58% non-Hispanic White, median age = 19) were recruited from two U.S. universities and randomly assigned to the intervention or control group. Over several weeks, anxious arousal (panic) and anxious apprehension (worry) decreased with virtual nature exposure. Participants identifying as women, past VR users, experienced with the outdoors, and engaged with the beauty in nature benefited particularly strongly from virtual nature. Virtual nature did not help symptoms of anhedonic depression or rumination. Further research is necessary to distinguish when and for whom virtual nature interventions impact mental health outcomes.","container-title":"Scientific Reports","DOI":"10.1038/s41598-023-28070-9","ISSN":"2045-2322","issue":"1","journalAbbreviation":"Sci Rep","language":"en","page":"1239","source":"DOI.org (Crossref)","title":"Daily exposure to virtual nature reduces symptoms of anxiety in college students","volume":"13","author":[{"family":"Browning","given":"Matthew H. E. M."},{"family":"Shin","given":"Seunguk"},{"family":"Drong","given":"Gabrielle"},{"family":"McAnirlin","given":"Olivia"},{"family":"Gagnon","given":"Ryan J."},{"family":"Ranganathan","given":"Shyam"},{"family":"Sindelar","given":"Kailan"},{"family":"Hoptman","given":"David"},{"family":"Bratman","given":"Gregory N."},{"family":"Yuan","given":"Shuai"},{"family":"Prabhu","given":"Vishnunarayan Girishan"},{"family":"Heller","given":"Wendy"}],"issued":{"date-parts":[["2023",1,23]]}}}],"schema":"https://github.com/citation-style-language/schema/raw/master/csl-citation.json"} </w:instrText>
      </w:r>
      <w:r w:rsidR="002C4256">
        <w:fldChar w:fldCharType="separate"/>
      </w:r>
      <w:r w:rsidR="002C4256" w:rsidRPr="002C4256">
        <w:rPr>
          <w:rFonts w:ascii="Calibri" w:hAnsi="Calibri" w:cs="Calibri"/>
          <w:szCs w:val="24"/>
        </w:rPr>
        <w:t xml:space="preserve">(Robotham and Julian, 2006; Hipp </w:t>
      </w:r>
      <w:r w:rsidR="002C4256" w:rsidRPr="002C4256">
        <w:rPr>
          <w:rFonts w:ascii="Calibri" w:hAnsi="Calibri" w:cs="Calibri"/>
          <w:i/>
          <w:iCs/>
          <w:szCs w:val="24"/>
        </w:rPr>
        <w:t>et al.</w:t>
      </w:r>
      <w:r w:rsidR="002C4256" w:rsidRPr="002C4256">
        <w:rPr>
          <w:rFonts w:ascii="Calibri" w:hAnsi="Calibri" w:cs="Calibri"/>
          <w:szCs w:val="24"/>
        </w:rPr>
        <w:t xml:space="preserve">, 2016; Browning </w:t>
      </w:r>
      <w:r w:rsidR="002C4256" w:rsidRPr="002C4256">
        <w:rPr>
          <w:rFonts w:ascii="Calibri" w:hAnsi="Calibri" w:cs="Calibri"/>
          <w:i/>
          <w:iCs/>
          <w:szCs w:val="24"/>
        </w:rPr>
        <w:t>et al.</w:t>
      </w:r>
      <w:r w:rsidR="002C4256" w:rsidRPr="002C4256">
        <w:rPr>
          <w:rFonts w:ascii="Calibri" w:hAnsi="Calibri" w:cs="Calibri"/>
          <w:szCs w:val="24"/>
        </w:rPr>
        <w:t>, 2023)</w:t>
      </w:r>
      <w:r w:rsidR="002C4256">
        <w:fldChar w:fldCharType="end"/>
      </w:r>
      <w:r>
        <w:t>, which is theoretically advantageous when attempting to observe a stress and recovery process</w:t>
      </w:r>
      <w:r w:rsidR="002C4256">
        <w:t xml:space="preserve"> </w:t>
      </w:r>
      <w:r w:rsidR="002C4256">
        <w:fldChar w:fldCharType="begin"/>
      </w:r>
      <w:r w:rsidR="002C4256">
        <w:instrText xml:space="preserve"> ADDIN ZOTERO_ITEM CSL_CITATION {"citationID":"jWrJIUJx","properties":{"formattedCitation":"(Ulrich {\\i{}et al.}, 1991)","plainCitation":"(Ulrich et al., 1991)","noteIndex":0},"citationItems":[{"id":6345,"uris":["http://zotero.org/users/10951124/items/FZSVSHF3"],"itemData":{"id":6345,"type":"article-journal","abstract":"Different conceptual perspectives converge to predict that if individuals are stressed, an encounter with most unthreatening natural environments will have a stress reducing or restorative influence, whereas many urban environments will hamper recuperation. Hypotheses regarding emotional, attentional and physiological aspects of stress reducing influences of nature are derived from a psycho-evolutionary theory. To investigate these hypotheses, 120 subjects first viewed a stressful movie, and then were exposed to color/sound videotapes of one of six different natural and urban settings. Data concerning stress recovery during the environmental presentations were obtained from self-ratings of affective states and a battery of physiological measures: heart period, muscle tension, skin conductance and pulse transit time, a non-invasive measure that correlates with systolic blood pressure. Findings from the physiological and verbal measures converged to indicate that recovery was faster and more complete when subjects were exposed to natural rather than urban environments. The pattern of physiological findings raised the possibility that responses to nature had a salient parasympathetic nervous system component; however, there was no evidence of pronounced parasympathetic involvement in responses to the urban settings. There were directional differences in cardiac responses to the natural vs urban settings, suggesting that attention/intake was higher during the natural exposures. However, both the stressor film and the nature settings elicited high levels of involuntary or automatic attention, which contradicts the notion that restorative influences of nature stem from involuntary attention or fascination. Findings were consistent with the predictions of the psycho-evolutionary theory that restorative influences of nature involve a shift towards a more positively-toned emotional state, positive changes in physiological activity levels, and that these changes are accompanied by sustained attention/intake. Content differences in terms of natural vs human-made properties appeared decisive in accounting for the differences in recuperation and perceptual intake. © 1991 Academic Press Limited.","container-title":"Journal of Environmental Psychology","DOI":"10.1016/S0272-4944(05)80184-7","ISSN":"15229610","issue":"3","page":"201-230","title":"Stress recovery during exposure to natural and urban environments","volume":"11","author":[{"family":"Ulrich","given":"Roger S."},{"family":"Simons","given":"Robert F."},{"family":"Losito","given":"Barbara D."},{"family":"Fiorito","given":"Evelyn"},{"family":"Miles","given":"Mark A."},{"family":"Zelson","given":"Michael"}],"issued":{"date-parts":[["1991"]]}}}],"schema":"https://github.com/citation-style-language/schema/raw/master/csl-citation.json"} </w:instrText>
      </w:r>
      <w:r w:rsidR="002C4256">
        <w:fldChar w:fldCharType="separate"/>
      </w:r>
      <w:r w:rsidR="002C4256" w:rsidRPr="002C4256">
        <w:rPr>
          <w:rFonts w:ascii="Calibri" w:hAnsi="Calibri" w:cs="Calibri"/>
          <w:szCs w:val="24"/>
        </w:rPr>
        <w:t xml:space="preserve">(Ulrich </w:t>
      </w:r>
      <w:r w:rsidR="002C4256" w:rsidRPr="002C4256">
        <w:rPr>
          <w:rFonts w:ascii="Calibri" w:hAnsi="Calibri" w:cs="Calibri"/>
          <w:i/>
          <w:iCs/>
          <w:szCs w:val="24"/>
        </w:rPr>
        <w:t>et al.</w:t>
      </w:r>
      <w:r w:rsidR="002C4256" w:rsidRPr="002C4256">
        <w:rPr>
          <w:rFonts w:ascii="Calibri" w:hAnsi="Calibri" w:cs="Calibri"/>
          <w:szCs w:val="24"/>
        </w:rPr>
        <w:t>, 1991)</w:t>
      </w:r>
      <w:r w:rsidR="002C4256">
        <w:fldChar w:fldCharType="end"/>
      </w:r>
      <w:r>
        <w:t>.</w:t>
      </w:r>
    </w:p>
    <w:p w14:paraId="7FED4048" w14:textId="526F4910" w:rsidR="00F269D7" w:rsidRDefault="00F269D7" w:rsidP="006218CD">
      <w:r>
        <w:t>To increase the representativeness of the project, the participation was however open to the other age groups</w:t>
      </w:r>
      <w:r w:rsidR="00990FF9">
        <w:t xml:space="preserve"> (see Chapters 6 and 7)</w:t>
      </w:r>
      <w:r>
        <w:t>, with the only potential barrier being the English language of the survey (which was kept simple) and digital literacy. In one of the studies (Chapter 6)</w:t>
      </w:r>
      <w:r w:rsidR="007A1181">
        <w:t>,</w:t>
      </w:r>
      <w:r>
        <w:t xml:space="preserve"> the survey </w:t>
      </w:r>
      <w:r w:rsidR="007A1181">
        <w:t>was translated into Standard Chinese</w:t>
      </w:r>
      <w:r w:rsidR="001F5A12">
        <w:t xml:space="preserve"> to further broaden the scope of the research.</w:t>
      </w:r>
    </w:p>
    <w:p w14:paraId="50588FEC" w14:textId="39E4211B" w:rsidR="001F5A12" w:rsidRPr="00C05886" w:rsidRDefault="001F5A12" w:rsidP="006218CD">
      <w:r>
        <w:t>Considering the above, the sampling approach used in all experiments was non-probabilistic (e.g. based on convenience)</w:t>
      </w:r>
      <w:r w:rsidR="00990FF9">
        <w:t xml:space="preserve">. All participants willing to take part in the studies </w:t>
      </w:r>
      <w:r w:rsidR="001F3B63">
        <w:t>were</w:t>
      </w:r>
      <w:r w:rsidR="00990FF9">
        <w:t xml:space="preserve"> selected until reaching a sufficient sample size to ensure good statistical power. The main disadvantage of convenience sampling is </w:t>
      </w:r>
      <w:r w:rsidR="00931B15">
        <w:t>that it limits the generalisability of the results, as the sample</w:t>
      </w:r>
      <w:r w:rsidR="00C65C01">
        <w:t>d</w:t>
      </w:r>
      <w:r w:rsidR="00931B15">
        <w:t xml:space="preserve"> population </w:t>
      </w:r>
      <w:r w:rsidR="00931B15">
        <w:lastRenderedPageBreak/>
        <w:t>is usually not representative</w:t>
      </w:r>
      <w:r w:rsidR="00C65C01">
        <w:t xml:space="preserve"> of the general population</w:t>
      </w:r>
      <w:r w:rsidR="00931B15">
        <w:t xml:space="preserve">. However, convenience sampling does not limit the internal validity </w:t>
      </w:r>
      <w:r w:rsidR="00C65C01">
        <w:t xml:space="preserve">(i.e. the possibility of identifying </w:t>
      </w:r>
      <w:r w:rsidR="001F3B63">
        <w:t>causal</w:t>
      </w:r>
      <w:r w:rsidR="00C65C01">
        <w:t xml:space="preserve"> links between a stimulus and a response)</w:t>
      </w:r>
      <w:r w:rsidR="00931B15">
        <w:t>, provided the sample size is appropriate for the</w:t>
      </w:r>
      <w:r w:rsidR="00C65C01">
        <w:t xml:space="preserve"> experiment and participants are randomly assigned to control and treatment groups </w:t>
      </w:r>
      <w:r w:rsidR="00C65C01">
        <w:fldChar w:fldCharType="begin"/>
      </w:r>
      <w:r w:rsidR="00C65C01">
        <w:instrText xml:space="preserve"> ADDIN ZOTERO_ITEM CSL_CITATION {"citationID":"Vc7OLsHE","properties":{"formattedCitation":"(Sedgwick, 2013)","plainCitation":"(Sedgwick, 2013)","noteIndex":0},"citationItems":[{"id":11298,"uris":["http://zotero.org/users/10951124/items/C59JFQFC"],"itemData":{"id":11298,"type":"article-journal","container-title":"BMJ","DOI":"10.1136/bmj.f6304","ISSN":"1756-1833","issue":"oct25 2","journalAbbreviation":"BMJ","language":"en","page":"f6304-f6304","source":"DOI.org (Crossref)","title":"Convenience sampling","volume":"347","author":[{"family":"Sedgwick","given":"P."}],"issued":{"date-parts":[["2013",10,25]]}}}],"schema":"https://github.com/citation-style-language/schema/raw/master/csl-citation.json"} </w:instrText>
      </w:r>
      <w:r w:rsidR="00C65C01">
        <w:fldChar w:fldCharType="separate"/>
      </w:r>
      <w:r w:rsidR="00C65C01" w:rsidRPr="00C65C01">
        <w:rPr>
          <w:rFonts w:ascii="Calibri" w:hAnsi="Calibri" w:cs="Calibri"/>
        </w:rPr>
        <w:t>(Sedgwick, 2013)</w:t>
      </w:r>
      <w:r w:rsidR="00C65C01">
        <w:fldChar w:fldCharType="end"/>
      </w:r>
      <w:r w:rsidR="00931B15">
        <w:t>.</w:t>
      </w:r>
      <w:r w:rsidR="00990FF9">
        <w:t xml:space="preserve"> </w:t>
      </w:r>
    </w:p>
    <w:p w14:paraId="0646D1EB" w14:textId="63DF153F" w:rsidR="00C12E53" w:rsidRPr="00C05886" w:rsidRDefault="005D5A08" w:rsidP="00B71AD6">
      <w:pPr>
        <w:pStyle w:val="Heading3"/>
      </w:pPr>
      <w:bookmarkStart w:id="46" w:name="_Toc179962304"/>
      <w:r>
        <w:t>Recruiting</w:t>
      </w:r>
      <w:r w:rsidR="00C12E53" w:rsidRPr="00C05886">
        <w:t xml:space="preserve"> participants online</w:t>
      </w:r>
      <w:bookmarkEnd w:id="46"/>
    </w:p>
    <w:p w14:paraId="65EFD513" w14:textId="77777777" w:rsidR="00C12E53" w:rsidRPr="00C05886" w:rsidRDefault="00C12E53" w:rsidP="003C1A1D">
      <w:r w:rsidRPr="00C05886">
        <w:t xml:space="preserve">The World Wide Web can potentially provide access to any number of participants, but it is similar to a vast ocean, where participants are found more easily in some places than others. Social networks host millions of users and are regularly used in the social sciences as the source of data. However, as shown by the recent Twitter restrictions </w:t>
      </w:r>
      <w:r w:rsidRPr="00C05886">
        <w:fldChar w:fldCharType="begin"/>
      </w:r>
      <w:r w:rsidRPr="00C05886">
        <w:instrText xml:space="preserve"> ADDIN ZOTERO_ITEM CSL_CITATION {"citationID":"OHdG9WDe","properties":{"formattedCitation":"(Kupferschmidt, 2023)","plainCitation":"(Kupferschmidt, 2023)","noteIndex":0},"citationItems":[{"id":10880,"uris":["http://zotero.org/users/10951124/items/473586E8"],"itemData":{"id":10880,"type":"dataset","DOI":"10.1126/science.adh0813","language":"en","note":"DOI: 10.1126/science.adh0813","source":"DOI.org (Crossref)","title":"Twitter’s plan to cut off free data access evokes ‘fair amount of panic’ among scientists","URL":"https://www.science.org/content/article/twitters-plan-cut-free-data-access-evokes-fair-amount-panic-among-scientists","author":[{"family":"Kupferschmidt","given":"Kai"}],"accessed":{"date-parts":[["2023",12,29]]},"issued":{"date-parts":[["2023",2,8]]}}}],"schema":"https://github.com/citation-style-language/schema/raw/master/csl-citation.json"} </w:instrText>
      </w:r>
      <w:r w:rsidRPr="00C05886">
        <w:fldChar w:fldCharType="separate"/>
      </w:r>
      <w:r w:rsidRPr="00C05886">
        <w:rPr>
          <w:rFonts w:ascii="Calibri" w:hAnsi="Calibri" w:cs="Calibri"/>
        </w:rPr>
        <w:t>(Kupferschmidt, 2023)</w:t>
      </w:r>
      <w:r w:rsidRPr="00C05886">
        <w:fldChar w:fldCharType="end"/>
      </w:r>
      <w:r w:rsidRPr="00C05886">
        <w:t>, this access relies on the terms and conditions of a private company, which can change with short notice. One of the main advantages of using social networks is to reach age groups that are not commonly found among university students (a most convenient source of research data). However, the recruitment of participants on Facebook and Twitter relies on the researcher's network. Those who will feel interested in taking part in a survey, and staying focused from start to end, are those who see the research as a good value for their time and effort. Collecting data on social networks then can require investing time and resources in building an audience, and regularly releasing content on the platform. In the case of this project, this was unpractical due to 1) the author’s scarce presence and engagement with social networks, and 2) limited time to create an audience.</w:t>
      </w:r>
    </w:p>
    <w:p w14:paraId="3CCE164A" w14:textId="0CE28256" w:rsidR="00C12E53" w:rsidRPr="00C05886" w:rsidRDefault="00C12E53" w:rsidP="003C1A1D">
      <w:r w:rsidRPr="00C05886">
        <w:t>A more successful approach was provided by “Survey exchange” websites. On these platforms, survey owners can recruit participants for their studies by taking part in someone else</w:t>
      </w:r>
      <w:r w:rsidR="00971F11">
        <w:t>’s</w:t>
      </w:r>
      <w:r w:rsidRPr="00C05886">
        <w:t xml:space="preserve"> data collection. This approach requires time, but not as much as creating an audience on social networks from zero. Most of the respondents in this PhD were recruited on two websites: SurveyCircle.com and SurveySwap.io. Potential participants on these platforms were commonly university students working on their dissertations, but also academics and private business. On both platforms the working principle is </w:t>
      </w:r>
      <w:r w:rsidR="00971F11">
        <w:t>reciprocation</w:t>
      </w:r>
      <w:r w:rsidRPr="00C05886">
        <w:t xml:space="preserve">: the time spent as a participant provides an incentive (in the form of points) that can be used to recruit participants. On </w:t>
      </w:r>
      <w:proofErr w:type="spellStart"/>
      <w:r w:rsidRPr="00C05886">
        <w:t>SurveySwap</w:t>
      </w:r>
      <w:proofErr w:type="spellEnd"/>
      <w:r w:rsidRPr="00C05886">
        <w:t xml:space="preserve">, each minute of participation will grant 1 point, while recruiting a participant for your study will require spending one point for each minute of duration. A researcher with a 10-minute survey needs 10 points to recruit one participant, which they can collect by taking part in someone else’s 10-minute survey or two 5-minute surveys. </w:t>
      </w:r>
      <w:proofErr w:type="spellStart"/>
      <w:r w:rsidRPr="00C05886">
        <w:t>SurveyCicle</w:t>
      </w:r>
      <w:proofErr w:type="spellEnd"/>
      <w:r w:rsidRPr="00C05886">
        <w:t xml:space="preserve"> uses a slightly different approach. All research projects are ranked, with on top those studies whose managers have invested more time in participating in other users’ surveys. Being in </w:t>
      </w:r>
      <w:r w:rsidRPr="00C05886">
        <w:lastRenderedPageBreak/>
        <w:t xml:space="preserve">the higher part of the ranking makes the study more appetising since it will grant more points for participation (and will be more visible). Recruiting participants in this way was time-consuming, though quite effective during certain times of the year (e.g. summer) when more users were active (e.g. students collecting data for their dissertation project). A potential drawback is that these platforms are mostly used by students and academics, which limits the generalisation of findings. This is a regular limitation in the social sciences </w:t>
      </w:r>
      <w:r w:rsidRPr="00C05886">
        <w:fldChar w:fldCharType="begin"/>
      </w:r>
      <w:r w:rsidRPr="00C05886">
        <w:instrText xml:space="preserve"> ADDIN ZOTERO_ITEM CSL_CITATION {"citationID":"1oSQixUL","properties":{"formattedCitation":"(McNemar, 1946)","plainCitation":"(McNemar, 1946)","noteIndex":0},"citationItems":[{"id":10881,"uris":["http://zotero.org/users/10951124/items/PWCTMV48"],"itemData":{"id":10881,"type":"article-journal","container-title":"Psychological Bulletin","DOI":"10.1037/h0060985","ISSN":"1939-1455, 0033-2909","issue":"4","journalAbbreviation":"Psychological Bulletin","language":"en","page":"289-374","source":"DOI.org (Crossref)","title":"Opinion-attitude methodology.","volume":"43","author":[{"family":"McNemar","given":"Q."}],"issued":{"date-parts":[["1946",7]]}}}],"schema":"https://github.com/citation-style-language/schema/raw/master/csl-citation.json"} </w:instrText>
      </w:r>
      <w:r w:rsidRPr="00C05886">
        <w:fldChar w:fldCharType="separate"/>
      </w:r>
      <w:r w:rsidRPr="00C05886">
        <w:rPr>
          <w:rFonts w:ascii="Calibri" w:hAnsi="Calibri" w:cs="Calibri"/>
        </w:rPr>
        <w:t>(McNemar, 1946)</w:t>
      </w:r>
      <w:r w:rsidRPr="00C05886">
        <w:fldChar w:fldCharType="end"/>
      </w:r>
      <w:r w:rsidRPr="00C05886">
        <w:t>.</w:t>
      </w:r>
    </w:p>
    <w:p w14:paraId="4939ED4C" w14:textId="56DE61D6" w:rsidR="00C12E53" w:rsidRPr="00C05886" w:rsidRDefault="00C12E53" w:rsidP="003C1A1D">
      <w:r w:rsidRPr="00C05886">
        <w:t xml:space="preserve">For this reason, Chapter 7 replicated the experiment presented in Chapter 6 with a sample recruited on Prolific (www.prolific.com). Like Amazon’s Mechanical Turk and Qualtrics, web platforms like Prolific provide access to a panel of participants for a fee. Theoretically, participants on these platforms are incentivised to take part because they are offered compensation. This generally results in faster data collection compared to social networks and survey exchange, also with improved data quality. The limiting factor is the cost. For example, a 10-minute survey will cost £1.5 per participant (assuming a £10/hour compensation). </w:t>
      </w:r>
      <w:r w:rsidRPr="00C05886">
        <w:fldChar w:fldCharType="begin"/>
      </w:r>
      <w:r w:rsidRPr="00C05886">
        <w:instrText xml:space="preserve"> ADDIN ZOTERO_ITEM CSL_CITATION {"citationID":"rQkN3hkb","properties":{"formattedCitation":"(Douglas, Ewell and Brauer, 2023)","plainCitation":"(Douglas, Ewell and Brauer, 2023)","dontUpdate":true,"noteIndex":0},"citationItems":[{"id":9829,"uris":["http://zotero.org/users/10951124/items/ACQFZXVC"],"itemData":{"id":9829,"type":"article-journal","abstract":"With the proliferation of online data collection in human-subjects research, concerns have been raised over the presence of inattentive survey participants and non-human respondents (bots). We compared the quality of the data collected through five commonly used platforms. Data quality was indicated by the percentage of participants who meaningfully respond to the researcher’s question (high quality) versus those who only contribute noise (low quality). We found that compared to MTurk, Qualtrics, or an undergraduate student sample (i.e., SONA), participants on Prolific and CloudResearch were more likely to pass various attention checks, provide meaningful answers, follow instructions, remember previously presented information, have a unique IP address and geolocation, and work slowly enough to be able to read all the items. We divided the samples into high- and low-quality respondents and computed the cost we paid per high-quality respondent. Prolific ($1.90) and CloudResearch ($2.00) were cheaper than MTurk ($4.36) and Qualtrics ($8.17). SONA cost $0.00, yet took the longest to collect the data.","container-title":"PLOS ONE","DOI":"10.1371/journal.pone.0279720","issue":"3","journalAbbreviation":"PLOS ONE","note":"publisher: Public Library of Science","page":"e0279720","title":"Data quality in online human-subjects research: Comparisons between MTurk, Prolific, CloudResearch, Qualtrics, and SONA","volume":"18","author":[{"family":"Douglas","given":"Benjamin D."},{"family":"Ewell","given":"Patrick J."},{"family":"Brauer","given":"Markus"}],"issued":{"date-parts":[["2023",3,14]]}}}],"schema":"https://github.com/citation-style-language/schema/raw/master/csl-citation.json"} </w:instrText>
      </w:r>
      <w:r w:rsidRPr="00C05886">
        <w:fldChar w:fldCharType="separate"/>
      </w:r>
      <w:r w:rsidRPr="00C05886">
        <w:rPr>
          <w:rFonts w:ascii="Calibri" w:hAnsi="Calibri" w:cs="Calibri"/>
        </w:rPr>
        <w:t>Douglas, Ewell and Brauer (2023)</w:t>
      </w:r>
      <w:r w:rsidRPr="00C05886">
        <w:fldChar w:fldCharType="end"/>
      </w:r>
      <w:r w:rsidRPr="00C05886">
        <w:t>, compared many of these platforms in terms of cost, accuracy of the response and participant honesty. The quality of the responses was generally good on all platforms, but Prolific promised the highest quality at the lowest cost.</w:t>
      </w:r>
    </w:p>
    <w:p w14:paraId="4E516356" w14:textId="77777777" w:rsidR="00C12E53" w:rsidRPr="00C05886" w:rsidRDefault="00C12E53" w:rsidP="00B71AD6">
      <w:pPr>
        <w:pStyle w:val="Heading2"/>
      </w:pPr>
      <w:bookmarkStart w:id="47" w:name="_Toc179962305"/>
      <w:r w:rsidRPr="00C05886">
        <w:t>Media Tools</w:t>
      </w:r>
      <w:bookmarkEnd w:id="47"/>
    </w:p>
    <w:p w14:paraId="235CB535" w14:textId="77777777" w:rsidR="00C12E53" w:rsidRPr="00C05886" w:rsidRDefault="00C12E53" w:rsidP="00B71AD6">
      <w:pPr>
        <w:pStyle w:val="Heading3"/>
      </w:pPr>
      <w:bookmarkStart w:id="48" w:name="_Toc179962306"/>
      <w:r w:rsidRPr="00C05886">
        <w:t>Visual media provide exposure to green spaces</w:t>
      </w:r>
      <w:bookmarkEnd w:id="48"/>
    </w:p>
    <w:p w14:paraId="36A0795D" w14:textId="77777777" w:rsidR="00C12E53" w:rsidRPr="00C05886" w:rsidRDefault="00C12E53" w:rsidP="00D956F6">
      <w:r w:rsidRPr="00C05886">
        <w:t>As discussed in Chapter 2, visual media have been largely used in psychology and landscape research. Methodologically, the clear advantage is to expose participants to a standardised stimulus. The control over the treatment is higher on a visual medium than on its physical counterpart, since it will not change based on the time of the day, the season or the weather. Using visual media can increase the number of potential participants, since showing someone a video or an image is logistically simpler than arranging a visit to a park. Nonetheless, the stimulation provided by the green space will be limited to the visual and aural information, excluding the potential benefit from the olfactory and tactile sensations.</w:t>
      </w:r>
    </w:p>
    <w:p w14:paraId="455CA6B9" w14:textId="0628AF91" w:rsidR="00C12E53" w:rsidRPr="00C05886" w:rsidRDefault="00C12E53" w:rsidP="00D956F6">
      <w:r w:rsidRPr="00C05886">
        <w:t xml:space="preserve">In this research project, two types of visual media were used to expose participants to the green space: 360-degree videos and virtual tours. Both media projected the video/image on a sphere around the viewer's point of view, so it is possible to “look around” by moving the camera. Compared with traditional videos and images, these 360-degree media provide the participant with </w:t>
      </w:r>
      <w:r w:rsidRPr="00C05886">
        <w:lastRenderedPageBreak/>
        <w:t xml:space="preserve">a degree of interactivity, simulating a limited exploration of the environment </w:t>
      </w:r>
      <w:r w:rsidRPr="00C05886">
        <w:fldChar w:fldCharType="begin"/>
      </w:r>
      <w:r w:rsidRPr="00C05886">
        <w:instrText xml:space="preserve"> ADDIN ZOTERO_ITEM CSL_CITATION {"citationID":"tisUJrcR","properties":{"formattedCitation":"(Ausin-Azofra {\\i{}et al.}, 2021)","plainCitation":"(Ausin-Azofra et al., 2021)","noteIndex":0},"citationItems":[{"id":10470,"uris":["http://zotero.org/users/10951124/items/TALYMUZY"],"itemData":{"id":10470,"type":"article-journal","abstract":"This study compares cognitive and emotional responses to 360-degree vs. static (2D) videos in terms of visual attention, brand recognition, engagement of the prefrontal cortex, and emotions. Hypotheses are proposed based on the interactivity literature, cognitive overload, advertising response model and motivation, opportunity, and ability theoretical frameworks, and tested using neurophysiological tools: electroencephalography, eye-tracking, electrodermal activity, and facial coding. The results revealed that gaze view depends on ad content, visual attention paid being lower in 360-degree FMCG ads than in 2D ads. Brand logo recognition is lower in 360-degree ads than in 2D video ads. Overall, 360-degree ads for durable products increase positive emotions, which carries the risk of non-exposure to some of the ad content. In testing four ads for durable goods and fast-moving consumer goods (FMCG) this research explains the mechanism through which 360-degree video ads outperform standard versions.","container-title":"Frontiers in Psychology","DOI":"10.3389/fpsyg.2021.612717","ISSN":"1664-1078","journalAbbreviation":"Front. Psychol.","page":"612717","source":"DOI.org (Crossref)","title":"Do You See What I See? Effectiveness of 360-Degree vs. 2D Video Ads Using a Neuroscience Approach","title-short":"Do You See What I See?","volume":"12","author":[{"family":"Ausin-Azofra","given":"Jose M."},{"family":"Bigne","given":"Enrique"},{"family":"Ruiz","given":"Carla"},{"family":"Marín-Morales","given":"Javier"},{"family":"Guixeres","given":"Jaime"},{"family":"Alcañiz","given":"Mariano"}],"issued":{"date-parts":[["2021",2,19]]}}}],"schema":"https://github.com/citation-style-language/schema/raw/master/csl-citation.json"} </w:instrText>
      </w:r>
      <w:r w:rsidRPr="00C05886">
        <w:fldChar w:fldCharType="separate"/>
      </w:r>
      <w:r w:rsidRPr="00C05886">
        <w:rPr>
          <w:rFonts w:ascii="Calibri" w:hAnsi="Calibri" w:cs="Calibri"/>
          <w:szCs w:val="24"/>
        </w:rPr>
        <w:t xml:space="preserve">(Ausin-Azofra </w:t>
      </w:r>
      <w:r w:rsidRPr="00C05886">
        <w:rPr>
          <w:rFonts w:ascii="Calibri" w:hAnsi="Calibri" w:cs="Calibri"/>
          <w:i/>
          <w:iCs/>
          <w:szCs w:val="24"/>
        </w:rPr>
        <w:t>et al.</w:t>
      </w:r>
      <w:r w:rsidRPr="00C05886">
        <w:rPr>
          <w:rFonts w:ascii="Calibri" w:hAnsi="Calibri" w:cs="Calibri"/>
          <w:szCs w:val="24"/>
        </w:rPr>
        <w:t>, 2021)</w:t>
      </w:r>
      <w:r w:rsidRPr="00C05886">
        <w:fldChar w:fldCharType="end"/>
      </w:r>
      <w:r w:rsidRPr="00C05886">
        <w:t xml:space="preserve">. In virtual tours, the participant can “jump” from one photo to another and see more of the environment – e.g. the most common example of this principle would be Google Street View. This interactivity has the potential to increase the engagement of the participant with the environment, which provides a useful proxy for the real-world experience. Despite their complexity, virtual media cannot provide the same sensory stimulation as the real place </w:t>
      </w:r>
      <w:r w:rsidRPr="00C05886">
        <w:fldChar w:fldCharType="begin"/>
      </w:r>
      <w:r w:rsidR="00DC0B4B" w:rsidRPr="00C05886">
        <w:instrText xml:space="preserve"> ADDIN ZOTERO_ITEM CSL_CITATION {"citationID":"9ew6lEFp","properties":{"formattedCitation":"(Browning, Shipley, {\\i{}et al.}, 2020)","plainCitation":"(Browning, Shipley, et al., 2020)","noteIndex":0},"citationItems":[{"id":5471,"uris":["http://zotero.org/users/10951124/items/HS7BZ2DY"],"itemData":{"id":5471,"type":"article-journal","abstract":"Accumulating evidence indicates that simulated natural settings can engage mechanisms that promote health. Simulations offer alternatives to actual natural settings for populations unable to travel outdoors safely; however, few studies have contrasted the effects of simulations of natural settings to their actual outdoor counterparts. We compared the impacts of simulated and actual natural settings on positive and negative affect (mood) levels using a pooled sample of participants enrolled in extant experimental studies. Relevant articles were identified from a review of research published/in press by March 2020. Of 15 articles identified, five met the inclusion criteria and administered a single cross-cutting, standardized instrument (the Positive and Negative Affect Schedule; PANAS) before and after exposure. Random effects meta-analysis of pooled effects showed that positive affect increased in the actual settings but not in their simulated counterparts (Hedge's g = 0.88; 95% CI: 0.53, 1.25). We observed no difference in effects on negative affect change scores (g = -0.23; 95% CI: -0.60, 0.13), with studies generally showing reductions in negative affect in both settings. Further research with additional populations, settings, antecedent conditions and durations will provide a more robust understanding of differences in effects between these two ways to enhance mood by viewing nature.","container-title":"Frontiers in Psychology","DOI":"10.3389/fpsyg.2020.02200","issue":"September","page":"1-12","title":"An Actual Natural Setting Improves Mood Better Than Its Virtual Counterpart: A Meta-Analysis of Experimental Data","volume":"11","author":[{"family":"Browning","given":"Matthew"},{"family":"Shipley","given":"Nathan"},{"family":"McAnirlin","given":"Olivia"},{"family":"Becker","given":"Douglas"},{"family":"Yu","given":"Chia-Pin"},{"family":"Hartig","given":"Terry"},{"family":"Dzhambov","given":"Angel M."}],"issued":{"date-parts":[["2020"]]}}}],"schema":"https://github.com/citation-style-language/schema/raw/master/csl-citation.json"} </w:instrText>
      </w:r>
      <w:r w:rsidRPr="00C05886">
        <w:fldChar w:fldCharType="separate"/>
      </w:r>
      <w:r w:rsidR="00DC0B4B" w:rsidRPr="00C05886">
        <w:rPr>
          <w:rFonts w:ascii="Calibri" w:hAnsi="Calibri" w:cs="Calibri"/>
          <w:szCs w:val="24"/>
        </w:rPr>
        <w:t xml:space="preserve">(Browning, Shipley, </w:t>
      </w:r>
      <w:r w:rsidR="00DC0B4B" w:rsidRPr="00C05886">
        <w:rPr>
          <w:rFonts w:ascii="Calibri" w:hAnsi="Calibri" w:cs="Calibri"/>
          <w:i/>
          <w:iCs/>
          <w:szCs w:val="24"/>
        </w:rPr>
        <w:t>et al.</w:t>
      </w:r>
      <w:r w:rsidR="00DC0B4B" w:rsidRPr="00C05886">
        <w:rPr>
          <w:rFonts w:ascii="Calibri" w:hAnsi="Calibri" w:cs="Calibri"/>
          <w:szCs w:val="24"/>
        </w:rPr>
        <w:t>, 2020)</w:t>
      </w:r>
      <w:r w:rsidRPr="00C05886">
        <w:fldChar w:fldCharType="end"/>
      </w:r>
      <w:r w:rsidRPr="00C05886">
        <w:t xml:space="preserve">; however, if the quality is high enough, videos have been suggested to activate the mirror neurons and elicit some tactile sensations </w:t>
      </w:r>
      <w:r w:rsidRPr="00C05886">
        <w:fldChar w:fldCharType="begin"/>
      </w:r>
      <w:r w:rsidRPr="00C05886">
        <w:instrText xml:space="preserve"> ADDIN ZOTERO_ITEM CSL_CITATION {"citationID":"sGBvB7zs","properties":{"formattedCitation":"(McEwan {\\i{}et al.}, 2023)","plainCitation":"(McEwan et al., 2023)","noteIndex":0},"citationItems":[{"id":10516,"uris":["http://zotero.org/users/10951124/items/7QZCHZFW"],"itemData":{"id":10516,"type":"article-journal","abstract":"Background: Although access to nature is demonstrated to benefit health and wellbeing, adults with mobility impairments and/or low energy often face barriers in accessing nature environments and nature-based programs. This study aimed to examine the experiences and impacts of virtual forest bathing by capturing the perspectives of disabled adults with mobility impairments and/or low energy. Methods: A total of 26 adults with mobility impairments provided written and spoken qualitative feedback during and following virtual forest bathing programs and 23 participants provided feedback at a one month follow-up. Virtual programs were presented online, using an accessible format, 2D videos, and images of nature accompanied by guidance led by a certified forest bathing guide and mindfulness teacher. The programs involved disabled facilitators and participants, which created a social environment of peer support. Results: Qualitative thematic analysis revealed 10 themes comprising intervention themes (virtual delivery and soothing facilitation); process themes (nature connection, relaxation, embodiment, and memories with complex emotions); and outcome themes (happiness, agency, metaphor making, and belonging). Conclusions: Virtual forest bathing may offer an effective adjunct to improve wellbeing and provide peer support for disabled adults with mobility impairments and/or low energy.","container-title":"Forests","DOI":"10.3390/f14051033","ISSN":"1999-4907","issue":"5","journalAbbreviation":"Forests","language":"en","page":"1033","source":"DOI.org (Crossref)","title":"Virtual Forest Bathing Programming as Experienced by Disabled Adults with Mobility Impairments and/or Low Energy: A Qualitative Study","title-short":"Virtual Forest Bathing Programming as Experienced by Disabled Adults with Mobility Impairments and/or Low Energy","volume":"14","author":[{"family":"McEwan","given":"Kirsten"},{"family":"Krogh","given":"Kari S."},{"family":"Dunlop","given":"Kim"},{"family":"Khan","given":"Mahnoor"},{"family":"Krogh","given":"Alyssa"}],"issued":{"date-parts":[["2023",5,17]]}}}],"schema":"https://github.com/citation-style-language/schema/raw/master/csl-citation.json"} </w:instrText>
      </w:r>
      <w:r w:rsidRPr="00C05886">
        <w:fldChar w:fldCharType="separate"/>
      </w:r>
      <w:r w:rsidRPr="00C05886">
        <w:rPr>
          <w:rFonts w:ascii="Calibri" w:hAnsi="Calibri" w:cs="Calibri"/>
          <w:szCs w:val="24"/>
        </w:rPr>
        <w:t xml:space="preserve">(McEwan </w:t>
      </w:r>
      <w:r w:rsidRPr="00C05886">
        <w:rPr>
          <w:rFonts w:ascii="Calibri" w:hAnsi="Calibri" w:cs="Calibri"/>
          <w:i/>
          <w:iCs/>
          <w:szCs w:val="24"/>
        </w:rPr>
        <w:t>et al.</w:t>
      </w:r>
      <w:r w:rsidRPr="00C05886">
        <w:rPr>
          <w:rFonts w:ascii="Calibri" w:hAnsi="Calibri" w:cs="Calibri"/>
          <w:szCs w:val="24"/>
        </w:rPr>
        <w:t>, 2023)</w:t>
      </w:r>
      <w:r w:rsidRPr="00C05886">
        <w:fldChar w:fldCharType="end"/>
      </w:r>
      <w:r w:rsidRPr="00C05886">
        <w:t xml:space="preserve">. </w:t>
      </w:r>
    </w:p>
    <w:p w14:paraId="0E74DB0E" w14:textId="77777777" w:rsidR="00C12E53" w:rsidRPr="00C05886" w:rsidRDefault="00C12E53" w:rsidP="00D956F6">
      <w:r w:rsidRPr="00C05886">
        <w:t>In terms of controlling the biodiversity level, both 360-degree videos and virtual tours proved adequate. In Chapter 5, four 360-degree videos were produced from the same area (a clearing in a Sheffield woodland), each at a different level of species richness. This was achieved by leaving the camera in the same position and temporarily adding flowering plants around it. With virtual tours, Chapter 6, the control was even finer, as the intention was to observe the independent effects of species richness and colour richness. By using digital models of the plants, it was possible to keep the species count constant while changing the colours and vice-versa.</w:t>
      </w:r>
    </w:p>
    <w:p w14:paraId="34046561" w14:textId="77777777" w:rsidR="00C12E53" w:rsidRPr="00C05886" w:rsidRDefault="00C12E53" w:rsidP="00B71AD6">
      <w:pPr>
        <w:pStyle w:val="Heading3"/>
      </w:pPr>
      <w:bookmarkStart w:id="49" w:name="_Toc179962307"/>
      <w:r w:rsidRPr="00C05886">
        <w:t>Stressor</w:t>
      </w:r>
      <w:bookmarkEnd w:id="49"/>
    </w:p>
    <w:p w14:paraId="27B2040B" w14:textId="17FC3F69" w:rsidR="00C12E53" w:rsidRPr="00C05886" w:rsidRDefault="00C12E53" w:rsidP="00722768">
      <w:pPr>
        <w:rPr>
          <w:szCs w:val="24"/>
        </w:rPr>
      </w:pPr>
      <w:r w:rsidRPr="00C05886">
        <w:rPr>
          <w:rFonts w:ascii="Calibri" w:hAnsi="Calibri" w:cs="Calibri"/>
        </w:rPr>
        <w:t xml:space="preserve">In restorative research, the use of psychophysiological stressors is justified to briefly simulate the effect of a stressful urban environment, which will alter the baseline parameters, allowing the recovery process to be clearly observed </w:t>
      </w:r>
      <w:r w:rsidRPr="00C05886">
        <w:rPr>
          <w:rFonts w:ascii="Calibri" w:hAnsi="Calibri" w:cs="Calibri"/>
        </w:rPr>
        <w:fldChar w:fldCharType="begin" w:fldLock="1"/>
      </w:r>
      <w:r w:rsidR="00A35208">
        <w:rPr>
          <w:rFonts w:ascii="Calibri" w:hAnsi="Calibri" w:cs="Calibri"/>
        </w:rPr>
        <w:instrText xml:space="preserve"> ADDIN ZOTERO_ITEM CSL_CITATION {"citationID":"86eTpTH1","properties":{"formattedCitation":"(Ulrich {\\i{}et al.}, 1991; van den Berg, Koole and van der Wulp, 2003)","plainCitation":"(Ulrich et al., 1991; van den Berg, Koole and van der Wulp, 2003)","noteIndex":0},"citationItems":[{"id":6345,"uris":["http://zotero.org/users/10951124/items/FZSVSHF3"],"itemData":{"id":6345,"type":"article-journal","abstract":"Different conceptual perspectives converge to predict that if individuals are stressed, an encounter with most unthreatening natural environments will have a stress reducing or restorative influence, whereas many urban environments will hamper recuperation. Hypotheses regarding emotional, attentional and physiological aspects of stress reducing influences of nature are derived from a psycho-evolutionary theory. To investigate these hypotheses, 120 subjects first viewed a stressful movie, and then were exposed to color/sound videotapes of one of six different natural and urban settings. Data concerning stress recovery during the environmental presentations were obtained from self-ratings of affective states and a battery of physiological measures: heart period, muscle tension, skin conductance and pulse transit time, a non-invasive measure that correlates with systolic blood pressure. Findings from the physiological and verbal measures converged to indicate that recovery was faster and more complete when subjects were exposed to natural rather than urban environments. The pattern of physiological findings raised the possibility that responses to nature had a salient parasympathetic nervous system component; however, there was no evidence of pronounced parasympathetic involvement in responses to the urban settings. There were directional differences in cardiac responses to the natural vs urban settings, suggesting that attention/intake was higher during the natural exposures. However, both the stressor film and the nature settings elicited high levels of involuntary or automatic attention, which contradicts the notion that restorative influences of nature stem from involuntary attention or fascination. Findings were consistent with the predictions of the psycho-evolutionary theory that restorative influences of nature involve a shift towards a more positively-toned emotional state, positive changes in physiological activity levels, and that these changes are accompanied by sustained attention/intake. Content differences in terms of natural vs human-made properties appeared decisive in accounting for the differences in recuperation and perceptual intake. © 1991 Academic Press Limited.","container-title":"Journal of Environmental Psychology","DOI":"10.1016/S0272-4944(05)80184-7","ISSN":"15229610","issue":"3","page":"201-230","title":"Stress recovery during exposure to natural and urban environments","volume":"11","author":[{"family":"Ulrich","given":"Roger S."},{"family":"Simons","given":"Robert F."},{"family":"Losito","given":"Barbara D."},{"family":"Fiorito","given":"Evelyn"},{"family":"Miles","given":"Mark A."},{"family":"Zelson","given":"Michael"}],"issued":{"date-parts":[["1991"]]}}},{"id":"6pP8vKpK/vrDGDcwP","uris":["http://www.mendeley.com/documents/?uuid=cb682c6d-ba54-4aaf-ab87-11d11d173bf7"],"itemData":{"DOI":"https://doi.org/10.1016/S0272-4944(02)00111-1","ISSN":"0272-4944","abstract":"Does the widely documented tendency to prefer natural over built environments owe to the perception of greater restorative potential in natural environments? In the present experimental study we tested the mediating role of restoration in environmental preferences. Participants viewed a frightening movie, and then were shown a video of either a natural or a built environment. We used two examples of each type of environment. Participants’ mood ratings were assessed before and after they viewed the frightening movie, and again after viewing the environmental video. Participants also rated the beauty of the environment shown (to indicate preference) and performed a test of concentration after viewing the environmental video. The results indicate that participants perceived the natural environments as more beautiful than the built environments. In addition, viewing natural environments elicited greater improvement in mood and marginally better concentration than viewing built environments. Mediational analyses revealed that affective restoration accounted for a substantial proportion of the preference for the natural over the built environments. Together, these results help substantiate the adaptive function of people's environmental preferences.","author":[{"dropping-particle":"","family":"Berg","given":"Agnes E","non-dropping-particle":"van den","parse-names":false,"suffix":""},{"dropping-particle":"","family":"Koole","given":"Sander L","non-dropping-particle":"","parse-names":false,"suffix":""},{"dropping-particle":"","family":"Wulp","given":"Nickie Y","non-dropping-particle":"van der","parse-names":false,"suffix":""}],"container-title":"Journal of Environmental Psychology","id":"ITEM-2","issue":"2","issued":{"date-parts":[["2003"]]},"page":"135-146","title":"Environmental preference and restoration: (How) are they related?","type":"article-journal","volume":"23"}}],"schema":"https://github.com/citation-style-language/schema/raw/master/csl-citation.json"} </w:instrText>
      </w:r>
      <w:r w:rsidRPr="00C05886">
        <w:rPr>
          <w:rFonts w:ascii="Calibri" w:hAnsi="Calibri" w:cs="Calibri"/>
        </w:rPr>
        <w:fldChar w:fldCharType="separate"/>
      </w:r>
      <w:r w:rsidR="00D63253" w:rsidRPr="00C05886">
        <w:rPr>
          <w:rFonts w:ascii="Calibri" w:hAnsi="Calibri" w:cs="Calibri"/>
          <w:szCs w:val="24"/>
        </w:rPr>
        <w:t xml:space="preserve">(Ulrich </w:t>
      </w:r>
      <w:r w:rsidR="00D63253" w:rsidRPr="00C05886">
        <w:rPr>
          <w:rFonts w:ascii="Calibri" w:hAnsi="Calibri" w:cs="Calibri"/>
          <w:i/>
          <w:iCs/>
          <w:szCs w:val="24"/>
        </w:rPr>
        <w:t>et al.</w:t>
      </w:r>
      <w:r w:rsidR="00D63253" w:rsidRPr="00C05886">
        <w:rPr>
          <w:rFonts w:ascii="Calibri" w:hAnsi="Calibri" w:cs="Calibri"/>
          <w:szCs w:val="24"/>
        </w:rPr>
        <w:t>, 1991; van den Berg, Koole and van der Wulp, 2003)</w:t>
      </w:r>
      <w:r w:rsidRPr="00C05886">
        <w:rPr>
          <w:rFonts w:ascii="Calibri" w:hAnsi="Calibri" w:cs="Calibri"/>
        </w:rPr>
        <w:fldChar w:fldCharType="end"/>
      </w:r>
      <w:r w:rsidRPr="00C05886">
        <w:rPr>
          <w:rFonts w:ascii="Calibri" w:hAnsi="Calibri" w:cs="Calibri"/>
        </w:rPr>
        <w:t xml:space="preserve">. </w:t>
      </w:r>
      <w:r w:rsidRPr="00C05886">
        <w:t xml:space="preserve">Physical stressors are commonly used in psychophysiological research, such as the cold pressor test (i.e. immersion of an arm into icy water) </w:t>
      </w:r>
      <w:r w:rsidRPr="00C05886">
        <w:fldChar w:fldCharType="begin" w:fldLock="1"/>
      </w:r>
      <w:r w:rsidR="00A35208">
        <w:instrText xml:space="preserve"> ADDIN ZOTERO_ITEM CSL_CITATION {"citationID":"SD6OPaRN","properties":{"formattedCitation":"(Schwabe and Sch\\uc0\\u228{}chinger, 2018)","plainCitation":"(Schwabe and Schächinger, 2018)","noteIndex":0},"citationItems":[{"id":"6pP8vKpK/QYgdaiJD","uris":["http://www.mendeley.com/documents/?uuid=b943e25e-cf15-48d4-a07b-2e52e22b146e"],"itemData":{"DOI":"https://doi.org/10.1016/j.psyneuen.2018.03.010","ISSN":"0306-4530","abstract":"Ten years ago, the Socially Evaluated Cold Pressor Test (SECPT) was introduced as a standardized protocol for the efficient experimental stress induction in humans. In short, the 3 min SECPT, which can be conducted by only a single experimenter, combines a physiological challenge (hand immersion into ice water) with socio-evaluative elements. The purpose of this article is twofold. First, we aim to evaluate the subjective and physiological responses elicited by the SECPT. To this end, we pooled data from 21 studies from our lab and systematically analyzed the response profile to the SECPT. Our analyses show that the SECPT leads, both in men and women, to striking increases in subjective stress levels, autonomic arousal, and cortisol, albeit the cortisol response is typically somewhat less pronounced than in the Trier Social Stress Test. Second, we aim to provide guidelines for conducting the SECPT, in order to foster homogenization of the SECPT procedure across (and within) labs. In sum, we argue that the SECPT is a highly efficient tool to induce stress and activate major stress systems in a laboratory context, in particular if the guidelines that we outline here are followed.","author":[{"dropping-particle":"","family":"Schwabe","given":"Lars","non-dropping-particle":"","parse-names":false,"suffix":""},{"dropping-particle":"","family":"Schächinger","given":"Hartmut","non-dropping-particle":"","parse-names":false,"suffix":""}],"container-title":"Psychoneuroendocrinology","id":"ITEM-1","issued":{"date-parts":[["2018"]]},"page":"155-161","title":"Ten years of research with the Socially Evaluated Cold Pressor Test: Data from the past and guidelines for the future","type":"article-journal","volume":"92"}}],"schema":"https://github.com/citation-style-language/schema/raw/master/csl-citation.json"} </w:instrText>
      </w:r>
      <w:r w:rsidRPr="00C05886">
        <w:fldChar w:fldCharType="separate"/>
      </w:r>
      <w:r w:rsidRPr="00C05886">
        <w:rPr>
          <w:rFonts w:ascii="Calibri" w:hAnsi="Calibri" w:cs="Calibri"/>
          <w:szCs w:val="24"/>
        </w:rPr>
        <w:t>(Schwabe and Schächinger, 2018)</w:t>
      </w:r>
      <w:r w:rsidRPr="00C05886">
        <w:fldChar w:fldCharType="end"/>
      </w:r>
      <w:r w:rsidRPr="00C05886">
        <w:t>, and carbon dioxide (CO</w:t>
      </w:r>
      <w:r w:rsidRPr="00C05886">
        <w:rPr>
          <w:vertAlign w:val="subscript"/>
        </w:rPr>
        <w:t>2</w:t>
      </w:r>
      <w:r w:rsidRPr="00C05886">
        <w:t xml:space="preserve">) inhalation </w:t>
      </w:r>
      <w:r w:rsidRPr="00C05886">
        <w:fldChar w:fldCharType="begin" w:fldLock="1"/>
      </w:r>
      <w:r w:rsidR="00A35208">
        <w:instrText xml:space="preserve"> ADDIN ZOTERO_ITEM CSL_CITATION {"citationID":"oUcoDdYd","properties":{"formattedCitation":"(Liu {\\i{}et al.}, 2017)","plainCitation":"(Liu et al., 2017)","noteIndex":0},"citationItems":[{"id":"6pP8vKpK/tpWYPb43","uris":["http://www.mendeley.com/documents/?uuid=5695092f-c3f5-4387-baf9-140c819842f1"],"itemData":{"abstract":"Background The consequences of stress are typically regarded from a deficit-oriented approach, conceptualizing stress to be entirely negative in its outcomes. This approach is unbalanced, and may further hinder individuals from engaging in adaptive coping. In the current study, we explored whether negative views and beliefs regarding stress interacted with a stress framing manipulation (positive, neutral and negative) on measures of stress reactivity for both psychosocial and physiological stressors.   Method Ninety participants were randomized into one of three framing conditions that conceptualized the experience of stress in balanced, unbalanced-negative or unbalanced-positive ways. After watching a video on stress, participants underwent a psychosocial (Trier Social Stress Test), or a physiological (CO2 challenge) method of stress-induction. Subjective and objective markers of stress were assessed.   Results Most of the sampled population regarded stress as negative prior to framing. Further, subjective and objective reactivity were greater to the TSST compared to the CO2 challenge. Additionally, significant cubic trends were observed in the interactions of stress framing and stress-induction methodologies on heart rate and blood pressure. Balanced framing conditions in the TSST group had a significantly larger decrease in heart rate and diastolic blood pressure following stress compared to the positive and negative framing conditions.   Conclusion Findings confirmed a deficit-orientation of stress within the sampled population. In addition, results highlighted the relative efficacy of the TSST compared to CO2 as a method of stress provocation. Finally, individuals in framing conditions that posited stress outcomes in unbalanced manners responded to stressors less efficiently. This suggests that unbalanced framing of stress may have set forth unrealistic expectations regarding stress that later hindered individuals from adaptive responses to stress. Potential benefits of alternative conceptualizations of stress on stress reactivity are discussed, and suggestions for future research are made.","author":[{"dropping-particle":"","family":"Liu","given":"Jenny J W","non-dropping-particle":"","parse-names":false,"suffix":""},{"dropping-particle":"","family":"Vickers","given":"Kristin","non-dropping-particle":"","parse-names":false,"suffix":""},{"dropping-particle":"","family":"Reed","given":"Maureen","non-dropping-particle":"","parse-names":false,"suffix":""},{"dropping-particle":"","family":"Hadad","given":"Marilyn","non-dropping-particle":"","parse-names":false,"suffix":""}],"container-title":"PLOS ONE","id":"ITEM-1","issue":"3","issued":{"date-parts":[["2017","3","8"]]},"page":"e0173188","publisher":"Public Library of Science","title":"Re-conceptualizing stress: Shifting views on the consequences of stress and its effects on stress reactivity","type":"article-journal","volume":"12"}}],"schema":"https://github.com/citation-style-language/schema/raw/master/csl-citation.json"} </w:instrText>
      </w:r>
      <w:r w:rsidRPr="00C05886">
        <w:fldChar w:fldCharType="separate"/>
      </w:r>
      <w:r w:rsidRPr="00C05886">
        <w:rPr>
          <w:rFonts w:ascii="Calibri" w:hAnsi="Calibri" w:cs="Calibri"/>
          <w:szCs w:val="24"/>
        </w:rPr>
        <w:t xml:space="preserve">(Liu </w:t>
      </w:r>
      <w:r w:rsidRPr="00C05886">
        <w:rPr>
          <w:rFonts w:ascii="Calibri" w:hAnsi="Calibri" w:cs="Calibri"/>
          <w:i/>
          <w:iCs/>
          <w:szCs w:val="24"/>
        </w:rPr>
        <w:t>et al.</w:t>
      </w:r>
      <w:r w:rsidRPr="00C05886">
        <w:rPr>
          <w:rFonts w:ascii="Calibri" w:hAnsi="Calibri" w:cs="Calibri"/>
          <w:szCs w:val="24"/>
        </w:rPr>
        <w:t>, 2017)</w:t>
      </w:r>
      <w:r w:rsidRPr="00C05886">
        <w:fldChar w:fldCharType="end"/>
      </w:r>
      <w:r w:rsidRPr="00C05886">
        <w:t xml:space="preserve">. </w:t>
      </w:r>
      <w:r w:rsidRPr="00C05886">
        <w:rPr>
          <w:rFonts w:ascii="Calibri" w:hAnsi="Calibri" w:cs="Calibri"/>
        </w:rPr>
        <w:t xml:space="preserve">In this PhD project, a </w:t>
      </w:r>
      <w:r w:rsidRPr="00C05886">
        <w:t>moderate stress induction was attempted by playing the sound of a siren alarm (e.g. a fire alarm); this aimed to increase the negative affect momentarily.</w:t>
      </w:r>
      <w:r w:rsidRPr="00C05886">
        <w:rPr>
          <w:szCs w:val="24"/>
        </w:rPr>
        <w:t xml:space="preserve"> H</w:t>
      </w:r>
      <w:r w:rsidRPr="00C05886">
        <w:t xml:space="preserve">earing a fire alarm is a regular experience in most student accommodations and universities, where regular testing is compulsory. These tests expose students and staff to a very loud sound for tens of seconds (depending on the system and its testing procedure). </w:t>
      </w:r>
    </w:p>
    <w:p w14:paraId="7351F09C" w14:textId="77777777" w:rsidR="00C12E53" w:rsidRPr="00C05886" w:rsidRDefault="00C12E53" w:rsidP="00722768">
      <w:pPr>
        <w:rPr>
          <w:szCs w:val="24"/>
        </w:rPr>
      </w:pPr>
      <w:r w:rsidRPr="00C05886">
        <w:t xml:space="preserve">In all experiments, to ensure the participants' safety, they were provided with sample audio (7 seconds extracted from Vivaldi’s “Four Seasons”) and invited to adjust the volume on their device appropriately before starting the experiment. The sample sound, the stressor and any sounds present in the experiments were all regulated at the same sound intensity via loudness </w:t>
      </w:r>
      <w:r w:rsidRPr="00C05886">
        <w:lastRenderedPageBreak/>
        <w:t>normalisation at -19 LUFS (i.e. Loudness units relative to full scale). This value meant the sounds were 5 LUFS quieter than the current standard value for YouTube, Spotify and most of the streaming platforms. This protected the participants’ hearing from excessive volume and also standardised the effect of the sound loudness across all participants.</w:t>
      </w:r>
    </w:p>
    <w:p w14:paraId="29888FFA" w14:textId="77777777" w:rsidR="00C12E53" w:rsidRPr="00C05886" w:rsidRDefault="00C12E53" w:rsidP="00B71AD6">
      <w:pPr>
        <w:pStyle w:val="Heading2"/>
      </w:pPr>
      <w:bookmarkStart w:id="50" w:name="_Toc179962308"/>
      <w:r w:rsidRPr="00C05886">
        <w:t>Measures</w:t>
      </w:r>
      <w:bookmarkEnd w:id="50"/>
    </w:p>
    <w:p w14:paraId="770834AC" w14:textId="77777777" w:rsidR="00C12E53" w:rsidRPr="00C05886" w:rsidRDefault="00C12E53" w:rsidP="00B71AD6">
      <w:pPr>
        <w:pStyle w:val="Heading3"/>
      </w:pPr>
      <w:bookmarkStart w:id="51" w:name="_Toc179962309"/>
      <w:r w:rsidRPr="00C05886">
        <w:t>Biodiversity</w:t>
      </w:r>
      <w:bookmarkEnd w:id="51"/>
    </w:p>
    <w:p w14:paraId="10D995EF" w14:textId="1FAFA520" w:rsidR="00C12E53" w:rsidRPr="00C05886" w:rsidRDefault="00C12E53" w:rsidP="00A76DAF">
      <w:r w:rsidRPr="00C05886">
        <w:t xml:space="preserve">As illustrated in Chapter 2, there are various methods to quantify biodiversity. In landscape research and urban studies, biodiversity is commonly quantified inferentially, relying on vegetation indexes and visual inspection. Flora and fauna surveys, where the species richness and abundance are measured on linear transects or quadrats, are not often reported </w:t>
      </w:r>
      <w:r w:rsidRPr="00C05886">
        <w:fldChar w:fldCharType="begin"/>
      </w:r>
      <w:r w:rsidRPr="00C05886">
        <w:instrText xml:space="preserve"> ADDIN ZOTERO_ITEM CSL_CITATION {"citationID":"HOQpjL8E","properties":{"formattedCitation":"(Botzat, Fischer and Kowarik, 2016)","plainCitation":"(Botzat, Fischer and Kowarik, 2016)","noteIndex":0},"citationItems":[{"id":4962,"uris":["http://zotero.org/users/10951124/items/6XCIAJD4"],"itemData":{"id":4962,"type":"article-journal","abstract":"Many researchers and policymakers from various disciplines highlight the role of urban biodiversity in delivering ecosystem services to enhance human wellbeing in a rapidly urbanising world. This suggests powerful synergies between approaches that are often disciplinarily separated, aiming either at human wellbeing or biodiversity conservation. Strategies towards liveable and biodiverse cities would gain support from insights into the people-biodiversity interface in cities. Yet, the question of which scale of biodiversity (from ecosystems to genes) benefits urban people in general and different socio-cultural groups in particular, remains largely open. To assess the current scientific knowledge as well as potential for further research, we systematically reviewed literature on people’s perception and valuation of urban biodiversity (200 studies). We also quantified the outcomes of studies in terms of the effects of biodiversity on valuation for studies that addressed biodiversity valuation below the ecosystem scale. We found that the current literature is critically biased in four ways. (1) Most studies cover temperate climates, while regions with the most pronounced urban growth are underrepresented. (2) Studies focus on urban forests and parks while important informal greenspaces are largely neglected. (3) Biodiversity is mostly addressed at the ecosystem scale (habitat or land-use types) while diversity at the species community or gene scale—key issues in biodiversity conservation—is covered to a much lesser extent. Most studies below the ecosystem scale show positive biodiversity effects, but universal patterns are not apparent due to the scarcity and low comparability of research. (4) Almost no studies consider the cultural diversity of urban residents by systematically targeting people from different socio-economic and cultural backgrounds or specific age groups. Our review reveals critical knowledge gaps about the people-biodiversity interface in cities, both in approaching cultural and biological diversity (‘biocultural diversity’). This shows unexploited opportunities and future directions in linking usually separated strategies on enhancing human wellbeing and biodiversity conservation in sustainable cities.","container-title":"Global Environmental Change","DOI":"10.1016/j.gloenvcha.2016.04.008","ISSN":"0959-3780","note":"publisher: Elsevier Ltd","page":"220-233","title":"Unexploited opportunities in understanding liveable and biodiverse cities. A review on urban biodiversity perception and valuation","volume":"39","author":[{"family":"Botzat","given":"Alexandra"},{"family":"Fischer","given":"Leonie K."},{"family":"Kowarik","given":"Ingo"}],"issued":{"date-parts":[["2016"]]}}}],"schema":"https://github.com/citation-style-language/schema/raw/master/csl-citation.json"} </w:instrText>
      </w:r>
      <w:r w:rsidRPr="00C05886">
        <w:fldChar w:fldCharType="separate"/>
      </w:r>
      <w:r w:rsidRPr="00C05886">
        <w:rPr>
          <w:rFonts w:ascii="Calibri" w:hAnsi="Calibri" w:cs="Calibri"/>
        </w:rPr>
        <w:t>(Botzat, Fischer and Kowarik, 2016)</w:t>
      </w:r>
      <w:r w:rsidRPr="00C05886">
        <w:fldChar w:fldCharType="end"/>
      </w:r>
      <w:r w:rsidRPr="00C05886">
        <w:t xml:space="preserve">. This is surprising considering that species richness is directly linked to the Biophilia hypothesis and can be linked to the Attention Restoration and the Stress Recovery theories. Theoretically, the higher the number of species, the higher the chances of finding something fascinating, opening a pathway to well-being. In this PhD, we focused mostly on plant species richness, since plants provide habitat for animals and are the most obvious element. Plant species richness is also relatively easy to assess in urban green spaces, where design and management make the planting accessible and the number of species tends to be limited. Another reason to focus on plants was the ease of manipulation since small plants can be temporarily placed into an existing space to increase the species count. Nonetheless, animals were included in the form of audio (Chapter 5) and digital models (Chapters 6-7). A limitation of this approach is that it primarily focused on </w:t>
      </w:r>
      <w:r w:rsidR="00E1047C">
        <w:t>clearly visible taxonomic groups (e.g. vascular plants, mammals)</w:t>
      </w:r>
      <w:r w:rsidRPr="00C05886">
        <w:t>, not considering invertebrates. This was a necessary limitation, as with the indirect exposure through visual media, invertebrates would have been too small to be seen.</w:t>
      </w:r>
    </w:p>
    <w:p w14:paraId="0659B796" w14:textId="77777777" w:rsidR="00C12E53" w:rsidRPr="00C05886" w:rsidRDefault="00C12E53" w:rsidP="00A76DAF">
      <w:r w:rsidRPr="00C05886">
        <w:t>Species richness was measured by counting all species shown in a photo (Chapter 4) or surveying the existing flora before introducing more plants (Chapter 5). Manipulation of species richness involved increasing the species richness, either with real plants and birdsongs or digital models of plants and birds. Confounding factors were controlled as much as possible. For instance, in Chapter 6, the number of species varied while the number of plant layers was held constant. Some elements could not be controlled so finely, for example, leaf shapes and flower colours. As these aesthetic elements are part of the identifiable characteristics of different species, they were considered to overlap with (or more likely be included in) the concept of biodiversity.</w:t>
      </w:r>
    </w:p>
    <w:p w14:paraId="3AE4AD17" w14:textId="73670EDA" w:rsidR="00C12E53" w:rsidRPr="00C05886" w:rsidRDefault="00C12E53" w:rsidP="00A76DAF">
      <w:r w:rsidRPr="00C05886">
        <w:lastRenderedPageBreak/>
        <w:t xml:space="preserve">To measure perceived biodiversity, it was important to avoid any reference to the term itself to </w:t>
      </w:r>
      <w:r w:rsidR="00C0254A" w:rsidRPr="00C05886">
        <w:t>reduce</w:t>
      </w:r>
      <w:r w:rsidRPr="00C05886">
        <w:t xml:space="preserve"> bias. Recently, biodiversity has become a sort of buzzword, often advertised as something desirable and healthy </w:t>
      </w:r>
      <w:r w:rsidRPr="00C05886">
        <w:fldChar w:fldCharType="begin"/>
      </w:r>
      <w:r w:rsidRPr="00C05886">
        <w:instrText xml:space="preserve"> ADDIN ZOTERO_ITEM CSL_CITATION {"citationID":"tVJZYqzL","properties":{"formattedCitation":"(Mammola {\\i{}et al.}, 2023)","plainCitation":"(Mammola et al., 2023)","noteIndex":0},"citationItems":[{"id":9686,"uris":["http://zotero.org/users/10951124/items/7DW5JAAN"],"itemData":{"id":9686,"type":"article-journal","abstract":"Summary\nAmidst a global biodiversity crisis1, the word ‘biodiversity’ has become indispensable for conservation and management2. Yet, biodiversity is often used as a buzzword in scientific literature. Resonant titles of papers claiming to have studied ‘global biodiversity’ may be used to promote research focused on a few taxonomic groups, habitats, or facets of biodiversity — taxonomic, (phylo)genetic, or functional. This usage may lead to extrapolating results outside the target systems of these studies with direct consequences for our understanding of life on Earth and its practical conservation. Here, we used a random sample of papers with the word ‘biodiversity’ in their title to take a long view of the use of this term. Despite improvements in analytical tools, monitoring technologies, and data availability3,4, we found that the taxonomic scope of research articles has not increased in recent years. We also show that studies with a wider taxonomic scope attract more citations and online attention. Our results have broad ramifications for understanding how extrapolating from studies with narrow taxonomic scope affects our view of global biodiversity and conservation.","container-title":"Current Biology","DOI":"10.1016/j.cub.2022.12.003","ISSN":"0960-9822","issue":"2","journalAbbreviation":"Current Biology","page":"R59-R60","title":"How much biodiversity is concealed in the word ‘biodiversity’?","volume":"33","author":[{"family":"Mammola","given":"Stefano"},{"family":"Fukushima","given":"Caroline S."},{"family":"Biondo","given":"Girolama"},{"family":"Bongiorni","given":"Lucia"},{"family":"Cianferoni","given":"Fabio"},{"family":"Domenici","given":"Paolo"},{"family":"Fruciano","given":"Carmelo"},{"family":"Lo Giudice","given":"Angelina"},{"family":"Macías-Hernández","given":"Nuria"},{"family":"Malumbres-Olarte","given":"Jagoba"},{"family":"Miličić","given":"Marija"},{"family":"Morganti","given":"Michelangelo"},{"family":"Mori","given":"Emiliano"},{"family":"Munévar","given":"Ana"},{"family":"Pollegioni","given":"Paola"},{"family":"Rosati","given":"Ilaria"},{"family":"Tenan","given":"Simone"},{"family":"Urbano-Tenorio","given":"Fernando"},{"family":"Fontaneto","given":"Diego"},{"family":"Cardoso","given":"Pedro"}],"issued":{"date-parts":[["2023",1,23]]}}}],"schema":"https://github.com/citation-style-language/schema/raw/master/csl-citation.json"} </w:instrText>
      </w:r>
      <w:r w:rsidRPr="00C05886">
        <w:fldChar w:fldCharType="separate"/>
      </w:r>
      <w:r w:rsidRPr="00C05886">
        <w:rPr>
          <w:rFonts w:ascii="Calibri" w:hAnsi="Calibri" w:cs="Calibri"/>
          <w:szCs w:val="24"/>
        </w:rPr>
        <w:t xml:space="preserve">(Mammola </w:t>
      </w:r>
      <w:r w:rsidRPr="00C05886">
        <w:rPr>
          <w:rFonts w:ascii="Calibri" w:hAnsi="Calibri" w:cs="Calibri"/>
          <w:i/>
          <w:iCs/>
          <w:szCs w:val="24"/>
        </w:rPr>
        <w:t>et al.</w:t>
      </w:r>
      <w:r w:rsidRPr="00C05886">
        <w:rPr>
          <w:rFonts w:ascii="Calibri" w:hAnsi="Calibri" w:cs="Calibri"/>
          <w:szCs w:val="24"/>
        </w:rPr>
        <w:t>, 2023)</w:t>
      </w:r>
      <w:r w:rsidRPr="00C05886">
        <w:fldChar w:fldCharType="end"/>
      </w:r>
      <w:r w:rsidRPr="00C05886">
        <w:t xml:space="preserve">. On the other hand, it remains a technical term, which meaning may not be understood by all members of the public. It was also important to avoid a count of the species during the procedure given that the general public has been argued to have limited identification skills </w:t>
      </w:r>
      <w:r w:rsidRPr="00C05886">
        <w:fldChar w:fldCharType="begin"/>
      </w:r>
      <w:r w:rsidR="00DC0B4B" w:rsidRPr="00C05886">
        <w:instrText xml:space="preserve"> ADDIN ZOTERO_ITEM CSL_CITATION {"citationID":"7FtMRytu","properties":{"formattedCitation":"(Assaf Shwartz {\\i{}et al.}, 2014)","plainCitation":"(Assaf Shwartz et al., 2014)","noteIndex":0},"citationItems":[{"id":6245,"uris":["http://zotero.org/users/10951124/items/ER322ZT3"],"itemData":{"id":6245,"type":"article-journal","abstract":"&lt;p&gt;Urbanization is presenting a growing problem for biodiversity conservation, notably by increasingly isolating over half of the world’s population from the experience of nature. This separation of people from nature is an important environmental issue, as it could fundamentally influence the way people value nature and their willingness to conserve it. Here we provide the first experimental study that jointly explores how urban biodiversity can be enhanced and how these changes may influence some aspects of people–biodiversity interactions.&lt;/p&gt; &lt;p&gt;We significantly increased the diversity of flowers, birds and pollinators in small public gardens (Paris, France) by providing additional resources (i.e., planting flower-meadows and placing nesting-boxes). Semi-structured interviews were conducted &lt;/p&gt; &lt;p&gt; with 1116 regular garden users before and after the manipulation. Close-ended questionnaires were completed exploring the respondents’ biodiversity perception and their sensitivity to the changes in biodiversity. Our results highlight a people–biodiversity paradox between people’s perceptions and biodiversity awareness. Respondents expressed a strong preference for a rich diversity of species (excluding insects) and related this diversity to their well-being in the gardens. However, they did not notice the diversity of species. Respondents underestimated species richness and only noticed the changes in native flower richness in those gardens where advertisement and public involvement were organized. More experimental interdisciplinary studies are needed to further explore the people–biodiversity interactions. This would help expose the role that urban biodiversity plays in people’s daily life and the importance of this interaction for raising public support for general conservation policies.&lt;/p&gt;","container-title":"Biological Conservation","DOI":"10.1016/j.biocon.2014.01.009","ISSN":"0006-3207","page":"82-90","title":"Enhancing urban biodiversity and its influence on city-dwellers: An experiment","volume":"171","author":[{"family":"Shwartz","given":"Assaf"},{"family":"Turbé","given":"Anne"},{"family":"Simon","given":"Laurent"},{"family":"Julliard","given":"Romain"}],"issued":{"date-parts":[["2014"]]}}}],"schema":"https://github.com/citation-style-language/schema/raw/master/csl-citation.json"} </w:instrText>
      </w:r>
      <w:r w:rsidRPr="00C05886">
        <w:fldChar w:fldCharType="separate"/>
      </w:r>
      <w:r w:rsidR="00DC0B4B" w:rsidRPr="00C05886">
        <w:rPr>
          <w:rFonts w:ascii="Calibri" w:hAnsi="Calibri" w:cs="Calibri"/>
          <w:szCs w:val="24"/>
        </w:rPr>
        <w:t xml:space="preserve">(Assaf Shwartz </w:t>
      </w:r>
      <w:r w:rsidR="00DC0B4B" w:rsidRPr="00C05886">
        <w:rPr>
          <w:rFonts w:ascii="Calibri" w:hAnsi="Calibri" w:cs="Calibri"/>
          <w:i/>
          <w:iCs/>
          <w:szCs w:val="24"/>
        </w:rPr>
        <w:t>et al.</w:t>
      </w:r>
      <w:r w:rsidR="00DC0B4B" w:rsidRPr="00C05886">
        <w:rPr>
          <w:rFonts w:ascii="Calibri" w:hAnsi="Calibri" w:cs="Calibri"/>
          <w:szCs w:val="24"/>
        </w:rPr>
        <w:t>, 2014)</w:t>
      </w:r>
      <w:r w:rsidRPr="00C05886">
        <w:fldChar w:fldCharType="end"/>
      </w:r>
      <w:r w:rsidRPr="00C05886">
        <w:t xml:space="preserve">. Two approaches were therefore attempted to rate the perceived species richness indirectly. </w:t>
      </w:r>
    </w:p>
    <w:p w14:paraId="71D11CA6" w14:textId="77777777" w:rsidR="00C12E53" w:rsidRPr="00C05886" w:rsidRDefault="00C12E53" w:rsidP="00913E5D">
      <w:r w:rsidRPr="00C05886">
        <w:t xml:space="preserve">The first, used in Chapter 5, involved a proxy: participants were asked to rate the suitability of the green space shown in terms of providing for plants and wildlife. As an extra measure, those who had given the highest rates, were asked to elaborate: what did they see to reach such a conclusion? This approach provided useful insights but it could be argued that it did not probe into the perceived species richness but rather in the perceived naturalness or ecological value. However, both these elements have been proposed as part of the construct of perceived biodiversity </w:t>
      </w:r>
      <w:r w:rsidRPr="00C05886">
        <w:fldChar w:fldCharType="begin"/>
      </w:r>
      <w:r w:rsidRPr="00C05886">
        <w:instrText xml:space="preserve"> ADDIN ZOTERO_ITEM CSL_CITATION {"citationID":"YX7Y2tZD","properties":{"formattedCitation":"(Irvine {\\i{}et al.}, 2023)","plainCitation":"(Irvine et al., 2023)","noteIndex":0},"citationItems":[{"id":9703,"uris":["http://zotero.org/users/10951124/items/WT5LGGAZ"],"itemData":{"id":9703,"type":"article-journal","abstract":"The evidence linking nature and human wellbeing is compelling. Yet, there is a lack of understanding regarding which aspects of nature contribute to wellbeing and the role biodiversity plays specifically. This knowledge gap hampers our ability to understand and manage natural environments from an ecological perspective to improve human wellbeing. To investigate the impact of biodiversity on wellbeing in a range of contexts, there is a need for a psychometric scale. Here, we present BIO-WELL, a novel, reliable and validated self-reported wellbeing scale designed to investigate the biodiversity-health/wellbeing relationship. We describe the conceptual foundation, empirical development and psychometric evaluation of BIO-WELL. We detail five studies, involving 2962 participants, describing the steps taken in the scale's development: (1) a series of deliberative workshops to identify how people conceptualise biodiversity metrics and attributes, and the impact these have on wellbeing; (2) an in-depth qualitative analysis of biodiversity-focused stem questions and wellbeing response items, assessed through an expert panel, focus groups and cognitive interviewing techniques; (3) combined methods associated with classical test theory (e.g. factor analysis) and more modern measurement approaches drawn from item response theory to develop the scale; (4) a confirmatory factor analysis alongside classical test and item response theories to evaluate the scale; and (5) scale validation including discriminant/convergent, concurrent and predictive. The studies demonstrate that BIO-WELL is a valid and reliable scale with strong psychometric properties. We discuss ways it could be applied in research, policy and practice to further develop our conceptual and empirical understanding of the biodiversity-health relationship and assess the effectiveness of related interventions.","container-title":"Journal of Environmental Psychology","DOI":"10.1016/j.jenvp.2022.101921","ISSN":"0272-4944","journalAbbreviation":"Journal of Environmental Psychology","page":"101921","title":"BIO-WELL: The development and validation of a human wellbeing scale that measures responses to biodiversity","volume":"85","author":[{"family":"Irvine","given":"Katherine N."},{"family":"Fisher","given":"Jessica C."},{"family":"Bentley","given":"Phoebe R."},{"family":"Nawrath","given":"Maximillian"},{"family":"Dallimer","given":"Martin"},{"family":"Austen","given":"Gail E."},{"family":"Fish","given":"Rob"},{"family":"Davies","given":"Zoe G."}],"issued":{"date-parts":[["2023",2,1]]}}}],"schema":"https://github.com/citation-style-language/schema/raw/master/csl-citation.json"} </w:instrText>
      </w:r>
      <w:r w:rsidRPr="00C05886">
        <w:fldChar w:fldCharType="separate"/>
      </w:r>
      <w:r w:rsidRPr="00C05886">
        <w:rPr>
          <w:rFonts w:ascii="Calibri" w:hAnsi="Calibri" w:cs="Calibri"/>
          <w:szCs w:val="24"/>
        </w:rPr>
        <w:t xml:space="preserve">(Irvine </w:t>
      </w:r>
      <w:r w:rsidRPr="00C05886">
        <w:rPr>
          <w:rFonts w:ascii="Calibri" w:hAnsi="Calibri" w:cs="Calibri"/>
          <w:i/>
          <w:iCs/>
          <w:szCs w:val="24"/>
        </w:rPr>
        <w:t>et al.</w:t>
      </w:r>
      <w:r w:rsidRPr="00C05886">
        <w:rPr>
          <w:rFonts w:ascii="Calibri" w:hAnsi="Calibri" w:cs="Calibri"/>
          <w:szCs w:val="24"/>
        </w:rPr>
        <w:t>, 2023)</w:t>
      </w:r>
      <w:r w:rsidRPr="00C05886">
        <w:fldChar w:fldCharType="end"/>
      </w:r>
      <w:r w:rsidRPr="00C05886">
        <w:t xml:space="preserve">. The second approach, used in Chapters 4, 6 and 7, replicated the one used in Cameron et al. (2020). Participants were asked to guess how many types of flora and fauna they could see in the video/tour. This was more closely related to species richness but did not involve counting and offered a straightforward interpretation. The use of more complex scales such as the Biodiversity Experience Index </w:t>
      </w:r>
      <w:r w:rsidRPr="00C05886">
        <w:fldChar w:fldCharType="begin"/>
      </w:r>
      <w:r w:rsidRPr="00C05886">
        <w:instrText xml:space="preserve"> ADDIN ZOTERO_ITEM CSL_CITATION {"citationID":"DRkF2Ac2","properties":{"formattedCitation":"(Gyllin and Grahn, 2005)","plainCitation":"(Gyllin and Grahn, 2005)","noteIndex":0},"citationItems":[{"id":9629,"uris":["http://zotero.org/users/10951124/items/S8LZIJHI"],"itemData":{"id":9629,"type":"article-journal","abstract":"Biodiversity is a significant element of our everyday experience of urban environments, though it is generally only perceived subconsciously. Thus, there is a need to develop a method for defining and measuring experienced biodiversity. As a first step towards such a method, a semantic test was presented to a group of 102 participants. The test consisted of a form containing words/expressions selected as possible components of biodiversity. The participants rated the words on a five-grade scale, and the form was completed at six different study sites. Statistical analyses indicated that words with biological content were strongly correlated with biodiversity, as were words associated with wilderness and variation. Correlations with words of preference were less strong. Following factor analysis, a biodiversity experience index was calculated based on the factor loadings of words strongly correlated with biological diversity. The index was then calculated for all six sites. It was suggested that the index, by measuring words/expressions with higher linguistic codability, offers a valuable tool for assessing experienced biodiversity. It was further concluded that areas containing spontaneous vegetation and water obtained higher biodiversity index scores than did areas characterized by a short-cut lawn and more uniform vegetation.","container-title":"Urban Forestry &amp; Urban Greening","DOI":"10.1016/j.ufug.2005.04.004","ISSN":"1618-8667","issue":"3","journalAbbreviation":"Urban Forestry &amp; Urban Greening","page":"149-161","title":"A semantic model for assessing the experience of urban biodiversity","volume":"3","author":[{"family":"Gyllin","given":"Mats"},{"family":"Grahn","given":"Patrik"}],"issued":{"date-parts":[["2005",6,23]]}}}],"schema":"https://github.com/citation-style-language/schema/raw/master/csl-citation.json"} </w:instrText>
      </w:r>
      <w:r w:rsidRPr="00C05886">
        <w:fldChar w:fldCharType="separate"/>
      </w:r>
      <w:r w:rsidRPr="00C05886">
        <w:rPr>
          <w:rFonts w:ascii="Calibri" w:hAnsi="Calibri" w:cs="Calibri"/>
        </w:rPr>
        <w:t>(Gyllin and Grahn, 2005)</w:t>
      </w:r>
      <w:r w:rsidRPr="00C05886">
        <w:fldChar w:fldCharType="end"/>
      </w:r>
      <w:r w:rsidRPr="00C05886">
        <w:t xml:space="preserve"> or the new Bio-Well scale </w:t>
      </w:r>
      <w:r w:rsidRPr="00C05886">
        <w:fldChar w:fldCharType="begin"/>
      </w:r>
      <w:r w:rsidRPr="00C05886">
        <w:instrText xml:space="preserve"> ADDIN ZOTERO_ITEM CSL_CITATION {"citationID":"ORYJgGSU","properties":{"formattedCitation":"(Irvine {\\i{}et al.}, 2023)","plainCitation":"(Irvine et al., 2023)","noteIndex":0},"citationItems":[{"id":9703,"uris":["http://zotero.org/users/10951124/items/WT5LGGAZ"],"itemData":{"id":9703,"type":"article-journal","abstract":"The evidence linking nature and human wellbeing is compelling. Yet, there is a lack of understanding regarding which aspects of nature contribute to wellbeing and the role biodiversity plays specifically. This knowledge gap hampers our ability to understand and manage natural environments from an ecological perspective to improve human wellbeing. To investigate the impact of biodiversity on wellbeing in a range of contexts, there is a need for a psychometric scale. Here, we present BIO-WELL, a novel, reliable and validated self-reported wellbeing scale designed to investigate the biodiversity-health/wellbeing relationship. We describe the conceptual foundation, empirical development and psychometric evaluation of BIO-WELL. We detail five studies, involving 2962 participants, describing the steps taken in the scale's development: (1) a series of deliberative workshops to identify how people conceptualise biodiversity metrics and attributes, and the impact these have on wellbeing; (2) an in-depth qualitative analysis of biodiversity-focused stem questions and wellbeing response items, assessed through an expert panel, focus groups and cognitive interviewing techniques; (3) combined methods associated with classical test theory (e.g. factor analysis) and more modern measurement approaches drawn from item response theory to develop the scale; (4) a confirmatory factor analysis alongside classical test and item response theories to evaluate the scale; and (5) scale validation including discriminant/convergent, concurrent and predictive. The studies demonstrate that BIO-WELL is a valid and reliable scale with strong psychometric properties. We discuss ways it could be applied in research, policy and practice to further develop our conceptual and empirical understanding of the biodiversity-health relationship and assess the effectiveness of related interventions.","container-title":"Journal of Environmental Psychology","DOI":"10.1016/j.jenvp.2022.101921","ISSN":"0272-4944","journalAbbreviation":"Journal of Environmental Psychology","page":"101921","title":"BIO-WELL: The development and validation of a human wellbeing scale that measures responses to biodiversity","volume":"85","author":[{"family":"Irvine","given":"Katherine N."},{"family":"Fisher","given":"Jessica C."},{"family":"Bentley","given":"Phoebe R."},{"family":"Nawrath","given":"Maximillian"},{"family":"Dallimer","given":"Martin"},{"family":"Austen","given":"Gail E."},{"family":"Fish","given":"Rob"},{"family":"Davies","given":"Zoe G."}],"issued":{"date-parts":[["2023",2,1]]}}}],"schema":"https://github.com/citation-style-language/schema/raw/master/csl-citation.json"} </w:instrText>
      </w:r>
      <w:r w:rsidRPr="00C05886">
        <w:fldChar w:fldCharType="separate"/>
      </w:r>
      <w:r w:rsidRPr="00C05886">
        <w:rPr>
          <w:rFonts w:ascii="Calibri" w:hAnsi="Calibri" w:cs="Calibri"/>
          <w:szCs w:val="24"/>
        </w:rPr>
        <w:t xml:space="preserve">(Irvine </w:t>
      </w:r>
      <w:r w:rsidRPr="00C05886">
        <w:rPr>
          <w:rFonts w:ascii="Calibri" w:hAnsi="Calibri" w:cs="Calibri"/>
          <w:i/>
          <w:iCs/>
          <w:szCs w:val="24"/>
        </w:rPr>
        <w:t>et al.</w:t>
      </w:r>
      <w:r w:rsidRPr="00C05886">
        <w:rPr>
          <w:rFonts w:ascii="Calibri" w:hAnsi="Calibri" w:cs="Calibri"/>
          <w:szCs w:val="24"/>
        </w:rPr>
        <w:t>, 2023)</w:t>
      </w:r>
      <w:r w:rsidRPr="00C05886">
        <w:fldChar w:fldCharType="end"/>
      </w:r>
      <w:r w:rsidRPr="00C05886">
        <w:t xml:space="preserve"> would have been more reliable, but, again, this was a trade-off to reduce the survey duration.</w:t>
      </w:r>
    </w:p>
    <w:p w14:paraId="7E450F93" w14:textId="77777777" w:rsidR="00C12E53" w:rsidRPr="00C05886" w:rsidRDefault="00C12E53" w:rsidP="00B71AD6">
      <w:pPr>
        <w:pStyle w:val="Heading3"/>
      </w:pPr>
      <w:bookmarkStart w:id="52" w:name="_Toc179962310"/>
      <w:r w:rsidRPr="00C05886">
        <w:t>Affective well-being</w:t>
      </w:r>
      <w:bookmarkEnd w:id="52"/>
    </w:p>
    <w:p w14:paraId="3A738399" w14:textId="77777777" w:rsidR="00C12E53" w:rsidRPr="00C05886" w:rsidRDefault="00C12E53" w:rsidP="00291D34">
      <w:r w:rsidRPr="00C05886">
        <w:t xml:space="preserve">As mentioned in Chapter 2, this PhD narrowed its focus on affective well-being. Summarising, Affect includes emotions, stress responses, impulses and moods </w:t>
      </w:r>
      <w:r w:rsidRPr="00C05886">
        <w:fldChar w:fldCharType="begin"/>
      </w:r>
      <w:r w:rsidRPr="00C05886">
        <w:instrText xml:space="preserve"> ADDIN ZOTERO_ITEM CSL_CITATION {"citationID":"e687au6m","properties":{"formattedCitation":"(Gross, Uusberg and Uusberg, 2019)","plainCitation":"(Gross, Uusberg and Uusberg, 2019)","noteIndex":0},"citationItems":[{"id":9503,"uris":["http://zotero.org/users/10951124/items/EG8ZFZC4"],"itemData":{"id":9503,"type":"article-journal","abstract":"Mental health crucially depends upon affective states such as emotions, stress responses, impulses and moods. These states shape how we think, feel and behave. Often, they support adaptive functioning. At other times, however, they can become detrimental to mental health via maladaptive affect generation processes and/or maladaptive affect regulation processes. Here, we present an integrative framework for considering the role of affect generation and regulation in mental illness and well-being. Our model views affect generation as an iterative cycle of attending to, appraising and responding to situations. It views affect regulation as an iterative series of decisions aimed at altering affect generation. Affect regulation decisions include identifying what, if anything, should be changed about affect, selecting where to intervene in the affect generation cycle, choosing how to implement this intervention, and monitoring the regulation attempt to decide whether to maintain, switch or stop it. Difficulties with these decisions, often arising from biased inputs to them, can contribute to manifestations of mental illness such as clinical symptoms, syndromes and disorders. The model has a number of implications for clinical assessment and treatment. Specifically, it offers a common set of concepts for characterizing different affective states; it highlights interactions between affect generation and affect regulation; it identifies assessment and treatment targets among the component processes of affect regulation; and it is applicable to prevention and treatment of mental illness as well as to promotion and restoration of psychological well-being.","container-title":"World Psychiatry","DOI":"10.1002/wps.20618","ISSN":"1723-8617","issue":"2","journalAbbreviation":"World Psychiatry","note":"publisher: John Wiley &amp; Sons, Ltd","page":"130-139","title":"Mental illness and well-being: an affect regulation perspective","volume":"18","author":[{"family":"Gross","given":"James J."},{"family":"Uusberg","given":"Helen"},{"family":"Uusberg","given":"Andero"}],"issued":{"date-parts":[["2019",6,1]]}}}],"schema":"https://github.com/citation-style-language/schema/raw/master/csl-citation.json"} </w:instrText>
      </w:r>
      <w:r w:rsidRPr="00C05886">
        <w:fldChar w:fldCharType="separate"/>
      </w:r>
      <w:r w:rsidRPr="00C05886">
        <w:rPr>
          <w:rFonts w:ascii="Calibri" w:hAnsi="Calibri" w:cs="Calibri"/>
        </w:rPr>
        <w:t>(Gross, Uusberg and Uusberg, 2019)</w:t>
      </w:r>
      <w:r w:rsidRPr="00C05886">
        <w:fldChar w:fldCharType="end"/>
      </w:r>
      <w:r w:rsidRPr="00C05886">
        <w:t xml:space="preserve">, has physiological foundations </w:t>
      </w:r>
      <w:r w:rsidRPr="00C05886">
        <w:fldChar w:fldCharType="begin"/>
      </w:r>
      <w:r w:rsidRPr="00C05886">
        <w:instrText xml:space="preserve"> ADDIN ZOTERO_ITEM CSL_CITATION {"citationID":"PkzsiZKt","properties":{"formattedCitation":"(Panksepp {\\i{}et al.}, 2017)","plainCitation":"(Panksepp et al., 2017)","noteIndex":0},"citationItems":[{"id":10155,"uris":["http://zotero.org/users/10951124/items/RAFKK444"],"itemData":{"id":10155,"type":"article-journal","container-title":"Neuroscience &amp; Biobehavioral Reviews","DOI":"10.1016/j.neubiorev.2016.09.010","ISSN":"01497634","journalAbbreviation":"Neuroscience &amp; Biobehavioral Reviews","language":"en","page":"187-215","source":"DOI.org (Crossref)","title":"Reconciling cognitive and affective neuroscience perspectives on the brain basis of emotional experience","volume":"76","author":[{"family":"Panksepp","given":"Jaak"},{"family":"Lane","given":"Richard D."},{"family":"Solms","given":"Mark"},{"family":"Smith","given":"Ryan"}],"issued":{"date-parts":[["2017",5]]}}}],"schema":"https://github.com/citation-style-language/schema/raw/master/csl-citation.json"} </w:instrText>
      </w:r>
      <w:r w:rsidRPr="00C05886">
        <w:fldChar w:fldCharType="separate"/>
      </w:r>
      <w:r w:rsidRPr="00C05886">
        <w:rPr>
          <w:rFonts w:ascii="Calibri" w:hAnsi="Calibri" w:cs="Calibri"/>
          <w:szCs w:val="24"/>
        </w:rPr>
        <w:t xml:space="preserve">(Panksepp </w:t>
      </w:r>
      <w:r w:rsidRPr="00C05886">
        <w:rPr>
          <w:rFonts w:ascii="Calibri" w:hAnsi="Calibri" w:cs="Calibri"/>
          <w:i/>
          <w:iCs/>
          <w:szCs w:val="24"/>
        </w:rPr>
        <w:t>et al.</w:t>
      </w:r>
      <w:r w:rsidRPr="00C05886">
        <w:rPr>
          <w:rFonts w:ascii="Calibri" w:hAnsi="Calibri" w:cs="Calibri"/>
          <w:szCs w:val="24"/>
        </w:rPr>
        <w:t>, 2017)</w:t>
      </w:r>
      <w:r w:rsidRPr="00C05886">
        <w:fldChar w:fldCharType="end"/>
      </w:r>
      <w:r w:rsidRPr="00C05886">
        <w:t xml:space="preserve"> and has evolved to respond to external stimuli (e.g. fear) and to address internal needs (e.g. loneliness). Considering the time constraints of the research design (a 10-15-minute survey), assessing well-being had necessarily to be focused on psychological states. Therefore, by stimulating and observing affective states, it should be possible to link an in-the-moment experience such as seeing a park in the experiment with a general situation (e.g. passing through a park on the way to work). </w:t>
      </w:r>
    </w:p>
    <w:p w14:paraId="7C8C4E88" w14:textId="6CEF4469" w:rsidR="00C12E53" w:rsidRPr="00C05886" w:rsidRDefault="00C12E53" w:rsidP="00291D34">
      <w:r w:rsidRPr="00C05886">
        <w:t xml:space="preserve">The main tool to measure affective states was the Positive and Negative Affect Schedule – shorted to PANAS-X </w:t>
      </w:r>
      <w:r w:rsidRPr="00C05886">
        <w:fldChar w:fldCharType="begin"/>
      </w:r>
      <w:r w:rsidRPr="00C05886">
        <w:instrText xml:space="preserve"> ADDIN ZOTERO_ITEM CSL_CITATION {"citationID":"UKBie4dp","properties":{"formattedCitation":"(Watson and Clark, 1994)","plainCitation":"(Watson and Clark, 1994)","noteIndex":0},"citationItems":[{"id":7774,"uris":["http://zotero.org/users/10951124/items/AXHMJQWT"],"itemData":{"id":7774,"type":"article-journal","abstract":"In recent studies of the structure of affect, positive and negative affect have consistently emerged as two dominant and relatively independent dimensions. A number of mood scales have been created to measure these factors; however, many existing measures are inadequate, showing low reliability or poor convergent or discriminant validity. To fill the need for reliable and valid Positive Affect and Negative Affect scales that are also brief and easy to administer, we developed two 10-item mood scales that comprise the Positive and Negative Affect Schedule (PANAS). The scales are shown to be highly internally consistent, largely uncorrelated, and stable at appropriate levels over a 2-month time period. Normative data and factorial and external evidence of convergent and discriminant validity for the scales are also presented.","title":"The PANAS-X Manual for the Positive and Negative Affect Schedule - Expanded Form","author":[{"family":"Watson","given":"David"},{"family":"Clark","given":"Lee Anna"}],"issued":{"date-parts":[["1994"]]}}}],"schema":"https://github.com/citation-style-language/schema/raw/master/csl-citation.json"} </w:instrText>
      </w:r>
      <w:r w:rsidRPr="00C05886">
        <w:fldChar w:fldCharType="separate"/>
      </w:r>
      <w:r w:rsidRPr="00C05886">
        <w:rPr>
          <w:rFonts w:ascii="Calibri" w:hAnsi="Calibri" w:cs="Calibri"/>
        </w:rPr>
        <w:t>(Watson and Clark, 1994)</w:t>
      </w:r>
      <w:r w:rsidRPr="00C05886">
        <w:fldChar w:fldCharType="end"/>
      </w:r>
      <w:r w:rsidRPr="00C05886">
        <w:t xml:space="preserve">. This scale was the most suitable candidate as it offers a good correlation with other commonly used scales (e.g. the Profile of Mood States, or the State-Trait </w:t>
      </w:r>
      <w:r w:rsidRPr="00C05886">
        <w:lastRenderedPageBreak/>
        <w:t xml:space="preserve">Anxiety Inventory), providing good comparability with previous and future studies. The scale is also easy to use for the participant, who rates each emotion from 1 to 5, and to interpret by the researcher – i.e. higher values correspond to intense emotions. Further, an international short version of the PANAS is available </w:t>
      </w:r>
      <w:r w:rsidRPr="00C05886">
        <w:fldChar w:fldCharType="begin"/>
      </w:r>
      <w:r w:rsidRPr="00C05886">
        <w:instrText xml:space="preserve"> ADDIN ZOTERO_ITEM CSL_CITATION {"citationID":"PT6Koios","properties":{"formattedCitation":"(Thompson, 2007)","plainCitation":"(Thompson, 2007)","noteIndex":0},"citationItems":[{"id":7693,"uris":["http://zotero.org/users/10951124/items/9NT7C9ZU"],"itemData":{"id":7693,"type":"article-journal","abstract":"This article reports the development and validation of a 10-item international Positive and Negative Affect Schedule (PANAS) Short Form (I-PANAS-SF) in English. A qualitative study (N = 18) and then an exploratory quantitative study (N = 407), each using informants from a range of cultural backgrounds, were used to identify systematically which 10 of the original 20 PANAS items to retain or remove. A same-sample retest study (N = 163) was used in an initial examination of the new 10-item international PANAS's psychometric properties and to assess its correlation with the full, 20-item, original PANAS. In a series of further validation studies (N = 1,789), the cross-sample stability, internal reliability, temporal stability, cross-cultural factorial invariance, and convergent and criterion-related validities of the I-PANAS-SF were examined and found to be psychometrically acceptable. © 2007 Sage Publications.","container-title":"Journal of Cross-Cultural Psychology","DOI":"10.1177/0022022106297301","ISSN":"00220221","issue":"2","page":"227-242","title":"Development and validation of an internationally reliable short-form of the Positive and Negative Affect Schedule (PANAS)","volume":"38","author":[{"family":"Thompson","given":"Edmund R."}],"issued":{"date-parts":[["2007"]]}}}],"schema":"https://github.com/citation-style-language/schema/raw/master/csl-citation.json"} </w:instrText>
      </w:r>
      <w:r w:rsidRPr="00C05886">
        <w:fldChar w:fldCharType="separate"/>
      </w:r>
      <w:r w:rsidRPr="00C05886">
        <w:rPr>
          <w:rFonts w:ascii="Calibri" w:hAnsi="Calibri" w:cs="Calibri"/>
        </w:rPr>
        <w:t>(Thompson, 2007)</w:t>
      </w:r>
      <w:r w:rsidRPr="00C05886">
        <w:fldChar w:fldCharType="end"/>
      </w:r>
      <w:r w:rsidRPr="00C05886">
        <w:t xml:space="preserve"> and offers improved reliability with participants who are not English native speakers. This was important for an online audience, where language skills can vary. The PANAS-X also provides subscales that can focus on the parts of the emotional spectrum that the researcher is interested in measuring. Initially, the focus was on general positive and negative affect (Chapter 5), while later the analysis of positive affect was expanded to distinguish low arousal positive affect (i.e. relaxation) from high arousal positive affect (i.e. joviality). In one case (Chapter 4), the only available measure of affective well-being was a single-item, five-point Likert scale, ranging from a sad emoji to a happy one </w:t>
      </w:r>
      <w:r w:rsidRPr="00C05886">
        <w:fldChar w:fldCharType="begin"/>
      </w:r>
      <w:r w:rsidR="00001725" w:rsidRPr="00C05886">
        <w:instrText xml:space="preserve"> ADDIN ZOTERO_ITEM CSL_CITATION {"citationID":"9iThvmgW","properties":{"formattedCitation":"(Cameron {\\i{}et al.}, 2020)","plainCitation":"(Cameron et al., 2020)","noteIndex":0},"citationItems":[{"id":5002,"uris":["http://zotero.org/users/10951124/items/CAJX7VIQ"],"itemData":{"id":5002,"type":"article-journal","abstract":"Urban green space can help mitigate the negative impacts of urban living and provide positive effects on citizens’ mood, health and well-being. Questions remain, however, as to whether all types of green space are equally beneficial, and if not, what landscape forms or key features optimise the desired benefits. For example, it has been cited that urban landscapes rich in wildlife (high biodiversity) may promote more positive emotions and enhance well-being. This research utilised a mobile phone App, employed to assess people’s emotions when they entered any one of 945 green spaces within the city of Sheffield, UK. Emotional responses were correlated to key traits of the individual green spaces, including levels of biodiversity the participant perceived around them. For a subsample of these green spaces, actual levels of biodiversity were assessed through avian and habitat surveys. Results demonstrated strong correlations between levels of avian biodiversity within a green space and human emotional response to that space. Respondents reported being happier in sites with greater avian biodiversity (p &lt; 0.01, r = 0.78) and a greater variety of habitats (p &lt; 0.02, r = 0.72). Relationships were strengthened when emotions were linked to perceptions of overall biodiversity (p &lt; 0.001, r = 0.89). So, when participants thought the site was wildlife rich, they reported more positive emotions, even when actual avian biodiversity levels were not necessarily enhanced. The data strengthens the arguments that nature enhances well-being through positive affect, and that increased ‘engagement with nature’ may help support human health within urban environments. The results have strong implications for city planning with respect to the design, management and use of city green spaces.","container-title":"Urban Ecosystems","DOI":"10.1007/s11252-020-00929-z","ISSN":"15731642","note":"publisher: Urban Ecosystems","title":"Where the wild things are! Do urban green spaces with greater avian biodiversity promote more positive emotions in humans?","author":[{"family":"Cameron","given":"Ross W.F."},{"family":"Brindley","given":"Paul"},{"family":"Mears","given":"Meghann"},{"family":"McEwan","given":"Kirsten"},{"family":"Ferguson","given":"Fiona"},{"family":"Sheffield","given":"David"},{"family":"Jorgensen","given":"Anna"},{"family":"Riley","given":"Julie"},{"family":"Goodrick","given":"Jon"},{"family":"Ballard","given":"Liz"},{"family":"Richardson","given":"Miles"}],"issued":{"date-parts":[["2020"]]}},"label":"page"}],"schema":"https://github.com/citation-style-language/schema/raw/master/csl-citation.json"} </w:instrText>
      </w:r>
      <w:r w:rsidRPr="00C05886">
        <w:fldChar w:fldCharType="separate"/>
      </w:r>
      <w:r w:rsidR="00001725" w:rsidRPr="00C05886">
        <w:rPr>
          <w:rFonts w:ascii="Calibri" w:hAnsi="Calibri" w:cs="Calibri"/>
          <w:szCs w:val="24"/>
        </w:rPr>
        <w:t xml:space="preserve">(Cameron </w:t>
      </w:r>
      <w:r w:rsidR="00001725" w:rsidRPr="00C05886">
        <w:rPr>
          <w:rFonts w:ascii="Calibri" w:hAnsi="Calibri" w:cs="Calibri"/>
          <w:i/>
          <w:iCs/>
          <w:szCs w:val="24"/>
        </w:rPr>
        <w:t>et al.</w:t>
      </w:r>
      <w:r w:rsidR="00001725" w:rsidRPr="00C05886">
        <w:rPr>
          <w:rFonts w:ascii="Calibri" w:hAnsi="Calibri" w:cs="Calibri"/>
          <w:szCs w:val="24"/>
        </w:rPr>
        <w:t>, 2020)</w:t>
      </w:r>
      <w:r w:rsidRPr="00C05886">
        <w:fldChar w:fldCharType="end"/>
      </w:r>
      <w:r w:rsidRPr="00C05886">
        <w:t>.</w:t>
      </w:r>
    </w:p>
    <w:p w14:paraId="2DADC253" w14:textId="77777777" w:rsidR="00C12E53" w:rsidRPr="00C05886" w:rsidRDefault="00C12E53" w:rsidP="00B71AD6">
      <w:pPr>
        <w:pStyle w:val="Heading3"/>
      </w:pPr>
      <w:bookmarkStart w:id="53" w:name="_Toc179962311"/>
      <w:r w:rsidRPr="00C05886">
        <w:t>Nature connectedness</w:t>
      </w:r>
      <w:bookmarkEnd w:id="53"/>
    </w:p>
    <w:p w14:paraId="7E04BAFF" w14:textId="59EE399A" w:rsidR="00C12E53" w:rsidRPr="00C05886" w:rsidRDefault="00C12E53" w:rsidP="00F55436">
      <w:r w:rsidRPr="00C05886">
        <w:t xml:space="preserve">Nature connectedness represents one’s connection with nature and has been conceptualised as a psychological trait, stable in the long term </w:t>
      </w:r>
      <w:r w:rsidRPr="00C05886">
        <w:fldChar w:fldCharType="begin"/>
      </w:r>
      <w:r w:rsidR="00A35208">
        <w:instrText xml:space="preserve"> ADDIN ZOTERO_ITEM CSL_CITATION {"citationID":"qYEyo4du","properties":{"formattedCitation":"(Nisbet and Zelenski, 2013)","plainCitation":"(Nisbet and Zelenski, 2013)","noteIndex":0},"citationItems":[{"id":"6pP8vKpK/X4DK8FY3","uris":["http://www.mendeley.com/documents/?uuid=dd661f57-cfb0-464c-913b-ab982aeebe27"],"itemData":{"ISBN":"1664-1078","abstract":"The construct of (dis)connection with nature or “nature relatedness” has become increasingly useful in the study of environmental behavior as well as psychological health and well-being. Strong nature relatedness is associated with greater happiness and ecologically sustainable behavior. A number of scales reliably assess individual differences in nature relatedness, but some circumstances may necessitate a brief measure. We developed a short-form version of the nature relatedness scale (NR-6), comprised of 6 items from the “self” and “experience” dimensions, and tested the new scale's predictive ability across multiple samples and with longitudinal data in students, community members, and business people. The new NR-6 scale demonstrated good internal consistency, temporal stability, and predicted happiness, environmental concern, and nature contact. This new brief measure of connectedness may have advantages where time and space are limited and the research context requires an assessment of connectedness elements rather than environmental attitudes.","author":[{"dropping-particle":"","family":"Nisbet","given":"Elizabeth","non-dropping-particle":"","parse-names":false,"suffix":""},{"dropping-particle":"","family":"Zelenski","given":"John","non-dropping-particle":"","parse-names":false,"suffix":""}],"container-title":"Frontiers in Psychology  ","id":"Ioh9ijsu/eAw9wYYt","issued":{"date-parts":[["2013"]]},"page":"813","title":"The NR-6: a new brief measure of nature relatedness   ","type":"article","volume":"4      "}}],"schema":"https://github.com/citation-style-language/schema/raw/master/csl-citation.json"} </w:instrText>
      </w:r>
      <w:r w:rsidRPr="00C05886">
        <w:fldChar w:fldCharType="separate"/>
      </w:r>
      <w:r w:rsidR="00020123" w:rsidRPr="00C05886">
        <w:rPr>
          <w:rFonts w:ascii="Calibri" w:hAnsi="Calibri" w:cs="Calibri"/>
        </w:rPr>
        <w:t>(Nisbet and Zelenski, 2013)</w:t>
      </w:r>
      <w:r w:rsidRPr="00C05886">
        <w:fldChar w:fldCharType="end"/>
      </w:r>
      <w:r w:rsidRPr="00C05886">
        <w:t xml:space="preserve">. Nonetheless, nature connectedness can also change over time, for example, increase after positive interactions in nature </w:t>
      </w:r>
      <w:r w:rsidRPr="00C05886">
        <w:fldChar w:fldCharType="begin"/>
      </w:r>
      <w:r w:rsidR="00DC0B4B" w:rsidRPr="00C05886">
        <w:instrText xml:space="preserve"> ADDIN ZOTERO_ITEM CSL_CITATION {"citationID":"Atc8RjRn","properties":{"formattedCitation":"(Richardson, Cormack, {\\i{}et al.}, 2016)","plainCitation":"(Richardson, Cormack, et al., 2016)","noteIndex":0},"citationItems":[{"id":5275,"uris":["http://zotero.org/users/10951124/items/B84Q4SHS"],"itemData":{"id":5275,"type":"article-journal","container-title":"PloS one","ISSN":"1932-6203","issue":"2","note":"publisher: Public Library of Science San Francisco, CA USA","page":"e0149777","title":"30 days wild: Development and evaluation of a large-scale nature engagement campaign to improve well-being","volume":"11","author":[{"family":"Richardson","given":"Miles"},{"family":"Cormack","given":"Adam"},{"family":"McRobert","given":"Lucy"},{"family":"Underhill","given":"Ralph"}],"issued":{"date-parts":[["2016"]]}}}],"schema":"https://github.com/citation-style-language/schema/raw/master/csl-citation.json"} </w:instrText>
      </w:r>
      <w:r w:rsidRPr="00C05886">
        <w:fldChar w:fldCharType="separate"/>
      </w:r>
      <w:r w:rsidR="00DC0B4B" w:rsidRPr="00C05886">
        <w:rPr>
          <w:rFonts w:ascii="Calibri" w:hAnsi="Calibri" w:cs="Calibri"/>
          <w:szCs w:val="24"/>
        </w:rPr>
        <w:t xml:space="preserve">(Richardson, Cormack, </w:t>
      </w:r>
      <w:r w:rsidR="00DC0B4B" w:rsidRPr="00C05886">
        <w:rPr>
          <w:rFonts w:ascii="Calibri" w:hAnsi="Calibri" w:cs="Calibri"/>
          <w:i/>
          <w:iCs/>
          <w:szCs w:val="24"/>
        </w:rPr>
        <w:t>et al.</w:t>
      </w:r>
      <w:r w:rsidR="00DC0B4B" w:rsidRPr="00C05886">
        <w:rPr>
          <w:rFonts w:ascii="Calibri" w:hAnsi="Calibri" w:cs="Calibri"/>
          <w:szCs w:val="24"/>
        </w:rPr>
        <w:t>, 2016)</w:t>
      </w:r>
      <w:r w:rsidRPr="00C05886">
        <w:fldChar w:fldCharType="end"/>
      </w:r>
      <w:r w:rsidRPr="00C05886">
        <w:t xml:space="preserve">. Among the subjective dimensions that could have a role in the restorative biodiversity/well-being relationship, nature connectedness could be an important mediator. </w:t>
      </w:r>
    </w:p>
    <w:p w14:paraId="1686C878" w14:textId="1197E806" w:rsidR="00C12E53" w:rsidRPr="00C05886" w:rsidRDefault="00C12E53" w:rsidP="00F55436">
      <w:r w:rsidRPr="00C05886">
        <w:t xml:space="preserve">Qualitative research highlighted that Nature connectedness would be related to biophilia’s  “aesthetic” and “naturalistic” values </w:t>
      </w:r>
      <w:r w:rsidRPr="00C05886">
        <w:fldChar w:fldCharType="begin"/>
      </w:r>
      <w:r w:rsidRPr="00C05886">
        <w:instrText xml:space="preserve"> ADDIN ZOTERO_ITEM CSL_CITATION {"citationID":"YfS8GLjS","properties":{"formattedCitation":"(Kellert, 1993)","plainCitation":"(Kellert, 1993)","dontUpdate":true,"noteIndex":0},"citationItems":[{"id":10416,"uris":["http://zotero.org/users/10951124/items/JXT5B97M"],"itemData":{"id":10416,"type":"chapter","container-title":"The biophilia hypothesis","event-place":"Washington, D.C.","page":"42-69","publisher":"Washington, D.C. : Island Press, 1993","publisher-place":"Washington, D.C.","title":"The Biological Basis for Human Values of Nature","author":[{"family":"Kellert","given":"Stephen R"}],"editor":[{"family":"Kellert","given":"Stephen R"},{"family":"Wilson","given":"Edward O"}],"issued":{"date-parts":[["1993"]]}}}],"schema":"https://github.com/citation-style-language/schema/raw/master/csl-citation.json"} </w:instrText>
      </w:r>
      <w:r w:rsidRPr="00C05886">
        <w:fldChar w:fldCharType="separate"/>
      </w:r>
      <w:r w:rsidRPr="00C05886">
        <w:rPr>
          <w:rFonts w:ascii="Calibri" w:hAnsi="Calibri" w:cs="Calibri"/>
        </w:rPr>
        <w:t>(see Kellert, 1993)</w:t>
      </w:r>
      <w:r w:rsidRPr="00C05886">
        <w:fldChar w:fldCharType="end"/>
      </w:r>
      <w:r w:rsidRPr="00C05886">
        <w:t xml:space="preserve">, which would be directly linked to the conceptions of “what is good in nature” </w:t>
      </w:r>
      <w:r w:rsidRPr="00C05886">
        <w:fldChar w:fldCharType="begin"/>
      </w:r>
      <w:r w:rsidRPr="00C05886">
        <w:instrText xml:space="preserve"> ADDIN ZOTERO_ITEM CSL_CITATION {"citationID":"QpmZbaQq","properties":{"formattedCitation":"(Richardson, Hallam and Lumber, 2015)","plainCitation":"(Richardson, Hallam and Lumber, 2015)","noteIndex":0},"citationItems":[{"id":7557,"uris":["http://zotero.org/users/10951124/items/IHCQS48R"],"itemData":{"id":7557,"type":"article-journal","container-title":"Environmental Values","DOI":"10.3197/096327115X14384223590131","ISSN":"0963-2719","issue":"5","note":"publisher: The White Horse Press","page":"603-619","title":"One thousand good things in nature: Aspects of nearby nature associated with improved connection to nature","volume":"24","author":[{"family":"Richardson","given":"Miles"},{"family":"Hallam","given":"Jenny"},{"family":"Lumber","given":"Ryan"}],"issued":{"date-parts":[["2015"]]}}}],"schema":"https://github.com/citation-style-language/schema/raw/master/csl-citation.json"} </w:instrText>
      </w:r>
      <w:r w:rsidRPr="00C05886">
        <w:fldChar w:fldCharType="separate"/>
      </w:r>
      <w:r w:rsidRPr="00C05886">
        <w:rPr>
          <w:rFonts w:ascii="Calibri" w:hAnsi="Calibri" w:cs="Calibri"/>
        </w:rPr>
        <w:t>(Richardson, Hallam and Lumber, 2015)</w:t>
      </w:r>
      <w:r w:rsidRPr="00C05886">
        <w:fldChar w:fldCharType="end"/>
      </w:r>
      <w:r w:rsidRPr="00C05886">
        <w:t xml:space="preserve">. Experimental studies found relationships between nature connectedness and positive affect </w:t>
      </w:r>
      <w:r w:rsidRPr="00C05886">
        <w:fldChar w:fldCharType="begin"/>
      </w:r>
      <w:r w:rsidR="00D461B8" w:rsidRPr="00C05886">
        <w:instrText xml:space="preserve"> ADDIN ZOTERO_ITEM CSL_CITATION {"citationID":"oPChzf2R","properties":{"formattedCitation":"(Mayer {\\i{}et al.}, 2009; Nisbet, Zelenski and Murphy, 2011)","plainCitation":"(Mayer et al., 2009; Nisbet, Zelenski and Murphy, 2011)","noteIndex":0},"citationItems":[{"id":7595,"uris":["http://zotero.org/users/10951124/items/MEHWF9Y5"],"itemData":{"id":7595,"type":"article-journal","abstract":"Three studies examine the effects of exposure to nature on positive affect and ability to reflect on a life problem. Participants spent 15 min walking in a natural setting (Studies 1, 2, &amp; 3), an urban setting (Study 1), or watching videos of natural and urban settings (Studies 2 &amp; 3). In all three studies, exposure to nature increased connectedness to nature, attentional capacity, positive emotions, and ability to reflect on a life problem","container-title":"Environment and Behavior","DOI":"10.1177/0013916508319745","ISSN":"0013-9165","issue":"5","note":"publisher: Los Angeles, CA: SAGE Publications\npublisher-place: Los Angeles, CA","page":"607-643","title":"Why Is Nature Beneficial?: The Role of Connectedness to Nature","volume":"41","author":[{"family":"Mayer","given":"F Stephan"},{"family":"Frantz","given":"Cynthia McPherson"},{"family":"Bruehlman-Senecal","given":"Emma"},{"family":"Dolliver","given":"Kyffin"}],"issued":{"date-parts":[["2009"]]}}},{"id":7660,"uris":["http://zotero.org/users/10951124/items/SH274D7E"],"itemData":{"id":7660,"type":"article-journal","container-title":"Journal of Happiness Studies","ISSN":"1389-4978","issue":"2","note":"publisher: Springer","page":"303-322","title":"Happiness is in our nature: Exploring nature relatedness as a contributor to subjective well-being","volume":"12","author":[{"family":"Nisbet","given":"Elizabeth K"},{"family":"Zelenski","given":"John M"},{"family":"Murphy","given":"Steven A"}],"issued":{"date-parts":[["2011"]]}}}],"schema":"https://github.com/citation-style-language/schema/raw/master/csl-citation.json"} </w:instrText>
      </w:r>
      <w:r w:rsidRPr="00C05886">
        <w:fldChar w:fldCharType="separate"/>
      </w:r>
      <w:r w:rsidR="00D461B8" w:rsidRPr="00C05886">
        <w:rPr>
          <w:rFonts w:ascii="Calibri" w:hAnsi="Calibri" w:cs="Calibri"/>
          <w:szCs w:val="24"/>
        </w:rPr>
        <w:t xml:space="preserve">(Mayer </w:t>
      </w:r>
      <w:r w:rsidR="00D461B8" w:rsidRPr="00C05886">
        <w:rPr>
          <w:rFonts w:ascii="Calibri" w:hAnsi="Calibri" w:cs="Calibri"/>
          <w:i/>
          <w:iCs/>
          <w:szCs w:val="24"/>
        </w:rPr>
        <w:t>et al.</w:t>
      </w:r>
      <w:r w:rsidR="00D461B8" w:rsidRPr="00C05886">
        <w:rPr>
          <w:rFonts w:ascii="Calibri" w:hAnsi="Calibri" w:cs="Calibri"/>
          <w:szCs w:val="24"/>
        </w:rPr>
        <w:t>, 2009; Nisbet, Zelenski and Murphy, 2011)</w:t>
      </w:r>
      <w:r w:rsidRPr="00C05886">
        <w:fldChar w:fldCharType="end"/>
      </w:r>
      <w:r w:rsidRPr="00C05886">
        <w:t xml:space="preserve">, highlighting that nature connectedness may have a role as a mediator between the exposure to nature and the improvement of well-being. Relationships between nature connectedness and well-being (both hedonic and eudemonic) were later supported by meta-analyses </w:t>
      </w:r>
      <w:r w:rsidRPr="00C05886">
        <w:fldChar w:fldCharType="begin"/>
      </w:r>
      <w:r w:rsidR="00D461B8" w:rsidRPr="00C05886">
        <w:instrText xml:space="preserve"> ADDIN ZOTERO_ITEM CSL_CITATION {"citationID":"4Yi2yuKm","properties":{"formattedCitation":"(Capaldi, Dopko and Zelenski, 2014; Pritchard {\\i{}et al.}, 2020)","plainCitation":"(Capaldi, Dopko and Zelenski, 2014; Pritchard et al., 2020)","noteIndex":0},"citationItems":[{"id":6920,"uris":["http://zotero.org/users/10951124/items/G9V3E922"],"itemData":{"id":6920,"type":"book","ISBN":"1664-1078","note":"container-title: Front. Psychol.\nDOI: 10.3389/fpsyg.2014.00976","title":"The relationship between nature connectedness and happiness: a meta-analysis","volume":"5","author":[{"family":"Capaldi","given":"Ca"},{"family":"Dopko","given":"Rl"},{"family":"Zelenski","given":"Jm"}],"issued":{"date-parts":[["2014"]]}}},{"id":7758,"uris":["http://zotero.org/users/10951124/items/TRE6AESM"],"itemData":{"id":7758,"type":"article-journal","abstract":"Nature connectedness relates to an individual’s subjective sense of their relationship with the natural world. A recent meta-analysis has found that people who are more connected to nature also tend to have higher levels of self-reported hedonic well-being; however, no reviews have focussed on nature connection and eudaimonic well-being. This meta-analysis was undertaken to explore the relationship of nature connection with eudaimonic well-being and to test the hypothesis that this relationship is stronger than that of nature connection and hedonic well-being. From 20 samples (n = 4758), a small significant effect size was found for the relationship of nature connection and eudaimonic well-being (r = 0.24); there was no significant difference between this and the effect size (from 30 samples n = 11,638) for hedonic well-being (r = 0.20). Of the eudaimonic well-being subscales, personal growth had a moderate effect size which was significantly larger than the effect sizes for autonomy, purpose in life/meaning, self-acceptance, positive relations with others and environmental mastery, but not vitality. Thus, individuals who are more connected to nature tend to have greater eudaimonic well-being, and in particular have higher levels of self-reported personal growth.","container-title":"Journal of Happiness Studies","DOI":"10.1007/s10902-019-00118-6","ISSN":"15737780","issue":"3","note":"publisher: Springer Netherlands\nISBN: 0123456789","page":"1145-1167","title":"The Relationship Between Nature Connectedness and Eudaimonic Well-Being: A Meta-analysis","volume":"21","author":[{"family":"Pritchard","given":"Alison"},{"family":"Richardson","given":"Miles"},{"family":"Sheffield","given":"David"},{"family":"McEwan","given":"Kirsten"}],"issued":{"date-parts":[["2020"]]}}}],"schema":"https://github.com/citation-style-language/schema/raw/master/csl-citation.json"} </w:instrText>
      </w:r>
      <w:r w:rsidRPr="00C05886">
        <w:fldChar w:fldCharType="separate"/>
      </w:r>
      <w:r w:rsidR="00D461B8" w:rsidRPr="00C05886">
        <w:rPr>
          <w:rFonts w:ascii="Calibri" w:hAnsi="Calibri" w:cs="Calibri"/>
          <w:szCs w:val="24"/>
        </w:rPr>
        <w:t xml:space="preserve">(Capaldi, Dopko and Zelenski, 2014; Pritchard </w:t>
      </w:r>
      <w:r w:rsidR="00D461B8" w:rsidRPr="00C05886">
        <w:rPr>
          <w:rFonts w:ascii="Calibri" w:hAnsi="Calibri" w:cs="Calibri"/>
          <w:i/>
          <w:iCs/>
          <w:szCs w:val="24"/>
        </w:rPr>
        <w:t>et al.</w:t>
      </w:r>
      <w:r w:rsidR="00D461B8" w:rsidRPr="00C05886">
        <w:rPr>
          <w:rFonts w:ascii="Calibri" w:hAnsi="Calibri" w:cs="Calibri"/>
          <w:szCs w:val="24"/>
        </w:rPr>
        <w:t>, 2020)</w:t>
      </w:r>
      <w:r w:rsidRPr="00C05886">
        <w:fldChar w:fldCharType="end"/>
      </w:r>
      <w:r w:rsidRPr="00C05886">
        <w:t xml:space="preserve">. Finally, evidence from a cross-cultural study (which included participants from Canada, Japan and Russia) suggested that the mediation of nature connectedness on the positive affect could be found in several cultures </w:t>
      </w:r>
      <w:r w:rsidRPr="00C05886">
        <w:fldChar w:fldCharType="begin"/>
      </w:r>
      <w:r w:rsidRPr="00C05886">
        <w:instrText xml:space="preserve"> ADDIN ZOTERO_ITEM CSL_CITATION {"citationID":"7YFtGzcQ","properties":{"formattedCitation":"(Capaldi {\\i{}et al.}, 2017)","plainCitation":"(Capaldi et al., 2017)","noteIndex":0},"citationItems":[{"id":4605,"uris":["http://zotero.org/users/10951124/items/T6E7H96N"],"itemData":{"id":4605,"type":"article-journal","container-title":"Ecopsychology","ISSN":"1942-9347","issue":"4","note":"publisher: Mary Ann Liebert, Inc. 140 Huguenot Street, 3rd Floor New Rochelle, NY 10801 USA","page":"199-211","title":"Engaging with natural beauty may be related to well-being because it connects people to nature: Evidence from three cultures","volume":"9","author":[{"family":"Capaldi","given":"Colin A"},{"family":"Passmore","given":"Holli-Anne"},{"family":"Ishii","given":"Ryo"},{"family":"Chistopolskaya","given":"Ksenia A"},{"family":"Vowinckel","given":"Jonte"},{"family":"Nikolaev","given":"Evgeni L"},{"family":"Semikin","given":"Gennady I"}],"issued":{"date-parts":[["2017"]]}}}],"schema":"https://github.com/citation-style-language/schema/raw/master/csl-citation.json"} </w:instrText>
      </w:r>
      <w:r w:rsidRPr="00C05886">
        <w:fldChar w:fldCharType="separate"/>
      </w:r>
      <w:r w:rsidRPr="00C05886">
        <w:rPr>
          <w:rFonts w:ascii="Calibri" w:hAnsi="Calibri" w:cs="Calibri"/>
          <w:szCs w:val="24"/>
        </w:rPr>
        <w:t xml:space="preserve">(Capaldi </w:t>
      </w:r>
      <w:r w:rsidRPr="00C05886">
        <w:rPr>
          <w:rFonts w:ascii="Calibri" w:hAnsi="Calibri" w:cs="Calibri"/>
          <w:i/>
          <w:iCs/>
          <w:szCs w:val="24"/>
        </w:rPr>
        <w:t>et al.</w:t>
      </w:r>
      <w:r w:rsidRPr="00C05886">
        <w:rPr>
          <w:rFonts w:ascii="Calibri" w:hAnsi="Calibri" w:cs="Calibri"/>
          <w:szCs w:val="24"/>
        </w:rPr>
        <w:t>, 2017)</w:t>
      </w:r>
      <w:r w:rsidRPr="00C05886">
        <w:fldChar w:fldCharType="end"/>
      </w:r>
      <w:r w:rsidRPr="00C05886">
        <w:t>. Therefore, in testing the effect of biodiversity on affective well-being, nature connectedness was taken into account.</w:t>
      </w:r>
    </w:p>
    <w:p w14:paraId="4BC55293" w14:textId="3DB68C92" w:rsidR="00C12E53" w:rsidRPr="00C05886" w:rsidRDefault="00C12E53" w:rsidP="001F110C">
      <w:r w:rsidRPr="00C05886">
        <w:lastRenderedPageBreak/>
        <w:t xml:space="preserve">Several measuring tools were available, some focusing on a single dimension of the connection to nature, such as the emotional affiliation </w:t>
      </w:r>
      <w:r w:rsidRPr="00C05886">
        <w:fldChar w:fldCharType="begin"/>
      </w:r>
      <w:r w:rsidR="00134B49">
        <w:instrText xml:space="preserve"> ADDIN ZOTERO_ITEM CSL_CITATION {"citationID":"CrjKbqk1","properties":{"formattedCitation":"(Schultz, 2002; Mayer and Frantz, 2004)","plainCitation":"(Schultz, 2002; Mayer and Frantz, 2004)","noteIndex":0},"citationItems":[{"id":11234,"uris":["http://zotero.org/users/10951124/items/AJCR4KHB","http://zotero.org/users/10951124/items/4XTSK9NH"],"itemData":{"id":11234,"type":"chapter","abstract":"Human survival is directly tied to our relationship with the natural environment. Achieving a sustainable lifestyle depends on establishing a balance between the consumption of individuals, and the capacity of the natural environment for renewal. Yet, we often act as ifwe are separate from nature — as if we can get along without nature. Indeed, built environments serve as barriers between individuals and the natural environments in which they live. Offices, schools, homes, cars, restaurants, shopping malls, and many other built environments segregate people from nature. This chapter examines the implicit connection that individuals make between self and nature, and the impact of built environments on these implicit cognitions. A psychological model for inclusion with nature is presented, containing cognitive (connectedness), affective (caring), and behavioral (commitment) components. Implicationsfor theory, design, and sustainability are discussed.","container-title":"Psychology of Sustainable Development","event-place":"Boston, MA","ISBN":"978-1-4615-0995-0","note":"DOI: 10.1007/978-1-4615-0995-0_4","page":"61-78","publisher":"Springer US","publisher-place":"Boston, MA","title":"Inclusion with Nature: The Psychology Of Human-Nature Relations","URL":"https://doi.org/10.1007/978-1-4615-0995-0_4","author":[{"family":"Schultz","given":"P. Wesley"}],"editor":[{"family":"Schmuck","given":"Peter"},{"family":"Schultz","given":"Wesley P."}],"issued":{"date-parts":[["2002"]]}}},{"id":6652,"uris":["http://zotero.org/users/10951124/items/IGTZDFSM"],"itemData":{"id":6652,"type":"article-journal","abstract":"Five studies assessed the validity and reliability of the connectedness to nature scale (CNS), a new measure of individuals’ trait levels of feeling emotionally connected to the natural world. Data from two community and three college samples demonstrated that the CNS has good psychometric properties, correlates with related variables (the new environmental paradigm scale, identity as an environmentalist), and is uncorrelated with potential confounds (verbal ability, social desirability). This paper supports ecopsychologists’ contention that connection to nature is an important predictor of ecological behavior and subjective well-being. It also extends social psychological research on self–other overlap, perspective taking, and altruistic behavior to the overlap between self and nature. The CNS promises to be a useful empirical tool for research on the relationship between humans and the natural world.","container-title":"Journal of Environmental Psychology","DOI":"10.1016/j.jenvp.2004.10.001","ISSN":"0272-4944","issue":"4","page":"503-515","title":"The connectedness to nature scale: A measure of individuals’ feeling in community with nature","volume":"24","author":[{"family":"Mayer","given":"F.Stephan"},{"family":"Frantz","given":"Cynthia Mcpherson"}],"issued":{"date-parts":[["2004"]]}}}],"schema":"https://github.com/citation-style-language/schema/raw/master/csl-citation.json"} </w:instrText>
      </w:r>
      <w:r w:rsidRPr="00C05886">
        <w:fldChar w:fldCharType="separate"/>
      </w:r>
      <w:r w:rsidR="00020123" w:rsidRPr="00C05886">
        <w:rPr>
          <w:rFonts w:ascii="Calibri" w:hAnsi="Calibri" w:cs="Calibri"/>
        </w:rPr>
        <w:t>(Schultz, 2002; Mayer and Frantz, 2004)</w:t>
      </w:r>
      <w:r w:rsidRPr="00C05886">
        <w:fldChar w:fldCharType="end"/>
      </w:r>
      <w:r w:rsidRPr="00C05886">
        <w:t xml:space="preserve"> or looking at multiple dimensions together – e.g. pro-environmental behaviours and intentions </w:t>
      </w:r>
      <w:r w:rsidRPr="00C05886">
        <w:fldChar w:fldCharType="begin"/>
      </w:r>
      <w:r w:rsidRPr="00C05886">
        <w:instrText xml:space="preserve"> ADDIN ZOTERO_ITEM CSL_CITATION {"citationID":"3DN946N5","properties":{"formattedCitation":"(Nisbet, Zelenski and Murphy, 2009)","plainCitation":"(Nisbet, Zelenski and Murphy, 2009)","noteIndex":0},"citationItems":[{"id":7652,"uris":["http://zotero.org/users/10951124/items/IMWH33IF"],"itemData":{"id":7652,"type":"article-journal","container-title":"Environment and behavior","ISSN":"0013-9165","issue":"5","note":"publisher: Sage Publications Sage CA: Los Angeles, CA","page":"715-740","title":"The nature relatedness scale: Linking individuals' connection with nature to environmental concern and behavior","volume":"41","author":[{"family":"Nisbet","given":"Elizabeth K"},{"family":"Zelenski","given":"John M"},{"family":"Murphy","given":"Steven A"}],"issued":{"date-parts":[["2009"]]}}}],"schema":"https://github.com/citation-style-language/schema/raw/master/csl-citation.json"} </w:instrText>
      </w:r>
      <w:r w:rsidRPr="00C05886">
        <w:fldChar w:fldCharType="separate"/>
      </w:r>
      <w:r w:rsidRPr="00C05886">
        <w:rPr>
          <w:rFonts w:ascii="Calibri" w:hAnsi="Calibri" w:cs="Calibri"/>
        </w:rPr>
        <w:t>(Nisbet, Zelenski and Murphy, 2009)</w:t>
      </w:r>
      <w:r w:rsidRPr="00C05886">
        <w:fldChar w:fldCharType="end"/>
      </w:r>
      <w:r w:rsidRPr="00C05886">
        <w:t xml:space="preserve">. Overall most of these scales were highly correlated and measured the same construct </w:t>
      </w:r>
      <w:r w:rsidRPr="00C05886">
        <w:fldChar w:fldCharType="begin"/>
      </w:r>
      <w:r w:rsidRPr="00C05886">
        <w:instrText xml:space="preserve"> ADDIN ZOTERO_ITEM CSL_CITATION {"citationID":"ZgScfgtb","properties":{"formattedCitation":"(Tam, 2013)","plainCitation":"(Tam, 2013)","noteIndex":0},"citationItems":[{"id":4587,"uris":["http://zotero.org/users/10951124/items/RVU2S9ZV"],"itemData":{"id":4587,"type":"article-journal","abstract":"In recent years, environmental psychologists have shown interest in the notion of connection to nature, and considered it to have an important role in helping mitigate the environmental crisis. Together they have developed a number of concepts and measures related to this notion. However, the convergence or divergence of these concepts and measures has rarely been examined. The present research thus aims to empirically examine their similarities and differences. Using one undergraduate Hong Kong Chinese sample (N = 322) and one diverse American sample (N = 185), it demonstrates that these measures can be considered as markers of a common construct: They were strongly inter-correlated, converged to a single factor, shared highly similar correlations with various criterion variables, and did not show much unique predictive power when their common factor was controlled for. Nevertheless, there is also evidence of divergence: Some measures had stronger correlations with the criterion variables than did others, and had unique, though small, incremental predictive power. These findings bear important implications for the theoretical understanding of connection to nature. On the one hand, recognizing the commonalities among the various concepts and measures allows one to integrate existing research findings. On the other hand, identifying the distinctiveness of some concepts and measures reveals that certain ways of conceptualizing connection to nature (e.g., a multidimensional framework) are promising. Directions for future research are suggested accordingly. </w:instrText>
      </w:r>
      <w:r w:rsidRPr="00C05886">
        <w:rPr>
          <w:rFonts w:ascii="Arial" w:hAnsi="Arial" w:cs="Arial"/>
        </w:rPr>
        <w:instrText>►</w:instrText>
      </w:r>
      <w:r w:rsidRPr="00C05886">
        <w:instrText xml:space="preserve"> There is strong convergence among concepts and measures related to connection to nature. </w:instrText>
      </w:r>
      <w:r w:rsidRPr="00C05886">
        <w:rPr>
          <w:rFonts w:ascii="Arial" w:hAnsi="Arial" w:cs="Arial"/>
        </w:rPr>
        <w:instrText>►</w:instrText>
      </w:r>
      <w:r w:rsidRPr="00C05886">
        <w:instrText xml:space="preserve"> They thus can be considered as markers of a higher-order, common construct. </w:instrText>
      </w:r>
      <w:r w:rsidRPr="00C05886">
        <w:rPr>
          <w:rFonts w:ascii="Arial" w:hAnsi="Arial" w:cs="Arial"/>
        </w:rPr>
        <w:instrText>►</w:instrText>
      </w:r>
      <w:r w:rsidRPr="00C05886">
        <w:instrText xml:space="preserve"> This convergence allows one to integrate existing research findings. </w:instrText>
      </w:r>
      <w:r w:rsidRPr="00C05886">
        <w:rPr>
          <w:rFonts w:ascii="Arial" w:hAnsi="Arial" w:cs="Arial"/>
        </w:rPr>
        <w:instrText>►</w:instrText>
      </w:r>
      <w:r w:rsidRPr="00C05886">
        <w:instrText xml:space="preserve"> There is also certain divergence among these concepts and measures. </w:instrText>
      </w:r>
      <w:r w:rsidRPr="00C05886">
        <w:rPr>
          <w:rFonts w:ascii="Arial" w:hAnsi="Arial" w:cs="Arial"/>
        </w:rPr>
        <w:instrText>►</w:instrText>
      </w:r>
      <w:r w:rsidRPr="00C05886">
        <w:instrText xml:space="preserve"> Some ways of conceptualizing connection to nature (e.g., multidimensional) seem promising.","container-title":"Journal of Environmental Psychology","DOI":"10.1016/j.jenvp.2013.01.004","ISSN":"02724944","note":"publisher: Elsevier BV","page":"64-78","title":"Concepts and measures related to connection to nature: Similarities and differences","volume":"34","author":[{"family":"Tam","given":"Kim-Pong"}],"issued":{"date-parts":[["2013",6]]}}}],"schema":"https://github.com/citation-style-language/schema/raw/master/csl-citation.json"} </w:instrText>
      </w:r>
      <w:r w:rsidRPr="00C05886">
        <w:fldChar w:fldCharType="separate"/>
      </w:r>
      <w:r w:rsidRPr="00C05886">
        <w:rPr>
          <w:rFonts w:ascii="Calibri" w:hAnsi="Calibri" w:cs="Calibri"/>
        </w:rPr>
        <w:t>(Tam, 2013)</w:t>
      </w:r>
      <w:r w:rsidRPr="00C05886">
        <w:fldChar w:fldCharType="end"/>
      </w:r>
      <w:r w:rsidRPr="00C05886">
        <w:t xml:space="preserve"> – i.e. how much a participant feels generically connected to their own concept of nature. Therefore, the choice fell on the Inclusion of Nature in Self scale </w:t>
      </w:r>
      <w:r w:rsidRPr="00C05886">
        <w:fldChar w:fldCharType="begin"/>
      </w:r>
      <w:r w:rsidR="00134B49">
        <w:instrText xml:space="preserve"> ADDIN ZOTERO_ITEM CSL_CITATION {"citationID":"3oRHUB1U","properties":{"formattedCitation":"(Schultz, 2002)","plainCitation":"(Schultz, 2002)","noteIndex":0},"citationItems":[{"id":11234,"uris":["http://zotero.org/users/10951124/items/AJCR4KHB","http://zotero.org/users/10951124/items/4XTSK9NH"],"itemData":{"id":11234,"type":"chapter","abstract":"Human survival is directly tied to our relationship with the natural environment. Achieving a sustainable lifestyle depends on establishing a balance between the consumption of individuals, and the capacity of the natural environment for renewal. Yet, we often act as ifwe are separate from nature — as if we can get along without nature. Indeed, built environments serve as barriers between individuals and the natural environments in which they live. Offices, schools, homes, cars, restaurants, shopping malls, and many other built environments segregate people from nature. This chapter examines the implicit connection that individuals make between self and nature, and the impact of built environments on these implicit cognitions. A psychological model for inclusion with nature is presented, containing cognitive (connectedness), affective (caring), and behavioral (commitment) components. Implicationsfor theory, design, and sustainability are discussed.","container-title":"Psychology of Sustainable Development","event-place":"Boston, MA","ISBN":"978-1-4615-0995-0","note":"DOI: 10.1007/978-1-4615-0995-0_4","page":"61-78","publisher":"Springer US","publisher-place":"Boston, MA","title":"Inclusion with Nature: The Psychology Of Human-Nature Relations","URL":"https://doi.org/10.1007/978-1-4615-0995-0_4","author":[{"family":"Schultz","given":"P. Wesley"}],"editor":[{"family":"Schmuck","given":"Peter"},{"family":"Schultz","given":"Wesley P."}],"issued":{"date-parts":[["2002"]]}}}],"schema":"https://github.com/citation-style-language/schema/raw/master/csl-citation.json"} </w:instrText>
      </w:r>
      <w:r w:rsidRPr="00C05886">
        <w:fldChar w:fldCharType="separate"/>
      </w:r>
      <w:r w:rsidR="00020123" w:rsidRPr="00C05886">
        <w:rPr>
          <w:rFonts w:ascii="Calibri" w:hAnsi="Calibri" w:cs="Calibri"/>
        </w:rPr>
        <w:t>(Schultz, 2002)</w:t>
      </w:r>
      <w:r w:rsidRPr="00C05886">
        <w:fldChar w:fldCharType="end"/>
      </w:r>
      <w:r w:rsidRPr="00C05886">
        <w:t xml:space="preserve">. This is a one-item scale, which kept the survey length short and concise. </w:t>
      </w:r>
    </w:p>
    <w:p w14:paraId="6BFDA6F8" w14:textId="77777777" w:rsidR="00C12E53" w:rsidRPr="00C05886" w:rsidRDefault="00C12E53" w:rsidP="00B71AD6">
      <w:pPr>
        <w:pStyle w:val="Heading3"/>
      </w:pPr>
      <w:bookmarkStart w:id="54" w:name="_Toc179962312"/>
      <w:bookmarkEnd w:id="37"/>
      <w:r w:rsidRPr="00C05886">
        <w:t>Physiological indicators of stress and relaxation</w:t>
      </w:r>
      <w:bookmarkEnd w:id="54"/>
    </w:p>
    <w:p w14:paraId="7CFB6290" w14:textId="77777777" w:rsidR="00C12E53" w:rsidRPr="00C05886" w:rsidRDefault="00C12E53" w:rsidP="00B609CD">
      <w:r w:rsidRPr="00C05886">
        <w:t xml:space="preserve">Due to the pandemic situation, several restrictions limited the collection of physiological data. One of the most reliable indicators of stress would have been the concentration of cortisol in the saliva </w:t>
      </w:r>
      <w:r w:rsidRPr="00C05886">
        <w:fldChar w:fldCharType="begin"/>
      </w:r>
      <w:r w:rsidRPr="00C05886">
        <w:instrText xml:space="preserve"> ADDIN ZOTERO_ITEM CSL_CITATION {"citationID":"34wacf7G","properties":{"formattedCitation":"(Roque {\\i{}et al.}, 2020)","plainCitation":"(Roque et al., 2020)","noteIndex":0},"citationItems":[{"id":5176,"uris":["http://zotero.org/users/10951124/items/IT8TDUQF"],"itemData":{"id":5176,"type":"article-journal","abstract":"Background: Response rates to first-line treatments for depression and anxiety remain unsatisfactory. Identification of predictors or moderators that can optimize treatment matching is of scientific and clinical interest. This study examined the role of prolonged laboratory-induced stress cortisol reactivity as a predictor of outcome for a treatment of affective dimensions (TAD). Patients received 15-sessions of a treatment targeting reductions in negative affect or increases in positive affect (Craske et al., 2019). A second aim was to examine whether treatment type would moderate the association between cortisol reactivity and treatment outcome. Methods: Thirty-five participants underwent a 36-minute intermittent stress induction task composed of a mental arithmetic task and a fear-potentiated startle task one week before treatment initiation. Cortisol was collected at five-time points with reactivity being quantified as peak during the task minus basal level of cortisol the evening before the assessment. Using multilevel modeling, we examined the associations between cortisol reactivity and slopes of symptom improvement. Results: Cortisol reactivity was related to treatment outcome, with average and higher levels of stress-induced cortisol response predicting greater decreases in symptoms throughout treatment and 6-month follow-up. Treatment condition differences (moderation) were not observed in the effect of cortisol reactivity on symptoms. Conclusion: Our findings demonstrate the impact of greater cortisol stress reactivity on treatment outcome. Future studies should investigate how to enhance this therapeutic benefit through capitalizing on endogenous diurnal fluctuations or exogenous cortisol manipulation.","container-title":"Psychoneuroendocrinology","DOI":"10.1016/j.psyneuen.2020.104646","ISSN":"18733360","issue":"January","note":"PMID: 32200225\npublisher: Elsevier","page":"104646","title":"Stress-induced cortisol reactivity as a predictor of success in treatment for affective dimensions","volume":"116","author":[{"family":"Roque","given":"Andres D."},{"family":"Craske","given":"Michelle G."},{"family":"Treanor","given":"Michael"},{"family":"Rosenfield","given":"David"},{"family":"Ritz","given":"Thomas"},{"family":"Meuret","given":"Alicia E."}],"issued":{"date-parts":[["2020"]]}}}],"schema":"https://github.com/citation-style-language/schema/raw/master/csl-citation.json"} </w:instrText>
      </w:r>
      <w:r w:rsidRPr="00C05886">
        <w:fldChar w:fldCharType="separate"/>
      </w:r>
      <w:r w:rsidRPr="00C05886">
        <w:rPr>
          <w:rFonts w:ascii="Calibri" w:hAnsi="Calibri" w:cs="Calibri"/>
          <w:szCs w:val="24"/>
        </w:rPr>
        <w:t xml:space="preserve">(Roque </w:t>
      </w:r>
      <w:r w:rsidRPr="00C05886">
        <w:rPr>
          <w:rFonts w:ascii="Calibri" w:hAnsi="Calibri" w:cs="Calibri"/>
          <w:i/>
          <w:iCs/>
          <w:szCs w:val="24"/>
        </w:rPr>
        <w:t>et al.</w:t>
      </w:r>
      <w:r w:rsidRPr="00C05886">
        <w:rPr>
          <w:rFonts w:ascii="Calibri" w:hAnsi="Calibri" w:cs="Calibri"/>
          <w:szCs w:val="24"/>
        </w:rPr>
        <w:t>, 2020)</w:t>
      </w:r>
      <w:r w:rsidRPr="00C05886">
        <w:fldChar w:fldCharType="end"/>
      </w:r>
      <w:r w:rsidRPr="00C05886">
        <w:t xml:space="preserve">. However, this approach had to be excluded as saliva was one of Covid-19’s vectors of contagion. Other indicators such as heart rate variability (shortened to HRV) and electroencephalography (acronym EEG) provided a suitable alternative. Both methods are not invasive, as they record the electrical signal of the brain and the heart activities from the skin surface. Heart rate variability has been proposed as an indicator of the autonomous nervous system activity, which plays a major role in emotion regulation. Electroencephalography has been associated with states of relaxation, sleep and oneiric activity. </w:t>
      </w:r>
    </w:p>
    <w:p w14:paraId="530132DC" w14:textId="77777777" w:rsidR="00C12E53" w:rsidRPr="00C05886" w:rsidRDefault="00C12E53" w:rsidP="00B71AD6">
      <w:pPr>
        <w:pStyle w:val="Heading4"/>
      </w:pPr>
      <w:r w:rsidRPr="00C05886">
        <w:t>Heart rate variability</w:t>
      </w:r>
    </w:p>
    <w:p w14:paraId="70090832" w14:textId="735D175D" w:rsidR="00C12E53" w:rsidRPr="00C05886" w:rsidRDefault="00C12E53" w:rsidP="00B609CD">
      <w:r w:rsidRPr="00C05886">
        <w:t xml:space="preserve">The heart rate variability is the variation of time intercurrent from one heartbeat and the following. In fact, “A healthy heart is not a metronome” </w:t>
      </w:r>
      <w:r w:rsidRPr="00C05886">
        <w:fldChar w:fldCharType="begin"/>
      </w:r>
      <w:r w:rsidRPr="00C05886">
        <w:instrText xml:space="preserve"> ADDIN ZOTERO_ITEM CSL_CITATION {"citationID":"kamSJjy7","properties":{"formattedCitation":"(Shaffer, McCraty and Zerr, 2014)","plainCitation":"(Shaffer, McCraty and Zerr, 2014)","noteIndex":0},"citationItems":[{"id":5124,"uris":["http://zotero.org/users/10951124/items/BMSUZIET"],"itemData":{"id":5124,"type":"article-journal","abstract":"Heart rate variability (HRV), the change in the time intervals between adjacent heartbeats, is an emergent property of interdependent regulatory systems that operate on different time scales to adapt to challenges and achieve optimal performance. This article briefly reviews neural regulation of the heart, and its basic anatomy, the cardiac cycle, and the sinoatrial and atrioventricular pacemakers. The cardiovascular regulation center in the medulla integrates sensory information and input from higher brain centers, and afferent cardiovascular system inputs to adjust heart rate and blood pressure via sympathetic and parasympathetic efferent pathways. This article reviews sympathetic and parasympathetic influences on the heart, and examines the interpretation of HRV and the association between reduced HRV, risk of disease and mortality, and the loss of regulatory capacity. This article also discusses the intrinsic cardiac nervous system and the heart-brain connection, through which afferent information can influence activity in the subcortical and frontocortical areas, and motor cortex. It also considers new perspectives on the putative underlying physiological mechanisms and properties of the ultra-low-frequency (ULF), very-low-frequency (VLF), low-frequency (LF), and high-frequency (HF) bands. Additionally, it reviews the most common time and frequency domain measurements as well as standardized data collection protocols. In its final section, this article integrates Porges’ polyvagal theory, Thayer and colleagues’ neurovisceral integration model, Lehrer, Vaschillo, and Vaschillo’s resonance frequency model, and the Institute of HeartMath’s coherence model. The authors conclude that a coherent heart is not a metronome because its rhythms are characterized by both complexity and stability over longer time scales. Future research should expand understanding of how the heart and its intrinsic nervous system influence the brain.","container-title":"Frontiers in psychology","DOI":"10.3389/fpsyg.2014.01040","ISSN":"1664-1078","note":"publisher: Frontiers Media S.A","page":"1040","title":"A healthy heart is not a metronome: an integrative review of the heart's anatomy and heart rate variability","volume":"5","author":[{"family":"Shaffer","given":"Fred"},{"family":"McCraty","given":"Rollin"},{"family":"Zerr","given":"Christopher L"}],"issued":{"date-parts":[["2014"]]}}}],"schema":"https://github.com/citation-style-language/schema/raw/master/csl-citation.json"} </w:instrText>
      </w:r>
      <w:r w:rsidRPr="00C05886">
        <w:fldChar w:fldCharType="separate"/>
      </w:r>
      <w:r w:rsidRPr="00C05886">
        <w:rPr>
          <w:rFonts w:ascii="Calibri" w:hAnsi="Calibri" w:cs="Calibri"/>
        </w:rPr>
        <w:t>(Shaffer, McCraty and Zerr, 2014)</w:t>
      </w:r>
      <w:r w:rsidRPr="00C05886">
        <w:fldChar w:fldCharType="end"/>
      </w:r>
      <w:r w:rsidRPr="00C05886">
        <w:t xml:space="preserve">, meaning the heart rate constantly changes to adapt to the situation. For example, strenuous physical activity requires more energy than reading, therefore the heart will beat faster to pump more blood and make sure the necessary nutrients reach the cells in need. The heart could be seen as a constantly spinning engine, which speed can be regulated by a gearbox. In mammals, this gearbox is the autonomous nervous system. As mentioned in Chapter 2, this system is subdivided into two parts: the sympathetic and the parasympathetic. The activity of these two subsystems tends to be opposite and mutually exclusive. The sympathetic stimulates energy expenditure (“fight or flight), while the parasympathetic regulates it, allowing for recovery (also known as “rest and digest”). Most of the body's physiology is regulated by the balance of these two activities. </w:t>
      </w:r>
      <w:r w:rsidR="00C0254A" w:rsidRPr="00C05886">
        <w:t>In theory</w:t>
      </w:r>
      <w:r w:rsidRPr="00C05886">
        <w:t xml:space="preserve">, the heart rate variability reflects the parasympathetic activity </w:t>
      </w:r>
      <w:r w:rsidRPr="00C05886">
        <w:fldChar w:fldCharType="begin"/>
      </w:r>
      <w:r w:rsidRPr="00C05886">
        <w:instrText xml:space="preserve"> ADDIN ZOTERO_ITEM CSL_CITATION {"citationID":"mEq5EkyK","properties":{"formattedCitation":"(Laborde, Mosley and Thayer, 2017)","plainCitation":"(Laborde, Mosley and Thayer, 2017)","noteIndex":0},"citationItems":[{"id":4735,"uris":["http://zotero.org/users/10951124/items/25958HS4"],"itemData":{"id":4735,"type":"article-journal","container-title":"Frontiers in psychology","ISSN":"1664-1078","note":"publisher: Frontiers","page":"213","title":"Heart rate variability and cardiac vagal tone in psychophysiological research–recommendations for experiment planning, data analysis, and data reporting","volume":"8","author":[{"family":"Laborde","given":"Sylvain"},{"family":"Mosley","given":"Emma"},{"family":"Thayer","given":"Julian F"}],"issued":{"date-parts":[["2017"]]}}}],"schema":"https://github.com/citation-style-language/schema/raw/master/csl-citation.json"} </w:instrText>
      </w:r>
      <w:r w:rsidRPr="00C05886">
        <w:fldChar w:fldCharType="separate"/>
      </w:r>
      <w:r w:rsidRPr="00C05886">
        <w:rPr>
          <w:rFonts w:ascii="Calibri" w:hAnsi="Calibri" w:cs="Calibri"/>
        </w:rPr>
        <w:t>(Laborde, Mosley and Thayer, 2017)</w:t>
      </w:r>
      <w:r w:rsidRPr="00C05886">
        <w:fldChar w:fldCharType="end"/>
      </w:r>
      <w:r w:rsidRPr="00C05886">
        <w:t xml:space="preserve">, meaning that higher variability is associated with higher parasympathetic activity and lower sympathetic activity. </w:t>
      </w:r>
    </w:p>
    <w:p w14:paraId="258C640C" w14:textId="77777777" w:rsidR="00C12E53" w:rsidRPr="00C05886" w:rsidRDefault="00C12E53" w:rsidP="00B609CD">
      <w:r w:rsidRPr="00C05886">
        <w:lastRenderedPageBreak/>
        <w:t xml:space="preserve">This has received support from anatomical studies. For example, </w:t>
      </w:r>
      <w:r w:rsidRPr="00C05886">
        <w:fldChar w:fldCharType="begin"/>
      </w:r>
      <w:r w:rsidRPr="00C05886">
        <w:instrText xml:space="preserve"> ADDIN ZOTERO_ITEM CSL_CITATION {"citationID":"jrfznVzi","properties":{"formattedCitation":"(Porges, 1995, 2007)","plainCitation":"(Porges, 1995, 2007)","noteIndex":0},"citationItems":[{"id":4688,"uris":["http://zotero.org/users/10951124/items/D9ZSP2LD"],"itemData":{"id":4688,"type":"article-journal","container-title":"Psychophysiology","ISSN":"0048-5772","issue":"4","note":"publisher: Wiley Online Library","page":"301-318","title":"Orienting in a defensive world: Mammalian modifications of our evolutionary heritage. A polyvagal theory","volume":"32","author":[{"family":"Porges","given":"Stephen W"}],"issued":{"date-parts":[["1995"]]}}},{"id":7163,"uris":["http://zotero.org/users/10951124/items/C6G2XAEL"],"itemData":{"id":7163,"type":"article-journal","abstract":"The polyvagal theory introduced a new perspective relating autonomic function to behavior, that included an appreciation of the autonomic nervous system as a “system,” the identification of neural circuits involved in the regulation of autonomic state, and an interpretation of autonomic reactivity as adaptive within the context of the phylogeny of the vertebrate autonomic nervous system. The paper has two objectives: first, to provide an explicit statement of the theory","container-title":"Biological Psychology","DOI":"10.1016/j.biopsycho.2006.06.009","ISSN":"0301-0511","issue":"2","page":"116-143","title":"The polyvagal perspective","volume":"74","author":[{"family":"Porges","given":"Stephen W"}],"issued":{"date-parts":[["2007"]]}}}],"schema":"https://github.com/citation-style-language/schema/raw/master/csl-citation.json"} </w:instrText>
      </w:r>
      <w:r w:rsidRPr="00C05886">
        <w:fldChar w:fldCharType="separate"/>
      </w:r>
      <w:r w:rsidRPr="00C05886">
        <w:rPr>
          <w:rFonts w:ascii="Calibri" w:hAnsi="Calibri" w:cs="Calibri"/>
        </w:rPr>
        <w:t>(Porges, 1995, 2007)</w:t>
      </w:r>
      <w:r w:rsidRPr="00C05886">
        <w:fldChar w:fldCharType="end"/>
      </w:r>
      <w:r w:rsidRPr="00C05886">
        <w:t xml:space="preserve"> proposed that the nerves connected to the heart from the autonomous nervous system would be able to regulate the heart rate according to a hierarchical order. These nerves would be distinguished into three groups: fast parasympathetic fibres, sympathetic fibres and slow parasympathetic fibres. Under normal conditions, the heart rate would be regulated by the fast parasympathetic fibres; when a stressful situation arises, the parasympathetic fibres would reduce their activity, allowing the sympathetic fibres to increase the heart rate. Once the stressful event has passed, the fast parasympathetic fibres will take over again. The role of slow parasympathetic fibres remains unclear, but it is possibly responsible for the fainting mechanism, as the last resort of avoiding the harmful situation. In summary, measuring the heart rate variability during a stressful event and a relaxation period should show whether relaxing in a biodiverse space could be more effective. Chapter 7 provides more details on how heart rate variability was measured.  </w:t>
      </w:r>
    </w:p>
    <w:p w14:paraId="15E6D9D5" w14:textId="77777777" w:rsidR="00C12E53" w:rsidRPr="00C05886" w:rsidRDefault="00C12E53" w:rsidP="00B71AD6">
      <w:pPr>
        <w:pStyle w:val="Heading4"/>
      </w:pPr>
      <w:r w:rsidRPr="00C05886">
        <w:t>Electroencephalography</w:t>
      </w:r>
    </w:p>
    <w:p w14:paraId="543F8011" w14:textId="77777777" w:rsidR="00C12E53" w:rsidRPr="00C05886" w:rsidRDefault="00C12E53" w:rsidP="00B609CD">
      <w:r w:rsidRPr="00C05886">
        <w:t xml:space="preserve">As mentioned, Electroencephalography is the measurement of the electrical activity of the brain. This electrical field is made of all signals emitted by the neurons and can be recorded with electrodes placed on the scalp. Although the exact origin of any brain signal is hard to pinpoint </w:t>
      </w:r>
      <w:r w:rsidRPr="00C05886">
        <w:fldChar w:fldCharType="begin"/>
      </w:r>
      <w:r w:rsidRPr="00C05886">
        <w:instrText xml:space="preserve"> ADDIN ZOTERO_ITEM CSL_CITATION {"citationID":"6IbbC6za","properties":{"formattedCitation":"(Cohen, 2017)","plainCitation":"(Cohen, 2017)","noteIndex":0},"citationItems":[{"id":8721,"uris":["http://zotero.org/users/10951124/items/5DPC5JRG"],"itemData":{"id":8721,"type":"article-journal","abstract":"Electroencephalography (EEG) has been instrumental in making discoveries about cognition, brain function, and dysfunction. However, where do EEG signals come from and what do they mean? The purpose of this paper is to argue that we know shockingly little about the answer to this question, to highlight what we do know, how important the answers are, and how modern neuroscience technologies that allow us to measure and manipulate neural circuits with high spatiotemporal accuracy might finally bring us some answers. Neural oscillations are perhaps the best feature of EEG to use as anchors because oscillations are observed and are studied at multiple spatiotemporal scales of the brain, in multiple species, and are widely implicated in cognition and in neural computations.","container-title":"Trends in Neurosciences","DOI":"https://doi.org/10.1016/j.tins.2017.02.004","ISSN":"0166-2236","issue":"4","page":"208-218","title":"Where Does EEG Come From and What Does It Mean?","volume":"40","author":[{"family":"Cohen","given":"Michael X"}],"issued":{"date-parts":[["2017"]]}}}],"schema":"https://github.com/citation-style-language/schema/raw/master/csl-citation.json"} </w:instrText>
      </w:r>
      <w:r w:rsidRPr="00C05886">
        <w:fldChar w:fldCharType="separate"/>
      </w:r>
      <w:r w:rsidRPr="00C05886">
        <w:rPr>
          <w:rFonts w:ascii="Calibri" w:hAnsi="Calibri" w:cs="Calibri"/>
        </w:rPr>
        <w:t>(Cohen, 2017)</w:t>
      </w:r>
      <w:r w:rsidRPr="00C05886">
        <w:fldChar w:fldCharType="end"/>
      </w:r>
      <w:r w:rsidRPr="00C05886">
        <w:t xml:space="preserve">, it is possible to observe cyclical patterns (waves) concentrated in certain areas of the scalp </w:t>
      </w:r>
      <w:r w:rsidRPr="00C05886">
        <w:fldChar w:fldCharType="begin"/>
      </w:r>
      <w:r w:rsidRPr="00C05886">
        <w:instrText xml:space="preserve"> ADDIN ZOTERO_ITEM CSL_CITATION {"citationID":"Vq6M06Hm","properties":{"formattedCitation":"(Kaiser, 2005)","plainCitation":"(Kaiser, 2005)","noteIndex":0},"citationItems":[{"id":9199,"uris":["http://zotero.org/users/10951124/items/6N4UPPYI"],"itemData":{"id":9199,"type":"article-journal","abstract":"Principles of quantitative electroencephalography (EEG) relevant to neurotherapy are reviewed. A brief history of EEG, the general properties of human EEG, and the issues and obstacles associated with quantitative methods are discussed. Fourier analysis is also described.","container-title":"Journal of Adult Development","DOI":"10.1007/s10804-005-7025-9","ISSN":"1573-3440","issue":"2","journalAbbreviation":"Journal of Adult Development","page":"99-104","title":"Basic Principles of Quantitative EEG","volume":"12","author":[{"family":"Kaiser","given":"David A."}],"issued":{"date-parts":[["2005",8,1]]}}}],"schema":"https://github.com/citation-style-language/schema/raw/master/csl-citation.json"} </w:instrText>
      </w:r>
      <w:r w:rsidRPr="00C05886">
        <w:fldChar w:fldCharType="separate"/>
      </w:r>
      <w:r w:rsidRPr="00C05886">
        <w:rPr>
          <w:rFonts w:ascii="Calibri" w:hAnsi="Calibri" w:cs="Calibri"/>
        </w:rPr>
        <w:t>(Kaiser, 2005)</w:t>
      </w:r>
      <w:r w:rsidRPr="00C05886">
        <w:fldChar w:fldCharType="end"/>
      </w:r>
      <w:r w:rsidRPr="00C05886">
        <w:t xml:space="preserve">. These waves are classified based on their frequencies and have been empirically associated with certain behaviours. For instance, the 8-12hz waves (called “alpha”) recorded on the occipital region (i.e. the back of the head), have been observed in participants who were awake but relaxing with closed eyes (the occipital region is thought to process most of the visual information coming from the sight). According to </w:t>
      </w:r>
      <w:r w:rsidRPr="00C05886">
        <w:fldChar w:fldCharType="begin"/>
      </w:r>
      <w:r w:rsidRPr="00C05886">
        <w:instrText xml:space="preserve"> ADDIN ZOTERO_ITEM CSL_CITATION {"citationID":"FDfUEo6n","properties":{"formattedCitation":"(Ramirez and Vamvakousis, 2012)","plainCitation":"(Ramirez and Vamvakousis, 2012)","dontUpdate":true,"noteIndex":0},"citationItems":[{"id":8956,"uris":["http://zotero.org/users/10951124/items/YT2TEEDX"],"itemData":{"id":8956,"type":"paper-conference","abstract":"The study of emotions in human-computer interaction has increased in recent years in an attempt to address new user needs. At the same time, it is possible to record brain activity in real-time and discover patterns to relate it to emotional states. This paper describes a machine learning approach to detect emotion from brain activity, recorded as electroencephalograph (EEG) with the Emotic Epoc device, during auditory stimulation. First, we extract features from the EEG signals in order to characterize states of mind in the arousal-valence 2D emotion model. Using these features we apply machine learning techniques to classify EEG signals into high/low arousal and positive/negative valence emotional states. The obtained classifiers may be used to categorize emotions such as happiness, anger, sadness, and calm based on EEG data.","event-place":"Berlin, Heidelberg","ISBN":"978-3-642-35139-6","page":"175-184","publisher":"Springer Berlin Heidelberg","publisher-place":"Berlin, Heidelberg","title":"Detecting Emotion from EEG Signals Using the Emotive Epoc Device BT - Brain Informatics","author":[{"family":"Ramirez","given":"Rafael"},{"family":"Vamvakousis","given":"Zacharias"}],"editor":[{"family":"Zanzotto","given":"Fabio Massimo"},{"family":"Tsumoto","given":"Shusaku"},{"family":"Taatgen","given":"Niels"},{"family":"Yao","given":"Yiyu"}],"issued":{"date-parts":[["2012"]]}}}],"schema":"https://github.com/citation-style-language/schema/raw/master/csl-citation.json"} </w:instrText>
      </w:r>
      <w:r w:rsidRPr="00C05886">
        <w:fldChar w:fldCharType="separate"/>
      </w:r>
      <w:r w:rsidRPr="00C05886">
        <w:rPr>
          <w:rFonts w:ascii="Calibri" w:hAnsi="Calibri" w:cs="Calibri"/>
        </w:rPr>
        <w:t>Ramirez and Vamvakousis  (2012)</w:t>
      </w:r>
      <w:r w:rsidRPr="00C05886">
        <w:fldChar w:fldCharType="end"/>
      </w:r>
      <w:r w:rsidRPr="00C05886">
        <w:t xml:space="preserve">, a reduction of the beta (waking) activity on the frontal lobe and/or an increase in alpha (relaxing) activity in the same region should hint towards a reduction in the cognitive activity (i.e. a relaxation). </w:t>
      </w:r>
    </w:p>
    <w:p w14:paraId="2320F527" w14:textId="1A77DDF1" w:rsidR="00C12E53" w:rsidRPr="00C05886" w:rsidRDefault="00C12E53" w:rsidP="00B609CD">
      <w:r w:rsidRPr="00C05886">
        <w:t xml:space="preserve">The challenge with electroencephalography however is that measuring the brain's electric activity from the scalp is like watching a football game from outside the stadium </w:t>
      </w:r>
      <w:r w:rsidRPr="00C05886">
        <w:fldChar w:fldCharType="begin"/>
      </w:r>
      <w:r w:rsidRPr="00C05886">
        <w:instrText xml:space="preserve"> ADDIN ZOTERO_ITEM CSL_CITATION {"citationID":"9pAmWKtJ","properties":{"formattedCitation":"(Biasiucci, Franceschiello and Murray, 2019)","plainCitation":"(Biasiucci, Franceschiello and Murray, 2019)","noteIndex":0},"citationItems":[{"id":8706,"uris":["http://zotero.org/users/10951124/items/NNM5A93W"],"itemData":{"id":8706,"type":"article-journal","abstract":"Electroencephalography (EEG) is the non-invasive measurement of the brain’s electric fields. Electrodes placed on the scalp record voltage potentials resulting from current flow in and around neurons. EEG is nearly a century old: this long history has afforded EEG a rich and diverse spectrum of applications. On the one hand, foundations of EEG in clinical diagnostics have dovetailed more recently into brain-triggered neurorehabilitation treatments. On the other hand, EEG has not only been a workhorse for providing brain correlates of constructs in the field of experimental psychology, but has also been used as a true neuroimaging method with more recent extensions in translational as well as computational neuroscience. The versatility and accessibility of the technique, in combination with advances in signal processing, allow for this ‘old dog’ to still deliver new tricks and innovations. Electroencephalography is a nearly century old technique for the non-invasive recording of brain activity. In this primer, Biasiucci, Franceschiello and Murray discuss the biophysics, history and uses of the EEG as well as lay out a roadmap for how this ‘old dog’ can still teach us new tricks for understanding the brain.","container-title":"Curr Biol","DOI":"10.1016/j.cub.2018.11.052","ISSN":"0960-9822","issue":"3","note":"publisher: England: Elsevier Ltd\npublisher-place: England","page":"R80-R85","title":"Electroencephalography","volume":"29","author":[{"family":"Biasiucci","given":"Andrea"},{"family":"Franceschiello","given":"Benedetta"},{"family":"Murray","given":"Micah M"}],"issued":{"date-parts":[["2019"]]}}}],"schema":"https://github.com/citation-style-language/schema/raw/master/csl-citation.json"} </w:instrText>
      </w:r>
      <w:r w:rsidRPr="00C05886">
        <w:fldChar w:fldCharType="separate"/>
      </w:r>
      <w:r w:rsidRPr="00C05886">
        <w:rPr>
          <w:rFonts w:ascii="Calibri" w:hAnsi="Calibri" w:cs="Calibri"/>
        </w:rPr>
        <w:t>(Biasiucci, Franceschiello and Murray, 2019)</w:t>
      </w:r>
      <w:r w:rsidRPr="00C05886">
        <w:fldChar w:fldCharType="end"/>
      </w:r>
      <w:r w:rsidRPr="00C05886">
        <w:t xml:space="preserve">. The crowd (i.e. the neurons) is constantly cheering and booing and clapping, so it is possible to tell when something exciting is happening, but not who has the ball or who scored. This is due to two facts: first, cognitive functions are carried out by multiple parts of the brain at the same time </w:t>
      </w:r>
      <w:r w:rsidRPr="00C05886">
        <w:fldChar w:fldCharType="begin"/>
      </w:r>
      <w:r w:rsidRPr="00C05886">
        <w:instrText xml:space="preserve"> ADDIN ZOTERO_ITEM CSL_CITATION {"citationID":"25Bs6fUZ","properties":{"formattedCitation":"(Posner, Russel and Peterson, 2005)","plainCitation":"(Posner, Russel and Peterson, 2005)","noteIndex":0},"citationItems":[{"id":9014,"uris":["http://zotero.org/users/10951124/items/JR3H57DN"],"itemData":{"id":9014,"type":"article-journal","abstract":"The circumplex model of affect proposes that all affective states arise from cognitive interpretations of core neural sensations that are the product of two independent neurophysiological systems. This model stands in contrast to theories of basic emotions, which posit that a discrete and independent neural system subserves every emotion. We propose that basic emotion theories no longer explain adequately the vast number of empirical observations from studies in affective neuroscience, and we suggest that a conceptual shift is needed in the empirical approaches taken to the study of emotion and affective psychopathologies. The circumplex model of affect is more consistent with many recent findings from behavioral, cognitive neuroscience, neuroimaging, and developmental studies of affect. Moreover, the model offers new theoretical and empirical approaches to studying the development of affective disorders as well as the genetic and cognitive underpinnings of affective processing within the central nervous system.This work was supported in part by NIMH Grants MH01232, MH59139, MH36197, MHK02-74677, and MH068318; a grant from the National Alliance for Research in Schizophrenia and Affective Disorders (NARSAD); NSF Grant BSC-0421702; and funding from the Thomas D. Klingenstein and Nancy D. Perlman Family Fund and the Suzanne Crosby Murphy Endowment at Columbia University.","container-title":"Development and Psychopathology","DOI":"DOI: 10.1017/S0954579405050340","ISSN":"0954-5794","issue":"3","note":"publisher: Cambridge University Press","page":"715-734","title":"The circumplex model of affect: An integrative approach to affective neuroscience, cognitive development, and psychopathology","volume":"17","author":[{"family":"Posner","given":"Jonathan"},{"family":"Russel","given":"James A"},{"family":"Peterson","given":"Bradley S"}],"issued":{"date-parts":[["2005"]]}}}],"schema":"https://github.com/citation-style-language/schema/raw/master/csl-citation.json"} </w:instrText>
      </w:r>
      <w:r w:rsidRPr="00C05886">
        <w:fldChar w:fldCharType="separate"/>
      </w:r>
      <w:r w:rsidRPr="00C05886">
        <w:rPr>
          <w:rFonts w:ascii="Calibri" w:hAnsi="Calibri" w:cs="Calibri"/>
        </w:rPr>
        <w:t>(Posner, Russel and Peterson, 2005)</w:t>
      </w:r>
      <w:r w:rsidRPr="00C05886">
        <w:fldChar w:fldCharType="end"/>
      </w:r>
      <w:r w:rsidRPr="00C05886">
        <w:t xml:space="preserve">; second, the current measured on the skin surface (e.g. the frontal lobes), may not be originated directly below it </w:t>
      </w:r>
      <w:r w:rsidRPr="00C05886">
        <w:fldChar w:fldCharType="begin"/>
      </w:r>
      <w:r w:rsidRPr="00C05886">
        <w:instrText xml:space="preserve"> ADDIN ZOTERO_ITEM CSL_CITATION {"citationID":"cJ3uauHh","properties":{"formattedCitation":"(Cohen, 2017)","plainCitation":"(Cohen, 2017)","noteIndex":0},"citationItems":[{"id":8721,"uris":["http://zotero.org/users/10951124/items/5DPC5JRG"],"itemData":{"id":8721,"type":"article-journal","abstract":"Electroencephalography (EEG) has been instrumental in making discoveries about cognition, brain function, and dysfunction. However, where do EEG signals come from and what do they mean? The purpose of this paper is to argue that we know shockingly little about the answer to this question, to highlight what we do know, how important the answers are, and how modern neuroscience technologies that allow us to measure and manipulate neural circuits with high spatiotemporal accuracy might finally bring us some answers. Neural oscillations are perhaps the best feature of EEG to use as anchors because oscillations are observed and are studied at multiple spatiotemporal scales of the brain, in multiple species, and are widely implicated in cognition and in neural computations.","container-title":"Trends in Neurosciences","DOI":"https://doi.org/10.1016/j.tins.2017.02.004","ISSN":"0166-2236","issue":"4","page":"208-218","title":"Where Does EEG Come From and What Does It Mean?","volume":"40","author":[{"family":"Cohen","given":"Michael X"}],"issued":{"date-parts":[["2017"]]}}}],"schema":"https://github.com/citation-style-language/schema/raw/master/csl-citation.json"} </w:instrText>
      </w:r>
      <w:r w:rsidRPr="00C05886">
        <w:fldChar w:fldCharType="separate"/>
      </w:r>
      <w:r w:rsidRPr="00C05886">
        <w:rPr>
          <w:rFonts w:ascii="Calibri" w:hAnsi="Calibri" w:cs="Calibri"/>
        </w:rPr>
        <w:t>(Cohen, 2017)</w:t>
      </w:r>
      <w:r w:rsidRPr="00C05886">
        <w:fldChar w:fldCharType="end"/>
      </w:r>
      <w:r w:rsidRPr="00C05886">
        <w:t xml:space="preserve">. Overall, </w:t>
      </w:r>
      <w:r w:rsidRPr="00C05886">
        <w:lastRenderedPageBreak/>
        <w:t xml:space="preserve">electroencephalography is probably too complex for observing relaxation due to biodiversity in green spaces. In combination with other measures (self-reported affect, heart rate variability) it could have been possible to gather correlational evidence of the participant's emotional state. Originally, the experiment presented in Chapter 7 would have involved both electroencephalography and heart rate variability as physiological indicators of stress and recovery. Two wearable EEG devices were tested, the Muse-S (www.choosemuse.com) and the EPOC-X (www.emotiv.com) as they were used in previously published research </w:t>
      </w:r>
      <w:r w:rsidRPr="00C05886">
        <w:fldChar w:fldCharType="begin"/>
      </w:r>
      <w:r w:rsidR="000309A4" w:rsidRPr="00C05886">
        <w:instrText xml:space="preserve"> ADDIN ZOTERO_ITEM CSL_CITATION {"citationID":"ZCGb2j8K","properties":{"formattedCitation":"(Krigolson {\\i{}et al.}, 2017; Elsadek and Liu, 2020)","plainCitation":"(Krigolson et al., 2017; Elsadek and Liu, 2020)","noteIndex":0},"citationItems":[{"id":8357,"uris":["http://zotero.org/users/10951124/items/FLZHLHFN"],"itemData":{"id":8357,"type":"article-journal","abstract":"In recent years there has been an increase in the number of portable low-cost electroencephalographic (EEG) systems available to researchers. However, to date the validation of the use of low-cost EEG systems has focused on continuous recording of EEG data and/or the replication of large system EEG setups reliant on event-markers to afford examination of event-related brain potentials (ERP). Here, we demonstrate that it is possible to conduct ERP research without being reliant on event markers using a portable MUSE EEG system and a single computer. Specifically, we report the results of two experiments using data collected with the MUSE EEG system-one using the well-known visual oddball paradigm and the other using a standard reward-learning task. Our results demonstrate that we could observe and quantify the N200 and P300 ERP components in the visual oddball task and the reward positivity (the mirror opposite component to the feedback-related negativity) in the reward-learning task. Specifically, single sample t-tests of component existence (all p's &lt; 0.05), computation of Bayesian credible intervals, and 95% confidence intervals all statistically verified the existence of the N200, P300, and reward positivity in all analyses. We provide with this research paper an open source website with all the instructions, methods, and software to replicate our findings and to provide researchers with an easy way to use the MUSE EEG system for ERP research. Importantly, our work highlights that with a single computer and a portable EEG system such as the MUSE one can conduct ERP research with ease thus greatly extending the possible use of the ERP methodology to a variety of novel contexts.","container-title":"Frontiers in Neuroscience","DOI":"10.3389/fnins.2017.00109","ISSN":"1662453X","issue":"MAR","page":"1-10","title":"Choosing MUSE: Validation of a low-cost, portable EEG system for ERP research","volume":"11","author":[{"family":"Krigolson","given":"Olave E."},{"family":"Williams","given":"Chad C."},{"family":"Norton","given":"Angela"},{"family":"Hassall","given":"Cameron D."},{"family":"Colino","given":"Francisco L."}],"issued":{"date-parts":[["2017"]]}}},{"id":5278,"uris":["http://zotero.org/users/local/pAEZdfSt/items/QQ6MQY8R","http://zotero.org/users/10951124/items/QQ6MQY8R"],"itemData":{"id":5278,"type":"article-journal","abstract":"Despite the existence of plentiful studies on how plants can positively affect human wellbeing, few have focused on the potential effects of flower colours on stressed people. The present study was designed to illustrate the psychophysiological relaxation impacts of seeing purple and blue hydrangea flowers among finance workers. Thirty employees were asked to view purple, blue flowers or an empty table for 3-min, during which we measured the participants' brain activity, heart rate variability and skin conductance. We also assessed their emotions and mood states. Findings suggest that, compared with viewing the control, viewing blue and purple flowers resulted in a significant increase in alpha relative waves in the prefrontal and occipital lobes, and a significant increase in parasympathetic nervous activity. A significant increase in the sensation vote for ?comfort', ?relaxation' and ?cheerfulness', as well as a dramatic improvement in the mood state was observed. The results show clear evidence for the support of the use of blue and purple flowering plants in places where comfort and calmness are required. In addition, blue flowers were more favoured and had the greatest positive effects. Results indicate that viewing flowering plants would be a promising therapeutic approach for enhancing physiological functions and improving psychological relaxation for office workers.","container-title":"Indoor and Built Environment","DOI":"10.1177/1420326X20942572","ISSN":"1420-326X","note":"publisher: SAGE Publications Ltd STM","page":"1420326X20942572","title":"Effects of viewing flowering plants on employees' wellbeing in an office-like environment","author":[{"family":"Elsadek","given":"Mohamed"},{"family":"Liu","given":"Binyi"}],"issued":{"date-parts":[["2020",7,28]]}}}],"schema":"https://github.com/citation-style-language/schema/raw/master/csl-citation.json"} </w:instrText>
      </w:r>
      <w:r w:rsidRPr="00C05886">
        <w:fldChar w:fldCharType="separate"/>
      </w:r>
      <w:r w:rsidRPr="00C05886">
        <w:rPr>
          <w:rFonts w:ascii="Calibri" w:hAnsi="Calibri" w:cs="Calibri"/>
          <w:szCs w:val="24"/>
        </w:rPr>
        <w:t xml:space="preserve">(Krigolson </w:t>
      </w:r>
      <w:r w:rsidRPr="00C05886">
        <w:rPr>
          <w:rFonts w:ascii="Calibri" w:hAnsi="Calibri" w:cs="Calibri"/>
          <w:i/>
          <w:iCs/>
          <w:szCs w:val="24"/>
        </w:rPr>
        <w:t>et al.</w:t>
      </w:r>
      <w:r w:rsidRPr="00C05886">
        <w:rPr>
          <w:rFonts w:ascii="Calibri" w:hAnsi="Calibri" w:cs="Calibri"/>
          <w:szCs w:val="24"/>
        </w:rPr>
        <w:t>, 2017; Elsadek and Liu, 2020)</w:t>
      </w:r>
      <w:r w:rsidRPr="00C05886">
        <w:fldChar w:fldCharType="end"/>
      </w:r>
      <w:r w:rsidRPr="00C05886">
        <w:t>. Although electroencephalographers tend to be expensive (over £30000) these devices were relatively affordable, having been developed as fitness gadgets for relaxation and meditation practices. After piloting the experiment, electroencephalography was discontinued due to the following reasons: device sensitivity, complex data processing, and impossible replication of the results.</w:t>
      </w:r>
    </w:p>
    <w:p w14:paraId="42699F00" w14:textId="77777777" w:rsidR="00C12E53" w:rsidRPr="00C05886" w:rsidRDefault="00C12E53" w:rsidP="00173BB8">
      <w:pPr>
        <w:pStyle w:val="Heading3"/>
      </w:pPr>
      <w:bookmarkStart w:id="55" w:name="_Toc179962313"/>
      <w:r w:rsidRPr="00C05886">
        <w:t>Excursus: What did not work with electroencephalography</w:t>
      </w:r>
      <w:bookmarkEnd w:id="55"/>
    </w:p>
    <w:p w14:paraId="6905A7ED" w14:textId="29513055" w:rsidR="00C12E53" w:rsidRPr="00C05886" w:rsidRDefault="00C12E53" w:rsidP="00F15EBE">
      <w:r w:rsidRPr="00C05886">
        <w:t xml:space="preserve">Collecting clean EEG data was the first challenge. Both Muse and EPOC-X devices were able to record electric signals from the participant's scalp, but this had very high levels of noise (i.e. unwanted data of unknown origin) and artefacts (extreme voltage values generated by </w:t>
      </w:r>
      <w:r w:rsidR="00C0254A" w:rsidRPr="00C05886">
        <w:t xml:space="preserve">muscle </w:t>
      </w:r>
      <w:r w:rsidRPr="00C05886">
        <w:t>movements). This was usually due to the loose contact of the electrodes on the participant’s scalp. The EPOC-X was too large to be appropriately fitted on participants with smaller heads, which resulted in poor clamping pressure, and unable to push hairs aside.</w:t>
      </w:r>
    </w:p>
    <w:p w14:paraId="190822A4" w14:textId="77777777" w:rsidR="00C12E53" w:rsidRPr="00C05886" w:rsidRDefault="00C12E53" w:rsidP="00F15EBE">
      <w:r w:rsidRPr="00C05886">
        <w:t xml:space="preserve">Noise and artefacts were expected, as any raw EEG data needs filtering to remove any unrelated frequencies (i.e. anything below 0.5hz and above 60hz) and sections of the recording dominated by muscle activity, such as blinking, which generates a low-frequency electrical signal. However, reliably processing the raw data was impossible. The following processing methods were attempted: </w:t>
      </w:r>
    </w:p>
    <w:p w14:paraId="6825A480" w14:textId="17F086D5" w:rsidR="00C12E53" w:rsidRPr="00C05886" w:rsidRDefault="00C12E53" w:rsidP="005F3C4C">
      <w:pPr>
        <w:pStyle w:val="ListParagraph"/>
        <w:numPr>
          <w:ilvl w:val="0"/>
          <w:numId w:val="13"/>
        </w:numPr>
        <w:ind w:left="714" w:hanging="357"/>
      </w:pPr>
      <w:r w:rsidRPr="00C05886">
        <w:t xml:space="preserve">Using the first-party software provided by the devices’ manufacturers </w:t>
      </w:r>
      <w:r w:rsidRPr="00C05886">
        <w:fldChar w:fldCharType="begin"/>
      </w:r>
      <w:r w:rsidR="000309A4" w:rsidRPr="00C05886">
        <w:instrText xml:space="preserve"> ADDIN ZOTERO_ITEM CSL_CITATION {"citationID":"g1SFHfr6","properties":{"formattedCitation":"(Lin {\\i{}et al.}, 2020)","plainCitation":"(Lin et al., 2020)","dontUpdate":true,"noteIndex":0},"citationItems":[{"id":8964,"uris":["http://zotero.org/users/local/pAEZdfSt/items/M9PW65RB","http://zotero.org/users/10951124/items/M9PW65RB"],"itemData":{"id":8964,"type":"article-journal","abstract":"There is a close relationship between urban green space and the physical and mental health of individuals. Most previous studies have discussed the impact of the structure of green space and its elements. This study focused on the emotional changes caused by common behaviors in urban green space (walking and sitting). We recruited 40 college students and randomly assigned them to walking and sitting groups (20 students per group). The two groups performed the same 8-min high-pressure learning task indoors and then performed 8-min recovery activities in a simulated urban green space (a bamboo-lawn space). We used the Emotiv EPOC+ EEG headset to dynamically measure six neural emotional parameters: “engagement,” “valence,” “meditation,” “frustration,” “focus,” and “excitement.” We conducted a pretest and posttest and used analysis of covariance (ANCOVA) to analyze the posttest data (with the pretest data as covariates). The results of the comparison of the two behaviors showed that the “valence” and “meditation” values of the walking group were higher than those of the sitting group, which suggests that walking in urban green space is more favorable for stress reduction. The sitting group had a higher “focus” value than did the walking group, which suggests that sitting in urban green space is better for attention restoration. The results of this study can provide guidance for urban green space planning and design as well as health guidance for urban residents.","container-title":"Journal of Urban Health","DOI":"10.1007/s11524-019-00407-8","ISSN":"1468-2869","issue":"2","page":"191-203","title":"Sitting or Walking? Analyzing the Neural Emotional Indicators of Urban Green Space Behavior with Mobile EEG","volume":"97","author":[{"family":"Lin","given":"Wei"},{"family":"Chen","given":"Qibing"},{"family":"Jiang","given":"Mingyan"},{"family":"Tao","given":"Jinying"},{"family":"Liu","given":"Zongfang"},{"family":"Zhang","given":"Xiaoxia"},{"family":"Wu","given":"Linjia"},{"family":"Xu","given":"Shan"},{"family":"Kang","given":"Yushan"},{"family":"Zeng","given":"Qiuyuan"}],"issued":{"date-parts":[["2020"]]}}}],"schema":"https://github.com/citation-style-language/schema/raw/master/csl-citation.json"} </w:instrText>
      </w:r>
      <w:r w:rsidRPr="00C05886">
        <w:fldChar w:fldCharType="separate"/>
      </w:r>
      <w:r w:rsidRPr="00C05886">
        <w:rPr>
          <w:rFonts w:ascii="Calibri" w:hAnsi="Calibri" w:cs="Calibri"/>
          <w:szCs w:val="24"/>
        </w:rPr>
        <w:t xml:space="preserve">(as done </w:t>
      </w:r>
      <w:r w:rsidR="001E384F" w:rsidRPr="00C05886">
        <w:rPr>
          <w:rFonts w:ascii="Calibri" w:hAnsi="Calibri" w:cs="Calibri"/>
          <w:szCs w:val="24"/>
        </w:rPr>
        <w:t>by</w:t>
      </w:r>
      <w:r w:rsidRPr="00C05886">
        <w:rPr>
          <w:rFonts w:ascii="Calibri" w:hAnsi="Calibri" w:cs="Calibri"/>
          <w:szCs w:val="24"/>
        </w:rPr>
        <w:t xml:space="preserve"> Lin </w:t>
      </w:r>
      <w:r w:rsidRPr="00C05886">
        <w:rPr>
          <w:rFonts w:ascii="Calibri" w:hAnsi="Calibri" w:cs="Calibri"/>
          <w:i/>
          <w:iCs/>
          <w:szCs w:val="24"/>
        </w:rPr>
        <w:t>et al.</w:t>
      </w:r>
      <w:r w:rsidRPr="00C05886">
        <w:rPr>
          <w:rFonts w:ascii="Calibri" w:hAnsi="Calibri" w:cs="Calibri"/>
          <w:szCs w:val="24"/>
        </w:rPr>
        <w:t>, 2020)</w:t>
      </w:r>
      <w:r w:rsidRPr="00C05886">
        <w:fldChar w:fldCharType="end"/>
      </w:r>
      <w:r w:rsidRPr="00C05886">
        <w:t xml:space="preserve">. This software did not disclose how the </w:t>
      </w:r>
      <w:r w:rsidR="001E384F" w:rsidRPr="00C05886">
        <w:t xml:space="preserve">resulting </w:t>
      </w:r>
      <w:r w:rsidRPr="00C05886">
        <w:t xml:space="preserve">indexes were calculated from the raw data. More importantly, this method did not seem capable </w:t>
      </w:r>
      <w:r w:rsidR="00680AE5" w:rsidRPr="00C05886">
        <w:t>of removing</w:t>
      </w:r>
      <w:r w:rsidRPr="00C05886">
        <w:t xml:space="preserve"> artefacts.</w:t>
      </w:r>
    </w:p>
    <w:p w14:paraId="0724A1D0" w14:textId="5FCA4C48" w:rsidR="00C12E53" w:rsidRPr="00C05886" w:rsidRDefault="00C12E53" w:rsidP="005F3C4C">
      <w:pPr>
        <w:pStyle w:val="ListParagraph"/>
        <w:numPr>
          <w:ilvl w:val="0"/>
          <w:numId w:val="13"/>
        </w:numPr>
        <w:ind w:left="714" w:hanging="357"/>
      </w:pPr>
      <w:r w:rsidRPr="00C05886">
        <w:t xml:space="preserve">Automated filtering and manual removal of unreadable data sections </w:t>
      </w:r>
      <w:r w:rsidRPr="00C05886">
        <w:fldChar w:fldCharType="begin"/>
      </w:r>
      <w:r w:rsidR="000309A4" w:rsidRPr="00C05886">
        <w:instrText xml:space="preserve"> ADDIN ZOTERO_ITEM CSL_CITATION {"citationID":"9v5Wf1Wd","properties":{"formattedCitation":"(Shan {\\i{}et al.}, 2018)","plainCitation":"(Shan et al., 2018)","noteIndex":0},"citationItems":[{"id":9136,"uris":["http://zotero.org/users/local/pAEZdfSt/items/CV37HU95","http://zotero.org/users/10951124/items/CV37HU95"],"itemData":{"id":9136,"type":"article-journal","abstract":"In this study, potential of neural-signal electroencephalogram (EEG)-based methods for enhancing human-building interaction under various indoor temperatures were explored. Correlations between EEG and subjective perceptions/tasks performance were experimentally investigated. Machine learning-based EEG pattern recognition was further studied. Results showed that the EEG frontal asymmetrical activity related well to the subjective questionnaire and objective tasks performance, which can be used as a more objective metric to corroborate traditional subjective questionnaire-based methods and task-based methods. Machine learning-based EEG pattern recognition with linear discriminant analysis (LDA) classifiers can well classify the different mental states under different thermal conditions. Utilization of the EEG frontal asymmetrical activities and the machine learning-based EEG pattern recognition method as a feedback mechanism of occupants, which can be implemented on a routine basis, has a great potential to enhance the human-building interaction in a more objective and holistic way.","container-title":"Building and Environment","DOI":"https://doi.org/10.1016/j.buildenv.2017.12.004","ISSN":"0360-1323","page":"46-53","title":"Human-building interaction under various indoor temperatures through neural-signal electroencephalogram (EEG) methods","volume":"129","author":[{"family":"Shan","given":"Xin"},{"family":"Yang","given":"En-Hua"},{"family":"Zhou","given":"Jin"},{"family":"Chang","given":"Victor W.-C."}],"issued":{"date-parts":[["2018"]]}}}],"schema":"https://github.com/citation-style-language/schema/raw/master/csl-citation.json"} </w:instrText>
      </w:r>
      <w:r w:rsidRPr="00C05886">
        <w:fldChar w:fldCharType="separate"/>
      </w:r>
      <w:r w:rsidRPr="00C05886">
        <w:rPr>
          <w:rFonts w:ascii="Calibri" w:hAnsi="Calibri" w:cs="Calibri"/>
          <w:szCs w:val="24"/>
        </w:rPr>
        <w:t xml:space="preserve">(Shan </w:t>
      </w:r>
      <w:r w:rsidRPr="00C05886">
        <w:rPr>
          <w:rFonts w:ascii="Calibri" w:hAnsi="Calibri" w:cs="Calibri"/>
          <w:i/>
          <w:iCs/>
          <w:szCs w:val="24"/>
        </w:rPr>
        <w:t>et al.</w:t>
      </w:r>
      <w:r w:rsidRPr="00C05886">
        <w:rPr>
          <w:rFonts w:ascii="Calibri" w:hAnsi="Calibri" w:cs="Calibri"/>
          <w:szCs w:val="24"/>
        </w:rPr>
        <w:t>, 2018)</w:t>
      </w:r>
      <w:r w:rsidRPr="00C05886">
        <w:fldChar w:fldCharType="end"/>
      </w:r>
      <w:r w:rsidRPr="00C05886">
        <w:t xml:space="preserve"> using EEGLAB, a software toolbox developed on MATLAB </w:t>
      </w:r>
      <w:r w:rsidRPr="00C05886">
        <w:fldChar w:fldCharType="begin"/>
      </w:r>
      <w:r w:rsidRPr="00C05886">
        <w:instrText xml:space="preserve"> ADDIN ZOTERO_ITEM CSL_CITATION {"citationID":"dVHZR9i7","properties":{"formattedCitation":"(Delorme and Makeig, 2004)","plainCitation":"(Delorme and Makeig, 2004)","noteIndex":0},"citationItems":[{"id":10888,"uris":["http://zotero.org/users/10951124/items/U93WSFZW"],"itemData":{"id":10888,"type":"article-journal","container-title":"Journal of Neuroscience Methods","DOI":"10.1016/j.jneumeth.2003.10.009","ISSN":"01650270","issue":"1","journalAbbreviation":"Journal of Neuroscience Methods","language":"en","page":"9-21","source":"DOI.org (Crossref)","title":"EEGLAB: an open source toolbox for analysis of single-trial EEG dynamics including independent component analysis","title-short":"EEGLAB","volume":"134","author":[{"family":"Delorme","given":"Arnaud"},{"family":"Makeig","given":"Scott"}],"issued":{"date-parts":[["2004",3]]}}}],"schema":"https://github.com/citation-style-language/schema/raw/master/csl-citation.json"} </w:instrText>
      </w:r>
      <w:r w:rsidRPr="00C05886">
        <w:fldChar w:fldCharType="separate"/>
      </w:r>
      <w:r w:rsidRPr="00C05886">
        <w:rPr>
          <w:rFonts w:ascii="Calibri" w:hAnsi="Calibri" w:cs="Calibri"/>
        </w:rPr>
        <w:t>(Delorme and Makeig, 2004)</w:t>
      </w:r>
      <w:r w:rsidRPr="00C05886">
        <w:fldChar w:fldCharType="end"/>
      </w:r>
      <w:r w:rsidRPr="00C05886">
        <w:t>. Although EEGLAB allowed complete control of the data, manual removal of artefacts was too subjective and susceptible to</w:t>
      </w:r>
      <w:r w:rsidR="001E384F" w:rsidRPr="00C05886">
        <w:t xml:space="preserve"> the researcher’s mood (e.g.</w:t>
      </w:r>
      <w:r w:rsidRPr="00C05886">
        <w:t xml:space="preserve"> boredom</w:t>
      </w:r>
      <w:r w:rsidR="001E384F" w:rsidRPr="00C05886">
        <w:t>)</w:t>
      </w:r>
      <w:r w:rsidRPr="00C05886">
        <w:t>.</w:t>
      </w:r>
    </w:p>
    <w:p w14:paraId="23605DD7" w14:textId="0A6C6FCB" w:rsidR="00C12E53" w:rsidRPr="00C05886" w:rsidRDefault="00C12E53" w:rsidP="005F3C4C">
      <w:pPr>
        <w:pStyle w:val="ListParagraph"/>
        <w:numPr>
          <w:ilvl w:val="0"/>
          <w:numId w:val="13"/>
        </w:numPr>
        <w:ind w:left="714" w:hanging="357"/>
      </w:pPr>
      <w:r w:rsidRPr="00C05886">
        <w:lastRenderedPageBreak/>
        <w:t xml:space="preserve">Applying automated processing on EEGLAB, such as the PREP </w:t>
      </w:r>
      <w:r w:rsidRPr="00C05886">
        <w:fldChar w:fldCharType="begin"/>
      </w:r>
      <w:r w:rsidRPr="00C05886">
        <w:instrText xml:space="preserve"> ADDIN ZOTERO_ITEM CSL_CITATION {"citationID":"DJitnjIX","properties":{"formattedCitation":"(Bigdely-Shamlo {\\i{}et al.}, 2015)","plainCitation":"(Bigdely-Shamlo et al., 2015)","noteIndex":0},"citationItems":[{"id":9165,"uris":["http://zotero.org/users/10951124/items/AD8DWQ7X"],"itemData":{"id":9165,"type":"book","abstract":"The technology to collect brain imaging and physiological measures has become portable and ubiquitous, opening the possibility of large-scale analysis of real-world human imaging. By its nature, such data is large and complex, making automated processing essential. This paper shows how lack of attention to the very early stages of an EEG preprocessing pipeline can reduce the signal-to-noise ratio and introduce unwanted artifacts into the data, particularly for computations done in single precision. We demonstrate that ordinary average referencing improves the signal-to-noise ratio, but that noisy channels can contaminate the results. We also show that identification of noisy channels depends on the reference and examine the complex interaction of filtering, noisy channel identification, and referencing. We introduce a multi-stage robust referencing scheme to deal with the noisy channel-reference interaction. We propose a standardized early-stage EEG processing pipeline (PREP) and discuss the application of the pipeline to more than 600 EEG datasets. The pipeline includes an automatically generated report for each dataset processed. Users can download the PREP pipeline as a freely available MATLAB library from &lt;ext-link ext-link-type=\"uri\" xlink:href=\"http://eegstudy.org/prepcode\" xmlns:xlink=\"http://www.w3.org/1999/xlink\"&gt;http://eegstudy.org/prepcode&lt;/ext-link&gt;.","ISBN":"1662-5196","note":"container-title: Frontiers in Neuroinformatics","title":"The PREP pipeline: standardized preprocessing for large-scale EEG analysis","URL":"https://www.frontiersin.org/articles/10.3389/fninf.2015.00016","volume":"9","author":[{"family":"Bigdely-Shamlo","given":"Nima"},{"family":"Mullen","given":"Tim"},{"family":"Kothe","given":"Christian"},{"family":"Su","given":"Kyung-Min"},{"family":"Robbins","given":"Kay A"}],"issued":{"date-parts":[["2015"]]}}}],"schema":"https://github.com/citation-style-language/schema/raw/master/csl-citation.json"} </w:instrText>
      </w:r>
      <w:r w:rsidRPr="00C05886">
        <w:fldChar w:fldCharType="separate"/>
      </w:r>
      <w:r w:rsidRPr="00C05886">
        <w:rPr>
          <w:rFonts w:ascii="Calibri" w:hAnsi="Calibri" w:cs="Calibri"/>
          <w:szCs w:val="24"/>
        </w:rPr>
        <w:t xml:space="preserve">(Bigdely-Shamlo </w:t>
      </w:r>
      <w:r w:rsidRPr="00C05886">
        <w:rPr>
          <w:rFonts w:ascii="Calibri" w:hAnsi="Calibri" w:cs="Calibri"/>
          <w:i/>
          <w:iCs/>
          <w:szCs w:val="24"/>
        </w:rPr>
        <w:t>et al.</w:t>
      </w:r>
      <w:r w:rsidRPr="00C05886">
        <w:rPr>
          <w:rFonts w:ascii="Calibri" w:hAnsi="Calibri" w:cs="Calibri"/>
          <w:szCs w:val="24"/>
        </w:rPr>
        <w:t>, 2015)</w:t>
      </w:r>
      <w:r w:rsidRPr="00C05886">
        <w:fldChar w:fldCharType="end"/>
      </w:r>
      <w:r w:rsidRPr="00C05886">
        <w:t xml:space="preserve"> and HAPPILEE </w:t>
      </w:r>
      <w:r w:rsidRPr="00C05886">
        <w:fldChar w:fldCharType="begin"/>
      </w:r>
      <w:r w:rsidRPr="00C05886">
        <w:instrText xml:space="preserve"> ADDIN ZOTERO_ITEM CSL_CITATION {"citationID":"NI4ufZKy","properties":{"formattedCitation":"(Lopez {\\i{}et al.}, 2022)","plainCitation":"(Lopez et al., 2022)","noteIndex":0},"citationItems":[{"id":9169,"uris":["http://zotero.org/users/10951124/items/7VGUCZH5"],"itemData":{"id":9169,"type":"article-journal","abstract":"Lower-density Electroencephalography (EEG) recordings (from 1 to approximately 32 electrodes) are widely-used in research and clinical practice and enable scalable brain function measurement across a variety of settings and populations. Though a number of automated pipelines have recently been proposed to standardize and optimize EEG pre-processing for high-density systems with state-of-the-art methods, few solutions have emerged that are compatible with lower-density systems. However, lower-density data often include long recording times and/or large sample sizes that would benefit from similar standardization and automation with contemporary methods. To address this need, we propose the HAPPE In Low Electrode Electroencephalography (HAPPILEE) pipeline as a standardized, automated pipeline optimized for EEG recordings with lower density channel layouts of any size. HAPPILEE processes task-free (e.g., resting-state) and task-related EEG (including event-related potential data by interfacing with the HAPPE+ER pipeline), from raw files through a series of processing steps including filtering, line noise reduction, bad channel detection, artifact correction from continuous data, segmentation, and bad segment rejection that have all been optimized for lower density data. HAPPILEE also includes post-processing reports of data and pipeline quality metrics to facilitate the evaluation and reporting of data quality and processing-related changes to the data in a standardized manner. Here the HAPPILEE steps and their optimization with both recorded and simulated EEG data are described. HAPPILEE's performance is then compared relative to other artifact correction and rejection strategies. The HAPPILEE pipeline is freely available as part of HAPPE 2.0 software under the terms of the GNU General Public License at: https://github.com/PINE-Lab/HAPPE.","container-title":"NeuroImage","DOI":"https://doi.org/10.1016/j.neuroimage.2022.119390","ISSN":"1053-8119","page":"119390","title":"HAPPILEE: HAPPE In Low Electrode Electroencephalography, a standardized pre-processing software for lower density recordings","volume":"260","author":[{"family":"Lopez","given":"K L"},{"family":"Monachino","given":"A D"},{"family":"Morales","given":"S"},{"family":"Leach","given":"S C"},{"family":"Bowers","given":"M E"},{"family":"Gabard-Durnam","given":"L J"}],"issued":{"date-parts":[["2022"]]}}}],"schema":"https://github.com/citation-style-language/schema/raw/master/csl-citation.json"} </w:instrText>
      </w:r>
      <w:r w:rsidRPr="00C05886">
        <w:fldChar w:fldCharType="separate"/>
      </w:r>
      <w:r w:rsidRPr="00C05886">
        <w:rPr>
          <w:rFonts w:ascii="Calibri" w:hAnsi="Calibri" w:cs="Calibri"/>
          <w:szCs w:val="24"/>
        </w:rPr>
        <w:t xml:space="preserve">(Lopez </w:t>
      </w:r>
      <w:r w:rsidRPr="00C05886">
        <w:rPr>
          <w:rFonts w:ascii="Calibri" w:hAnsi="Calibri" w:cs="Calibri"/>
          <w:i/>
          <w:iCs/>
          <w:szCs w:val="24"/>
        </w:rPr>
        <w:t>et al.</w:t>
      </w:r>
      <w:r w:rsidRPr="00C05886">
        <w:rPr>
          <w:rFonts w:ascii="Calibri" w:hAnsi="Calibri" w:cs="Calibri"/>
          <w:szCs w:val="24"/>
        </w:rPr>
        <w:t>, 2022)</w:t>
      </w:r>
      <w:r w:rsidRPr="00C05886">
        <w:fldChar w:fldCharType="end"/>
      </w:r>
      <w:r w:rsidRPr="00C05886">
        <w:t>. Th</w:t>
      </w:r>
      <w:r w:rsidR="001E384F" w:rsidRPr="00C05886">
        <w:t>ese scripted procedures</w:t>
      </w:r>
      <w:r w:rsidRPr="00C05886">
        <w:t xml:space="preserve"> provided consistency in the data processing but relied on signal interpolation (i.e. reconstructing missing data from a disconnected electrode by averaging the data from other electrodes). The quality of the reconstruction was limited by the low number of available electrodes.</w:t>
      </w:r>
    </w:p>
    <w:p w14:paraId="42FCBA33" w14:textId="77777777" w:rsidR="00C12E53" w:rsidRPr="00C05886" w:rsidRDefault="00C12E53" w:rsidP="00B609CD">
      <w:r w:rsidRPr="00C05886">
        <w:t xml:space="preserve">With all these methods, EEG values of alpha and beta waves were statistically similar at all experimental stages (baseline, stressor, recovery). Therefore, it was impossible to establish if this was due to 1) the research design (i.e. the stimuli involved did not elicit any change in the response), 2) low sensitivity of the device (e.g. too few electrodes to interpolate the missing part of the signal), 3) procedural errors in processing the raw data or 4) no effect of biodiversity on the electroencephalogram. A summary of published literature that used similar devices and data processing is reported in the appendix. </w:t>
      </w:r>
    </w:p>
    <w:p w14:paraId="74802019" w14:textId="77777777" w:rsidR="00C12E53" w:rsidRPr="00C05886" w:rsidRDefault="00C12E53" w:rsidP="00B71AD6">
      <w:pPr>
        <w:pStyle w:val="Heading2"/>
      </w:pPr>
      <w:bookmarkStart w:id="56" w:name="_Toc179962314"/>
      <w:r w:rsidRPr="00C05886">
        <w:t>The experimental template.</w:t>
      </w:r>
      <w:bookmarkEnd w:id="56"/>
    </w:p>
    <w:p w14:paraId="725C5CA9" w14:textId="142A5FEB" w:rsidR="00C12E53" w:rsidRPr="00C05886" w:rsidRDefault="00C12E53" w:rsidP="00674491">
      <w:r w:rsidRPr="00C05886">
        <w:t>To conclude, Figure</w:t>
      </w:r>
      <w:r w:rsidR="00DE1077" w:rsidRPr="00C05886">
        <w:t xml:space="preserve"> 3</w:t>
      </w:r>
      <w:r w:rsidRPr="00C05886">
        <w:t xml:space="preserve"> illustrates the experimental template which was used in Chapters 5, 6, and 7. This draws on previous experimental work </w:t>
      </w:r>
      <w:r w:rsidRPr="00C05886">
        <w:fldChar w:fldCharType="begin"/>
      </w:r>
      <w:r w:rsidR="00FB3282" w:rsidRPr="00C05886">
        <w:instrText xml:space="preserve"> ADDIN ZOTERO_ITEM CSL_CITATION {"citationID":"5OPo80EW","properties":{"formattedCitation":"(Van Den Berg, Jorgensen and Wilson, 2014; Lindemann-Matthies and Matthies, 2018; Schebella {\\i{}et al.}, 2020)","plainCitation":"(Van Den Berg, Jorgensen and Wilson, 2014; Lindemann-Matthies and Matthies, 2018; Schebella et al., 2020)","noteIndex":0},"citationItems":[{"id":7023,"uris":["http://zotero.org/users/10951124/items/9KGD5Q28"],"itemData":{"id":7023,"type":"article-journal","abstract":"A growing body of research suggests that natural settings are more effective in providing restoration from depleted emotional and cognitive resources than built settings. However, there is a lack of evidence-based guidelines on which options for urban green space design and management are most effective in providing restoration. To address this need, the present study examined the restorative impacts of urban public spaces differing in naturalness. After having been pre-stressed by watching a scary movie, 102 participants were randomly assigned to viewing one of four photo/video presentations depicting an urban street, parkland, tended woodland, or wild woods. Self-reported mood and restorative state were measured at baseline, after the stressor and after viewing the environment. After controlling for stress reactivity, participants in the natural conditions showed stronger recovery on all dependent measures than those in the urban street condition. Differences in recovery among the natural settings did not reach significance. Keyword analysis revealed that the wild woods were described as more arousing than the parkland and tended woodland. There was substantial variation in recovery of vitality within natural conditions, which was related to perceptions of naturalness. In general, the findings suggest that restoration in urban public spaces depends on individual perceptions and needs as well as physical characteristics of the setting.","container-title":"Landscape and Urban Planning","DOI":"10.1016/j.landurbplan.2014.04.012","ISSN":"0169-2046","issue":"C","page":"173-181","title":"Evaluating restoration in urban green spaces: Does setting type make a difference?","volume":"127","author":[{"family":"Van Den Berg","given":"Agnes E"},{"family":"Jorgensen","given":"Anna"},{"family":"Wilson","given":"Edward R"}],"issued":{"date-parts":[["2014"]]}}},{"id":9126,"uris":["http://zotero.org/users/10951124/items/9ILWYPEK"],"itemData":{"id":9126,"type":"article-journal","container-title":"Web Ecol.","DOI":"10.5194/we-18-121-2018","ISSN":"1399-1183","issue":"2","note":"publisher: Copernicus Publications","page":"121-128","title":"The influence of plant species richness on stress recovery of humans","volume":"18","author":[{"family":"Lindemann-Matthies","given":"P"},{"family":"Matthies","given":"D"}],"issued":{"date-parts":[["2018",8,29]]}}},{"id":9668,"uris":["http://zotero.org/users/10951124/items/XY8G99AE"],"itemData":{"id":9668,"type":"article-journal","abstract":"Immersive virtual environments (IVEs) were used to test the effects of biodiversity on recovery from induced stress. Three natural environments and one urban environment were used to represent ordinal levels of biodiversity (none, low, moderate, and high). The four IVEs comprised visual, auditory, and olfactory stimuli. An additional high biodiversity IVE without auditory or olfactory stimuli was also included to study the effects of multisensory stimulation per se on recovery from stress and perceptions of biodiversity. Following stress induction via a novel IVE Trier Social Stress Test (TSST-IVE), heart rate and five self-reported well-being measures were used to assess participants&amp;rsquo; recovery after immersion in one of the five IVEs. The results showed consistent well-being responses across both self-reported and physiological measures, suggesting biodiversity does directly affect human well-being. However, the relationship was not linear. For most measures of well-being, stress recovery was least effective in the urban IVE, consistent with past research. The low biodiversity IVE elicited the greatest improvement in all well-being measures except self-reported calmness. One could speculate that the landscape features of the least biodiverse IVE may elicit subconscious preferences toward savanna-like landscapes, as suggested by previous studies. The IVE depicting a moderate level of biodiversity was the least restorative of the natural environments. A multisensory experience was associated with better recovery in all measures of well-being than a visual-only experience, and perceptions of landscape components significantly differed between two identical nature scenes when auditory and olfactory stimuli were removed. Nuances in the data and implications of the findings are discussed. The results signal a need for caution and question the assumption that cultural ecosystem services align with positive outcomes for biodiversity conservation.","container-title":"International Journal of Environmental Research and Public Health","DOI":"10.3390/ijerph17010056","ISSN":"1660-4601","issue":"1","title":"The Nature of Reality: Human Stress Recovery during Exposure to Biodiverse, Multisensory Virtual Environments","volume":"17","author":[{"family":"Schebella","given":"Morgan F."},{"family":"Weber","given":"Delene"},{"family":"Schultz","given":"Lisa"},{"family":"Weinstein","given":"Philip"}],"issued":{"date-parts":[["2020"]]}}}],"schema":"https://github.com/citation-style-language/schema/raw/master/csl-citation.json"} </w:instrText>
      </w:r>
      <w:r w:rsidRPr="00C05886">
        <w:fldChar w:fldCharType="separate"/>
      </w:r>
      <w:r w:rsidR="00FB3282" w:rsidRPr="00C05886">
        <w:rPr>
          <w:rFonts w:ascii="Calibri" w:hAnsi="Calibri" w:cs="Calibri"/>
          <w:szCs w:val="24"/>
        </w:rPr>
        <w:t xml:space="preserve">(Van Den Berg, Jorgensen and Wilson, 2014; Lindemann-Matthies and Matthies, 2018; Schebella </w:t>
      </w:r>
      <w:r w:rsidR="00FB3282" w:rsidRPr="00C05886">
        <w:rPr>
          <w:rFonts w:ascii="Calibri" w:hAnsi="Calibri" w:cs="Calibri"/>
          <w:i/>
          <w:iCs/>
          <w:szCs w:val="24"/>
        </w:rPr>
        <w:t>et al.</w:t>
      </w:r>
      <w:r w:rsidR="00FB3282" w:rsidRPr="00C05886">
        <w:rPr>
          <w:rFonts w:ascii="Calibri" w:hAnsi="Calibri" w:cs="Calibri"/>
          <w:szCs w:val="24"/>
        </w:rPr>
        <w:t>, 2020)</w:t>
      </w:r>
      <w:r w:rsidRPr="00C05886">
        <w:fldChar w:fldCharType="end"/>
      </w:r>
      <w:r w:rsidRPr="00C05886">
        <w:t xml:space="preserve"> and guidelines for psychophysiological studies involving heart rate variability </w:t>
      </w:r>
      <w:r w:rsidRPr="00C05886">
        <w:fldChar w:fldCharType="begin"/>
      </w:r>
      <w:r w:rsidRPr="00C05886">
        <w:instrText xml:space="preserve"> ADDIN ZOTERO_ITEM CSL_CITATION {"citationID":"8dYnbIoI","properties":{"formattedCitation":"(Laborde, Mosley and Thayer, 2017)","plainCitation":"(Laborde, Mosley and Thayer, 2017)","noteIndex":0},"citationItems":[{"id":4735,"uris":["http://zotero.org/users/10951124/items/25958HS4"],"itemData":{"id":4735,"type":"article-journal","container-title":"Frontiers in psychology","ISSN":"1664-1078","note":"publisher: Frontiers","page":"213","title":"Heart rate variability and cardiac vagal tone in psychophysiological research–recommendations for experiment planning, data analysis, and data reporting","volume":"8","author":[{"family":"Laborde","given":"Sylvain"},{"family":"Mosley","given":"Emma"},{"family":"Thayer","given":"Julian F"}],"issued":{"date-parts":[["2017"]]}}}],"schema":"https://github.com/citation-style-language/schema/raw/master/csl-citation.json"} </w:instrText>
      </w:r>
      <w:r w:rsidRPr="00C05886">
        <w:fldChar w:fldCharType="separate"/>
      </w:r>
      <w:r w:rsidRPr="00C05886">
        <w:rPr>
          <w:rFonts w:ascii="Calibri" w:hAnsi="Calibri" w:cs="Calibri"/>
        </w:rPr>
        <w:t>(Laborde, Mosley and Thayer, 2017)</w:t>
      </w:r>
      <w:r w:rsidRPr="00C05886">
        <w:fldChar w:fldCharType="end"/>
      </w:r>
      <w:r w:rsidRPr="00C05886">
        <w:t>.</w:t>
      </w:r>
    </w:p>
    <w:p w14:paraId="5C5BA9B7" w14:textId="77777777" w:rsidR="00C12E53" w:rsidRPr="00C05886" w:rsidRDefault="00C12E53" w:rsidP="001335FE">
      <w:pPr>
        <w:keepNext/>
      </w:pPr>
      <w:r w:rsidRPr="00134B49">
        <w:rPr>
          <w:noProof/>
        </w:rPr>
        <w:drawing>
          <wp:inline distT="0" distB="0" distL="0" distR="0" wp14:anchorId="7CC8F210" wp14:editId="710ADA66">
            <wp:extent cx="6085020" cy="3021330"/>
            <wp:effectExtent l="0" t="0" r="0" b="7620"/>
            <wp:docPr id="6391793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119966" cy="3038681"/>
                    </a:xfrm>
                    <a:prstGeom prst="rect">
                      <a:avLst/>
                    </a:prstGeom>
                    <a:noFill/>
                  </pic:spPr>
                </pic:pic>
              </a:graphicData>
            </a:graphic>
          </wp:inline>
        </w:drawing>
      </w:r>
    </w:p>
    <w:p w14:paraId="438AC818" w14:textId="7FFD8103" w:rsidR="00C12E53" w:rsidRPr="00C05886" w:rsidRDefault="00C12E53" w:rsidP="00A5730B">
      <w:pPr>
        <w:pStyle w:val="Caption"/>
      </w:pPr>
      <w:r w:rsidRPr="00C05886">
        <w:t xml:space="preserve">Figure </w:t>
      </w:r>
      <w:r w:rsidR="00DE1077" w:rsidRPr="00C05886">
        <w:t>3</w:t>
      </w:r>
      <w:r w:rsidRPr="00C05886">
        <w:t>. Flowchart illustrating the general experimental procedure.</w:t>
      </w:r>
    </w:p>
    <w:p w14:paraId="12C68C5D" w14:textId="77777777" w:rsidR="0032320D" w:rsidRPr="00C05886" w:rsidRDefault="0032320D">
      <w:pPr>
        <w:spacing w:line="259" w:lineRule="auto"/>
      </w:pPr>
      <w:r w:rsidRPr="00C05886">
        <w:br w:type="page"/>
      </w:r>
    </w:p>
    <w:p w14:paraId="0CDC1FC4" w14:textId="772A8248" w:rsidR="000E3C80" w:rsidRPr="00C05886" w:rsidRDefault="000E3C80" w:rsidP="000E3C80">
      <w:pPr>
        <w:pStyle w:val="Heading1"/>
      </w:pPr>
      <w:bookmarkStart w:id="57" w:name="_Toc179962315"/>
      <w:bookmarkStart w:id="58" w:name="_Hlk179962438"/>
      <w:r w:rsidRPr="00C05886">
        <w:lastRenderedPageBreak/>
        <w:t>Chapter 4 - Paper</w:t>
      </w:r>
      <w:bookmarkEnd w:id="57"/>
    </w:p>
    <w:p w14:paraId="4476A8F9" w14:textId="32CA1032" w:rsidR="000E3C80" w:rsidRPr="00C05886" w:rsidRDefault="000E3C80" w:rsidP="00173BB8">
      <w:pPr>
        <w:rPr>
          <w:b/>
          <w:bCs/>
          <w:sz w:val="36"/>
          <w:szCs w:val="36"/>
        </w:rPr>
      </w:pPr>
      <w:r w:rsidRPr="00C05886">
        <w:rPr>
          <w:b/>
          <w:bCs/>
          <w:sz w:val="36"/>
          <w:szCs w:val="36"/>
        </w:rPr>
        <w:t>Biodiversity is in the eye of the Smartphone holder: Photographs of species-rich urban nature are associated with greater well-being</w:t>
      </w:r>
    </w:p>
    <w:p w14:paraId="173D3EF6" w14:textId="77777777" w:rsidR="000E3C80" w:rsidRPr="00C05886" w:rsidRDefault="000E3C80" w:rsidP="00F51F97">
      <w:r w:rsidRPr="00C05886">
        <w:t>Simone Farris</w:t>
      </w:r>
      <w:r w:rsidRPr="00C05886">
        <w:rPr>
          <w:vertAlign w:val="superscript"/>
        </w:rPr>
        <w:t>1*</w:t>
      </w:r>
      <w:r w:rsidRPr="00C05886">
        <w:t>, Kirsten McEwan</w:t>
      </w:r>
      <w:r w:rsidRPr="00C05886">
        <w:rPr>
          <w:vertAlign w:val="superscript"/>
        </w:rPr>
        <w:t>2</w:t>
      </w:r>
      <w:r w:rsidRPr="00C05886">
        <w:t xml:space="preserve"> and Ross Cameron</w:t>
      </w:r>
      <w:r w:rsidRPr="00C05886">
        <w:rPr>
          <w:vertAlign w:val="superscript"/>
        </w:rPr>
        <w:t>1</w:t>
      </w:r>
    </w:p>
    <w:p w14:paraId="23A5296D" w14:textId="77777777" w:rsidR="000E3C80" w:rsidRPr="00C05886" w:rsidRDefault="000E3C80" w:rsidP="00F51F97">
      <w:r w:rsidRPr="00C05886">
        <w:t xml:space="preserve"> </w:t>
      </w:r>
    </w:p>
    <w:p w14:paraId="12330E12" w14:textId="77777777" w:rsidR="000E3C80" w:rsidRPr="00C05886" w:rsidRDefault="000E3C80" w:rsidP="00F51F97">
      <w:pPr>
        <w:rPr>
          <w:sz w:val="18"/>
          <w:szCs w:val="18"/>
        </w:rPr>
      </w:pPr>
      <w:r w:rsidRPr="00C05886">
        <w:rPr>
          <w:sz w:val="18"/>
          <w:szCs w:val="18"/>
          <w:vertAlign w:val="superscript"/>
        </w:rPr>
        <w:t>1</w:t>
      </w:r>
      <w:r w:rsidRPr="00C05886">
        <w:rPr>
          <w:sz w:val="18"/>
          <w:szCs w:val="18"/>
        </w:rPr>
        <w:t xml:space="preserve"> Department of Landscape Architecture, The University of Sheffield, Sheffield, United Kingdom</w:t>
      </w:r>
    </w:p>
    <w:p w14:paraId="4BAF895A" w14:textId="77777777" w:rsidR="000E3C80" w:rsidRPr="00C05886" w:rsidRDefault="000E3C80" w:rsidP="00F51F97">
      <w:pPr>
        <w:rPr>
          <w:sz w:val="18"/>
          <w:szCs w:val="18"/>
        </w:rPr>
      </w:pPr>
      <w:r w:rsidRPr="00C05886">
        <w:rPr>
          <w:sz w:val="18"/>
          <w:szCs w:val="18"/>
          <w:vertAlign w:val="superscript"/>
        </w:rPr>
        <w:t>2</w:t>
      </w:r>
      <w:r w:rsidRPr="00C05886">
        <w:rPr>
          <w:sz w:val="18"/>
          <w:szCs w:val="18"/>
        </w:rPr>
        <w:t xml:space="preserve"> College of Health, Psychology and Social Care, University of Derby, Derby, United Kingdom</w:t>
      </w:r>
    </w:p>
    <w:p w14:paraId="2835201B" w14:textId="77777777" w:rsidR="000E3C80" w:rsidRPr="00C05886" w:rsidRDefault="000E3C80" w:rsidP="000E3C80">
      <w:pPr>
        <w:pStyle w:val="Heading2"/>
      </w:pPr>
      <w:bookmarkStart w:id="59" w:name="_Toc179962316"/>
      <w:r w:rsidRPr="00C05886">
        <w:t>Abstract</w:t>
      </w:r>
      <w:bookmarkEnd w:id="59"/>
      <w:r w:rsidRPr="00C05886">
        <w:t xml:space="preserve"> </w:t>
      </w:r>
    </w:p>
    <w:p w14:paraId="191D808E" w14:textId="77777777" w:rsidR="000E3C80" w:rsidRPr="00C05886" w:rsidRDefault="000E3C80" w:rsidP="00206C98">
      <w:r w:rsidRPr="00C05886">
        <w:t>Urban nature is a recurrent presence in cities, yet not many city-dwellers seem to notice it. In 2017, residents of Sheffield (UK), took part in a city-wide project for “Improving Well-being through Urban Nature” (IWUN). Participants reported their feelings and perceptions about the city, along with many photographs of its natural and built spaces.</w:t>
      </w:r>
    </w:p>
    <w:p w14:paraId="1BD98BC6" w14:textId="391C33C2" w:rsidR="000E3C80" w:rsidRPr="00C05886" w:rsidRDefault="000E3C80" w:rsidP="00206C98">
      <w:r w:rsidRPr="00C05886">
        <w:t xml:space="preserve">This paper aimed to probe deeper into the relationships between the participants’ well-being and their perceptions through the lens of their smartphones. 188 participants were prompted to notice </w:t>
      </w:r>
      <w:r w:rsidR="001F3B63">
        <w:t>their</w:t>
      </w:r>
      <w:r w:rsidR="001F3B63" w:rsidRPr="00C05886">
        <w:t xml:space="preserve"> </w:t>
      </w:r>
      <w:r w:rsidR="00AD387A">
        <w:t>thoughts and feelings</w:t>
      </w:r>
      <w:r w:rsidRPr="00C05886">
        <w:t xml:space="preserve"> </w:t>
      </w:r>
      <w:r w:rsidR="00AD387A">
        <w:t>about</w:t>
      </w:r>
      <w:r w:rsidR="00AD387A" w:rsidRPr="00C05886">
        <w:t xml:space="preserve"> </w:t>
      </w:r>
      <w:r w:rsidRPr="00C05886">
        <w:t>either natural or built spaces, along with ratings of their well-being. The participants shared 955 photographs of their surroundings. Using multilevel logistic regression, the analysis aimed to understand the main drivers of the participants’ well-being while controlling for other moderators (e.g. gender, age, nature connectedness).</w:t>
      </w:r>
    </w:p>
    <w:p w14:paraId="03D3E9A6" w14:textId="6006862E" w:rsidR="000E3C80" w:rsidRPr="00C05886" w:rsidRDefault="000E3C80" w:rsidP="00206C98">
      <w:r w:rsidRPr="00C05886">
        <w:t xml:space="preserve">The results showed that the strongest predictor of well-being was the participants’ perceived </w:t>
      </w:r>
      <w:r w:rsidR="00A76BBB">
        <w:t>species richness</w:t>
      </w:r>
      <w:r w:rsidR="00A76BBB" w:rsidRPr="00C05886">
        <w:t xml:space="preserve"> </w:t>
      </w:r>
      <w:r w:rsidRPr="00C05886">
        <w:t xml:space="preserve">– i.e. the number of species they believed to be in that space. The higher the perceived </w:t>
      </w:r>
      <w:r w:rsidR="00A76BBB">
        <w:t>species richness</w:t>
      </w:r>
      <w:r w:rsidRPr="00C05886">
        <w:t xml:space="preserve">, the higher their well-being. Interestingly, the actual number of species, estimated </w:t>
      </w:r>
      <w:r w:rsidR="009A5528" w:rsidRPr="00C05886">
        <w:t xml:space="preserve">from </w:t>
      </w:r>
      <w:r w:rsidRPr="00C05886">
        <w:t>the photos, was only marginally related to well-being, suggesting a degree of unconsciousness in the biodiversity/well-being relationship. Other urban elements associated with high well-being were domestic gardens and water bodies, while the presence of trees, hedges or buildings in a photo was generally associated with average well-being.</w:t>
      </w:r>
    </w:p>
    <w:p w14:paraId="73B73A0D" w14:textId="75567264" w:rsidR="000E3C80" w:rsidRPr="00C05886" w:rsidRDefault="000E3C80" w:rsidP="00206C98">
      <w:r w:rsidRPr="00C05886">
        <w:lastRenderedPageBreak/>
        <w:t xml:space="preserve">Overall, this confirms that urban nature, through </w:t>
      </w:r>
      <w:r w:rsidR="00A76BBB">
        <w:t>species richness</w:t>
      </w:r>
      <w:r w:rsidR="00A76BBB" w:rsidRPr="00C05886">
        <w:t xml:space="preserve"> </w:t>
      </w:r>
      <w:r w:rsidRPr="00C05886">
        <w:t>and natural features, plays an important role in providing well-being. This relationship should be carefully considered by planners, managers and policy-makers.</w:t>
      </w:r>
    </w:p>
    <w:p w14:paraId="573B0021" w14:textId="77777777" w:rsidR="000E3C80" w:rsidRPr="00C05886" w:rsidRDefault="000E3C80" w:rsidP="000E3C80">
      <w:pPr>
        <w:pStyle w:val="Heading2"/>
      </w:pPr>
      <w:bookmarkStart w:id="60" w:name="_Toc179962317"/>
      <w:r w:rsidRPr="00C05886">
        <w:t>Introduction</w:t>
      </w:r>
      <w:bookmarkEnd w:id="60"/>
    </w:p>
    <w:p w14:paraId="2209CAD4" w14:textId="1B09BE11" w:rsidR="000E3C80" w:rsidRPr="00C05886" w:rsidRDefault="000E3C80" w:rsidP="00633A2C">
      <w:r w:rsidRPr="00C05886">
        <w:t xml:space="preserve">Decades of research have highlighted how the presence of urban nature – i.e. urban spaces with plants and wildlife at different degrees of human management </w:t>
      </w:r>
      <w:r w:rsidRPr="00C05886">
        <w:fldChar w:fldCharType="begin"/>
      </w:r>
      <w:r w:rsidRPr="00C05886">
        <w:instrText xml:space="preserve"> ADDIN ZOTERO_ITEM CSL_CITATION {"citationID":"FzFOF92v","properties":{"formattedCitation":"(Bratman, Hamilton and Daily, 2012)","plainCitation":"(Bratman, Hamilton and Daily, 2012)","noteIndex":0},"citationItems":[{"id":7299,"uris":["http://zotero.org/users/10951124/items/3EVUFSV6"],"itemData":{"id":7299,"type":"article-journal","container-title":"Annals of the New York Academy of Sciences","ISSN":"0077-8923","issue":"1","note":"publisher: Blackwell Publishing Inc Malden, USA","page":"118-136","title":"The impacts of nature experience on human cognitive function and mental health","volume":"1249","author":[{"family":"Bratman","given":"Gregory N"},{"family":"Hamilton","given":"J Paul"},{"family":"Daily","given":"Gretchen C"}],"issued":{"date-parts":[["2012"]]}}}],"schema":"https://github.com/citation-style-language/schema/raw/master/csl-citation.json"} </w:instrText>
      </w:r>
      <w:r w:rsidRPr="00C05886">
        <w:fldChar w:fldCharType="separate"/>
      </w:r>
      <w:r w:rsidRPr="00C05886">
        <w:rPr>
          <w:rFonts w:ascii="Calibri" w:hAnsi="Calibri" w:cs="Calibri"/>
        </w:rPr>
        <w:t>(Bratman, Hamilton and Daily, 2012)</w:t>
      </w:r>
      <w:r w:rsidRPr="00C05886">
        <w:fldChar w:fldCharType="end"/>
      </w:r>
      <w:r w:rsidRPr="00C05886">
        <w:t xml:space="preserve"> – is associated with greater </w:t>
      </w:r>
      <w:r w:rsidR="00C1508A" w:rsidRPr="00C05886">
        <w:t xml:space="preserve">self-reported </w:t>
      </w:r>
      <w:r w:rsidRPr="00C05886">
        <w:t xml:space="preserve">well-being. Under the influence of restorative theories, such as the Attention restoration theory </w:t>
      </w:r>
      <w:r w:rsidRPr="00C05886">
        <w:fldChar w:fldCharType="begin" w:fldLock="1"/>
      </w:r>
      <w:r w:rsidR="004A46A3" w:rsidRPr="00C05886">
        <w:instrText xml:space="preserve"> ADDIN ZOTERO_ITEM CSL_CITATION {"citationID":"yCDn9CJt","properties":{"formattedCitation":"(Kaplan, 1995)","plainCitation":"(Kaplan, 1995)","noteIndex":0},"citationItems":[{"id":6506,"uris":["http://zotero.org/users/10951124/items/2436CZCV"],"itemData":{"id":6506,"type":"article-journal","abstract":"Directed attention plays an important role in human information processing; its fatigue, in turn, has far-reaching consequences. Attention Restoration Theory provides an analysis of the kinds of experiences that lead to recovery from such fatigue. Natural environments turn out to be particularly rich in the characteristics necessary for restorative experiences. An integrative framework is proposed that places both directed attention and stress in the larger context of human-environment relationships. © 1995.","container-title":"Journal of Environmental Psychology","DOI":"10.1016/0272-4944(95)90001-2","ISSN":"15229610","issue":"3","page":"169-182","title":"The restorative benefits of nature: Toward an integrative framework","volume":"15","author":[{"family":"Kaplan","given":"Stephen"}],"issued":{"date-parts":[["1995"]]}}}],"schema":"https://github.com/citation-style-language/schema/raw/master/csl-citation.json"} </w:instrText>
      </w:r>
      <w:r w:rsidRPr="00C05886">
        <w:fldChar w:fldCharType="separate"/>
      </w:r>
      <w:r w:rsidR="004A46A3" w:rsidRPr="00C05886">
        <w:rPr>
          <w:rFonts w:ascii="Calibri" w:hAnsi="Calibri" w:cs="Calibri"/>
        </w:rPr>
        <w:t>(Kaplan, 1995)</w:t>
      </w:r>
      <w:r w:rsidRPr="00C05886">
        <w:fldChar w:fldCharType="end"/>
      </w:r>
      <w:r w:rsidRPr="00C05886">
        <w:t>, contact with nature has been widely investigated</w:t>
      </w:r>
      <w:r w:rsidR="000309A4" w:rsidRPr="00C05886">
        <w:t xml:space="preserve"> </w:t>
      </w:r>
      <w:r w:rsidR="000309A4" w:rsidRPr="00C05886">
        <w:fldChar w:fldCharType="begin"/>
      </w:r>
      <w:r w:rsidR="000309A4" w:rsidRPr="00C05886">
        <w:instrText xml:space="preserve"> ADDIN ZOTERO_ITEM CSL_CITATION {"citationID":"7DfSAId8","properties":{"formattedCitation":"(Hartig {\\i{}et al.}, 2014; Frumkin {\\i{}et al.}, 2017)","plainCitation":"(Hartig et al., 2014; Frumkin et al., 2017)","noteIndex":0},"citationItems":[{"id":6909,"uris":["http://zotero.org/users/10951124/items/FVSE73PG"],"itemData":{"id":6909,"type":"article-journal","abstract":"Urbanization, resource exploitation, and lifestyle changes have diminished possibilities for human contact with nature in urbanized societies. Concern about the loss has helped motivate research on the health benefits of contact with nature. Reviewing that research here, we focus on nature as represented by aspects of the physical environment relevant to planning, design, and policy measures that serve broad segments of urbanized societies. We discuss difficulties in defining nature and reasons for the current expansion of the research field, and we assess available reviews. We then consider research on pathways between nature and health involving air quality, physical activity, social cohesion, and stress reduction. Finally, we discuss methodological issues and priorities for future research. The extant research does describe an array of benefits of contact with nature, and evidence regarding some benefits is strong","container-title":"Annu. Rev. Public Health","DOI":"10.1146/annurev-publhealth-032013-182443","ISSN":"0163-7525","issue":"1","page":"207-228","title":"Nature and Health","volume":"35","author":[{"family":"Hartig","given":"Terry"},{"family":"Mitchell","given":"Richard"},{"family":"Vries","given":"Sjerp","non-dropping-particle":"de"},{"family":"Frumkin","given":"Howard"}],"issued":{"date-parts":[["2014"]]}}},{"id":6963,"uris":["http://zotero.org/users/10951124/items/8MTPBJ48"],"itemData":{"id":6963,"type":"article-journal","abstract":"Background: At a time of increasing disconnectedness from nature, scientific interest in the potential health benefits of nature contact has grown. Research in recent decades has yielded substantial evidence, but large gaps remain in our understanding. Objectives: We propose a research agenda on nature contact and health, identifying principal domains of research and key questions that, if answered, would provide the basis for evidence-based public health interventions. Discussion: We identify research questions in seven domains: a) mechanistic biomedical studies","container-title":"Environmental Health Perspectives (Online)","DOI":"10.1289/EHP1663","ISSN":"00916765","issue":"7","note":"publisher-place: Research Triangle Park","title":"Nature Contact and Human Health: A Research Agenda","volume":"125","author":[{"family":"Frumkin","given":"Howard"},{"family":"Bratman","given":"Gregory"},{"family":"Breslow","given":"Sara"},{"family":"Cochran","given":"Bobby"},{"family":"Kahn","given":"Peter"},{"family":"Lawler","given":"Joshua"},{"family":"Levin","given":"Phillip"},{"family":"Tandon","given":"Pooja"},{"family":"Varanasi","given":"Usha"},{"family":"Wolf","given":"Kathleen"},{"family":"Wood","given":"Spencer"}],"issued":{"date-parts":[["2017"]]}}}],"schema":"https://github.com/citation-style-language/schema/raw/master/csl-citation.json"} </w:instrText>
      </w:r>
      <w:r w:rsidR="000309A4" w:rsidRPr="00C05886">
        <w:fldChar w:fldCharType="separate"/>
      </w:r>
      <w:r w:rsidR="000309A4" w:rsidRPr="00C05886">
        <w:rPr>
          <w:rFonts w:ascii="Calibri" w:hAnsi="Calibri" w:cs="Calibri"/>
          <w:szCs w:val="24"/>
        </w:rPr>
        <w:t xml:space="preserve">(Hartig </w:t>
      </w:r>
      <w:r w:rsidR="000309A4" w:rsidRPr="00C05886">
        <w:rPr>
          <w:rFonts w:ascii="Calibri" w:hAnsi="Calibri" w:cs="Calibri"/>
          <w:i/>
          <w:iCs/>
          <w:szCs w:val="24"/>
        </w:rPr>
        <w:t>et al.</w:t>
      </w:r>
      <w:r w:rsidR="000309A4" w:rsidRPr="00C05886">
        <w:rPr>
          <w:rFonts w:ascii="Calibri" w:hAnsi="Calibri" w:cs="Calibri"/>
          <w:szCs w:val="24"/>
        </w:rPr>
        <w:t xml:space="preserve">, 2014; Frumkin </w:t>
      </w:r>
      <w:r w:rsidR="000309A4" w:rsidRPr="00C05886">
        <w:rPr>
          <w:rFonts w:ascii="Calibri" w:hAnsi="Calibri" w:cs="Calibri"/>
          <w:i/>
          <w:iCs/>
          <w:szCs w:val="24"/>
        </w:rPr>
        <w:t>et al.</w:t>
      </w:r>
      <w:r w:rsidR="000309A4" w:rsidRPr="00C05886">
        <w:rPr>
          <w:rFonts w:ascii="Calibri" w:hAnsi="Calibri" w:cs="Calibri"/>
          <w:szCs w:val="24"/>
        </w:rPr>
        <w:t>, 2017)</w:t>
      </w:r>
      <w:r w:rsidR="000309A4" w:rsidRPr="00C05886">
        <w:fldChar w:fldCharType="end"/>
      </w:r>
      <w:r w:rsidR="000309A4" w:rsidRPr="00C05886">
        <w:t xml:space="preserve"> </w:t>
      </w:r>
      <w:r w:rsidRPr="00C05886">
        <w:t xml:space="preserve">and found to be related to </w:t>
      </w:r>
      <w:bookmarkStart w:id="61" w:name="_Hlk68785271"/>
      <w:r w:rsidRPr="00C05886">
        <w:t xml:space="preserve">many psychological and physiological </w:t>
      </w:r>
      <w:bookmarkEnd w:id="61"/>
      <w:r w:rsidRPr="00C05886">
        <w:t xml:space="preserve">positive effects, including better memory </w:t>
      </w:r>
      <w:r w:rsidRPr="00C05886">
        <w:fldChar w:fldCharType="begin" w:fldLock="1"/>
      </w:r>
      <w:r w:rsidR="00A35208">
        <w:instrText xml:space="preserve"> ADDIN ZOTERO_ITEM CSL_CITATION {"citationID":"cNWimEYC","properties":{"formattedCitation":"(Stevenson, Schilhab and Bentsen, 2018)","plainCitation":"(Stevenson, Schilhab and Bentsen, 2018)","noteIndex":0},"citationItems":[{"id":"6pP8vKpK/NlreTvgI","uris":["http://www.mendeley.com/documents/?uuid=81434df5-01db-4124-bec4-c6a60840102e"],"itemData":{"DOI":"10.1080/10937404.2018.1505571","ISSN":"1521-6950","abstract":"Attention Restoration Theory (ART) predicts exposure to natural environments may lead to improved cognitive performance through restoration of a limited cognitive resource, directed attention. A recent review by Ohly and colleagues (2016) uncovered substantial ambiguity surrounding details of directed attention and how cognitive restoration was tested. Therefore, an updated systematic review was conducted to identify relevant cognitive domains from which to describe elements of directed attention sensitive to the restoration effect. Forty-two articles that tested natural environments or stimuli against a suitable control, and included an objective measure of cognitive performance, had been published since July 2013. Articles were subjected to screening procedures and quality appraisal. Random effects meta-analyses were performed to calculate pooled effect sizes across 8 cognitive domains using data from 49 individual outcome measures. Results showed that working memory, cognitive flexibility, and to a less-reliable degree, attentional control, are improved after exposure to natural environments, with low to moderate effect sizes. Moderator analyses revealed that actual exposures to real environments may enhance the restoration effect within these three domains, relative to virtual exposures","author":[{"dropping-particle":"","family":"Stevenson","given":"Matt P","non-dropping-particle":"","parse-names":false,"suffix":""},{"dropping-particle":"","family":"Schilhab","given":"Theresa","non-dropping-particle":"","parse-names":false,"suffix":""},{"dropping-particle":"","family":"Bentsen","given":"Peter","non-dropping-particle":"","parse-names":false,"suffix":""}],"container-title":"J Toxicol Environ Health B Crit Rev","id":"ITEM-1","issue":"4","issued":{"date-parts":[["2018"]]},"note":"10.1177/0013916515603095\n\n10.1080/0361073x.2014.956618\n\n10.1016/j.ufug.2017.03.012\n\n10.1371/journal.pone.0172200\n\n10.3389/fnhum.2016.00221\n\n10.1016/j.jenvp.2016.10.001\n\n10.1006/jevp.2001.0241\n\n10.1076/1380-3395(200008)22:4\n\n1-0\n\nft518\n\n10.1177/0013916516667976\n\n10.1073/pnas.1503402112\n\n10.1146/annurev-psych-113011-143750\n\n10.1037/0096-3445.133.3.339\n\n10.1111/j.1467-9280.2008.02225.x\n\n10.1080/01426397.2014.982079\n\n10.1016/0272-4944(95)90001-2\n\n10.1016/j.jenvp.2005.07.001\n\n10.1016/j.jenvp.2017.05.007\n\n10.1097/00002820-200308000-00005\n\n10.1080/10937404.2017.1363101\n\n10.3389/fpsyg.2015.01093\n\n10.1037/0022-3514.85.1.33\n\n10.1016/j.ufug.2013.12.007\n\n10.1080/00273171.2013.831743\n\n10.1177/0013916513499584\n\n10.1080/10937404.2016.1196155\n\n1521-6950\n\n10.1016/j.ufug.2016.09.012\n\n10.1016/j.jenvp.2016.09.007\n\n10.1016/j.jenvp.2015.04.003\n\n10.1002/sim.5726\n\n10.1111/j.1758-0854.2011.01051.x\n\n10.1001/archneur.1963.00460070100010\n\n10.1177/0013916514533187\n\n10.1016/j.ufug.2015.12.003\n\n10.1289/ehp694\n\n10.3389/fpsyg.2016.01831\n\n10.1371/journal.pmed.1000097\n\n10.1007/s12671-015-0406-7\n\n10.1371/journal.pone.0097915\n\n10.1016/j.neuroimage.2005.02.004\n\n10.1177/1745691609356784\n\n10.1038/nrn1201\n\n10.1080/13506289508401726\n\n10.1016/j.landurbplan.2015.02.005\n\n10.1016/j.landurbplan.2015.12.015\n\n10.1016/j.healthplace.2016.04.015\n\n10.1016/s1469-0292(01)00038-3\n\n10.1016/j.tsc.2015.09.001\n\n10.3390/ijerph13040363\n\n10.1016/s0079-7421(08)60041-9\n\n10.1037/0022-3514.74.5.1252\n\n10.1089/eco.2014.0043\n\n10.1177/0013916516657390\n\n10.1016/j.jenvp.2014.06.004\n\n10.1089/eco.2015.0042\n\n10.1364/josaa.5.002210\n\n10.1080/00224545.2014.972310\n\n10.1177/0013916513510528\n\n10.1177/1054773803252995\n\n10.3389/fpsyg.2014.00906\n\n10.1016/s0165-0173(01)00044-3\n\n10.3758/bf03196772\n\n10.3389/fpsyg.2014.00548\n\n10.1126/science.2658056\n\n10.1123/jpah.2017-0021\n\n10.1146/annurev.psych.093008.100427\n\n10.1080/02827581.2011.585996\n\n10.1037/11630-000\n\n10.1207/s15324826an0902_5\n\n10.1016/j.ijsu.2011.10.001\n\n10.1016/j.jad.2012.03.012\n\n10.1089/eco.2014.0057\n\n10.1016/j.tics.2004.12.004\n\n10.1016/s0272-4944(02)00109-3\n\n10.1371/journal.pone.0141030\n\n10.1097/jcn.0000000000000368\n\n10.1016/j.envres.2017.02.017\n\n10.1089/eco.2016.0005\n\n10.1162/089892902317361886","page":"227-268","publisher":"England: Informa UK Limited","publisher-place":"England","title":"Attention Restoration Theory II: a systematic review to clarify attention processes affected by exposure to natural environments","type":"article-journal","volume":"21"}}],"schema":"https://github.com/citation-style-language/schema/raw/master/csl-citation.json"} </w:instrText>
      </w:r>
      <w:r w:rsidRPr="00C05886">
        <w:fldChar w:fldCharType="separate"/>
      </w:r>
      <w:r w:rsidRPr="00C05886">
        <w:rPr>
          <w:rFonts w:ascii="Calibri" w:hAnsi="Calibri" w:cs="Calibri"/>
        </w:rPr>
        <w:t>(Stevenson, Schilhab and Bentsen, 2018)</w:t>
      </w:r>
      <w:r w:rsidRPr="00C05886">
        <w:fldChar w:fldCharType="end"/>
      </w:r>
      <w:r w:rsidRPr="00C05886">
        <w:t xml:space="preserve">, reduced stress </w:t>
      </w:r>
      <w:r w:rsidRPr="00C05886">
        <w:fldChar w:fldCharType="begin" w:fldLock="1"/>
      </w:r>
      <w:r w:rsidR="00A35208">
        <w:instrText xml:space="preserve"> ADDIN ZOTERO_ITEM CSL_CITATION {"citationID":"QG2xVr4f","properties":{"formattedCitation":"(Ulrich {\\i{}et al.}, 1991; Kondo, Jacoby and South, 2018; Corazon {\\i{}et al.}, 2019)","plainCitation":"(Ulrich et al., 1991; Kondo, Jacoby and South, 2018; Corazon et al., 2019)","noteIndex":0},"citationItems":[{"id":6345,"uris":["http://zotero.org/users/10951124/items/FZSVSHF3"],"itemData":{"id":6345,"type":"article-journal","abstract":"Different conceptual perspectives converge to predict that if individuals are stressed, an encounter with most unthreatening natural environments will have a stress reducing or restorative influence, whereas many urban environments will hamper recuperation. Hypotheses regarding emotional, attentional and physiological aspects of stress reducing influences of nature are derived from a psycho-evolutionary theory. To investigate these hypotheses, 120 subjects first viewed a stressful movie, and then were exposed to color/sound videotapes of one of six different natural and urban settings. Data concerning stress recovery during the environmental presentations were obtained from self-ratings of affective states and a battery of physiological measures: heart period, muscle tension, skin conductance and pulse transit time, a non-invasive measure that correlates with systolic blood pressure. Findings from the physiological and verbal measures converged to indicate that recovery was faster and more complete when subjects were exposed to natural rather than urban environments. The pattern of physiological findings raised the possibility that responses to nature had a salient parasympathetic nervous system component; however, there was no evidence of pronounced parasympathetic involvement in responses to the urban settings. There were directional differences in cardiac responses to the natural vs urban settings, suggesting that attention/intake was higher during the natural exposures. However, both the stressor film and the nature settings elicited high levels of involuntary or automatic attention, which contradicts the notion that restorative influences of nature stem from involuntary attention or fascination. Findings were consistent with the predictions of the psycho-evolutionary theory that restorative influences of nature involve a shift towards a more positively-toned emotional state, positive changes in physiological activity levels, and that these changes are accompanied by sustained attention/intake. Content differences in terms of natural vs human-made properties appeared decisive in accounting for the differences in recuperation and perceptual intake. © 1991 Academic Press Limited.","container-title":"Journal of Environmental Psychology","DOI":"10.1016/S0272-4944(05)80184-7","ISSN":"15229610","issue":"3","page":"201-230","title":"Stress recovery during exposure to natural and urban environments","volume":"11","author":[{"family":"Ulrich","given":"Roger S."},{"family":"Simons","given":"Robert F."},{"family":"Losito","given":"Barbara D."},{"family":"Fiorito","given":"Evelyn"},{"family":"Miles","given":"Mark A."},{"family":"Zelson","given":"Michael"}],"issued":{"date-parts":[["1991"]]}}},{"id":7226,"uris":["http://zotero.org/users/10951124/items/83HBUGKV"],"itemData":{"id":7226,"type":"article-journal","abstract":"Everyday environmental conditions impact human health. One mechanism underlying this relationship is the experience of stress. Through systematic review of published literature, we explore how stress has been measured in real-time non-laboratory studies of stress responses to deliberate exposure to outdoor environments. The types of exposures evaluated in this review include: nature viewing, outdoor walks, outdoor exercise and gardening. We characterize study design, modalities of stress measurements, and statistical estimates of effect and significance. Heart rate, blood pressure, and self-report measures provide the most convincing evidence that spending time in outdoor environments, particularly those with green space, may reduce the experience of stress, and ultimately improve health. More work is needed to understand effects of in situ modifications to outdoor environments on residents’ stress response.","container-title":"Health and Place","DOI":"10.1016/j.healthplace.2018.03.001","ISSN":"18732054","page":"136-150","title":"Does spending time outdoors reduce stress? A review of real-time stress response to outdoor environments","volume":"51","author":[{"family":"Kondo","given":"Michelle C."},{"family":"Jacoby","given":"Sara F."},{"family":"South","given":"Eugenia C."}],"issued":{"date-parts":[["2018"]]}}},{"id":"6pP8vKpK/GVF7jrMc","uris":["http://www.mendeley.com/documents/?uuid=07e09b89-0dae-40ba-8462-f71785fabdfd"],"itemData":{"author":[{"dropping-particle":"","family":"Corazon","given":"Sus Sola","non-dropping-particle":"","parse-names":false,"suffix":""},{"dropping-particle":"","family":"Sidenius","given":"Ulrik","non-dropping-particle":"","parse-names":false,"suffix":""},{"dropping-particle":"","family":"Poulsen","given":"Dorthe Varning","non-dropping-particle":"","parse-names":false,"suffix":""},{"dropping-particle":"","family":"Gramkow","given":"Marie Christoffersen","non-dropping-particle":"","parse-names":false,"suffix":""},{"dropping-particle":"","family":"Stigsdotter","given":"Ulrika Karlsson","non-dropping-particle":"","parse-names":false,"suffix":""}],"container-title":"International Journal of Environmental Research and Public Health","id":"ITEM-3","issue":"10","issued":{"date-parts":[["2019"]]},"note":"there a reference of using stressors here to highlight effects","page":"1711","publisher":"Multidisciplinary Digital Publishing Institute","title":"Psycho-physiological stress recovery in outdoor nature-based interventions: a systematic review of the past eight years of research","type":"article-journal","volume":"16"}}],"schema":"https://github.com/citation-style-language/schema/raw/master/csl-citation.json"} </w:instrText>
      </w:r>
      <w:r w:rsidRPr="00C05886">
        <w:fldChar w:fldCharType="separate"/>
      </w:r>
      <w:r w:rsidR="00D63253" w:rsidRPr="00C05886">
        <w:rPr>
          <w:rFonts w:ascii="Calibri" w:hAnsi="Calibri" w:cs="Calibri"/>
          <w:szCs w:val="24"/>
        </w:rPr>
        <w:t xml:space="preserve">(Ulrich </w:t>
      </w:r>
      <w:r w:rsidR="00D63253" w:rsidRPr="00C05886">
        <w:rPr>
          <w:rFonts w:ascii="Calibri" w:hAnsi="Calibri" w:cs="Calibri"/>
          <w:i/>
          <w:iCs/>
          <w:szCs w:val="24"/>
        </w:rPr>
        <w:t>et al.</w:t>
      </w:r>
      <w:r w:rsidR="00D63253" w:rsidRPr="00C05886">
        <w:rPr>
          <w:rFonts w:ascii="Calibri" w:hAnsi="Calibri" w:cs="Calibri"/>
          <w:szCs w:val="24"/>
        </w:rPr>
        <w:t xml:space="preserve">, 1991; Kondo, Jacoby and South, 2018; Corazon </w:t>
      </w:r>
      <w:r w:rsidR="00D63253" w:rsidRPr="00C05886">
        <w:rPr>
          <w:rFonts w:ascii="Calibri" w:hAnsi="Calibri" w:cs="Calibri"/>
          <w:i/>
          <w:iCs/>
          <w:szCs w:val="24"/>
        </w:rPr>
        <w:t>et al.</w:t>
      </w:r>
      <w:r w:rsidR="00D63253" w:rsidRPr="00C05886">
        <w:rPr>
          <w:rFonts w:ascii="Calibri" w:hAnsi="Calibri" w:cs="Calibri"/>
          <w:szCs w:val="24"/>
        </w:rPr>
        <w:t>, 2019)</w:t>
      </w:r>
      <w:r w:rsidRPr="00C05886">
        <w:fldChar w:fldCharType="end"/>
      </w:r>
      <w:r w:rsidRPr="00C05886">
        <w:t xml:space="preserve"> and blood pressure </w:t>
      </w:r>
      <w:r w:rsidRPr="00C05886">
        <w:fldChar w:fldCharType="begin" w:fldLock="1"/>
      </w:r>
      <w:r w:rsidR="00A35208">
        <w:instrText xml:space="preserve"> ADDIN ZOTERO_ITEM CSL_CITATION {"citationID":"CIAvfyvF","properties":{"formattedCitation":"(Lanki {\\i{}et al.}, 2017)","plainCitation":"(Lanki et al., 2017)","noteIndex":0},"citationItems":[{"id":"6pP8vKpK/dRjnYDTH","uris":["http://www.mendeley.com/documents/?uuid=613f7577-54cc-3e55-a149-f9c698cd1748"],"itemData":{"DOI":"10.1016/j.envres.2017.07.039","ISSN":"10960953","PMID":"28802208","abstract":"Background Epidemiological studies have reported positive associations between the amount of green space in the living environment and mental and cardiovascular human health. In a search for effect mechanisms, field studies have found short-term visits to green environments to be associated with psychological stress relief. Less evidence is available on the effect of visits on cardiovascular physiology. Objectives To evaluate whether visits to urban green environments, in comparison to visits to a built-up environment, lead to beneficial short-term changes in indicators of cardiovascular health. Methods Thirty-six adult female volunteers visited three different types of urban environments: an urban forest, an urban park, and a built-up city centre, in Helsinki, Finland. The visits consisted of 15 min of sedentary viewing, and 30 min of walking. During the visits, blood pressure and heart rate were measured, and electrocardiogram recorded for the determination of indicators of heart rate variability. In addition, levels of respirable ambient particles and environmental noise were monitored. Results Visits to the green environments were associated with lower blood pressure (viewing period only), lower heart rate, and higher indices of heart rate variability [standard deviation of normal-to-normal intervals (SDNN), high frequency power] than visits to the city centre. In the green environments, heart rate decreased and SDNN increased during the visit. Associations between environment and indicators of cardiovascular health weakened slightly after inclusion of particulate air pollution and noise in the models. Conclusions Visits to urban green environments are associated with beneficial short-term changes in cardiovascular risk factors. This can be explained by psychological stress relief with contribution from reduced air pollution and noise exposure during the visits. Future research should evaluate the amount of exposure to green environments needed for longer-term benefits for cardiovascular health.","author":[{"dropping-particle":"","family":"Lanki","given":"Timo","non-dropping-particle":"","parse-names":false,"suffix":""},{"dropping-particle":"","family":"Siponen","given":"Taina","non-dropping-particle":"","parse-names":false,"suffix":""},{"dropping-particle":"","family":"Ojala","given":"Ann","non-dropping-particle":"","parse-names":false,"suffix":""},{"dropping-particle":"","family":"Korpela","given":"Kalevi","non-dropping-particle":"","parse-names":false,"suffix":""},{"dropping-particle":"","family":"Pennanen","given":"Arto","non-dropping-particle":"","parse-names":false,"suffix":""},{"dropping-particle":"","family":"Tiittanen","given":"Pekka","non-dropping-particle":"","parse-names":false,"suffix":""},{"dropping-particle":"","family":"Tsunetsugu","given":"Yuko","non-dropping-particle":"","parse-names":false,"suffix":""},{"dropping-particle":"","family":"Kagawa","given":"Takahide","non-dropping-particle":"","parse-names":false,"suffix":""},{"dropping-particle":"","family":"Tyrväinen","given":"Liisa","non-dropping-particle":"","parse-names":false,"suffix":""}],"container-title":"Environmental Research","id":"ITEM-1","issued":{"date-parts":[["2017"]]},"page":"176-185","title":"Acute effects of visits to urban green environments on cardiovascular physiology in women: A field experiment","type":"article-journal","volume":"159"}}],"schema":"https://github.com/citation-style-language/schema/raw/master/csl-citation.json"} </w:instrText>
      </w:r>
      <w:r w:rsidRPr="00C05886">
        <w:fldChar w:fldCharType="separate"/>
      </w:r>
      <w:r w:rsidR="00D63253" w:rsidRPr="00C05886">
        <w:rPr>
          <w:rFonts w:ascii="Calibri" w:hAnsi="Calibri" w:cs="Calibri"/>
          <w:szCs w:val="24"/>
        </w:rPr>
        <w:t xml:space="preserve">(Lanki </w:t>
      </w:r>
      <w:r w:rsidR="00D63253" w:rsidRPr="00C05886">
        <w:rPr>
          <w:rFonts w:ascii="Calibri" w:hAnsi="Calibri" w:cs="Calibri"/>
          <w:i/>
          <w:iCs/>
          <w:szCs w:val="24"/>
        </w:rPr>
        <w:t>et al.</w:t>
      </w:r>
      <w:r w:rsidR="00D63253" w:rsidRPr="00C05886">
        <w:rPr>
          <w:rFonts w:ascii="Calibri" w:hAnsi="Calibri" w:cs="Calibri"/>
          <w:szCs w:val="24"/>
        </w:rPr>
        <w:t>, 2017)</w:t>
      </w:r>
      <w:r w:rsidRPr="00C05886">
        <w:fldChar w:fldCharType="end"/>
      </w:r>
      <w:r w:rsidRPr="00C05886">
        <w:t xml:space="preserve">, improved mood </w:t>
      </w:r>
      <w:r w:rsidRPr="00C05886">
        <w:fldChar w:fldCharType="begin" w:fldLock="1"/>
      </w:r>
      <w:r w:rsidR="00A35208">
        <w:instrText xml:space="preserve"> ADDIN ZOTERO_ITEM CSL_CITATION {"citationID":"Ov2Yk3nb","properties":{"formattedCitation":"(Kobayashi {\\i{}et al.}, 2015; Song {\\i{}et al.}, 2019; Wen {\\i{}et al.}, 2019)","plainCitation":"(Kobayashi et al., 2015; Song et al., 2019; Wen et al., 2019)","noteIndex":0},"citationItems":[{"id":"6pP8vKpK/MjXgbwis","uris":["http://www.mendeley.com/documents/?uuid=2893711f-c664-42bb-8381-a2e20e829796"],"itemData":{"DOI":"10.1155/2015/671094","ISSN":"17414288","abstract":"Autonomic responses to urban and forest environments were studied in 625 young male subjects. The experimental sites were 57 forests and 57 urban areas across Japan. The subjects viewed the landscape (forest or urban environment) for a period of 15 min while sitting on a chair. During this period, heart rate variability (HRV) was monitored continuously. The results were presented as histograms and analyzed with special reference to individual variations. Approximately 80% of the subjects showed an increase in the parasympathetic indicator of HRV (lnHF), whereas the remaining subjects showed a decrease in the parasympathetic activity. Similarly, 64.0% of the subjects exhibited decreases in the sympathetic indicator of HRV (ln[LF/HF]), whereas the remaining subjects showed opposite responses. Analysis of the distribution of HRV indices (lnHF and ln[LF/HF]) demonstrated the effect of forest environments on autonomic activity more specifically than the conventional analysis based on the difference in mean values.","author":[{"dropping-particle":"","family":"Kobayashi","given":"Hiromitsu","non-dropping-particle":"","parse-names":false,"suffix":""},{"dropping-particle":"","family":"Song","given":"Chorong","non-dropping-particle":"","parse-names":false,"suffix":""},{"dropping-particle":"","family":"Ikei","given":"Harumi","non-dropping-particle":"","parse-names":false,"suffix":""},{"dropping-particle":"","family":"Kagawa","given":"Takahide","non-dropping-particle":"","parse-names":false,"suffix":""},{"dropping-particle":"","family":"Miyazaki","given":"Yoshifumi","non-dropping-particle":"","parse-names":false,"suffix":""}],"container-title":"Evidence-based Complementary and Alternative Medicine","id":"ITEM-1","issue":"November","issued":{"date-parts":[["2015"]]},"title":"Analysis of Individual Variations in Autonomic Responses to Urban and Forest Environments","type":"article-journal","volume":"2015"}},{"id":"6pP8vKpK/CXtMnKev","uris":["http://www.mendeley.com/documents/?uuid=c5800da7-f35f-4357-aee7-360858ca5da3"],"itemData":{"DOI":"10.3390/f10080635","ISBN":"8147137818","ISSN":"19994907","abstract":"Research Highlights: This study demonstrated that viewing forest landscapes induced physical and mental health benefits on young women. Background and Objectives: The health-promoting effects of spending time in forests have received increasing attention; however, there is a lack of evidence-based research investigating the effects of spending time in forests on women. This study aimed to evaluate the physiological and psychological effects of viewing forest landscapes on young women. Materials and Methods: The experiments were conducted in six forests and six city areas and included 65 women (mean age, 21.0 ± 1.3 years). Participants viewed a forest and a city area for 15 min, during which their heart rate variability and heart rate were measured continuously. Blood pressure and pulse rate were measured before and after the viewing. After the viewing, participants' psychological responses were assessed using the modified semantic differential method, Profile of Mood States (POMS), and the State-Trait Anxiety Inventory (STAI). Results: Compared with viewing city areas, viewing forest landscapes was associated with significantly higher parasympathetic nervous activity and lower sympathetic nervous activity and heart rate. Moreover, scores of the comfortable, relaxed, and natural parameters and vigor subscales of POMS were significantly higher with forest viewing. The scores of negative feelings, such as tension-anxiety, depression-dejection, anger-hostility, fatigue, and confusion, were significantly lower, as were scores for the total mood disturbance observed using POMS and the anxiety dimension observed using STAI. Conclusions: Viewing forest landscapes resulted in physiological and psychological relaxations in young women.","author":[{"dropping-particle":"","family":"Song","given":"Chorong","non-dropping-particle":"","parse-names":false,"suffix":""},{"dropping-particle":"","family":"Ikei","given":"Harumi","non-dropping-particle":"","parse-names":false,"suffix":""},{"dropping-particle":"","family":"Kagawa","given":"Takahide","non-dropping-particle":"","parse-names":false,"suffix":""},{"dropping-particle":"","family":"Miyazaki","given":"Yoshifumi","non-dropping-particle":"","parse-names":false,"suffix":""}],"container-title":"Forests","id":"ITEM-2","issue":"8","issued":{"date-parts":[["2019"]]},"title":"Physiological and psychological effects of viewing forests on young women","type":"article-journal","volume":"10"}},{"id":"6pP8vKpK/WR4kkzCq","uris":["http://www.mendeley.com/documents/?uuid=f0a708d1-ff4b-4f3f-8e6e-79ac25779c5e"],"itemData":{"DOI":"10.1186/s12199-019-0822-8","ISSN":"13474715","abstract":"Aims: This study focused on the newest evidence of the relationship between forest environmental exposure and human health and assessed the health efficacy of forest bathing on the human body as well as the methodological quality of a single study, aiming to provide scientific guidance for interdisciplinary integration of forestry and medicine. Method: Through PubMed, Embase, and Cochrane Library, 210 papers from January 1, 2015, to April 1, 2019, were retrieved, and the final 28 papers meeting the inclusion criteria were included in the study. Result: The methodological quality of papers included in the study was assessed quantitatively with the Downs and Black checklist. The methodological quality of papers using randomized controlled trials is significantly higher than that of papers using non-randomized controlled trials (p &lt; 0.05). Papers included in the study were analyzed qualitatively. The results demonstrated that forest bathing activities might have the following merits: remarkably improving cardiovascular function, hemodynamic indexes, neuroendocrine indexes, metabolic indexes, immunity and inflammatory indexes, antioxidant indexes, and electrophysiological indexes; significantly enhancing people's emotional state, attitude, and feelings towards things, physical and psychological recovery, and adaptive behaviors; and obvious alleviation of anxiety and depression. Conclusion: Forest bathing activities may significantly improve people's physical and psychological health. In the future, medical empirical studies of forest bathing should reinforce basic studies and interdisciplinary exchange to enhance the methodological quality of papers while decreasing the risk of bias, thereby raising the grade of paper evidence.","author":[{"dropping-particle":"","family":"Wen","given":"Ye","non-dropping-particle":"","parse-names":false,"suffix":""},{"dropping-particle":"","family":"Yan","given":"Qi","non-dropping-particle":"","parse-names":false,"suffix":""},{"dropping-particle":"","family":"Pan","given":"Yangliu","non-dropping-particle":"","parse-names":false,"suffix":""},{"dropping-particle":"","family":"Gu","given":"Xinren","non-dropping-particle":"","parse-names":false,"suffix":""},{"dropping-particle":"","family":"Liu","given":"Yuanqiu","non-dropping-particle":"","parse-names":false,"suffix":""}],"container-title":"Environmental Health and Preventive Medicine","id":"ITEM-3","issue":"1","issued":{"date-parts":[["2019"]]},"page":"1-21","publisher":"Environmental Health and Preventive Medicine","title":"Medical empirical research on forest bathing (Shinrin-yoku): A systematic review","type":"article-journal","volume":"24"}}],"schema":"https://github.com/citation-style-language/schema/raw/master/csl-citation.json"} </w:instrText>
      </w:r>
      <w:r w:rsidRPr="00C05886">
        <w:fldChar w:fldCharType="separate"/>
      </w:r>
      <w:r w:rsidRPr="00C05886">
        <w:rPr>
          <w:rFonts w:ascii="Calibri" w:hAnsi="Calibri" w:cs="Calibri"/>
          <w:szCs w:val="24"/>
        </w:rPr>
        <w:t xml:space="preserve">(Kobayashi </w:t>
      </w:r>
      <w:r w:rsidRPr="00C05886">
        <w:rPr>
          <w:rFonts w:ascii="Calibri" w:hAnsi="Calibri" w:cs="Calibri"/>
          <w:i/>
          <w:iCs/>
          <w:szCs w:val="24"/>
        </w:rPr>
        <w:t>et al.</w:t>
      </w:r>
      <w:r w:rsidRPr="00C05886">
        <w:rPr>
          <w:rFonts w:ascii="Calibri" w:hAnsi="Calibri" w:cs="Calibri"/>
          <w:szCs w:val="24"/>
        </w:rPr>
        <w:t xml:space="preserve">, 2015; Song </w:t>
      </w:r>
      <w:r w:rsidRPr="00C05886">
        <w:rPr>
          <w:rFonts w:ascii="Calibri" w:hAnsi="Calibri" w:cs="Calibri"/>
          <w:i/>
          <w:iCs/>
          <w:szCs w:val="24"/>
        </w:rPr>
        <w:t>et al.</w:t>
      </w:r>
      <w:r w:rsidRPr="00C05886">
        <w:rPr>
          <w:rFonts w:ascii="Calibri" w:hAnsi="Calibri" w:cs="Calibri"/>
          <w:szCs w:val="24"/>
        </w:rPr>
        <w:t xml:space="preserve">, 2019; Wen </w:t>
      </w:r>
      <w:r w:rsidRPr="00C05886">
        <w:rPr>
          <w:rFonts w:ascii="Calibri" w:hAnsi="Calibri" w:cs="Calibri"/>
          <w:i/>
          <w:iCs/>
          <w:szCs w:val="24"/>
        </w:rPr>
        <w:t>et al.</w:t>
      </w:r>
      <w:r w:rsidRPr="00C05886">
        <w:rPr>
          <w:rFonts w:ascii="Calibri" w:hAnsi="Calibri" w:cs="Calibri"/>
          <w:szCs w:val="24"/>
        </w:rPr>
        <w:t>, 2019)</w:t>
      </w:r>
      <w:r w:rsidRPr="00C05886">
        <w:fldChar w:fldCharType="end"/>
      </w:r>
      <w:r w:rsidRPr="00C05886">
        <w:t xml:space="preserve"> and heart rate variability </w:t>
      </w:r>
      <w:r w:rsidRPr="00C05886">
        <w:fldChar w:fldCharType="begin" w:fldLock="1"/>
      </w:r>
      <w:r w:rsidR="00A35208">
        <w:instrText xml:space="preserve"> ADDIN ZOTERO_ITEM CSL_CITATION {"citationID":"IhxwpjiL","properties":{"formattedCitation":"(Song {\\i{}et al.}, 2015)","plainCitation":"(Song et al., 2015)","noteIndex":0},"citationItems":[{"id":"6pP8vKpK/j01weIQF","uris":["http://www.mendeley.com/documents/?uuid=7469ae48-15b6-4ed1-9850-b62e3e7f23d6"],"itemData":{"DOI":"10.3390/ijerph121114216","ISSN":"1661-7827","abstract":"In recent times, attention has been focused on the role of urban green spaces in promoting human health and well-being. However, there is a lack of evidence-based research on the physiological effects of walking in urban green areas. This study aimed to clarify the physiological and psychological effects of walking in urban parks during fall. Twenty-three males (mean age 22.3 +/- 1.2 years) were instructed to walk predetermined 15-min courses in an urban park and in a nearby city area (control). Heart rate and heart rate variability were measured to assess physiological responses, and the semantic differential method, Profile of Mood States, and State-Trait Anxiety Inventory were used to measure psychological responses. We observed that walking in an urban park resulted in a significantly lower heart rate, higher parasympathetic nerve activity, and lower sympathetic nerve activity than walking through the city area. In subjective evaluations, participants were more comfortable, natural, relaxed, and vigorous after a walk in the urban park. Furthermore, they exhibited significantly lower levels of negative emotions and anxiety. These findings provide scientific evidence for the physiological and psychological relaxation effects of walking in urban parks during fall.","author":[{"dropping-particle":"","family":"Song","given":"Chorong","non-dropping-particle":"","parse-names":false,"suffix":""},{"dropping-particle":"","family":"Ikei","given":"Harumi","non-dropping-particle":"","parse-names":false,"suffix":""},{"dropping-particle":"","family":"Igarashi","given":"Miho","non-dropping-particle":"","parse-names":false,"suffix":""},{"dropping-particle":"","family":"Takagaki","given":"Michiko","non-dropping-particle":"","parse-names":false,"suffix":""},{"dropping-particle":"","family":"Miyazaki","given":"Yoshifumi","non-dropping-particle":"","parse-names":false,"suffix":""}],"container-title":"Int J Environ Res Public Health","id":"ITEM-1","issue":"11","issued":{"date-parts":[["2015"]]},"page":"14216-14228","publisher":"BASEL: MDPI","publisher-place":"BASEL","title":"Physiological and psychological effects of a walk in Urban parks in fall","type":"article-journal","volume":"12"}}],"schema":"https://github.com/citation-style-language/schema/raw/master/csl-citation.json"} </w:instrText>
      </w:r>
      <w:r w:rsidRPr="00C05886">
        <w:fldChar w:fldCharType="separate"/>
      </w:r>
      <w:r w:rsidRPr="00C05886">
        <w:rPr>
          <w:rFonts w:ascii="Calibri" w:hAnsi="Calibri" w:cs="Calibri"/>
          <w:szCs w:val="24"/>
        </w:rPr>
        <w:t xml:space="preserve">(Song </w:t>
      </w:r>
      <w:r w:rsidRPr="00C05886">
        <w:rPr>
          <w:rFonts w:ascii="Calibri" w:hAnsi="Calibri" w:cs="Calibri"/>
          <w:i/>
          <w:iCs/>
          <w:szCs w:val="24"/>
        </w:rPr>
        <w:t>et al.</w:t>
      </w:r>
      <w:r w:rsidRPr="00C05886">
        <w:rPr>
          <w:rFonts w:ascii="Calibri" w:hAnsi="Calibri" w:cs="Calibri"/>
          <w:szCs w:val="24"/>
        </w:rPr>
        <w:t>, 2015)</w:t>
      </w:r>
      <w:r w:rsidRPr="00C05886">
        <w:fldChar w:fldCharType="end"/>
      </w:r>
      <w:r w:rsidRPr="00C05886">
        <w:t xml:space="preserve">. Research also suggests that people with a greater connection to nature gain more well-being benefits </w:t>
      </w:r>
      <w:r w:rsidRPr="00C05886">
        <w:fldChar w:fldCharType="begin" w:fldLock="1"/>
      </w:r>
      <w:r w:rsidR="00D461B8" w:rsidRPr="00C05886">
        <w:instrText xml:space="preserve"> ADDIN ZOTERO_ITEM CSL_CITATION {"citationID":"4AhlpKQQ","properties":{"formattedCitation":"(Mayer {\\i{}et al.}, 2009; Capaldi, Dopko and Zelenski, 2014)","plainCitation":"(Mayer et al., 2009; Capaldi, Dopko and Zelenski, 2014)","noteIndex":0},"citationItems":[{"id":7595,"uris":["http://zotero.org/users/10951124/items/MEHWF9Y5"],"itemData":{"id":7595,"type":"article-journal","abstract":"Three studies examine the effects of exposure to nature on positive affect and ability to reflect on a life problem. Participants spent 15 min walking in a natural setting (Studies 1, 2, &amp; 3), an urban setting (Study 1), or watching videos of natural and urban settings (Studies 2 &amp; 3). In all three studies, exposure to nature increased connectedness to nature, attentional capacity, positive emotions, and ability to reflect on a life problem","container-title":"Environment and Behavior","DOI":"10.1177/0013916508319745","ISSN":"0013-9165","issue":"5","note":"publisher: Los Angeles, CA: SAGE Publications\npublisher-place: Los Angeles, CA","page":"607-643","title":"Why Is Nature Beneficial?: The Role of Connectedness to Nature","volume":"41","author":[{"family":"Mayer","given":"F Stephan"},{"family":"Frantz","given":"Cynthia McPherson"},{"family":"Bruehlman-Senecal","given":"Emma"},{"family":"Dolliver","given":"Kyffin"}],"issued":{"date-parts":[["2009"]]}}},{"id":6920,"uris":["http://zotero.org/users/10951124/items/G9V3E922"],"itemData":{"id":6920,"type":"book","ISBN":"1664-1078","note":"container-title: Front. Psychol.\nDOI: 10.3389/fpsyg.2014.00976","title":"The relationship between nature connectedness and happiness: a meta-analysis","volume":"5","author":[{"family":"Capaldi","given":"Ca"},{"family":"Dopko","given":"Rl"},{"family":"Zelenski","given":"Jm"}],"issued":{"date-parts":[["2014"]]}}}],"schema":"https://github.com/citation-style-language/schema/raw/master/csl-citation.json"} </w:instrText>
      </w:r>
      <w:r w:rsidRPr="00C05886">
        <w:fldChar w:fldCharType="separate"/>
      </w:r>
      <w:r w:rsidR="00D461B8" w:rsidRPr="00C05886">
        <w:rPr>
          <w:rFonts w:ascii="Calibri" w:hAnsi="Calibri" w:cs="Calibri"/>
          <w:szCs w:val="24"/>
        </w:rPr>
        <w:t xml:space="preserve">(Mayer </w:t>
      </w:r>
      <w:r w:rsidR="00D461B8" w:rsidRPr="00C05886">
        <w:rPr>
          <w:rFonts w:ascii="Calibri" w:hAnsi="Calibri" w:cs="Calibri"/>
          <w:i/>
          <w:iCs/>
          <w:szCs w:val="24"/>
        </w:rPr>
        <w:t>et al.</w:t>
      </w:r>
      <w:r w:rsidR="00D461B8" w:rsidRPr="00C05886">
        <w:rPr>
          <w:rFonts w:ascii="Calibri" w:hAnsi="Calibri" w:cs="Calibri"/>
          <w:szCs w:val="24"/>
        </w:rPr>
        <w:t>, 2009; Capaldi, Dopko and Zelenski, 2014)</w:t>
      </w:r>
      <w:r w:rsidRPr="00C05886">
        <w:fldChar w:fldCharType="end"/>
      </w:r>
      <w:r w:rsidRPr="00C05886">
        <w:t xml:space="preserve">, and species-rich spaces seem to elicit more positive effects </w:t>
      </w:r>
      <w:r w:rsidRPr="00C05886">
        <w:fldChar w:fldCharType="begin" w:fldLock="1"/>
      </w:r>
      <w:r w:rsidR="00A35208">
        <w:instrText xml:space="preserve"> ADDIN ZOTERO_ITEM CSL_CITATION {"citationID":"1zENlNqd","properties":{"formattedCitation":"(Fuller {\\i{}et al.}, 2007; Clark {\\i{}et al.}, 2014; Wolf {\\i{}et al.}, 2017; Wood {\\i{}et al.}, 2018)","plainCitation":"(Fuller et al., 2007; Clark et al., 2014; Wolf et al., 2017; Wood et al., 2018)","noteIndex":0},"citationItems":[{"id":5311,"uris":["http://zotero.org/users/10951124/items/7YKDXNX8"],"itemData":{"id":5311,"type":"article-journal","abstract":"The world's human population is becoming concentrated into cities, giving rise to concerns that it is becoming increasingly isolated from nature. Urban public greenspaces form the arena of many people's daily contact with nature and such contact has measurable physical and psychological benefits. Here we show that these psychological benefits increase with the species richness of urban greenspaces. Moreover, we demonstrate that greenspace users can more or less accurately perceive species richness depending on the taxonomic group in question. These results indicate that successful management of urban greenspaces should emphasize biological complexity to enhance human well-being in addition to biodiversity conservation. © 2007 The Royal Society.","container-title":"Biology letters","DOI":"10.1098/rsbl.2007.0149","ISSN":"1744-9561","issue":"4","note":"PMID: 17504734","page":"390-394","title":"Psychological benefits of greenspace increase with biodiversity.","volume":"3","author":[{"family":"Fuller","given":"Richard A."},{"family":"Irvine","given":"Katherine N."},{"family":"Devine-Wright","given":"Patrick"},{"family":"Warren","given":"Philip H."},{"family":"Gaston","given":"Kevin J."}],"editor":[{"family":"Fuller","given":"Richard A"}],"issued":{"date-parts":[["2007"]]}}},{"id":"6pP8vKpK/Aw3n6qZr","uris":["http://www.mendeley.com/documents/?uuid=cedeb483-dcc3-4aa6-9a6c-19eacf1b80af"],"itemData":{"DOI":"10.1016/j.tree.2014.01.009","ISSN":"0169-5347","abstract":"&lt;p&gt;Direct contact with biodiversity is culturally important in a range of contexts. Many people even join conservation organisations to protect biodiversity that they will never encounter first-hand. Despite this, we have little idea how biodiversity affects people's well-being and health through these cultural pathways. Human health is sensitive to apparently trivial psychological stimuli, negatively affected by the risk of environmental degradation, and positively affected by contact with natural spaces. This suggests that well-being and health should be affected by biodiversity change, but few studies have begun to explore these relationships. Here, we develop a framework for linking biodiversity change with human cultural values, well-being, and health. We argue that better understanding these relations might be profoundly important for biodiversity conservation and public health.&lt;/p&gt;","author":[{"dropping-particle":"","family":"Clark","given":"Natalie E","non-dropping-particle":"","parse-names":false,"suffix":""},{"dropping-particle":"","family":"Lovell","given":"Rebecca","non-dropping-particle":"","parse-names":false,"suffix":""},{"dropping-particle":"","family":"Wheeler","given":"Benedict W","non-dropping-particle":"","parse-names":false,"suffix":""},{"dropping-particle":"","family":"Higgins","given":"Sahran L","non-dropping-particle":"","parse-names":false,"suffix":""},{"dropping-particle":"","family":"Depledge","given":"Michael H","non-dropping-particle":"","parse-names":false,"suffix":""},{"dropping-particle":"","family":"Norris","given":"Ken","non-dropping-particle":"","parse-names":false,"suffix":""}],"container-title":"Trends in Ecology &amp; Evolution","id":"ITEM-2","issue":"4","issued":{"date-parts":[["2014"]]},"note":"qui si propone una mediazione culturale sull'impatto della biodiversità sul benessere. sono proposte 4 vie indirette: \n1) meno biodiversità= meno beni culturali;\n2) meno beni culturali= meno valori culturali\n3) meno valori=meno benessere\n4) meno benessere= più malattie","page":"198-204","title":"Biodiversity, cultural pathways, and human health: a framework","type":"article-journal","volume":"29"}},{"id":4925,"uris":["http://zotero.org/users/10951124/items/T2WHLDQG"],"itemData":{"id":4925,"type":"article-journal","container-title":"PloS one","DOI":"10.1371/journal.pone.0170225","issue":"1","page":"e0170225-e0170225","title":"Is Variety the Spice of Life? An Experimental Investigation into the Effects of Species Richness on Self-Reported Mental Well-Being.","volume":"12","author":[{"family":"Wolf","given":"Lukas J"},{"family":"Zu Ermgassen","given":"Sophus"},{"family":"Balmford","given":"Andrew"},{"family":"White","given":"Mathew"},{"family":"Weinstein","given":"Netta"}],"editor":[{"family":"Wolf","given":"Lukas J"}],"issued":{"date-parts":[["2017"]]}}},{"id":6137,"uris":["http://zotero.org/users/10951124/items/MSVULKE3"],"itemData":{"id":6137,"type":"article-journal","abstract":"© 2018 Wood, Harsant, Dallimer, Cronin de Chavez, McEachan and Hassall. Contemporary epidemiological methods testing the associations between green space and psychological well-being treat all vegetation cover as equal. However, there is very good reason to expect that variations in ecological \"quality\" (number of species, integrity of ecological processes) may influence the link between access to green space and benefits to human health and well-being. We test the relationship between green space quality and restorative benefit in an inner city urban population in Bradford, United Kingdom. We selected 12 urban parks for study where we carried out botanical and faunal surveys to quantify biodiversity and assessed the site facilities of the green space (cleanliness, provision of amenities). We also conducted 128 surveys with park users to quantify psychological restoration based on four self-reported measure of general restoration, attention-grabbing distractions, being away from everyday life, and site preference. We present three key results. First, there is a positive association between site facilities and biodiversity. Second, restorative benefit is predicted by biodiversity, which explained 43% of the variance in restorative benefit across the parks, with minimal input from other variables. Third, the benefits accrued through access to green space were unrelated to age, gender, and ethnic background. The results add to a small but growing body of evidence that emphasize the role of nature in contributing to the well-being of urban populations and, hence, the need to consider biodiversity in the design of landscapes that enhance multiple ecosystem services.","container-title":"Frontiers in Psychology","DOI":"10.3389/fpsyg.2018.02320","issue":"NOV","title":"Not all green space is created equal: Biodiversity predicts psychological restorative benefits from urban green space","volume":"9","author":[{"family":"Wood","given":"E."},{"family":"Harsant","given":"A."},{"family":"Dallimer","given":"M."},{"family":"Chavez","given":"A.C.","non-dropping-particle":"de"},{"family":"McEachan","given":"R.R.C."},{"family":"Hassall","given":"C."}],"issued":{"date-parts":[["2018"]]}}}],"schema":"https://github.com/citation-style-language/schema/raw/master/csl-citation.json"} </w:instrText>
      </w:r>
      <w:r w:rsidRPr="00C05886">
        <w:fldChar w:fldCharType="separate"/>
      </w:r>
      <w:r w:rsidR="009947CC" w:rsidRPr="00C05886">
        <w:rPr>
          <w:rFonts w:ascii="Calibri" w:hAnsi="Calibri" w:cs="Calibri"/>
          <w:szCs w:val="24"/>
        </w:rPr>
        <w:t xml:space="preserve">(Fuller </w:t>
      </w:r>
      <w:r w:rsidR="009947CC" w:rsidRPr="00C05886">
        <w:rPr>
          <w:rFonts w:ascii="Calibri" w:hAnsi="Calibri" w:cs="Calibri"/>
          <w:i/>
          <w:iCs/>
          <w:szCs w:val="24"/>
        </w:rPr>
        <w:t>et al.</w:t>
      </w:r>
      <w:r w:rsidR="009947CC" w:rsidRPr="00C05886">
        <w:rPr>
          <w:rFonts w:ascii="Calibri" w:hAnsi="Calibri" w:cs="Calibri"/>
          <w:szCs w:val="24"/>
        </w:rPr>
        <w:t xml:space="preserve">, 2007; Clark </w:t>
      </w:r>
      <w:r w:rsidR="009947CC" w:rsidRPr="00C05886">
        <w:rPr>
          <w:rFonts w:ascii="Calibri" w:hAnsi="Calibri" w:cs="Calibri"/>
          <w:i/>
          <w:iCs/>
          <w:szCs w:val="24"/>
        </w:rPr>
        <w:t>et al.</w:t>
      </w:r>
      <w:r w:rsidR="009947CC" w:rsidRPr="00C05886">
        <w:rPr>
          <w:rFonts w:ascii="Calibri" w:hAnsi="Calibri" w:cs="Calibri"/>
          <w:szCs w:val="24"/>
        </w:rPr>
        <w:t xml:space="preserve">, 2014; Wolf </w:t>
      </w:r>
      <w:r w:rsidR="009947CC" w:rsidRPr="00C05886">
        <w:rPr>
          <w:rFonts w:ascii="Calibri" w:hAnsi="Calibri" w:cs="Calibri"/>
          <w:i/>
          <w:iCs/>
          <w:szCs w:val="24"/>
        </w:rPr>
        <w:t>et al.</w:t>
      </w:r>
      <w:r w:rsidR="009947CC" w:rsidRPr="00C05886">
        <w:rPr>
          <w:rFonts w:ascii="Calibri" w:hAnsi="Calibri" w:cs="Calibri"/>
          <w:szCs w:val="24"/>
        </w:rPr>
        <w:t xml:space="preserve">, 2017; Wood </w:t>
      </w:r>
      <w:r w:rsidR="009947CC" w:rsidRPr="00C05886">
        <w:rPr>
          <w:rFonts w:ascii="Calibri" w:hAnsi="Calibri" w:cs="Calibri"/>
          <w:i/>
          <w:iCs/>
          <w:szCs w:val="24"/>
        </w:rPr>
        <w:t>et al.</w:t>
      </w:r>
      <w:r w:rsidR="009947CC" w:rsidRPr="00C05886">
        <w:rPr>
          <w:rFonts w:ascii="Calibri" w:hAnsi="Calibri" w:cs="Calibri"/>
          <w:szCs w:val="24"/>
        </w:rPr>
        <w:t>, 2018)</w:t>
      </w:r>
      <w:r w:rsidRPr="00C05886">
        <w:fldChar w:fldCharType="end"/>
      </w:r>
      <w:r w:rsidRPr="00C05886">
        <w:t>.</w:t>
      </w:r>
    </w:p>
    <w:p w14:paraId="6CB6D924" w14:textId="17156D71" w:rsidR="000E3C80" w:rsidRPr="00C05886" w:rsidRDefault="000E3C80" w:rsidP="00C32635">
      <w:r w:rsidRPr="00C05886">
        <w:t>While</w:t>
      </w:r>
      <w:r w:rsidR="0073229F">
        <w:t xml:space="preserve"> a</w:t>
      </w:r>
      <w:r w:rsidRPr="00C05886">
        <w:t xml:space="preserve"> greater </w:t>
      </w:r>
      <w:r w:rsidR="0073229F">
        <w:t xml:space="preserve">species richness in an </w:t>
      </w:r>
      <w:r w:rsidR="00C577A0">
        <w:t>environment</w:t>
      </w:r>
      <w:r w:rsidR="0073229F" w:rsidRPr="00C05886">
        <w:t xml:space="preserve"> </w:t>
      </w:r>
      <w:r w:rsidRPr="00C05886">
        <w:t xml:space="preserve">has been associated with greater </w:t>
      </w:r>
      <w:r w:rsidR="00C1508A" w:rsidRPr="00C05886">
        <w:t xml:space="preserve">self-reported </w:t>
      </w:r>
      <w:r w:rsidRPr="00C05886">
        <w:t xml:space="preserve">well-being, the effect varied depending on which group of organisms was considered –  e.g. </w:t>
      </w:r>
      <w:r w:rsidRPr="00C05886">
        <w:fldChar w:fldCharType="begin" w:fldLock="1"/>
      </w:r>
      <w:r w:rsidR="003E681B" w:rsidRPr="00C05886">
        <w:instrText xml:space="preserve"> ADDIN ZOTERO_ITEM CSL_CITATION {"citationID":"61d7eR0R","properties":{"formattedCitation":"(Fuller {\\i{}et al.}, 2007)","plainCitation":"(Fuller et al., 2007)","dontUpdate":true,"noteIndex":0},"citationItems":[{"id":5311,"uris":["http://zotero.org/users/10951124/items/7YKDXNX8"],"itemData":{"id":5311,"type":"article-journal","abstract":"The world's human population is becoming concentrated into cities, giving rise to concerns that it is becoming increasingly isolated from nature. Urban public greenspaces form the arena of many people's daily contact with nature and such contact has measurable physical and psychological benefits. Here we show that these psychological benefits increase with the species richness of urban greenspaces. Moreover, we demonstrate that greenspace users can more or less accurately perceive species richness depending on the taxonomic group in question. These results indicate that successful management of urban greenspaces should emphasize biological complexity to enhance human well-being in addition to biodiversity conservation. © 2007 The Royal Society.","container-title":"Biology letters","DOI":"10.1098/rsbl.2007.0149","ISSN":"1744-9561","issue":"4","note":"PMID: 17504734","page":"390-394","title":"Psychological benefits of greenspace increase with biodiversity.","volume":"3","author":[{"family":"Fuller","given":"Richard A."},{"family":"Irvine","given":"Katherine N."},{"family":"Devine-Wright","given":"Patrick"},{"family":"Warren","given":"Philip H."},{"family":"Gaston","given":"Kevin J."}],"editor":[{"family":"Fuller","given":"Richard A"}],"issued":{"date-parts":[["2007"]]}}}],"schema":"https://github.com/citation-style-language/schema/raw/master/csl-citation.json"} </w:instrText>
      </w:r>
      <w:r w:rsidRPr="00C05886">
        <w:fldChar w:fldCharType="separate"/>
      </w:r>
      <w:r w:rsidR="00D461B8" w:rsidRPr="00C05886">
        <w:rPr>
          <w:rFonts w:ascii="Calibri" w:hAnsi="Calibri" w:cs="Calibri"/>
          <w:szCs w:val="24"/>
        </w:rPr>
        <w:t xml:space="preserve">Fuller </w:t>
      </w:r>
      <w:r w:rsidR="00D461B8" w:rsidRPr="00C05886">
        <w:rPr>
          <w:rFonts w:ascii="Calibri" w:hAnsi="Calibri" w:cs="Calibri"/>
          <w:i/>
          <w:iCs/>
          <w:szCs w:val="24"/>
        </w:rPr>
        <w:t>et al.</w:t>
      </w:r>
      <w:r w:rsidR="00D461B8" w:rsidRPr="00C05886">
        <w:rPr>
          <w:rFonts w:ascii="Calibri" w:hAnsi="Calibri" w:cs="Calibri"/>
          <w:szCs w:val="24"/>
        </w:rPr>
        <w:t xml:space="preserve"> (2007)</w:t>
      </w:r>
      <w:r w:rsidRPr="00C05886">
        <w:fldChar w:fldCharType="end"/>
      </w:r>
      <w:r w:rsidRPr="00C05886">
        <w:t xml:space="preserve"> found positive associations between </w:t>
      </w:r>
      <w:r w:rsidR="00692C5C" w:rsidRPr="00C05886">
        <w:t xml:space="preserve">the number of </w:t>
      </w:r>
      <w:r w:rsidRPr="00C05886">
        <w:t xml:space="preserve">plant </w:t>
      </w:r>
      <w:r w:rsidR="00692C5C" w:rsidRPr="00C05886">
        <w:t xml:space="preserve">species </w:t>
      </w:r>
      <w:r w:rsidRPr="00C05886">
        <w:t xml:space="preserve">and well-being, but no associations between the number of butterfly species and well-being. The type of natural environment </w:t>
      </w:r>
      <w:r w:rsidR="006B2539" w:rsidRPr="00C05886">
        <w:t>considered</w:t>
      </w:r>
      <w:r w:rsidRPr="00C05886">
        <w:t xml:space="preserve"> may also play a role – e.g. seminatural areas with high </w:t>
      </w:r>
      <w:r w:rsidR="00FF6AE1" w:rsidRPr="00C05886">
        <w:t xml:space="preserve">numbers of </w:t>
      </w:r>
      <w:r w:rsidRPr="00C05886">
        <w:t xml:space="preserve">plant </w:t>
      </w:r>
      <w:r w:rsidR="00FF6AE1" w:rsidRPr="00C05886">
        <w:t>species</w:t>
      </w:r>
      <w:r w:rsidR="006B2539" w:rsidRPr="00C05886">
        <w:t xml:space="preserve"> </w:t>
      </w:r>
      <w:r w:rsidRPr="00C05886">
        <w:t xml:space="preserve">have been negatively associated with well-being </w:t>
      </w:r>
      <w:r w:rsidRPr="00C05886">
        <w:fldChar w:fldCharType="begin"/>
      </w:r>
      <w:r w:rsidRPr="00C05886">
        <w:instrText xml:space="preserve"> ADDIN ZOTERO_ITEM CSL_CITATION {"citationID":"PUhm45u0","properties":{"formattedCitation":"(Dallimer {\\i{}et al.}, 2012)","plainCitation":"(Dallimer et al., 2012)","noteIndex":0},"citationItems":[{"id":5841,"uris":["http://zotero.org/users/10951124/items/KQUVK8G6"],"itemData":{"id":5841,"type":"article-journal","abstract":"Over half of the world's human population lives in cities, and for many, urban greenspaces are the only places where they encounter biodiversity. This is of particular concern because there is growing evidence that human well-being is enhanced by exposure to nature. However, the specific qualities of greenspaces that offer the greatest benefits remain poorly understood. One possibility is that humans respond positively to increased levels of biodiversity. Here, we demonstrate the lack of a consistent relationship between actual plant, butterfly, and bird species richness and the psychological well-being of urban greenspace visitors. Instead, well-being shows a positive relationship with the richness that the greenspace users perceived to be present. One plausible explanation for this discrepancy, which we investigate, is that people generally have poor biodiversity-identification skills. The apparent importance of perceived species richness and the mismatch between reality and perception pose a serious challenge for aligning conservation and human well-being agendas.","container-title":"BioScience","DOI":"10.1525/bio.2012.62.1.9","ISSN":"00063568","issue":"1","page":"47-55","title":"Biodiversity and the Feel-Good Factor: Understanding Associations between Self-Reported Human Well-being and Species Richness","volume":"62","author":[{"family":"Dallimer","given":"Martin"},{"family":"Irvine","given":"Katherine N."},{"family":"Skinner","given":"Andrew M.J. J"},{"family":"Davies","given":"Zoe G."},{"family":"Rouquette","given":"James R."},{"family":"Maltby","given":"Lorraine L."},{"family":"Warren","given":"Philip H."},{"family":"Armsworth","given":"Paul R."},{"family":"Gaston","given":"Kevin J."}],"issued":{"date-parts":[["2012"]]}}}],"schema":"https://github.com/citation-style-language/schema/raw/master/csl-citation.json"} </w:instrText>
      </w:r>
      <w:r w:rsidRPr="00C05886">
        <w:fldChar w:fldCharType="separate"/>
      </w:r>
      <w:r w:rsidRPr="00C05886">
        <w:rPr>
          <w:rFonts w:ascii="Calibri" w:hAnsi="Calibri" w:cs="Calibri"/>
          <w:szCs w:val="24"/>
        </w:rPr>
        <w:t xml:space="preserve">(Dallimer </w:t>
      </w:r>
      <w:r w:rsidRPr="00C05886">
        <w:rPr>
          <w:rFonts w:ascii="Calibri" w:hAnsi="Calibri" w:cs="Calibri"/>
          <w:i/>
          <w:iCs/>
          <w:szCs w:val="24"/>
        </w:rPr>
        <w:t>et al.</w:t>
      </w:r>
      <w:r w:rsidRPr="00C05886">
        <w:rPr>
          <w:rFonts w:ascii="Calibri" w:hAnsi="Calibri" w:cs="Calibri"/>
          <w:szCs w:val="24"/>
        </w:rPr>
        <w:t>, 2012)</w:t>
      </w:r>
      <w:r w:rsidRPr="00C05886">
        <w:fldChar w:fldCharType="end"/>
      </w:r>
      <w:r w:rsidRPr="00C05886">
        <w:t xml:space="preserve">. </w:t>
      </w:r>
      <w:r w:rsidR="00A056BC" w:rsidRPr="00C05886">
        <w:t xml:space="preserve"> </w:t>
      </w:r>
      <w:r w:rsidR="00A056BC" w:rsidRPr="00C05886">
        <w:fldChar w:fldCharType="begin"/>
      </w:r>
      <w:r w:rsidR="000A0D6B" w:rsidRPr="00C05886">
        <w:instrText xml:space="preserve"> ADDIN ZOTERO_ITEM CSL_CITATION {"citationID":"eboLXTWj","properties":{"formattedCitation":"(Marselle {\\i{}et al.}, 2021)","plainCitation":"(Marselle et al., 2021)","dontUpdate":true,"noteIndex":0},"citationItems":[{"id":9963,"uris":["http://zotero.org/users/10951124/items/J6HVMDGB"],"itemData":{"id":9963,"type":"article-journal","container-title":"Environment International","DOI":"10.1016/j.envint.2021.106420","ISSN":"01604120","journalAbbreviation":"Environment International","language":"en","page":"106420","source":"DOI.org (Crossref)","title":"Pathways linking biodiversity to human health: A conceptual framework","title-short":"Pathways linking biodiversity to human health","volume":"150","author":[{"family":"Marselle","given":"Melissa R."},{"family":"Hartig","given":"Terry"},{"family":"Cox","given":"Daniel T.C."},{"family":"De Bell","given":"Siân"},{"family":"Knapp","given":"Sonja"},{"family":"Lindley","given":"Sarah"},{"family":"Triguero-Mas","given":"Margarita"},{"family":"Böhning-Gaese","given":"Katrin"},{"family":"Braubach","given":"Matthias"},{"family":"Cook","given":"Penny A."},{"family":"De Vries","given":"Sjerp"},{"family":"Heintz-Buschart","given":"Anna"},{"family":"Hofmann","given":"Max"},{"family":"Irvine","given":"Katherine N."},{"family":"Kabisch","given":"Nadja"},{"family":"Kolek","given":"Franziska"},{"family":"Kraemer","given":"Roland"},{"family":"Markevych","given":"Iana"},{"family":"Martens","given":"Dörte"},{"family":"Müller","given":"Ruth"},{"family":"Nieuwenhuijsen","given":"Mark"},{"family":"Potts","given":"Jacqueline M."},{"family":"Stadler","given":"Jutta"},{"family":"Walton","given":"Samantha"},{"family":"Warber","given":"Sara L."},{"family":"Bonn","given":"Aletta"}],"issued":{"date-parts":[["2021",5]]}}}],"schema":"https://github.com/citation-style-language/schema/raw/master/csl-citation.json"} </w:instrText>
      </w:r>
      <w:r w:rsidR="00A056BC" w:rsidRPr="00C05886">
        <w:fldChar w:fldCharType="separate"/>
      </w:r>
      <w:r w:rsidR="00A056BC" w:rsidRPr="00C05886">
        <w:rPr>
          <w:rFonts w:ascii="Calibri" w:hAnsi="Calibri" w:cs="Calibri"/>
          <w:szCs w:val="24"/>
        </w:rPr>
        <w:t xml:space="preserve">Marselle </w:t>
      </w:r>
      <w:r w:rsidR="00A056BC" w:rsidRPr="00C05886">
        <w:rPr>
          <w:rFonts w:ascii="Calibri" w:hAnsi="Calibri" w:cs="Calibri"/>
          <w:i/>
          <w:iCs/>
          <w:szCs w:val="24"/>
        </w:rPr>
        <w:t>et al.</w:t>
      </w:r>
      <w:r w:rsidR="00A056BC" w:rsidRPr="00C05886">
        <w:rPr>
          <w:rFonts w:ascii="Calibri" w:hAnsi="Calibri" w:cs="Calibri"/>
          <w:szCs w:val="24"/>
        </w:rPr>
        <w:t>, (2021)</w:t>
      </w:r>
      <w:r w:rsidR="00A056BC" w:rsidRPr="00C05886">
        <w:fldChar w:fldCharType="end"/>
      </w:r>
      <w:r w:rsidR="00A056BC" w:rsidRPr="00C05886">
        <w:t xml:space="preserve"> proposed </w:t>
      </w:r>
      <w:r w:rsidR="00700722" w:rsidRPr="00C05886">
        <w:t xml:space="preserve">that two types of biodiversity conceptualisations seemed related to well-being: actual biodiversity </w:t>
      </w:r>
      <w:r w:rsidR="00252AAC" w:rsidRPr="00C05886">
        <w:t>(i.e. objectively measured by experts</w:t>
      </w:r>
      <w:r w:rsidR="000C086B" w:rsidRPr="00C05886">
        <w:t xml:space="preserve"> following established protocols)</w:t>
      </w:r>
      <w:r w:rsidR="00252AAC" w:rsidRPr="00C05886">
        <w:t xml:space="preserve"> </w:t>
      </w:r>
      <w:r w:rsidR="00700722" w:rsidRPr="00C05886">
        <w:t>and perceived biodiversity</w:t>
      </w:r>
      <w:r w:rsidR="000C086B" w:rsidRPr="00C05886">
        <w:t xml:space="preserve"> (i.e. subjectively estimated without following a protocol)</w:t>
      </w:r>
      <w:r w:rsidRPr="00C05886">
        <w:t xml:space="preserve">. In </w:t>
      </w:r>
      <w:r w:rsidR="00685F3B" w:rsidRPr="00C05886">
        <w:t>this paper</w:t>
      </w:r>
      <w:r w:rsidRPr="00C05886">
        <w:t>,</w:t>
      </w:r>
      <w:r w:rsidR="00685F3B" w:rsidRPr="00C05886">
        <w:t xml:space="preserve"> the focus is on the “species richness”</w:t>
      </w:r>
      <w:r w:rsidRPr="00C05886">
        <w:t xml:space="preserve"> </w:t>
      </w:r>
      <w:r w:rsidR="00685F3B" w:rsidRPr="00C05886">
        <w:t>– i.e. the number of species present in a given area – and the differ</w:t>
      </w:r>
      <w:r w:rsidR="00F01D5E" w:rsidRPr="00C05886">
        <w:t>e</w:t>
      </w:r>
      <w:r w:rsidR="00685F3B" w:rsidRPr="00C05886">
        <w:t xml:space="preserve">nces between actual and perceived species richness. The two </w:t>
      </w:r>
      <w:r w:rsidRPr="00C05886">
        <w:t xml:space="preserve">are not always in agreement </w:t>
      </w:r>
      <w:r w:rsidR="00685F3B" w:rsidRPr="00C05886">
        <w:t xml:space="preserve">and </w:t>
      </w:r>
      <w:r w:rsidRPr="00C05886">
        <w:t>experts’ measures of actual biodiversity</w:t>
      </w:r>
      <w:r w:rsidR="00685F3B" w:rsidRPr="00C05886">
        <w:t xml:space="preserve"> can differ significantly from </w:t>
      </w:r>
      <w:r w:rsidR="00196F6F" w:rsidRPr="00C05886">
        <w:t>non-specialists’ perceptions</w:t>
      </w:r>
      <w:r w:rsidRPr="00C05886">
        <w:t xml:space="preserve"> </w:t>
      </w:r>
      <w:r w:rsidRPr="00C05886">
        <w:fldChar w:fldCharType="begin"/>
      </w:r>
      <w:r w:rsidRPr="00C05886">
        <w:instrText xml:space="preserve"> ADDIN ZOTERO_ITEM CSL_CITATION {"citationID":"dvIHuycZ","properties":{"formattedCitation":"(Lindemann-Matthies and Bose, 2008)","plainCitation":"(Lindemann-Matthies and Bose, 2008)","noteIndex":0},"citationItems":[{"id":8229,"uris":["http://zotero.org/users/10951124/items/ZNFYF3FU"],"itemData":{"id":8229,"type":"article-journal","abstract":"This paper presents the results of interviews and a questionnaire study on public knowledge of the concept of biodiversity and of plant species richness in Switzerland. Despite its extensive use in science and policy making, the concept of biodiversity is not widely recognized or known to people in Switzerland. Overall, 60% of all study participants (161 grammar school pupils, 110 non-graduates, and 96 graduates in the Canton of Zurich) had never heard the term biodiversity, while the others had come across it primarily in the media. Few study participants considered their school education a relevant source of information about biodiversity. Study participants most frequently referred to the diversity of plants and animals when defining biodiversity, but also quite often believed that biodiversity had something to do with ecological concepts such as the equilibrium between all components of nature. Both young people and adults held widely inaccurate ideas of the plant species richness of communities. Particularly for Switzerland, plant species richness was strongly overestimated.","container-title":"Human Ecology","DOI":"10.1007/s10745-008-9194-1","ISSN":"1572-9915","issue":"5","page":"731-742","title":"How Many Species Are There? Public Understanding and Awareness of Biodiversity in Switzerland","volume":"36","author":[{"family":"Lindemann-Matthies","given":"Petra"},{"family":"Bose","given":"Elisabeth"}],"issued":{"date-parts":[["2008"]]}}}],"schema":"https://github.com/citation-style-language/schema/raw/master/csl-citation.json"} </w:instrText>
      </w:r>
      <w:r w:rsidRPr="00C05886">
        <w:fldChar w:fldCharType="separate"/>
      </w:r>
      <w:r w:rsidRPr="00C05886">
        <w:rPr>
          <w:rFonts w:ascii="Calibri" w:hAnsi="Calibri" w:cs="Calibri"/>
        </w:rPr>
        <w:t>(Lindemann-Matthies and Bose, 2008)</w:t>
      </w:r>
      <w:r w:rsidRPr="00C05886">
        <w:fldChar w:fldCharType="end"/>
      </w:r>
      <w:r w:rsidRPr="00C05886">
        <w:t xml:space="preserve">. Nonetheless, layperson perceptions </w:t>
      </w:r>
      <w:r w:rsidR="00196F6F" w:rsidRPr="00C05886">
        <w:t xml:space="preserve">of species richness </w:t>
      </w:r>
      <w:r w:rsidRPr="00C05886">
        <w:t xml:space="preserve">tend to be more strongly associated with </w:t>
      </w:r>
      <w:r w:rsidR="00C1508A" w:rsidRPr="00C05886">
        <w:t xml:space="preserve">self-reported </w:t>
      </w:r>
      <w:r w:rsidRPr="00C05886">
        <w:t xml:space="preserve">well-being than actual </w:t>
      </w:r>
      <w:r w:rsidR="00196F6F" w:rsidRPr="00C05886">
        <w:t xml:space="preserve">species richness </w:t>
      </w:r>
      <w:r w:rsidRPr="00C05886">
        <w:fldChar w:fldCharType="begin"/>
      </w:r>
      <w:r w:rsidRPr="00C05886">
        <w:instrText xml:space="preserve"> ADDIN ZOTERO_ITEM CSL_CITATION {"citationID":"aIip2VUL","properties":{"formattedCitation":"(Gon\\uc0\\u231{}alves {\\i{}et al.}, 2021)","plainCitation":"(Gonçalves et al., 2021)","noteIndex":0},"citationItems":[{"id":9234,"uris":["http://zotero.org/users/10951124/items/7WC2F9AD"],"itemData":{"id":9234,"type":"article-journal","abstract":"Understanding the mechanisms underlying the positive influence of urban biodiversity on dwellers’ well-being is critical to inform sustainable management of urban greenspaces, but studies published to date on the role of biodiversity in mental restoration have provided contradictory results. Both urban greenspace biophysical characteristics and the emotional connection with the place may play a role in mental restoration. Using urban greenspace landscape and biodiversity metrics, and on-site observations and questionnaires to assess site quality and visitors’ perceptions, we explore the influence of biodiversity (perceived and measured at different levels), urban greenspace characteristics, and visitors profiles in mental restoration. Our statistical analysis demonstrates that perception of biodiversity, along with satisfaction and connection to place, were the most important predictors of mental restoration. The proportion of broadleaf and evergreen tree species also had a positive influence on biodiversity perception and mental restoration. People perceive existing biodiversity through visual cues as the diversity of leaf forms in broadleaf species, with this process being almost completely mediated by the perception of tree diversity. These findings have direct translation into planning and management practices by acknowledging the importance of biodiversity and, above all, specific traits, namely of evergreen broadleaf species, in promoting restorativeness of urban parks for users. Our results highlight the importance of using standard ecological methods when assessing biodiversity in urban greenspaces and their influence on human well-being.","container-title":"Ecology and Society","DOI":"10.5751/ES-12598-260325","issue":"3","journalAbbreviation":"Ecology and Society","note":"publisher: The Resilience Alliance","title":"What’s biodiversity got to do with it? Perceptions of biodiversity and restorativeness in urban parks","URL":"https://www.ecologyandsociety.org/vol26/iss3/art25/","volume":"26","author":[{"family":"Gonçalves","given":"Paula"},{"family":"Grilo","given":"Filipa"},{"family":"Mendes","given":"Raquel C."},{"family":"Vierikko","given":"Kati"},{"family":"Elands","given":"Birgit"},{"family":"Marques","given":"Tiago A."},{"family":"Santos-Reis","given":"Margarida"}],"issued":{"date-parts":[["2021"]]}}}],"schema":"https://github.com/citation-style-language/schema/raw/master/csl-citation.json"} </w:instrText>
      </w:r>
      <w:r w:rsidRPr="00C05886">
        <w:fldChar w:fldCharType="separate"/>
      </w:r>
      <w:r w:rsidRPr="00C05886">
        <w:rPr>
          <w:rFonts w:ascii="Calibri" w:hAnsi="Calibri" w:cs="Calibri"/>
          <w:szCs w:val="24"/>
        </w:rPr>
        <w:t xml:space="preserve">(Gonçalves </w:t>
      </w:r>
      <w:r w:rsidRPr="00C05886">
        <w:rPr>
          <w:rFonts w:ascii="Calibri" w:hAnsi="Calibri" w:cs="Calibri"/>
          <w:i/>
          <w:iCs/>
          <w:szCs w:val="24"/>
        </w:rPr>
        <w:t>et al.</w:t>
      </w:r>
      <w:r w:rsidRPr="00C05886">
        <w:rPr>
          <w:rFonts w:ascii="Calibri" w:hAnsi="Calibri" w:cs="Calibri"/>
          <w:szCs w:val="24"/>
        </w:rPr>
        <w:t>, 2021)</w:t>
      </w:r>
      <w:r w:rsidRPr="00C05886">
        <w:fldChar w:fldCharType="end"/>
      </w:r>
      <w:r w:rsidRPr="00C05886">
        <w:t xml:space="preserve">. However, </w:t>
      </w:r>
      <w:r w:rsidR="00196F6F" w:rsidRPr="00C05886">
        <w:t>subjective well-being</w:t>
      </w:r>
      <w:r w:rsidRPr="00C05886">
        <w:t xml:space="preserve"> </w:t>
      </w:r>
      <w:r w:rsidR="00196F6F" w:rsidRPr="00C05886">
        <w:t xml:space="preserve">has </w:t>
      </w:r>
      <w:r w:rsidRPr="00C05886">
        <w:t xml:space="preserve">been positively associated with </w:t>
      </w:r>
      <w:r w:rsidR="00196F6F" w:rsidRPr="00C05886">
        <w:lastRenderedPageBreak/>
        <w:t xml:space="preserve">both </w:t>
      </w:r>
      <w:r w:rsidRPr="00C05886">
        <w:t xml:space="preserve">actual </w:t>
      </w:r>
      <w:r w:rsidR="00196F6F" w:rsidRPr="00C05886">
        <w:t xml:space="preserve">and perceived </w:t>
      </w:r>
      <w:r w:rsidRPr="00C05886">
        <w:t xml:space="preserve">bird species richness of several parks in Sheffield </w:t>
      </w:r>
      <w:r w:rsidR="00F01D5E" w:rsidRPr="00C05886">
        <w:fldChar w:fldCharType="begin" w:fldLock="1"/>
      </w:r>
      <w:r w:rsidR="00F01D5E" w:rsidRPr="00C05886">
        <w:instrText xml:space="preserve"> ADDIN ZOTERO_ITEM CSL_CITATION {"citationID":"rKMiDxpc","properties":{"formattedCitation":"(Cameron {\\i{}et al.}, 2020)","plainCitation":"(Cameron et al., 2020)","noteIndex":0},"citationItems":[{"id":5002,"uris":["http://zotero.org/users/10951124/items/CAJX7VIQ"],"itemData":{"id":5002,"type":"article-journal","abstract":"Urban green space can help mitigate the negative impacts of urban living and provide positive effects on citizens’ mood, health and well-being. Questions remain, however, as to whether all types of green space are equally beneficial, and if not, what landscape forms or key features optimise the desired benefits. For example, it has been cited that urban landscapes rich in wildlife (high biodiversity) may promote more positive emotions and enhance well-being. This research utilised a mobile phone App, employed to assess people’s emotions when they entered any one of 945 green spaces within the city of Sheffield, UK. Emotional responses were correlated to key traits of the individual green spaces, including levels of biodiversity the participant perceived around them. For a subsample of these green spaces, actual levels of biodiversity were assessed through avian and habitat surveys. Results demonstrated strong correlations between levels of avian biodiversity within a green space and human emotional response to that space. Respondents reported being happier in sites with greater avian biodiversity (p &lt; 0.01, r = 0.78) and a greater variety of habitats (p &lt; 0.02, r = 0.72). Relationships were strengthened when emotions were linked to perceptions of overall biodiversity (p &lt; 0.001, r = 0.89). So, when participants thought the site was wildlife rich, they reported more positive emotions, even when actual avian biodiversity levels were not necessarily enhanced. The data strengthens the arguments that nature enhances well-being through positive affect, and that increased ‘engagement with nature’ may help support human health within urban environments. The results have strong implications for city planning with respect to the design, management and use of city green spaces.","container-title":"Urban Ecosystems","DOI":"10.1007/s11252-020-00929-z","ISSN":"15731642","note":"publisher: Urban Ecosystems","title":"Where the wild things are! Do urban green spaces with greater avian biodiversity promote more positive emotions in humans?","author":[{"family":"Cameron","given":"Ross W.F."},{"family":"Brindley","given":"Paul"},{"family":"Mears","given":"Meghann"},{"family":"McEwan","given":"Kirsten"},{"family":"Ferguson","given":"Fiona"},{"family":"Sheffield","given":"David"},{"family":"Jorgensen","given":"Anna"},{"family":"Riley","given":"Julie"},{"family":"Goodrick","given":"Jon"},{"family":"Ballard","given":"Liz"},{"family":"Richardson","given":"Miles"}],"issued":{"date-parts":[["2020"]]}}}],"schema":"https://github.com/citation-style-language/schema/raw/master/csl-citation.json"} </w:instrText>
      </w:r>
      <w:r w:rsidR="00F01D5E" w:rsidRPr="00C05886">
        <w:fldChar w:fldCharType="separate"/>
      </w:r>
      <w:r w:rsidR="00F01D5E" w:rsidRPr="00C05886">
        <w:rPr>
          <w:rFonts w:ascii="Calibri" w:hAnsi="Calibri" w:cs="Calibri"/>
          <w:szCs w:val="24"/>
        </w:rPr>
        <w:t xml:space="preserve">(Cameron </w:t>
      </w:r>
      <w:r w:rsidR="00F01D5E" w:rsidRPr="00C05886">
        <w:rPr>
          <w:rFonts w:ascii="Calibri" w:hAnsi="Calibri" w:cs="Calibri"/>
          <w:i/>
          <w:iCs/>
          <w:szCs w:val="24"/>
        </w:rPr>
        <w:t>et al.</w:t>
      </w:r>
      <w:r w:rsidR="00F01D5E" w:rsidRPr="00C05886">
        <w:rPr>
          <w:rFonts w:ascii="Calibri" w:hAnsi="Calibri" w:cs="Calibri"/>
          <w:szCs w:val="24"/>
        </w:rPr>
        <w:t>, 2020)</w:t>
      </w:r>
      <w:r w:rsidR="00F01D5E" w:rsidRPr="00C05886">
        <w:fldChar w:fldCharType="end"/>
      </w:r>
      <w:r w:rsidR="00F01D5E" w:rsidRPr="00C05886">
        <w:t xml:space="preserve"> </w:t>
      </w:r>
      <w:r w:rsidRPr="00C05886">
        <w:t xml:space="preserve">– i.e. the greater the actual and perceived </w:t>
      </w:r>
      <w:r w:rsidR="00073F27" w:rsidRPr="00C05886">
        <w:t xml:space="preserve">number of </w:t>
      </w:r>
      <w:r w:rsidRPr="00C05886">
        <w:t>bird species, the greater the well-being</w:t>
      </w:r>
      <w:r w:rsidR="00F01D5E" w:rsidRPr="00C05886">
        <w:t>.</w:t>
      </w:r>
    </w:p>
    <w:p w14:paraId="3DB527C6" w14:textId="7E0E2F8E" w:rsidR="000E3C80" w:rsidRPr="00C05886" w:rsidRDefault="007F525E" w:rsidP="0094609C">
      <w:r w:rsidRPr="00C05886">
        <w:t>Although the research mentioned above focused on urban nature</w:t>
      </w:r>
      <w:r w:rsidR="000E3C80" w:rsidRPr="00C05886">
        <w:t xml:space="preserve">, urban nature should not be considered as the only beneficial element of urban well-being. </w:t>
      </w:r>
      <w:bookmarkStart w:id="62" w:name="_Hlk67579423"/>
      <w:bookmarkStart w:id="63" w:name="_Hlk178667739"/>
      <w:r w:rsidRPr="00C05886">
        <w:t>W</w:t>
      </w:r>
      <w:r w:rsidR="000E3C80" w:rsidRPr="00C05886">
        <w:t xml:space="preserve">alking in an urban environment with low traffic and pleasant architecture has been shown to have restorative potential </w:t>
      </w:r>
      <w:r w:rsidR="000E3C80" w:rsidRPr="00C05886">
        <w:fldChar w:fldCharType="begin" w:fldLock="1"/>
      </w:r>
      <w:r w:rsidR="00A35208">
        <w:instrText xml:space="preserve"> ADDIN ZOTERO_ITEM CSL_CITATION {"citationID":"JMO4p9c6","properties":{"formattedCitation":"(Stigsdotter {\\i{}et al.}, 2017; Bornioli, Parkhurst and Morgan, 2018)","plainCitation":"(Stigsdotter et al., 2017; Bornioli, Parkhurst and Morgan, 2018)","noteIndex":0},"citationItems":[{"id":6373,"uris":["http://zotero.org/users/10951124/items/3HXF94D8"],"itemData":{"id":6373,"type":"article-journal","abstract":"Today, urbanization presents a challenge to urban planning with regard to creating healthy living environments. The aim of this research is to gain further knowledge of the restorativeness of a best case urban and natural environment: that is a historic down town urban environment and forest environment located in an arboretum. The study has a cross-over design where 51 (N) female university students are exposed to the two environments through both seated viewing and walking. A mixed method approach is used with both physiological measurements of blood pressure (BP) and heart rate variability (HRV) and psychological measurements of mood change and perceived restorativeness. The HRV results show no significant differences between the two environments, and both environments are found to be more physiologically restorative than being at the office or on the minibus. The results of the psychological measures indicate that the forest walk has a positive effect on mood, while the walk in the urban environment has no effect. The forest environment is also rated more highly with regard to perceived restorativeness than the urban environment. The results support the current research that shows natural environments as more restorative than urban environments. The study also adds to the ongoing debate on healthy urban planning by indicating that architectural and historical qualities may be associated with the physiological well-being of citizens.","container-title":"Health and Place","DOI":"10.1016/j.healthplace.2017.05.007","ISSN":"18732054","page":"145-154","title":"It is not all bad for the grey city – A crossover study on physiological and psychological restoration in a forest and an urban environment","volume":"46","author":[{"family":"Stigsdotter","given":"Ulrika K."},{"family":"Corazon","given":"Sus Sola"},{"family":"Sidenius","given":"Ulrik"},{"family":"Kristiansen","given":"Jesper"},{"family":"Grahn","given":"Patrik"}],"issued":{"date-parts":[["2017"]]}}},{"id":"6pP8vKpK/FECZfl6D","uris":["http://www.mendeley.com/documents/?uuid=63666cab-4a2c-4113-ad7c-0bb9a041e036"],"itemData":{"DOI":"10.1016/j.jth.2018.02.003","ISSN":"22141405","abstract":"The potential health benefits of walking in attractive, predominantly built-up urban settings have not received much attention from scholars, despite the global need to increase walking levels in cities. The current experimental study assessed the affective outcomes associated with several urban walking settings, with a focus on the presence of motor-traffic and architectural styles from different historic periods. We employed a mixed within-between subjects design (n = 269) with employees and students from Bristol (UK) and measured relaxation and hedonic tone experiences, perceived restorativeness, and environmental perceptions following exposures to one of five urban settings. Results identified three categories of affective outcomes, rather than the classic dichotomy ‘urban vs natural’: the simulated walks in areas with greenery rated significantly better than the others; however, the pedestrianised settings were associated with neutral or positive affective outcomes and perceptions, with statistically significant differences with an area with traffic. These results suggest that walking in high-quality urban settings can have positive outcomes, and highlight the negative role of traffic and the potential benefits of historic elements in the affective walking experience. From a policy perspective, the findings strengthen the case for traffic removal, and indicate that exposure to high quality urban design that includes some natural elements can offer the same affective benefits offered by large green spaces.","author":[{"dropping-particle":"","family":"Bornioli","given":"Anna","non-dropping-particle":"","parse-names":false,"suffix":""},{"dropping-particle":"","family":"Parkhurst","given":"Graham","non-dropping-particle":"","parse-names":false,"suffix":""},{"dropping-particle":"","family":"Morgan","given":"Phillip L.","non-dropping-particle":"","parse-names":false,"suffix":""}],"container-title":"Journal of Transport and Health","id":"ITEM-2","issue":"October 2017","issued":{"date-parts":[["2018"]]},"page":"105-116","publisher":"Elsevier Ltd","title":"Psychological Wellbeing Benefits of Simulated Exposure to Five Urban Settings: an Experimental Study From the Pedestrian's Perspective","type":"article-journal","volume":"9"},"label":"page"}],"schema":"https://github.com/citation-style-language/schema/raw/master/csl-citation.json"} </w:instrText>
      </w:r>
      <w:r w:rsidR="000E3C80" w:rsidRPr="00C05886">
        <w:fldChar w:fldCharType="separate"/>
      </w:r>
      <w:r w:rsidR="00020123" w:rsidRPr="00C05886">
        <w:rPr>
          <w:rFonts w:ascii="Calibri" w:hAnsi="Calibri" w:cs="Calibri"/>
          <w:szCs w:val="24"/>
        </w:rPr>
        <w:t xml:space="preserve">(Stigsdotter </w:t>
      </w:r>
      <w:r w:rsidR="00020123" w:rsidRPr="00C05886">
        <w:rPr>
          <w:rFonts w:ascii="Calibri" w:hAnsi="Calibri" w:cs="Calibri"/>
          <w:i/>
          <w:iCs/>
          <w:szCs w:val="24"/>
        </w:rPr>
        <w:t>et al.</w:t>
      </w:r>
      <w:r w:rsidR="00020123" w:rsidRPr="00C05886">
        <w:rPr>
          <w:rFonts w:ascii="Calibri" w:hAnsi="Calibri" w:cs="Calibri"/>
          <w:szCs w:val="24"/>
        </w:rPr>
        <w:t>, 2017; Bornioli, Parkhurst and Morgan, 2018)</w:t>
      </w:r>
      <w:r w:rsidR="000E3C80" w:rsidRPr="00C05886">
        <w:fldChar w:fldCharType="end"/>
      </w:r>
      <w:r w:rsidR="000E3C80" w:rsidRPr="00C05886">
        <w:t xml:space="preserve">, as well as spending time in cafes and malls </w:t>
      </w:r>
      <w:r w:rsidR="000E3C80" w:rsidRPr="00C05886">
        <w:fldChar w:fldCharType="begin" w:fldLock="1"/>
      </w:r>
      <w:r w:rsidR="00020123" w:rsidRPr="00C05886">
        <w:instrText xml:space="preserve"> ADDIN ZOTERO_ITEM CSL_CITATION {"citationID":"ElMxAPo2","properties":{"formattedCitation":"(Staats {\\i{}et al.}, 2016)","plainCitation":"(Staats et al., 2016)","noteIndex":0},"citationItems":[{"id":6585,"uris":["http://zotero.org/users/10951124/items/3X2U2TJB"],"itemData":{"id":6585,"type":"article-journal","abstract":"Objectives Given the need for knowledge on the restorative potential of urban settings, we sought to estimate the effects of personal and contextual factors on preferences and restoration likelihood assessments for different urban activities-in-environments. We also sought to study the generality of these effects across different countries. Methods We conducted a true experiment with convenience samples of university students in the Netherlands (n = 80), Sweden (n = 100), and the USA (n = 316). In each country, the experiment had a mixed design with activities-in-environments (sitting in a park, sitting in a cafe, walking in a shopping mall, walking along a busy street)manipulated within-subjects and the need for restoration (attentional fatigue, no attentional fatigue) and immediate social context (in company, alone)manipulated between-subjects. The manipulations relied on previously tested scenarios describing everyday situations that participants were instructed to remember and imagine themselves being in. For each imagined situation (activity-in-environment with antecedent fatigue condition and immediate social context), subjects provided two criterion measures: general preference and the likelihood of achieving psychological restoration. Results The settings received different preference and restoration likelihood ratings as expected, affirming that a busy street, often used in comparisons with natural settings, is not representative of the restorative potential of urban settings. Being with a close friend and attentional fatigue both moderated ratings for specific settings. Findings of additional moderation by country of residence caution against broad generalizations regarding preferences for and the expected restorative effects of different urban settings. Conclusions Preferences and restoration likelihood ratings for urban activity-environment combinations are subject to multiple personal and contextual determinants, including level of attentional fatigue, being alone versus in company, and broader aspects of the urban context that vary across cities and countries. Claims regarding a lack of restorative quality in urban environments are problematic.","container-title":"PLoS ONE","DOI":"10.1371/journal.pone.0146213","ISSN":"19326203","issue":"1","title":"Urban options for psychological restoration: Common strategies in everyday situations","volume":"11","author":[{"family":"Staats","given":"Henk"},{"family":"Jahncke","given":"Helena"},{"family":"Herzog","given":"Thomas R."},{"family":"Hartig","given":"Terry"}],"issued":{"date-parts":[["2016"]]}}}],"schema":"https://github.com/citation-style-language/schema/raw/master/csl-citation.json"} </w:instrText>
      </w:r>
      <w:r w:rsidR="000E3C80" w:rsidRPr="00C05886">
        <w:fldChar w:fldCharType="separate"/>
      </w:r>
      <w:r w:rsidR="00020123" w:rsidRPr="00C05886">
        <w:rPr>
          <w:rFonts w:ascii="Calibri" w:hAnsi="Calibri" w:cs="Calibri"/>
          <w:szCs w:val="24"/>
        </w:rPr>
        <w:t xml:space="preserve">(Staats </w:t>
      </w:r>
      <w:r w:rsidR="00020123" w:rsidRPr="00C05886">
        <w:rPr>
          <w:rFonts w:ascii="Calibri" w:hAnsi="Calibri" w:cs="Calibri"/>
          <w:i/>
          <w:iCs/>
          <w:szCs w:val="24"/>
        </w:rPr>
        <w:t>et al.</w:t>
      </w:r>
      <w:r w:rsidR="00020123" w:rsidRPr="00C05886">
        <w:rPr>
          <w:rFonts w:ascii="Calibri" w:hAnsi="Calibri" w:cs="Calibri"/>
          <w:szCs w:val="24"/>
        </w:rPr>
        <w:t>, 2016)</w:t>
      </w:r>
      <w:r w:rsidR="000E3C80" w:rsidRPr="00C05886">
        <w:fldChar w:fldCharType="end"/>
      </w:r>
      <w:r w:rsidR="000E3C80" w:rsidRPr="00C05886">
        <w:t xml:space="preserve">. </w:t>
      </w:r>
      <w:bookmarkEnd w:id="62"/>
      <w:bookmarkEnd w:id="63"/>
      <w:r w:rsidR="000E3C80" w:rsidRPr="00C05886">
        <w:t>Moreover, the</w:t>
      </w:r>
      <w:r w:rsidR="00971A6B">
        <w:t xml:space="preserve"> </w:t>
      </w:r>
      <w:r w:rsidR="000E3C80" w:rsidRPr="00C05886">
        <w:t xml:space="preserve">concept </w:t>
      </w:r>
      <w:r w:rsidR="00971A6B">
        <w:t>of the</w:t>
      </w:r>
      <w:r w:rsidR="000E3C80" w:rsidRPr="00C05886">
        <w:t xml:space="preserve"> Green Infrastructure </w:t>
      </w:r>
      <w:r w:rsidR="000E3C80" w:rsidRPr="00C05886">
        <w:fldChar w:fldCharType="begin" w:fldLock="1"/>
      </w:r>
      <w:r w:rsidR="00971A6B">
        <w:instrText xml:space="preserve"> ADDIN ZOTERO_ITEM CSL_CITATION {"citationID":"ym5PoREs","properties":{"formattedCitation":"(Tzoulas {\\i{}et al.}, 2007; European Commission, 2019)","plainCitation":"(Tzoulas et al., 2007; European Commission, 2019)","noteIndex":0},"citationItems":[{"id":5408,"uris":["http://zotero.org/users/10951124/items/UAYBVSKG"],"itemData":{"id":5408,"type":"article-journal","abstract":"Europe is a highly urbanised continent. The consequent loss and degradation of urban and peri-urban green space could adversely affect ecosystems as well as human health and well-being. The aim of this paper is to formulate a conceptual framework of associations between urban green space, and ecosystem and human health. Through an interdisciplinary literature review the concepts of Green Infrastructure, ecosystem health, and human health and well-being are discussed. The possible contributions of urban and peri-urban green space systems, or Green Infrastructure, on both ecosystem and human health are critically reviewed. Finally, based on a synthesis of the literature a conceptual framework is presented. The proposed conceptual framework highlights many dynamic factors, and their complex interactions, affecting ecosystem health and human health in urban areas. This framework forms the context into which extant and new research can be placed. In this way it forms the basis for a new interdisciplinary research agenda. © 2007 Elsevier B.V. All rights reserved.","container-title":"Landscape and Urban Planning","DOI":"10.1016/j.landurbplan.2007.02.001","ISSN":"01692046","issue":"3","page":"167-178","title":"Promoting ecosystem and human health in urban areas using Green Infrastructure: A literature review","volume":"81","author":[{"family":"Tzoulas","given":"Konstantinos"},{"family":"Korpela","given":"Kalevi"},{"family":"Venn","given":"Stephen"},{"family":"Yli-Pelkonen","given":"Vesa"},{"family":"Kaźmierczak","given":"Aleksandra"},{"family":"Niemela","given":"Jari"},{"family":"James","given":"Philip"}],"issued":{"date-parts":[["2007"]]}}},{"id":11233,"uris":["http://zotero.org/users/10951124/items/8HMWSXD4"],"itemData":{"id":11233,"type":"report","publisher":"European Commission","title":"Guidance on a strategic framework for further supporting the deployment of EU-level green and blue infrastructure","URL":"https://data.consilium.europa.eu/doc/document/ST-9762-2019-INIT/en/pdf","author":[{"literal":"European Commission"}],"accessed":{"date-parts":[["2024",7,30]]},"issued":{"date-parts":[["2019",5,24]]}}}],"schema":"https://github.com/citation-style-language/schema/raw/master/csl-citation.json"} </w:instrText>
      </w:r>
      <w:r w:rsidR="000E3C80" w:rsidRPr="00C05886">
        <w:fldChar w:fldCharType="separate"/>
      </w:r>
      <w:r w:rsidR="00971A6B" w:rsidRPr="00971A6B">
        <w:rPr>
          <w:rFonts w:ascii="Calibri" w:hAnsi="Calibri" w:cs="Calibri"/>
          <w:szCs w:val="24"/>
        </w:rPr>
        <w:t xml:space="preserve">(Tzoulas </w:t>
      </w:r>
      <w:r w:rsidR="00971A6B" w:rsidRPr="00971A6B">
        <w:rPr>
          <w:rFonts w:ascii="Calibri" w:hAnsi="Calibri" w:cs="Calibri"/>
          <w:i/>
          <w:iCs/>
          <w:szCs w:val="24"/>
        </w:rPr>
        <w:t>et al.</w:t>
      </w:r>
      <w:r w:rsidR="00971A6B" w:rsidRPr="00971A6B">
        <w:rPr>
          <w:rFonts w:ascii="Calibri" w:hAnsi="Calibri" w:cs="Calibri"/>
          <w:szCs w:val="24"/>
        </w:rPr>
        <w:t>, 2007; European Commission, 2019)</w:t>
      </w:r>
      <w:r w:rsidR="000E3C80" w:rsidRPr="00C05886">
        <w:fldChar w:fldCharType="end"/>
      </w:r>
      <w:r w:rsidR="000E3C80" w:rsidRPr="00C05886">
        <w:t xml:space="preserve"> </w:t>
      </w:r>
      <w:r w:rsidR="00971A6B">
        <w:t>point</w:t>
      </w:r>
      <w:r w:rsidR="00736007">
        <w:t>s</w:t>
      </w:r>
      <w:r w:rsidR="00971A6B">
        <w:t xml:space="preserve"> out</w:t>
      </w:r>
      <w:r w:rsidR="00971A6B" w:rsidRPr="00C05886">
        <w:t xml:space="preserve"> </w:t>
      </w:r>
      <w:r w:rsidR="000E3C80" w:rsidRPr="00C05886">
        <w:t xml:space="preserve">the interconnection of green and grey spaces, acknowledging the existence of mixed spaces </w:t>
      </w:r>
      <w:r w:rsidR="00971A6B">
        <w:t>(e.g.</w:t>
      </w:r>
      <w:r w:rsidR="000E3C80" w:rsidRPr="00C05886">
        <w:t xml:space="preserve"> avenues</w:t>
      </w:r>
      <w:r w:rsidR="00971A6B">
        <w:t xml:space="preserve">, </w:t>
      </w:r>
      <w:r w:rsidR="000E3C80" w:rsidRPr="00C05886">
        <w:t>green roofs,</w:t>
      </w:r>
      <w:r w:rsidR="00971A6B">
        <w:t xml:space="preserve"> public allotments etc)</w:t>
      </w:r>
      <w:r w:rsidR="00736007">
        <w:t>,</w:t>
      </w:r>
      <w:r w:rsidR="000E3C80" w:rsidRPr="00C05886">
        <w:t xml:space="preserve"> where urban nature is present and </w:t>
      </w:r>
      <w:r w:rsidR="00971A6B">
        <w:t>provides a range of ecosystem services</w:t>
      </w:r>
      <w:r w:rsidR="000E3C80" w:rsidRPr="00C05886">
        <w:t>.</w:t>
      </w:r>
    </w:p>
    <w:p w14:paraId="69C3ADC5" w14:textId="77777777" w:rsidR="000E3C80" w:rsidRPr="00C05886" w:rsidRDefault="000E3C80" w:rsidP="000E3C80">
      <w:pPr>
        <w:pStyle w:val="Heading3"/>
      </w:pPr>
      <w:bookmarkStart w:id="64" w:name="_Toc179962318"/>
      <w:r w:rsidRPr="00C05886">
        <w:t>The present study</w:t>
      </w:r>
      <w:bookmarkEnd w:id="64"/>
    </w:p>
    <w:p w14:paraId="12EE4C6A" w14:textId="52001D1F" w:rsidR="000E3C80" w:rsidRPr="00C05886" w:rsidRDefault="000E3C80" w:rsidP="00B971D9">
      <w:r w:rsidRPr="00C05886">
        <w:t xml:space="preserve">In 2017, the city of Sheffield </w:t>
      </w:r>
      <w:r w:rsidR="004F067A">
        <w:t xml:space="preserve">(UK, </w:t>
      </w:r>
      <w:r w:rsidR="004F067A" w:rsidRPr="004F067A">
        <w:t>53°23′01″N</w:t>
      </w:r>
      <w:r w:rsidR="004F067A">
        <w:t>,</w:t>
      </w:r>
      <w:r w:rsidR="004F067A" w:rsidRPr="004F067A">
        <w:t xml:space="preserve"> 1°28′01″W</w:t>
      </w:r>
      <w:r w:rsidR="004F067A">
        <w:t xml:space="preserve">) </w:t>
      </w:r>
      <w:r w:rsidRPr="00C05886">
        <w:t xml:space="preserve">was chosen as the case study for a large-scale research project called “Improving Well-being through Urban Nature” (IWUN, www.iwun.uk). One of the project aims was to investigate which elements of urban nature could improve well-being. A smartphone application was developed </w:t>
      </w:r>
      <w:r w:rsidRPr="00C05886">
        <w:fldChar w:fldCharType="begin" w:fldLock="1"/>
      </w:r>
      <w:r w:rsidR="00A35208">
        <w:instrText xml:space="preserve"> ADDIN ZOTERO_ITEM CSL_CITATION {"citationID":"NMf3deBM","properties":{"formattedCitation":"(McEwan, Richardson, {\\i{}et al.}, 2020)","plainCitation":"(McEwan, Richardson, et al., 2020)","noteIndex":0},"citationItems":[{"id":"6pP8vKpK/aRS9nm8P","uris":["http://www.mendeley.com/documents/?uuid=b9a1039b-d222-4fb4-9097-3612f3496dc2"],"itemData":{"DOI":"10.1093/tbm/ibz027","ISSN":"1869-6716","abstract":"The majority of research to date on the links between well-being and green spaces comes from cross-sectional studies. Shmapped is an app that allows for the collection of well-being and location data live in the field and acts as a novel dual data collection tool and well-being intervention, which prompts users to notice the good things about their surroundings. We describe the process of developing Shmapped from storyboarding, budgeting, and timescales; selecting a developer; drawing up data protection plans; and collaborating with developers and end-user testers to ultimately publishing Shmapped. The development process and end-user testing resulted in a highly functional app. Limitations and future uses of such novel dual data collection and intervention apps are discussed and recommendations are made for prospective developers and researchers.","author":[{"dropping-particle":"","family":"McEwan","given":"Kirsten","non-dropping-particle":"","parse-names":false,"suffix":""},{"dropping-particle":"","family":"Richardson","given":"Miles","non-dropping-particle":"","parse-names":false,"suffix":""},{"dropping-particle":"","family":"Brindley","given":"Paul","non-dropping-particle":"","parse-names":false,"suffix":""},{"dropping-particle":"","family":"Sheffield","given":"David","non-dropping-particle":"","parse-names":false,"suffix":""},{"dropping-particle":"","family":"Tait","given":"Crawford","non-dropping-particle":"","parse-names":false,"suffix":""},{"dropping-particle":"","family":"Johnson","given":"Steve","non-dropping-particle":"","parse-names":false,"suffix":""},{"dropping-particle":"","family":"Sutch","given":"Hana","non-dropping-particle":"","parse-names":false,"suffix":""},{"dropping-particle":"","family":"Ferguson","given":"Fiona J","non-dropping-particle":"","parse-names":false,"suffix":""}],"container-title":"Translational Behavioral Medicine","id":"ITEM-1","issue":"3","issued":{"date-parts":[["2020","8","7"]]},"page":"723-733","title":"Shmapped: development of an app to record and promote the well-being benefits of noticing urban nature","type":"article-journal","volume":"10"}}],"schema":"https://github.com/citation-style-language/schema/raw/master/csl-citation.json"} </w:instrText>
      </w:r>
      <w:r w:rsidRPr="00C05886">
        <w:fldChar w:fldCharType="separate"/>
      </w:r>
      <w:r w:rsidRPr="00C05886">
        <w:rPr>
          <w:rFonts w:ascii="Calibri" w:hAnsi="Calibri" w:cs="Calibri"/>
          <w:szCs w:val="24"/>
        </w:rPr>
        <w:t xml:space="preserve">(McEwan, Richardson, </w:t>
      </w:r>
      <w:r w:rsidRPr="00C05886">
        <w:rPr>
          <w:rFonts w:ascii="Calibri" w:hAnsi="Calibri" w:cs="Calibri"/>
          <w:i/>
          <w:iCs/>
          <w:szCs w:val="24"/>
        </w:rPr>
        <w:t>et al.</w:t>
      </w:r>
      <w:r w:rsidRPr="00C05886">
        <w:rPr>
          <w:rFonts w:ascii="Calibri" w:hAnsi="Calibri" w:cs="Calibri"/>
          <w:szCs w:val="24"/>
        </w:rPr>
        <w:t>, 2020)</w:t>
      </w:r>
      <w:r w:rsidRPr="00C05886">
        <w:fldChar w:fldCharType="end"/>
      </w:r>
      <w:r w:rsidRPr="00C05886">
        <w:t xml:space="preserve"> to prompt participants to </w:t>
      </w:r>
      <w:r w:rsidR="00AD387A">
        <w:t xml:space="preserve">share their thoughts and feelings about the environment in which they were, </w:t>
      </w:r>
      <w:r w:rsidR="001F3B63">
        <w:t>be</w:t>
      </w:r>
      <w:r w:rsidR="00AD387A">
        <w:t xml:space="preserve"> it a green space or a grey space</w:t>
      </w:r>
      <w:r w:rsidRPr="00C05886">
        <w:t xml:space="preserve">. The app also allowed participants to share photographs with the researchers and to attach a brief text description. Participants </w:t>
      </w:r>
      <w:r w:rsidR="00AD387A">
        <w:t>sharing thoughts about urban</w:t>
      </w:r>
      <w:r w:rsidRPr="00C05886">
        <w:t xml:space="preserve"> nature reported improvements in well-being for up to one month </w:t>
      </w:r>
      <w:r w:rsidRPr="00C05886">
        <w:fldChar w:fldCharType="begin" w:fldLock="1"/>
      </w:r>
      <w:r w:rsidR="00020123" w:rsidRPr="00C05886">
        <w:instrText xml:space="preserve"> ADDIN ZOTERO_ITEM CSL_CITATION {"citationID":"hyHIJwy9","properties":{"formattedCitation":"(McEwan {\\i{}et al.}, 2019)","plainCitation":"(McEwan et al., 2019)","noteIndex":0},"citationItems":[{"id":7768,"uris":["http://zotero.org/users/10951124/items/U8DHWA8B"],"itemData":{"id":7768,"type":"article-journal","abstract":"In an increasingly urbanised world where mental health is currently in crisis, interventions to increase human engagement and connection with the natural environment are one of the fastest growing, most widely accessible, and cost-effective ways of improving human wellbeing. This study aimed to provide an evaluation of a smartphone app-based wellbeing intervention. In a randomised controlled trial study design, the app prompted 582 adults, including a subgroup of adults classified by baseline scores on the Recovering Quality of Life scale as having a common mental health problem (n = 148), to notice the good things about urban nature (intervention condition) or built spaces (active control). There were statistically significant and sustained improvements in wellbeing at one-month follow-up. Importantly, in the noticing urban nature condition, compared to a built space control, improvements in quality of life reached statistical significance for all adults and clinical significance for those classified as having a mental health difficulty. This improvement in wellbeing was partly explained by significant increases in nature connectedness and positive affect. This study provides the first controlled experimental evidence that noticing the good things about urban nature has strong clinical potential as a wellbeing intervention and social prescription.","container-title":"International Journal of Environmental Research and Public Health","DOI":"10.3390/ijerph16183373","ISSN":"16604601","issue":"18","note":"PMID: 31547286","page":"1-15","title":"A smartphone app for improving mental health through connecting with urban nature","volume":"16","author":[{"family":"McEwan","given":"Kirsten"},{"family":"Richardson","given":"Miles"},{"family":"Sheffield","given":"David"},{"family":"Ferguson","given":"Fiona J."},{"family":"Brindley","given":"Paul"}],"issued":{"date-parts":[["2019"]]}}}],"schema":"https://github.com/citation-style-language/schema/raw/master/csl-citation.json"} </w:instrText>
      </w:r>
      <w:r w:rsidRPr="00C05886">
        <w:fldChar w:fldCharType="separate"/>
      </w:r>
      <w:r w:rsidR="00020123" w:rsidRPr="00C05886">
        <w:rPr>
          <w:rFonts w:ascii="Calibri" w:hAnsi="Calibri" w:cs="Calibri"/>
          <w:szCs w:val="24"/>
        </w:rPr>
        <w:t xml:space="preserve">(McEwan </w:t>
      </w:r>
      <w:r w:rsidR="00020123" w:rsidRPr="00C05886">
        <w:rPr>
          <w:rFonts w:ascii="Calibri" w:hAnsi="Calibri" w:cs="Calibri"/>
          <w:i/>
          <w:iCs/>
          <w:szCs w:val="24"/>
        </w:rPr>
        <w:t>et al.</w:t>
      </w:r>
      <w:r w:rsidR="00020123" w:rsidRPr="00C05886">
        <w:rPr>
          <w:rFonts w:ascii="Calibri" w:hAnsi="Calibri" w:cs="Calibri"/>
          <w:szCs w:val="24"/>
        </w:rPr>
        <w:t>, 2019)</w:t>
      </w:r>
      <w:r w:rsidRPr="00C05886">
        <w:fldChar w:fldCharType="end"/>
      </w:r>
      <w:r w:rsidRPr="00C05886">
        <w:t xml:space="preserve">, while qualitative analysis of the comments revealed the positive emotions elicited by urban nature (including wonder, gratitude and awe) as well as the negative emotions prompted by encountering litter and poorly managed green spaces </w:t>
      </w:r>
      <w:r w:rsidRPr="00C05886">
        <w:fldChar w:fldCharType="begin" w:fldLock="1"/>
      </w:r>
      <w:r w:rsidR="00A35208">
        <w:instrText xml:space="preserve"> ADDIN ZOTERO_ITEM CSL_CITATION {"citationID":"IF0vized","properties":{"formattedCitation":"(McEwan, Ferguson, {\\i{}et al.}, 2020)","plainCitation":"(McEwan, Ferguson, et al., 2020)","noteIndex":0},"citationItems":[{"id":"6pP8vKpK/2lSwzZji","uris":["http://www.mendeley.com/documents/?uuid=5c7041a7-2266-4382-a1c5-b4994928bc9f"],"itemData":{"DOI":"10.1016/j.landurbplan.2019.103687","ISSN":"01692046","abstract":"Green interventions which connect people with nature to improve wellbeing are increasingly being applied to tackle the current crisis in mental health. A novel Smartphone app intervention was evaluated amongst adults (n = 228) including (n = 53) adults with common mental health problems, with the aim to improve wellbeing through noticing the good things about urban nature. The app prompted participants once a day over 7 days to write notes about the good things they noticed in urban green spaces. Notes were thematically analysed and ten themes emerged. The three themes with the greatest representation were: i) wonder at encountering wildlife in day-to-day urban settings; ii) appreciation of street trees; and iii) awe at colourful, expansive, dramatic skies and views. Through combining the above themes with the pathways to nature connectedness this paper provides an extended framework of activities to inform activity programming, nature engagement media content, and ‘green health’ interventions. Moreover, the findings have strong implications for optimising city planning, design and management for the wellbeing of both humans and wildlife.","author":[{"dropping-particle":"","family":"McEwan","given":"Kirsten","non-dropping-particle":"","parse-names":false,"suffix":""},{"dropping-particle":"","family":"Ferguson","given":"Fiona J.","non-dropping-particle":"","parse-names":false,"suffix":""},{"dropping-particle":"","family":"Richardson","given":"Miles","non-dropping-particle":"","parse-names":false,"suffix":""},{"dropping-particle":"","family":"Cameron","given":"Ross","non-dropping-particle":"","parse-names":false,"suffix":""}],"container-title":"Landscape and Urban Planning","id":"ITEM-1","issue":"October 2019","issued":{"date-parts":[["2020"]]},"page":"103687","publisher":"Elsevier","title":"The good things in urban nature: A thematic framework for optimising urban planning for nature connectedness","type":"article-journal","volume":"194"}}],"schema":"https://github.com/citation-style-language/schema/raw/master/csl-citation.json"} </w:instrText>
      </w:r>
      <w:r w:rsidRPr="00C05886">
        <w:fldChar w:fldCharType="separate"/>
      </w:r>
      <w:r w:rsidRPr="00C05886">
        <w:rPr>
          <w:rFonts w:ascii="Calibri" w:hAnsi="Calibri" w:cs="Calibri"/>
          <w:szCs w:val="24"/>
        </w:rPr>
        <w:t xml:space="preserve">(McEwan, Ferguson, </w:t>
      </w:r>
      <w:r w:rsidRPr="00C05886">
        <w:rPr>
          <w:rFonts w:ascii="Calibri" w:hAnsi="Calibri" w:cs="Calibri"/>
          <w:i/>
          <w:iCs/>
          <w:szCs w:val="24"/>
        </w:rPr>
        <w:t>et al.</w:t>
      </w:r>
      <w:r w:rsidRPr="00C05886">
        <w:rPr>
          <w:rFonts w:ascii="Calibri" w:hAnsi="Calibri" w:cs="Calibri"/>
          <w:szCs w:val="24"/>
        </w:rPr>
        <w:t>, 2020)</w:t>
      </w:r>
      <w:r w:rsidRPr="00C05886">
        <w:fldChar w:fldCharType="end"/>
      </w:r>
      <w:r w:rsidRPr="00C05886">
        <w:t>. The most common positive encounters with urban nature included I) wonder at encountering wildlife in day-to-day urban settings; II) appreciation of street trees; and III) awe at colourful, expansive, dramatic skies and views.</w:t>
      </w:r>
    </w:p>
    <w:p w14:paraId="5AF63CEC" w14:textId="54864789" w:rsidR="000E3C80" w:rsidRPr="00C05886" w:rsidRDefault="000E3C80" w:rsidP="00DF7A1D">
      <w:r w:rsidRPr="00C05886">
        <w:t xml:space="preserve">This photographic data captured experiences of appreciation of urban nature that were directly linked with the participants’ well-being and perceptions of </w:t>
      </w:r>
      <w:r w:rsidR="00A76BBB">
        <w:t>species richness</w:t>
      </w:r>
      <w:r w:rsidRPr="00C05886">
        <w:t xml:space="preserve">. Therefore, these photographs can provide useful insights into which aspects of urban nature were noticed by Sheffield residents and contributed to their well-being and perceptions of </w:t>
      </w:r>
      <w:r w:rsidR="00A76BBB">
        <w:t>species richness</w:t>
      </w:r>
      <w:r w:rsidRPr="00C05886">
        <w:t xml:space="preserve">. In addition, some of the participants linked their well-being to the built environment, which provides a useful comparison to the benefits of noticing nature. </w:t>
      </w:r>
      <w:r w:rsidR="00B61EC6">
        <w:t>This approach</w:t>
      </w:r>
      <w:r w:rsidR="00875230">
        <w:t xml:space="preserve"> is called “visitor-employed </w:t>
      </w:r>
      <w:r w:rsidR="00875230">
        <w:lastRenderedPageBreak/>
        <w:t xml:space="preserve">photography” </w:t>
      </w:r>
      <w:r w:rsidR="00875230">
        <w:fldChar w:fldCharType="begin"/>
      </w:r>
      <w:r w:rsidR="00875230">
        <w:instrText xml:space="preserve"> ADDIN ZOTERO_ITEM CSL_CITATION {"citationID":"NIrPOugq","properties":{"formattedCitation":"(Chenoweth, 1984)","plainCitation":"(Chenoweth, 1984)","noteIndex":0},"citationItems":[{"id":11325,"uris":["http://zotero.org/users/10951124/items/BEU4IH7C"],"itemData":{"id":11325,"type":"article-journal","container-title":"Landscape Journal","DOI":"10.3368/lj.3.2.136","ISSN":"0277-2426, 1553-2704","issue":"2","journalAbbreviation":"Landscape Jrnl.","language":"en","page":"136-143","source":"DOI.org (Crossref)","title":"Visitor Employed Photography: A Potential Tool for Landscape Architecture","title-short":"Visitor Employed Photography","volume":"3","author":[{"family":"Chenoweth","given":"Richard"}],"issued":{"date-parts":[["1984"]]}}}],"schema":"https://github.com/citation-style-language/schema/raw/master/csl-citation.json"} </w:instrText>
      </w:r>
      <w:r w:rsidR="00875230">
        <w:fldChar w:fldCharType="separate"/>
      </w:r>
      <w:r w:rsidR="00875230" w:rsidRPr="00875230">
        <w:rPr>
          <w:rFonts w:ascii="Calibri" w:hAnsi="Calibri" w:cs="Calibri"/>
        </w:rPr>
        <w:t>(Chenoweth, 1984)</w:t>
      </w:r>
      <w:r w:rsidR="00875230">
        <w:fldChar w:fldCharType="end"/>
      </w:r>
      <w:r w:rsidR="00875230">
        <w:t xml:space="preserve"> and has been used to</w:t>
      </w:r>
      <w:r w:rsidR="00A31440">
        <w:t xml:space="preserve"> understand perceptions of natural environments. For example</w:t>
      </w:r>
      <w:r w:rsidR="008913FE">
        <w:t>,</w:t>
      </w:r>
      <w:r w:rsidR="00A31440">
        <w:t xml:space="preserve"> this method was used to investigate perceptions of forest management in Sweden </w:t>
      </w:r>
      <w:r w:rsidR="00A31440">
        <w:fldChar w:fldCharType="begin"/>
      </w:r>
      <w:r w:rsidR="008D6CB8">
        <w:instrText xml:space="preserve"> ADDIN ZOTERO_ITEM CSL_CITATION {"citationID":"3Wem8kwu","properties":{"formattedCitation":"(Heyman, 2012)","plainCitation":"(Heyman, 2012)","noteIndex":0},"citationItems":[{"id":11328,"uris":["http://zotero.org/users/10951124/items/7PFQV4D6"],"itemData":{"id":11328,"type":"article-journal","container-title":"Urban Forestry &amp; Urban Greening","DOI":"10.1016/j.ufug.2012.02.003","ISSN":"16188667","issue":"3","journalAbbreviation":"Urban Forestry &amp; Urban Greening","language":"en","license":"https://www.elsevier.com/tdm/userlicense/1.0/","page":"267-277","source":"DOI.org (Crossref)","title":"Analysing recreational values and management effects in an urban forest with the visitor-employed photography method","volume":"11","author":[{"family":"Heyman","given":"Erik"}],"issued":{"date-parts":[["2012",1]]}}}],"schema":"https://github.com/citation-style-language/schema/raw/master/csl-citation.json"} </w:instrText>
      </w:r>
      <w:r w:rsidR="00A31440">
        <w:fldChar w:fldCharType="separate"/>
      </w:r>
      <w:r w:rsidR="008D6CB8" w:rsidRPr="008D6CB8">
        <w:rPr>
          <w:rFonts w:ascii="Calibri" w:hAnsi="Calibri" w:cs="Calibri"/>
        </w:rPr>
        <w:t>(Heyman, 2012)</w:t>
      </w:r>
      <w:r w:rsidR="00A31440">
        <w:fldChar w:fldCharType="end"/>
      </w:r>
      <w:r w:rsidR="008913FE">
        <w:t xml:space="preserve">, the attractiveness of (perceived) species richness in a large urban park </w:t>
      </w:r>
      <w:r w:rsidR="008D6CB8">
        <w:t xml:space="preserve"> </w:t>
      </w:r>
      <w:r w:rsidR="008913FE">
        <w:fldChar w:fldCharType="begin"/>
      </w:r>
      <w:r w:rsidR="008913FE">
        <w:instrText xml:space="preserve"> ADDIN ZOTERO_ITEM CSL_CITATION {"citationID":"zrG2sQBy","properties":{"formattedCitation":"(Qiu, Lindberg and Nielsen, 2013)","plainCitation":"(Qiu, Lindberg and Nielsen, 2013)","noteIndex":0},"citationItems":[{"id":6262,"uris":["http://zotero.org/users/10951124/items/6KYUJUHC"],"itemData":{"id":6262,"type":"article-journal","abstract":"This study investigated whether preferences and biodiversity are compatible in an urban green space setting and whether people actually recognise and appreciate ecologically rich environments when exposed to these as part of a recreational visit. Data were collected through an on-site visitor-employed photography (VEP) study employing both lay people and ecology experts. Photos were taken by the participants during a walk along a 1.6 km trail through a recreational park with clear habitat variation. Half of the lay people and half of the experts each took five photos of features reflecting high preference and five reflecting low preference. The remaining half each took five photos of features they perceived to represent high species richness and five representing low species richness. Photos and written comments were then compared against an assessment of biodiversity values of the different habitats experienced along the trail. The results indicated that people can correctly perceive differences in biodiversity between urban green space habitat types. High biodiversity did not, however, relate positively to preference as half-open park areas were preferred to areas of more complex vegetation. Nevertheless, negative preferences for these richer habitat types were mostly related to the presence or execution of human interventions. The VEP method revealed on-site perception and preference to be highly context-specific, mainly triggered by specific features rather than the overall scenery and character of the setting. Differences in attitude between experts and lay people suggested that ecological knowledge could have a positive influence on preference for certain aspects of biodiversity.","container-title":"Landscape and Urban Planning","DOI":"10.1016/j.landurbplan.2013.07.007","ISSN":"0169-2046","page":"136-146","title":"Is biodiversity attractive?—On-site perception of recreational and biodiversity values in urban green space","volume":"119","author":[{"family":"Qiu","given":"Ling"},{"family":"Lindberg","given":"Stefan"},{"family":"Nielsen","given":"Anders Busse"}],"issued":{"date-parts":[["2013"]]}}}],"schema":"https://github.com/citation-style-language/schema/raw/master/csl-citation.json"} </w:instrText>
      </w:r>
      <w:r w:rsidR="008913FE">
        <w:fldChar w:fldCharType="separate"/>
      </w:r>
      <w:r w:rsidR="008913FE" w:rsidRPr="008913FE">
        <w:rPr>
          <w:rFonts w:ascii="Calibri" w:hAnsi="Calibri" w:cs="Calibri"/>
        </w:rPr>
        <w:t>(Qiu, Lindberg and Nielsen, 2013)</w:t>
      </w:r>
      <w:r w:rsidR="008913FE">
        <w:fldChar w:fldCharType="end"/>
      </w:r>
      <w:r w:rsidR="008913FE">
        <w:t xml:space="preserve">, </w:t>
      </w:r>
      <w:r w:rsidR="008D6CB8">
        <w:t xml:space="preserve">or </w:t>
      </w:r>
      <w:r w:rsidR="000A3C27">
        <w:t xml:space="preserve">opinions </w:t>
      </w:r>
      <w:r w:rsidR="008D6CB8">
        <w:t xml:space="preserve">towards the presence of deadwood in a forest national park in Germany </w:t>
      </w:r>
      <w:r w:rsidR="008D6CB8">
        <w:fldChar w:fldCharType="begin"/>
      </w:r>
      <w:r w:rsidR="008D6CB8">
        <w:instrText xml:space="preserve"> ADDIN ZOTERO_ITEM CSL_CITATION {"citationID":"VmL0iufg","properties":{"formattedCitation":"(Rathmann {\\i{}et al.}, 2020)","plainCitation":"(Rathmann et al., 2020)","noteIndex":0},"citationItems":[{"id":11329,"uris":["http://zotero.org/users/10951124/items/E2WGYLRT"],"itemData":{"id":11329,"type":"article-journal","abstract":"Abstract\n            This study investigates visitors’ perceptions and preferences regarding the characteristics of deadwood in the Bavarian Forest National Park (SE-Germany). Visitor-employed photography has been used to collect information about visitors’ preferences. Deadwood is the second most photographed forest element which underlines its important role in forest perception. Even though deadwood photographs are evaluated significantly worse than most other forest elements, most visitors nevertheless associate deadwood photographs with a positively rated forest image. Based on the relationship between aesthetics and recreation revealed in the interviews, it can be concluded that the forest path during the hike was both pleasant and restful. This is confirmed by the post-trip interviews, showing that a higher proportion of deadwood is associated with more aesthetics or recreational value. Regarding deadwood structure results show that deadwood fragments and debris are perceived negatively, while root stocks were assessed more positively. We also found a gradient with positive evaluations increasing with progressing decomposition.","container-title":"European Journal of Forest Research","DOI":"10.1007/s10342-020-01260-0","ISSN":"1612-4669, 1612-4677","issue":"3","journalAbbreviation":"Eur J Forest Res","language":"en","page":"431-442","source":"DOI.org (Crossref)","title":"Using the visitor-employed photography method to analyse deadwood perceptions of forest visitors: a case study from Bavarian Forest National Park, Germany","title-short":"Using the visitor-employed photography method to analyse deadwood perceptions of forest visitors","volume":"139","author":[{"family":"Rathmann","given":"Joachim"},{"family":"Sacher","given":"Philipp"},{"family":"Volkmann","given":"Norman"},{"family":"Mayer","given":"Marius"}],"issued":{"date-parts":[["2020",6]]}}}],"schema":"https://github.com/citation-style-language/schema/raw/master/csl-citation.json"} </w:instrText>
      </w:r>
      <w:r w:rsidR="008D6CB8">
        <w:fldChar w:fldCharType="separate"/>
      </w:r>
      <w:r w:rsidR="008D6CB8" w:rsidRPr="008D6CB8">
        <w:rPr>
          <w:rFonts w:ascii="Calibri" w:hAnsi="Calibri" w:cs="Calibri"/>
          <w:szCs w:val="24"/>
        </w:rPr>
        <w:t xml:space="preserve">(Rathmann </w:t>
      </w:r>
      <w:r w:rsidR="008D6CB8" w:rsidRPr="008D6CB8">
        <w:rPr>
          <w:rFonts w:ascii="Calibri" w:hAnsi="Calibri" w:cs="Calibri"/>
          <w:i/>
          <w:iCs/>
          <w:szCs w:val="24"/>
        </w:rPr>
        <w:t>et al.</w:t>
      </w:r>
      <w:r w:rsidR="008D6CB8" w:rsidRPr="008D6CB8">
        <w:rPr>
          <w:rFonts w:ascii="Calibri" w:hAnsi="Calibri" w:cs="Calibri"/>
          <w:szCs w:val="24"/>
        </w:rPr>
        <w:t>, 2020)</w:t>
      </w:r>
      <w:r w:rsidR="008D6CB8">
        <w:fldChar w:fldCharType="end"/>
      </w:r>
      <w:r w:rsidR="008913FE">
        <w:t xml:space="preserve">. </w:t>
      </w:r>
      <w:r w:rsidR="007120C0">
        <w:t xml:space="preserve">More recently, photographs taken by participants were used to gauge their perceived biodiversity during a visit to a wetland park in northwest China </w:t>
      </w:r>
      <w:r w:rsidR="007120C0">
        <w:fldChar w:fldCharType="begin"/>
      </w:r>
      <w:r w:rsidR="007120C0">
        <w:instrText xml:space="preserve"> ADDIN ZOTERO_ITEM CSL_CITATION {"citationID":"rFVUFO4p","properties":{"formattedCitation":"(Liang {\\i{}et al.}, 2023)","plainCitation":"(Liang et al., 2023)","noteIndex":0},"citationItems":[{"id":9628,"uris":["http://zotero.org/users/10951124/items/K9RJNZHN"],"itemData":{"id":9628,"type":"article-journal","abstract":"In practice, it is difficult to represent both biodiversity and recreational values in urban green spaces, mostly due to the lack of knowledge concerning people's biodiversity perceptions and recreational preferences. This study investigated the relationship between biodiversity, perceived biodiversity and recreational preference in urban green spaces in a Chinese urban environmental context. A compound factor was used to assess the actual biodiversity in biotopes while visitor-employed photography (VEP) was adopted to collect the perceptions of biodiversity and recreational preferences of participants, who were professional teachers and college students. Kruskal-Wallis tests were applied to compare the perceived biodiversity and recreational preferences across different biotopes. The reasons for which participants identified biodiversity or preferred the biotopes were also analyzed through binary logistic regression models and Kruskal-Wallis tests. Lastly, the differences between perception and recreational preference as effects of ecological knowledge were analyzed by Mann-Whitney tests. The results indicated that the participants could identify the biodiversity in different biotopes and preferred the water biotope. Landscape content was the most important environmental factor contributing to both the perception and recreational preference trends. The teachers focused more on spatial configurations while students noticed greater management in the biotopes. The study explored and identified people's attitudes and recreational preferences towards biodiversity in urban green spaces in China, and discussed balanced strategies for biodiversity conservation and recreation.","container-title":"Ecological Indicators","DOI":"10.1016/j.ecolind.2023.109916","ISSN":"1470-160X","journalAbbreviation":"Ecological Indicators","page":"109916","title":"The relationships among biodiversity, perceived biodiversity and recreational preference in urban green spaces–A case study in Xianyang, China","volume":"146","author":[{"family":"Liang","given":"Huiyi"},{"family":"Lin","given":"Yiwei"},{"family":"Chen","given":"Yingyuan"},{"family":"Hao","given":"Xueli"},{"family":"Gao","given":"Dongyang"},{"family":"Yu","given":"Na"},{"family":"Li","given":"Yapeng"},{"family":"Qiu","given":"Ling"},{"family":"Gao","given":"Tian"}],"issued":{"date-parts":[["2023",2,1]]}}}],"schema":"https://github.com/citation-style-language/schema/raw/master/csl-citation.json"} </w:instrText>
      </w:r>
      <w:r w:rsidR="007120C0">
        <w:fldChar w:fldCharType="separate"/>
      </w:r>
      <w:r w:rsidR="007120C0" w:rsidRPr="007120C0">
        <w:rPr>
          <w:rFonts w:ascii="Calibri" w:hAnsi="Calibri" w:cs="Calibri"/>
          <w:szCs w:val="24"/>
        </w:rPr>
        <w:t xml:space="preserve">(Liang </w:t>
      </w:r>
      <w:r w:rsidR="007120C0" w:rsidRPr="007120C0">
        <w:rPr>
          <w:rFonts w:ascii="Calibri" w:hAnsi="Calibri" w:cs="Calibri"/>
          <w:i/>
          <w:iCs/>
          <w:szCs w:val="24"/>
        </w:rPr>
        <w:t>et al.</w:t>
      </w:r>
      <w:r w:rsidR="007120C0" w:rsidRPr="007120C0">
        <w:rPr>
          <w:rFonts w:ascii="Calibri" w:hAnsi="Calibri" w:cs="Calibri"/>
          <w:szCs w:val="24"/>
        </w:rPr>
        <w:t>, 2023)</w:t>
      </w:r>
      <w:r w:rsidR="007120C0">
        <w:fldChar w:fldCharType="end"/>
      </w:r>
      <w:r w:rsidR="007120C0">
        <w:t>. Each participant took 8 photographs, briefly explaining the content and the reasons behind the shot. Although this allowed the researchers to compare the perceived and the actual biodiversity (which they had surveyed in terms of species richness)</w:t>
      </w:r>
      <w:r w:rsidR="00B61EC6">
        <w:t>, mental well-being was not part of the study.</w:t>
      </w:r>
      <w:r w:rsidR="00B61EC6" w:rsidRPr="00B61EC6">
        <w:t xml:space="preserve"> </w:t>
      </w:r>
      <w:r w:rsidR="00B61EC6">
        <w:t>Alternatively, other</w:t>
      </w:r>
      <w:r w:rsidR="00B61EC6" w:rsidRPr="00C05886">
        <w:t xml:space="preserve"> studies have analysed large numbers of images downloaded from social media (e.g. Flickr or Twitter) to inform urban planners about green space perception and quality. For example, studies concerning the cities of Copenhagen </w:t>
      </w:r>
      <w:r w:rsidR="00B61EC6" w:rsidRPr="00C05886">
        <w:fldChar w:fldCharType="begin" w:fldLock="1"/>
      </w:r>
      <w:r w:rsidR="00A35208">
        <w:instrText xml:space="preserve"> ADDIN ZOTERO_ITEM CSL_CITATION {"citationID":"1BJGAPVe","properties":{"formattedCitation":"(Guerrero {\\i{}et al.}, 2016)","plainCitation":"(Guerrero et al., 2016)","noteIndex":0},"citationItems":[{"id":"6pP8vKpK/Rp28GSBL","uris":["http://www.mendeley.com/documents/?uuid=d15f407f-54fa-4414-8c07-9819d7ecf5d3"],"itemData":{"DOI":"10.17645/up.v1i2.609","ISSN":"21837635","abstract":"With the prevalence of smartphones, new ways of engaging citizens and stakeholders in urban planning and governance are emerging. The technologies in smartphones allow citizens to act as sensors of their environment, producing and sharing rich spatial data useful for new types of collaborative governance set-ups. Data derived from Volunteered Geographic Information (VGI) can support accessible, transparent, democratic, inclusive, and locally-based governance situations of interest to planners, citizens, politicians, and scientists. However, there are still uncertainties about how to actually conduct this in practice. This study explores how social media VGI can be used to document spatial tendencies regarding citizens’ uses and perceptions of urban nature with relevance for urban green space governance. Via the hashtag #sharingcph, created by the City of Copenhagen in 2014, VGI data consisting of geo-referenced images were collected from Instagram, categorised according to their content and analysed according to their spatial distribution patterns. The results show specific spatial distributions of the images and main hotspots. Many possibilities and much potential of using VGI for generating, sharing, visualising and communicating knowledge about citizens’ spatial uses and preferences exist, but as a tool to support scientific and democratic interaction, VGI data is challenged by practical, technical and ethical concerns. More research is needed in order to better understand the usefulness and application of this rich data source to governance.","author":[{"dropping-particle":"","family":"Guerrero","given":"Paulina","non-dropping-particle":"","parse-names":false,"suffix":""},{"dropping-particle":"","family":"Møller","given":"Maja Steen","non-dropping-particle":"","parse-names":false,"suffix":""},{"dropping-particle":"","family":"Olafsson","given":"Anton Stahl","non-dropping-particle":"","parse-names":false,"suffix":""},{"dropping-particle":"","family":"Snizek","given":"Bernhard","non-dropping-particle":"","parse-names":false,"suffix":""}],"container-title":"Urban Planning","id":"ITEM-1","issue":"2","issued":{"date-parts":[["2016"]]},"page":"1-17","title":"Revealing cultural ecosystem services through instagram images: The potential of social media volunteered geographic information for urban green infrastructure planning and governance","type":"article-journal","volume":"1"}}],"schema":"https://github.com/citation-style-language/schema/raw/master/csl-citation.json"} </w:instrText>
      </w:r>
      <w:r w:rsidR="00B61EC6" w:rsidRPr="00C05886">
        <w:fldChar w:fldCharType="separate"/>
      </w:r>
      <w:r w:rsidR="00B61EC6" w:rsidRPr="00C05886">
        <w:rPr>
          <w:rFonts w:ascii="Calibri" w:hAnsi="Calibri" w:cs="Calibri"/>
          <w:szCs w:val="24"/>
        </w:rPr>
        <w:t xml:space="preserve">(Guerrero </w:t>
      </w:r>
      <w:r w:rsidR="00B61EC6" w:rsidRPr="00C05886">
        <w:rPr>
          <w:rFonts w:ascii="Calibri" w:hAnsi="Calibri" w:cs="Calibri"/>
          <w:i/>
          <w:iCs/>
          <w:szCs w:val="24"/>
        </w:rPr>
        <w:t>et al.</w:t>
      </w:r>
      <w:r w:rsidR="00B61EC6" w:rsidRPr="00C05886">
        <w:rPr>
          <w:rFonts w:ascii="Calibri" w:hAnsi="Calibri" w:cs="Calibri"/>
          <w:szCs w:val="24"/>
        </w:rPr>
        <w:t>, 2016)</w:t>
      </w:r>
      <w:r w:rsidR="00B61EC6" w:rsidRPr="00C05886">
        <w:fldChar w:fldCharType="end"/>
      </w:r>
      <w:r w:rsidR="00B61EC6" w:rsidRPr="00C05886">
        <w:t xml:space="preserve"> and Singapore </w:t>
      </w:r>
      <w:r w:rsidR="00B61EC6" w:rsidRPr="00C05886">
        <w:fldChar w:fldCharType="begin" w:fldLock="1"/>
      </w:r>
      <w:r w:rsidR="00A35208">
        <w:instrText xml:space="preserve"> ADDIN ZOTERO_ITEM CSL_CITATION {"citationID":"H0N5LNGk","properties":{"formattedCitation":"(Richards, Tun\\uc0\\u231{}er and Tun\\uc0\\u231{}er, 2018)","plainCitation":"(Richards, Tunçer and Tunçer, 2018)","noteIndex":0},"citationItems":[{"id":"6pP8vKpK/fMKUWF8T","uris":["http://www.mendeley.com/documents/?uuid=429fa465-c29b-47d2-8d26-c22ac3a5ab50"],"itemData":{"DOI":"10.1016/j.ecoser.2017.09.004","ISSN":"22120416","abstract":"Quantifying and mapping cultural ecosystem services is complex because of their intangibility. Data from social media, such as geo-tagged photographs, have been proposed for mapping cultural use or appreciation of ecosystems. However, manual content analysis and classification of large numbers of photographs is time consuming. This study develops a novel method for automating content analysis of social media photographs for ecosystem services assessment. The approach applies an online machine learning algorithm – Google Cloud Vision – to analyse over 20,000 photographs from Singapore, and uses hierarchical clustering to group these photographs. The accuracy of the classification was assessed by comparison with manual classification. Over 20% of photographs were taken of nature, being of animals or plants. The distribution of nature photographs was concentrated around particular natural attractions, and nature photographs were more likely to occur in parks and areas of high vegetation cover. The approach developed for clustering photographs was accurate and saved approximately 170 h of manual work. The method provides an indicator of cultural ecosystem services that can be applied rapidly over large areas. Automated assessment and mapping of cultural ecosystem services could be used to inform urban planning.","author":[{"dropping-particle":"","family":"Richards","given":"Daniel R.","non-dropping-particle":"","parse-names":false,"suffix":""},{"dropping-particle":"","family":"Tunçer","given":"Bige","non-dropping-particle":"","parse-names":false,"suffix":""},{"dropping-particle":"","family":"Tunçer","given":"Bige","non-dropping-particle":"","parse-names":false,"suffix":""}],"container-title":"Ecosystem Services","id":"ITEM-1","issued":{"date-parts":[["2018"]]},"page":"318-325","publisher":"Elsevier B.V.","title":"Using image recognition to automate assessment of cultural ecosystem services from social media photographs","type":"article-journal","volume":"31"}}],"schema":"https://github.com/citation-style-language/schema/raw/master/csl-citation.json"} </w:instrText>
      </w:r>
      <w:r w:rsidR="00B61EC6" w:rsidRPr="00C05886">
        <w:fldChar w:fldCharType="separate"/>
      </w:r>
      <w:r w:rsidR="00B61EC6" w:rsidRPr="00C05886">
        <w:rPr>
          <w:rFonts w:ascii="Calibri" w:hAnsi="Calibri" w:cs="Calibri"/>
          <w:szCs w:val="24"/>
        </w:rPr>
        <w:t>(Richards, Tunçer and Tunçer, 2018)</w:t>
      </w:r>
      <w:r w:rsidR="00B61EC6" w:rsidRPr="00C05886">
        <w:fldChar w:fldCharType="end"/>
      </w:r>
      <w:r w:rsidR="00B61EC6" w:rsidRPr="00C05886">
        <w:t xml:space="preserve"> revealed that a significant percentage (respectively, 34% and 20%) of the pictures posted on social networks portrayed urban nature, highlighting the value that it may have for citizens and tourists alike.</w:t>
      </w:r>
      <w:r w:rsidR="00B61EC6">
        <w:t xml:space="preserve"> </w:t>
      </w:r>
      <w:r w:rsidR="00B61EC6" w:rsidRPr="00C05886">
        <w:t xml:space="preserve"> </w:t>
      </w:r>
    </w:p>
    <w:p w14:paraId="338C0F57" w14:textId="77777777" w:rsidR="000E3C80" w:rsidRPr="00C05886" w:rsidRDefault="000E3C80" w:rsidP="004C4C3C">
      <w:r w:rsidRPr="00C05886">
        <w:t>This study aimed to go beyond previous photographic studies which have utilised cross-sectional or social media data, by using photographs and well-being data recorded in the moment. This could have important implications for Local Authorities and urban planners who want to maximise the well-being benefits of urban green spaces and might inform planting schemes, restoration or rewilding of urban green spaces.</w:t>
      </w:r>
    </w:p>
    <w:p w14:paraId="1F353BC6" w14:textId="77777777" w:rsidR="000E3C80" w:rsidRPr="00C05886" w:rsidRDefault="000E3C80" w:rsidP="0019506B">
      <w:r w:rsidRPr="00C05886">
        <w:t>Summarising, this paper addressed the following research questions:</w:t>
      </w:r>
    </w:p>
    <w:p w14:paraId="5842D320" w14:textId="3E73390C" w:rsidR="000E3C80" w:rsidRPr="00C05886" w:rsidRDefault="000E3C80" w:rsidP="00C64930">
      <w:pPr>
        <w:pStyle w:val="ListParagraph"/>
        <w:numPr>
          <w:ilvl w:val="0"/>
          <w:numId w:val="16"/>
        </w:numPr>
        <w:spacing w:after="200"/>
        <w:ind w:left="714" w:hanging="357"/>
      </w:pPr>
      <w:r w:rsidRPr="00C05886">
        <w:t xml:space="preserve">Does higher </w:t>
      </w:r>
      <w:r w:rsidR="00A76BBB">
        <w:t>species richness</w:t>
      </w:r>
      <w:r w:rsidRPr="00C05886">
        <w:t>, either actual (i.e. researcher-estimated) or perceived (i.e. participant-estimated), predict higher self-reported well-being?</w:t>
      </w:r>
    </w:p>
    <w:p w14:paraId="16AA554F" w14:textId="656058E0" w:rsidR="000E3C80" w:rsidRPr="00C05886" w:rsidRDefault="000E3C80" w:rsidP="00C64930">
      <w:pPr>
        <w:pStyle w:val="ListParagraph"/>
        <w:numPr>
          <w:ilvl w:val="0"/>
          <w:numId w:val="16"/>
        </w:numPr>
        <w:spacing w:after="200"/>
        <w:ind w:left="714" w:hanging="357"/>
      </w:pPr>
      <w:r w:rsidRPr="00C05886">
        <w:t xml:space="preserve">Does higher perceived </w:t>
      </w:r>
      <w:r w:rsidR="00B25DD5">
        <w:t>building density</w:t>
      </w:r>
      <w:r w:rsidR="00B25DD5" w:rsidRPr="00C05886">
        <w:t xml:space="preserve"> </w:t>
      </w:r>
      <w:r w:rsidRPr="00C05886">
        <w:t>predict lower self-reported well-being?</w:t>
      </w:r>
    </w:p>
    <w:p w14:paraId="1F9773A5" w14:textId="77777777" w:rsidR="000E3C80" w:rsidRPr="00C05886" w:rsidRDefault="000E3C80" w:rsidP="00C64930">
      <w:pPr>
        <w:pStyle w:val="ListParagraph"/>
        <w:numPr>
          <w:ilvl w:val="0"/>
          <w:numId w:val="16"/>
        </w:numPr>
        <w:spacing w:after="200"/>
        <w:ind w:left="714" w:hanging="357"/>
      </w:pPr>
      <w:r w:rsidRPr="00C05886">
        <w:t>If any, which of the photographed urban elements had a significant impact on well-being, accounting for subjective perceptions?</w:t>
      </w:r>
    </w:p>
    <w:p w14:paraId="103C4069" w14:textId="77777777" w:rsidR="000E3C80" w:rsidRPr="00C05886" w:rsidRDefault="000E3C80" w:rsidP="000E3C80">
      <w:pPr>
        <w:pStyle w:val="Heading2"/>
      </w:pPr>
      <w:bookmarkStart w:id="65" w:name="_Toc179962319"/>
      <w:r w:rsidRPr="00C05886">
        <w:t>Materials and methods</w:t>
      </w:r>
      <w:bookmarkEnd w:id="65"/>
    </w:p>
    <w:p w14:paraId="051EAFCB" w14:textId="3726D825" w:rsidR="00DC0B4B" w:rsidRPr="00C05886" w:rsidRDefault="00DC0B4B" w:rsidP="00DC0B4B">
      <w:bookmarkStart w:id="66" w:name="_Hlk156549683"/>
      <w:r w:rsidRPr="00C05886">
        <w:t xml:space="preserve">The data used in this analysis is publicly accessible </w:t>
      </w:r>
      <w:r w:rsidRPr="00C05886">
        <w:fldChar w:fldCharType="begin"/>
      </w:r>
      <w:r w:rsidRPr="00C05886">
        <w:instrText xml:space="preserve"> ADDIN ZOTERO_ITEM CSL_CITATION {"citationID":"dBw6cRdn","properties":{"formattedCitation":"(Richardson {\\i{}et al.}, 2020)","plainCitation":"(Richardson et al., 2020)","noteIndex":0},"citationItems":[{"id":10927,"uris":["http://zotero.org/users/10951124/items/NZYTTAUY"],"itemData":{"id":10927,"type":"dataset","DOI":"10.5255/UKDA-SN-854203","publisher":"UK Data Service","source":"DOI.org (Datacite)","title":"Data from a smartphone app for improving mental health through urban nature 2016-2019","URL":"http://reshare.ukdataservice.ac.uk/id/eprint/854203","author":[{"family":"Richardson","given":"Miles"},{"family":"McEwan","given":"Kirsten"},{"family":"Sheffield","given":"David"},{"family":"Ferguson","given":"Fiona J."},{"family":"Brindley","given":"Paul"}],"accessed":{"date-parts":[["2024",1,18]]},"issued":{"date-parts":[["2020"]]}}}],"schema":"https://github.com/citation-style-language/schema/raw/master/csl-citation.json"} </w:instrText>
      </w:r>
      <w:r w:rsidRPr="00C05886">
        <w:fldChar w:fldCharType="separate"/>
      </w:r>
      <w:r w:rsidRPr="00C05886">
        <w:rPr>
          <w:rFonts w:ascii="Calibri" w:hAnsi="Calibri" w:cs="Calibri"/>
          <w:szCs w:val="24"/>
        </w:rPr>
        <w:t xml:space="preserve">(Richardson </w:t>
      </w:r>
      <w:r w:rsidRPr="00C05886">
        <w:rPr>
          <w:rFonts w:ascii="Calibri" w:hAnsi="Calibri" w:cs="Calibri"/>
          <w:i/>
          <w:iCs/>
          <w:szCs w:val="24"/>
        </w:rPr>
        <w:t>et al.</w:t>
      </w:r>
      <w:r w:rsidRPr="00C05886">
        <w:rPr>
          <w:rFonts w:ascii="Calibri" w:hAnsi="Calibri" w:cs="Calibri"/>
          <w:szCs w:val="24"/>
        </w:rPr>
        <w:t>, 2020)</w:t>
      </w:r>
      <w:r w:rsidRPr="00C05886">
        <w:fldChar w:fldCharType="end"/>
      </w:r>
      <w:r w:rsidRPr="00C05886">
        <w:t xml:space="preserve"> and was downloaded from the UK Data Service repository. The dataset is completely anonymised and consent was obtained from the participant</w:t>
      </w:r>
      <w:r w:rsidR="008811C8" w:rsidRPr="00C05886">
        <w:t>s</w:t>
      </w:r>
      <w:r w:rsidRPr="00C05886">
        <w:t xml:space="preserve"> </w:t>
      </w:r>
      <w:r w:rsidR="008811C8" w:rsidRPr="00C05886">
        <w:t>for it to be used in secondary research.</w:t>
      </w:r>
    </w:p>
    <w:p w14:paraId="7B53CD03" w14:textId="3189887D" w:rsidR="00260DE5" w:rsidRPr="00C05886" w:rsidRDefault="00BE045E" w:rsidP="00DC0B4B">
      <w:pPr>
        <w:pStyle w:val="Heading3"/>
      </w:pPr>
      <w:bookmarkStart w:id="67" w:name="_Toc179962320"/>
      <w:bookmarkEnd w:id="66"/>
      <w:r w:rsidRPr="00C05886">
        <w:lastRenderedPageBreak/>
        <w:t xml:space="preserve">Summary of the </w:t>
      </w:r>
      <w:r w:rsidR="000E3C80" w:rsidRPr="00C05886">
        <w:t>Survey Data</w:t>
      </w:r>
      <w:bookmarkEnd w:id="67"/>
    </w:p>
    <w:p w14:paraId="26A3E265" w14:textId="51B5F919" w:rsidR="000E3C80" w:rsidRPr="00C05886" w:rsidRDefault="000E3C80" w:rsidP="00495054">
      <w:r w:rsidRPr="00C05886">
        <w:t>Via the app, the participants were randomly assigned to one of the</w:t>
      </w:r>
      <w:r w:rsidR="008A5368">
        <w:t xml:space="preserve"> two</w:t>
      </w:r>
      <w:r w:rsidRPr="00C05886">
        <w:t xml:space="preserve"> study conditions – i.e. </w:t>
      </w:r>
      <w:r w:rsidR="008E3363">
        <w:t>prompted to share</w:t>
      </w:r>
      <w:r w:rsidR="008E3363" w:rsidRPr="00C05886">
        <w:t xml:space="preserve"> </w:t>
      </w:r>
      <w:r w:rsidR="008E3363">
        <w:t>something about the surrounding</w:t>
      </w:r>
      <w:r w:rsidRPr="00C05886">
        <w:t xml:space="preserve"> nature (hereafter, nature condition) or the </w:t>
      </w:r>
      <w:r w:rsidR="008E3363">
        <w:t xml:space="preserve">surrounding </w:t>
      </w:r>
      <w:r w:rsidRPr="00C05886">
        <w:t>built environment (built condition), following a ratio of 1/3 built and 2/3 nature.</w:t>
      </w:r>
      <w:r w:rsidR="00247B0F">
        <w:t xml:space="preserve"> </w:t>
      </w:r>
      <w:r w:rsidR="008E3363">
        <w:t>The participants received one prompt per day</w:t>
      </w:r>
      <w:r w:rsidR="00B63315">
        <w:t>, generally when the device location corresponded to either a green space (e.g. a park) or a grey space (e.g. the city centre).</w:t>
      </w:r>
      <w:r w:rsidR="008E3363">
        <w:t xml:space="preserve"> </w:t>
      </w:r>
      <w:r w:rsidR="00B63315">
        <w:t>Participants</w:t>
      </w:r>
      <w:r w:rsidR="008E3363">
        <w:t xml:space="preserve"> could also </w:t>
      </w:r>
      <w:r w:rsidR="00B63315">
        <w:t xml:space="preserve">postpone the prompt to the end of the day and </w:t>
      </w:r>
      <w:r w:rsidR="008E3363">
        <w:t xml:space="preserve">add to the log at will. </w:t>
      </w:r>
      <w:r w:rsidRPr="00C05886">
        <w:t xml:space="preserve">Participants in the nature condition were </w:t>
      </w:r>
      <w:r w:rsidR="0033785A">
        <w:t>invited</w:t>
      </w:r>
      <w:r w:rsidR="0033785A" w:rsidRPr="00C05886">
        <w:t xml:space="preserve"> </w:t>
      </w:r>
      <w:r w:rsidRPr="00C05886">
        <w:t xml:space="preserve">via the app to </w:t>
      </w:r>
      <w:r w:rsidR="0033785A">
        <w:t>share</w:t>
      </w:r>
      <w:r w:rsidR="0033785A" w:rsidRPr="00C05886">
        <w:t xml:space="preserve"> </w:t>
      </w:r>
      <w:r w:rsidR="0033785A">
        <w:t>something about the</w:t>
      </w:r>
      <w:r w:rsidRPr="00C05886">
        <w:t xml:space="preserve"> natural features around them and to </w:t>
      </w:r>
      <w:r w:rsidR="0033785A">
        <w:t xml:space="preserve">provide a rough </w:t>
      </w:r>
      <w:r w:rsidRPr="00C05886">
        <w:t xml:space="preserve">estimate the location’s </w:t>
      </w:r>
      <w:r w:rsidR="0033785A">
        <w:t xml:space="preserve">species richness </w:t>
      </w:r>
      <w:r w:rsidRPr="00C05886">
        <w:t>by answering the question “</w:t>
      </w:r>
      <w:r w:rsidRPr="00C05886">
        <w:rPr>
          <w:i/>
          <w:iCs/>
        </w:rPr>
        <w:t xml:space="preserve">How many types of plants/trees/animals would you guess </w:t>
      </w:r>
      <w:r w:rsidRPr="00C05886">
        <w:rPr>
          <w:rFonts w:cstheme="minorHAnsi"/>
          <w:i/>
          <w:iCs/>
        </w:rPr>
        <w:t>there were?</w:t>
      </w:r>
      <w:r w:rsidRPr="00C05886">
        <w:rPr>
          <w:rFonts w:cstheme="minorHAnsi"/>
        </w:rPr>
        <w:t xml:space="preserve">” (equivalent to a four-point Likert scale from 0 “none” to 3 “lots”). Participants in the built condition were instructed to notice </w:t>
      </w:r>
      <w:r w:rsidR="00AD387A">
        <w:t>share</w:t>
      </w:r>
      <w:r w:rsidR="00AD387A" w:rsidRPr="00C05886">
        <w:t xml:space="preserve"> </w:t>
      </w:r>
      <w:r w:rsidR="00AD387A">
        <w:t xml:space="preserve">something </w:t>
      </w:r>
      <w:r w:rsidRPr="00C05886">
        <w:rPr>
          <w:rFonts w:cstheme="minorHAnsi"/>
        </w:rPr>
        <w:t>about the built environment and to rate the environment by answering the question “</w:t>
      </w:r>
      <w:r w:rsidRPr="00C05886">
        <w:rPr>
          <w:rFonts w:cstheme="minorHAnsi"/>
          <w:i/>
          <w:iCs/>
        </w:rPr>
        <w:t>How built-up was this place?</w:t>
      </w:r>
      <w:r w:rsidRPr="00C05886">
        <w:rPr>
          <w:rFonts w:cstheme="minorHAnsi"/>
        </w:rPr>
        <w:t>” (equivalent to a four-point Likert scale from 0 “not at all” to 3 “a lot”). Both condition groups were asked to report their well-being by answering the question “</w:t>
      </w:r>
      <w:r w:rsidRPr="00C05886">
        <w:rPr>
          <w:rFonts w:cstheme="minorHAnsi"/>
          <w:i/>
          <w:iCs/>
        </w:rPr>
        <w:t>How did you feel in this place?</w:t>
      </w:r>
      <w:r w:rsidRPr="00C05886">
        <w:rPr>
          <w:rFonts w:cstheme="minorHAnsi"/>
        </w:rPr>
        <w:t>” (visual question, showing five emojis from sad to smiley, equivalent to a five-point Likert scale from 1 to 5).</w:t>
      </w:r>
      <w:r w:rsidR="00247B0F">
        <w:rPr>
          <w:rFonts w:cstheme="minorHAnsi"/>
        </w:rPr>
        <w:t xml:space="preserve"> </w:t>
      </w:r>
      <w:r w:rsidR="00247B0F">
        <w:t>The unequal randomisation</w:t>
      </w:r>
      <w:r w:rsidR="00247B0F" w:rsidRPr="00C05886">
        <w:t xml:space="preserve"> </w:t>
      </w:r>
      <w:r w:rsidR="00247B0F">
        <w:t xml:space="preserve">ratio is commonly used in clinical research </w:t>
      </w:r>
      <w:r w:rsidR="00247B0F">
        <w:fldChar w:fldCharType="begin"/>
      </w:r>
      <w:r w:rsidR="00247B0F">
        <w:instrText xml:space="preserve"> ADDIN ZOTERO_ITEM CSL_CITATION {"citationID":"b0VOioiL","properties":{"formattedCitation":"(Peckham {\\i{}et al.}, 2015)","plainCitation":"(Peckham et al., 2015)","noteIndex":0},"citationItems":[{"id":11307,"uris":["http://zotero.org/users/10951124/items/VUJ7D9BZ"],"itemData":{"id":11307,"type":"article-journal","container-title":"Contemporary Clinical Trials","DOI":"10.1016/j.cct.2015.05.017","ISSN":"15517144","journalAbbreviation":"Contemporary Clinical Trials","language":"en","page":"113-122","source":"DOI.org (Crossref)","title":"The use of unequal randomisation in clinical trials — An update","volume":"45","author":[{"family":"Peckham","given":"Emily"},{"family":"Brabyn","given":"Sally"},{"family":"Cook","given":"Liz"},{"family":"Devlin","given":"Thomas"},{"family":"Dumville","given":"Jo"},{"family":"Torgerson","given":"David J."}],"issued":{"date-parts":[["2015",11]]}}}],"schema":"https://github.com/citation-style-language/schema/raw/master/csl-citation.json"} </w:instrText>
      </w:r>
      <w:r w:rsidR="00247B0F">
        <w:fldChar w:fldCharType="separate"/>
      </w:r>
      <w:r w:rsidR="00247B0F" w:rsidRPr="00247B0F">
        <w:rPr>
          <w:rFonts w:ascii="Calibri" w:hAnsi="Calibri" w:cs="Calibri"/>
          <w:szCs w:val="24"/>
        </w:rPr>
        <w:t xml:space="preserve">(Peckham </w:t>
      </w:r>
      <w:r w:rsidR="00247B0F" w:rsidRPr="00247B0F">
        <w:rPr>
          <w:rFonts w:ascii="Calibri" w:hAnsi="Calibri" w:cs="Calibri"/>
          <w:i/>
          <w:iCs/>
          <w:szCs w:val="24"/>
        </w:rPr>
        <w:t>et al.</w:t>
      </w:r>
      <w:r w:rsidR="00247B0F" w:rsidRPr="00247B0F">
        <w:rPr>
          <w:rFonts w:ascii="Calibri" w:hAnsi="Calibri" w:cs="Calibri"/>
          <w:szCs w:val="24"/>
        </w:rPr>
        <w:t>, 2015)</w:t>
      </w:r>
      <w:r w:rsidR="00247B0F">
        <w:fldChar w:fldCharType="end"/>
      </w:r>
      <w:r w:rsidR="00247B0F">
        <w:t xml:space="preserve">, in order to increase recruitment efficiency and reduce costs </w:t>
      </w:r>
      <w:r w:rsidR="00247B0F">
        <w:fldChar w:fldCharType="begin"/>
      </w:r>
      <w:r w:rsidR="00247B0F">
        <w:instrText xml:space="preserve"> ADDIN ZOTERO_ITEM CSL_CITATION {"citationID":"Ol8uanE1","properties":{"formattedCitation":"(Sverdlov and Ryeznik, 2019)","plainCitation":"(Sverdlov and Ryeznik, 2019)","noteIndex":0},"citationItems":[{"id":11308,"uris":["http://zotero.org/users/10951124/items/NXJMHNRR"],"itemData":{"id":11308,"type":"article-journal","abstract":"Equal randomization has been a popular choice in clinical trial practice. However, in trials with heterogeneous variances and/or variable treatment costs, as well as in settings where maximization of every trial participant's benefit is an important design consideration, optimal allocation proportions may be unequal across study treatment arms. In this paper, we investigate optimal allocation designs minimizing study cost under statistical efficiency constraints for parallel group clinical trials comparing several investigational treatments against the control. We show theoretically that equal allocation designs may be suboptimal, and unequal allocation designs can provide higher statistical power for the same budget or result in a smaller cost for the same level of power. We also show how optimal allocation can be implemented in practice by means of restricted randomization procedures and how to perform statistical inference following these procedures, using invoked population‐based or randomization‐based approaches. Our results provide further support to some previous findings in the literature that unequal randomization designs can be cost efficient and can be successfully implemented in practice. We conclude that the choice of the target allocation, the randomization procedure, and the statistical methodology for data analysis is an essential component in ensuring valid, powerful, and robust clinical trial results.","container-title":"Statistics in Medicine","DOI":"10.1002/sim.8160","ISSN":"0277-6715, 1097-0258","issue":"16","journalAbbreviation":"Statistics in Medicine","language":"en","page":"2905-2927","source":"DOI.org (Crossref)","title":"Implementing unequal randomization in clinical trials with heterogeneous treatment costs","volume":"38","author":[{"family":"Sverdlov","given":"Oleksandr"},{"family":"Ryeznik","given":"Yevgen"}],"issued":{"date-parts":[["2019",7,20]]}}}],"schema":"https://github.com/citation-style-language/schema/raw/master/csl-citation.json"} </w:instrText>
      </w:r>
      <w:r w:rsidR="00247B0F">
        <w:fldChar w:fldCharType="separate"/>
      </w:r>
      <w:r w:rsidR="00247B0F" w:rsidRPr="00247B0F">
        <w:rPr>
          <w:rFonts w:ascii="Calibri" w:hAnsi="Calibri" w:cs="Calibri"/>
        </w:rPr>
        <w:t>(Sverdlov and Ryeznik, 2019)</w:t>
      </w:r>
      <w:r w:rsidR="00247B0F">
        <w:fldChar w:fldCharType="end"/>
      </w:r>
      <w:r w:rsidR="00247B0F">
        <w:t xml:space="preserve"> </w:t>
      </w:r>
      <w:r w:rsidR="008A5368" w:rsidRPr="005D7515">
        <w:t>when there is more interest in understanding the effect of a treatment and there is an a-priori expectation that the control treatment will produce little-to-no effect.</w:t>
      </w:r>
      <w:r w:rsidR="00247B0F" w:rsidRPr="00C577A0">
        <w:t xml:space="preserve"> </w:t>
      </w:r>
      <w:r w:rsidRPr="00C05886">
        <w:rPr>
          <w:rFonts w:cstheme="minorHAnsi"/>
        </w:rPr>
        <w:t xml:space="preserve">The survey also collected the participants’ age and gender, the time they had spent outdoors during their childhood and the previous year (both raging from none to lots, equivalent to a five-point Likert scale) and two measures of nature connectedness, </w:t>
      </w:r>
      <w:r w:rsidR="00926B3D">
        <w:rPr>
          <w:rFonts w:cstheme="minorHAnsi"/>
        </w:rPr>
        <w:t>the Nature relatedness</w:t>
      </w:r>
      <w:r w:rsidRPr="00C05886">
        <w:rPr>
          <w:rFonts w:cstheme="minorHAnsi"/>
        </w:rPr>
        <w:t xml:space="preserve"> </w:t>
      </w:r>
      <w:r w:rsidRPr="00C05886">
        <w:rPr>
          <w:rFonts w:cstheme="minorHAnsi"/>
        </w:rPr>
        <w:fldChar w:fldCharType="begin" w:fldLock="1"/>
      </w:r>
      <w:r w:rsidR="00A35208">
        <w:rPr>
          <w:rFonts w:cstheme="minorHAnsi"/>
        </w:rPr>
        <w:instrText xml:space="preserve"> ADDIN ZOTERO_ITEM CSL_CITATION {"citationID":"FULdwKQ9","properties":{"formattedCitation":"(Nisbet and Zelenski, 2013)","plainCitation":"(Nisbet and Zelenski, 2013)","noteIndex":0},"citationItems":[{"id":"6pP8vKpK/X4DK8FY3","uris":["http://www.mendeley.com/documents/?uuid=dd661f57-cfb0-464c-913b-ab982aeebe27"],"itemData":{"ISBN":"1664-1078","abstract":"The construct of (dis)connection with nature or “nature relatedness” has become increasingly useful in the study of environmental behavior as well as psychological health and well-being. Strong nature relatedness is associated with greater happiness and ecologically sustainable behavior. A number of scales reliably assess individual differences in nature relatedness, but some circumstances may necessitate a brief measure. We developed a short-form version of the nature relatedness scale (NR-6), comprised of 6 items from the “self” and “experience” dimensions, and tested the new scale's predictive ability across multiple samples and with longitudinal data in students, community members, and business people. The new NR-6 scale demonstrated good internal consistency, temporal stability, and predicted happiness, environmental concern, and nature contact. This new brief measure of connectedness may have advantages where time and space are limited and the research context requires an assessment of connectedness elements rather than environmental attitudes.","author":[{"dropping-particle":"","family":"Nisbet","given":"Elizabeth","non-dropping-particle":"","parse-names":false,"suffix":""},{"dropping-particle":"","family":"Zelenski","given":"John","non-dropping-particle":"","parse-names":false,"suffix":""}],"container-title":"Frontiers in Psychology  ","id":"ITEM-1","issued":{"date-parts":[["2013"]]},"page":"813","title":"The NR-6: a new brief measure of nature relatedness   ","type":"article","volume":"4      "}}],"schema":"https://github.com/citation-style-language/schema/raw/master/csl-citation.json"} </w:instrText>
      </w:r>
      <w:r w:rsidRPr="00C05886">
        <w:rPr>
          <w:rFonts w:cstheme="minorHAnsi"/>
        </w:rPr>
        <w:fldChar w:fldCharType="separate"/>
      </w:r>
      <w:r w:rsidR="00020123" w:rsidRPr="00C05886">
        <w:rPr>
          <w:rFonts w:ascii="Calibri" w:hAnsi="Calibri" w:cs="Calibri"/>
        </w:rPr>
        <w:t>(Nisbet and Zelenski, 2013)</w:t>
      </w:r>
      <w:r w:rsidRPr="00C05886">
        <w:rPr>
          <w:rFonts w:cstheme="minorHAnsi"/>
        </w:rPr>
        <w:fldChar w:fldCharType="end"/>
      </w:r>
      <w:r w:rsidRPr="00C05886">
        <w:rPr>
          <w:rFonts w:cstheme="minorHAnsi"/>
        </w:rPr>
        <w:t xml:space="preserve"> and</w:t>
      </w:r>
      <w:r w:rsidR="00926B3D">
        <w:rPr>
          <w:rFonts w:cstheme="minorHAnsi"/>
        </w:rPr>
        <w:t xml:space="preserve"> the</w:t>
      </w:r>
      <w:r w:rsidRPr="00C05886">
        <w:rPr>
          <w:rFonts w:cstheme="minorHAnsi"/>
        </w:rPr>
        <w:t xml:space="preserve"> </w:t>
      </w:r>
      <w:r w:rsidR="00926B3D">
        <w:rPr>
          <w:rFonts w:cstheme="minorHAnsi"/>
        </w:rPr>
        <w:t>Inclusion of Nature in Self</w:t>
      </w:r>
      <w:r w:rsidR="00926B3D" w:rsidRPr="00C05886">
        <w:rPr>
          <w:rFonts w:cstheme="minorHAnsi"/>
        </w:rPr>
        <w:t xml:space="preserve"> </w:t>
      </w:r>
      <w:r w:rsidRPr="00C05886">
        <w:rPr>
          <w:rFonts w:cstheme="minorHAnsi"/>
        </w:rPr>
        <w:fldChar w:fldCharType="begin" w:fldLock="1"/>
      </w:r>
      <w:r w:rsidR="00134B49">
        <w:rPr>
          <w:rFonts w:cstheme="minorHAnsi"/>
        </w:rPr>
        <w:instrText xml:space="preserve"> ADDIN ZOTERO_ITEM CSL_CITATION {"citationID":"2C8i9B0z","properties":{"formattedCitation":"(Schultz, 2002)","plainCitation":"(Schultz, 2002)","noteIndex":0},"citationItems":[{"id":11234,"uris":["http://zotero.org/users/10951124/items/AJCR4KHB","http://zotero.org/users/10951124/items/4XTSK9NH"],"itemData":{"id":11234,"type":"chapter","abstract":"Human survival is directly tied to our relationship with the natural environment. Achieving a sustainable lifestyle depends on establishing a balance between the consumption of individuals, and the capacity of the natural environment for renewal. Yet, we often act as ifwe are separate from nature — as if we can get along without nature. Indeed, built environments serve as barriers between individuals and the natural environments in which they live. Offices, schools, homes, cars, restaurants, shopping malls, and many other built environments segregate people from nature. This chapter examines the implicit connection that individuals make between self and nature, and the impact of built environments on these implicit cognitions. A psychological model for inclusion with nature is presented, containing cognitive (connectedness), affective (caring), and behavioral (commitment) components. Implicationsfor theory, design, and sustainability are discussed.","container-title":"Psychology of Sustainable Development","event-place":"Boston, MA","ISBN":"978-1-4615-0995-0","note":"DOI: 10.1007/978-1-4615-0995-0_4","page":"61-78","publisher":"Springer US","publisher-place":"Boston, MA","title":"Inclusion with Nature: The Psychology Of Human-Nature Relations","URL":"https://doi.org/10.1007/978-1-4615-0995-0_4","author":[{"family":"Schultz","given":"P. Wesley"}],"editor":[{"family":"Schmuck","given":"Peter"},{"family":"Schultz","given":"Wesley P."}],"issued":{"date-parts":[["2002"]]}}}],"schema":"https://github.com/citation-style-language/schema/raw/master/csl-citation.json"} </w:instrText>
      </w:r>
      <w:r w:rsidRPr="00C05886">
        <w:rPr>
          <w:rFonts w:cstheme="minorHAnsi"/>
        </w:rPr>
        <w:fldChar w:fldCharType="separate"/>
      </w:r>
      <w:r w:rsidR="00020123" w:rsidRPr="00C05886">
        <w:rPr>
          <w:rFonts w:ascii="Calibri" w:hAnsi="Calibri" w:cs="Calibri"/>
        </w:rPr>
        <w:t>(Schultz, 2002)</w:t>
      </w:r>
      <w:r w:rsidRPr="00C05886">
        <w:rPr>
          <w:rFonts w:cstheme="minorHAnsi"/>
        </w:rPr>
        <w:fldChar w:fldCharType="end"/>
      </w:r>
      <w:r w:rsidR="00926B3D">
        <w:rPr>
          <w:rFonts w:cstheme="minorHAnsi"/>
        </w:rPr>
        <w:t>, which respectively measured trait (i.e. stable) nature connectedness and state (i.e. momentary) nature connectedness</w:t>
      </w:r>
      <w:r w:rsidRPr="00C05886">
        <w:rPr>
          <w:rFonts w:cstheme="minorHAnsi"/>
        </w:rPr>
        <w:t>.</w:t>
      </w:r>
    </w:p>
    <w:p w14:paraId="7830FA34" w14:textId="4D2209F3" w:rsidR="000E3C80" w:rsidRPr="00C05886" w:rsidRDefault="000E3C80" w:rsidP="00260DE5">
      <w:pPr>
        <w:pStyle w:val="Heading3"/>
      </w:pPr>
      <w:bookmarkStart w:id="68" w:name="_Toc179962321"/>
      <w:r w:rsidRPr="00C05886">
        <w:t>Photographic data</w:t>
      </w:r>
      <w:r w:rsidR="00260DE5" w:rsidRPr="00C05886">
        <w:t xml:space="preserve"> and </w:t>
      </w:r>
      <w:r w:rsidR="00FC06A4">
        <w:t>coding</w:t>
      </w:r>
      <w:bookmarkEnd w:id="68"/>
    </w:p>
    <w:p w14:paraId="20BA07BD" w14:textId="39A5EBB7" w:rsidR="00F521C9" w:rsidRDefault="000E3C80" w:rsidP="006B5E47">
      <w:r w:rsidRPr="00C05886">
        <w:t xml:space="preserve">All photographs </w:t>
      </w:r>
      <w:r w:rsidR="00FC06A4">
        <w:t xml:space="preserve">attached to the survey responses </w:t>
      </w:r>
      <w:r w:rsidRPr="00C05886">
        <w:t xml:space="preserve">were imported into </w:t>
      </w:r>
      <w:proofErr w:type="spellStart"/>
      <w:r w:rsidRPr="00C05886">
        <w:t>Nvivo</w:t>
      </w:r>
      <w:proofErr w:type="spellEnd"/>
      <w:r w:rsidRPr="00C05886">
        <w:t xml:space="preserve"> (ver. 2020) and visually inspected. Two researchers </w:t>
      </w:r>
      <w:r w:rsidR="00FC06A4">
        <w:t xml:space="preserve">(SF, KM) </w:t>
      </w:r>
      <w:r w:rsidRPr="00C05886">
        <w:t xml:space="preserve">independently classified each photograph into codes via </w:t>
      </w:r>
      <w:r w:rsidR="00FC06A4">
        <w:t xml:space="preserve">quantitative </w:t>
      </w:r>
      <w:r w:rsidRPr="00C05886">
        <w:t xml:space="preserve">content analysis </w:t>
      </w:r>
      <w:r w:rsidRPr="00C05886">
        <w:fldChar w:fldCharType="begin"/>
      </w:r>
      <w:r w:rsidRPr="00C05886">
        <w:instrText xml:space="preserve"> ADDIN ZOTERO_ITEM CSL_CITATION {"citationID":"FoFIzjh0","properties":{"formattedCitation":"(Neuendorf, 2017)","plainCitation":"(Neuendorf, 2017)","noteIndex":0},"citationItems":[{"id":9148,"uris":["http://zotero.org/users/10951124/items/JM7R66WG"],"itemData":{"id":9148,"type":"document","note":"DOI: 10.4135/9781071802878\npublisher-place: Thousand Oaks, California","title":"The Content Analysis Guidebook","URL":"https://methods.sagepub.com/book/the-content-analysis-guidebook-2e","author":[{"family":"Neuendorf","given":"Kimberly A"}],"issued":{"date-parts":[["2017"]]}}}],"schema":"https://github.com/citation-style-language/schema/raw/master/csl-citation.json"} </w:instrText>
      </w:r>
      <w:r w:rsidRPr="00C05886">
        <w:fldChar w:fldCharType="separate"/>
      </w:r>
      <w:r w:rsidRPr="00C05886">
        <w:rPr>
          <w:rFonts w:ascii="Calibri" w:hAnsi="Calibri" w:cs="Calibri"/>
        </w:rPr>
        <w:t>(Neuendorf, 2017)</w:t>
      </w:r>
      <w:r w:rsidRPr="00C05886">
        <w:fldChar w:fldCharType="end"/>
      </w:r>
      <w:r w:rsidRPr="00C05886">
        <w:t xml:space="preserve">. </w:t>
      </w:r>
      <w:r w:rsidR="00FC06A4">
        <w:t xml:space="preserve">The coding followed the </w:t>
      </w:r>
      <w:r w:rsidR="007C78AC">
        <w:t xml:space="preserve">content </w:t>
      </w:r>
      <w:r w:rsidR="00FC06A4">
        <w:t xml:space="preserve">categorisation indicated by </w:t>
      </w:r>
      <w:r w:rsidR="00FC06A4">
        <w:fldChar w:fldCharType="begin"/>
      </w:r>
      <w:r w:rsidR="0002143E">
        <w:instrText xml:space="preserve"> ADDIN ZOTERO_ITEM CSL_CITATION {"citationID":"5Z7wuodn","properties":{"formattedCitation":"(Kaplan and Kaplan, 1989)","plainCitation":"(Kaplan and Kaplan, 1989)","dontUpdate":true,"noteIndex":0},"citationItems":[{"id":6907,"uris":["http://zotero.org/users/10951124/items/MNND6KQK"],"itemData":{"id":6907,"type":"book","event-place":"Cambridge","ISBN":"0-521-34139-6","publisher":"Cambridge : Cambridge University Press, 1989","publisher-place":"Cambridge","title":"The experience of nature : a psychological perspective","author":[{"family":"Kaplan","given":"Rachel"},{"family":"Kaplan","given":"Stephen"}],"editor":[{"family":"Kaplan","given":"Stephen"}],"issued":{"date-parts":[["1989"]]}}}],"schema":"https://github.com/citation-style-language/schema/raw/master/csl-citation.json"} </w:instrText>
      </w:r>
      <w:r w:rsidR="00FC06A4">
        <w:fldChar w:fldCharType="separate"/>
      </w:r>
      <w:r w:rsidR="00FC06A4" w:rsidRPr="00FC06A4">
        <w:rPr>
          <w:rFonts w:ascii="Calibri" w:hAnsi="Calibri" w:cs="Calibri"/>
        </w:rPr>
        <w:t>Kaplan and Kaplan</w:t>
      </w:r>
      <w:r w:rsidR="00FC06A4">
        <w:rPr>
          <w:rFonts w:ascii="Calibri" w:hAnsi="Calibri" w:cs="Calibri"/>
        </w:rPr>
        <w:t xml:space="preserve"> (</w:t>
      </w:r>
      <w:r w:rsidR="00FC06A4" w:rsidRPr="00FC06A4">
        <w:rPr>
          <w:rFonts w:ascii="Calibri" w:hAnsi="Calibri" w:cs="Calibri"/>
        </w:rPr>
        <w:t>1989</w:t>
      </w:r>
      <w:r w:rsidR="00FC06A4">
        <w:rPr>
          <w:rFonts w:ascii="Calibri" w:hAnsi="Calibri" w:cs="Calibri"/>
        </w:rPr>
        <w:t>; pp 28-30</w:t>
      </w:r>
      <w:r w:rsidR="00FC06A4" w:rsidRPr="00FC06A4">
        <w:rPr>
          <w:rFonts w:ascii="Calibri" w:hAnsi="Calibri" w:cs="Calibri"/>
        </w:rPr>
        <w:t>)</w:t>
      </w:r>
      <w:r w:rsidR="00FC06A4">
        <w:fldChar w:fldCharType="end"/>
      </w:r>
      <w:r w:rsidR="00FC06A4">
        <w:t>, each category being defined by the presence of a specific object or element.</w:t>
      </w:r>
      <w:r w:rsidR="00F521C9">
        <w:t xml:space="preserve"> </w:t>
      </w:r>
      <w:r w:rsidR="00FC06A4">
        <w:t xml:space="preserve">As in previous studies </w:t>
      </w:r>
      <w:r w:rsidR="00FC06A4">
        <w:fldChar w:fldCharType="begin"/>
      </w:r>
      <w:r w:rsidR="00FC06A4">
        <w:instrText xml:space="preserve"> ADDIN ZOTERO_ITEM CSL_CITATION {"citationID":"unW6QFZJ","properties":{"formattedCitation":"(Qiu, Lindberg and Nielsen, 2013; Rathmann {\\i{}et al.}, 2020)","plainCitation":"(Qiu, Lindberg and Nielsen, 2013; Rathmann et al., 2020)","noteIndex":0},"citationItems":[{"id":6262,"uris":["http://zotero.org/users/10951124/items/6KYUJUHC"],"itemData":{"id":6262,"type":"article-journal","abstract":"This study investigated whether preferences and biodiversity are compatible in an urban green space setting and whether people actually recognise and appreciate ecologically rich environments when exposed to these as part of a recreational visit. Data were collected through an on-site visitor-employed photography (VEP) study employing both lay people and ecology experts. Photos were taken by the participants during a walk along a 1.6 km trail through a recreational park with clear habitat variation. Half of the lay people and half of the experts each took five photos of features reflecting high preference and five reflecting low preference. The remaining half each took five photos of features they perceived to represent high species richness and five representing low species richness. Photos and written comments were then compared against an assessment of biodiversity values of the different habitats experienced along the trail. The results indicated that people can correctly perceive differences in biodiversity between urban green space habitat types. High biodiversity did not, however, relate positively to preference as half-open park areas were preferred to areas of more complex vegetation. Nevertheless, negative preferences for these richer habitat types were mostly related to the presence or execution of human interventions. The VEP method revealed on-site perception and preference to be highly context-specific, mainly triggered by specific features rather than the overall scenery and character of the setting. Differences in attitude between experts and lay people suggested that ecological knowledge could have a positive influence on preference for certain aspects of biodiversity.","container-title":"Landscape and Urban Planning","DOI":"10.1016/j.landurbplan.2013.07.007","ISSN":"0169-2046","page":"136-146","title":"Is biodiversity attractive?—On-site perception of recreational and biodiversity values in urban green space","volume":"119","author":[{"family":"Qiu","given":"Ling"},{"family":"Lindberg","given":"Stefan"},{"family":"Nielsen","given":"Anders Busse"}],"issued":{"date-parts":[["2013"]]}}},{"id":11329,"uris":["http://zotero.org/users/10951124/items/E2WGYLRT"],"itemData":{"id":11329,"type":"article-journal","abstract":"Abstract\n            This study investigates visitors’ perceptions and preferences regarding the characteristics of deadwood in the Bavarian Forest National Park (SE-Germany). Visitor-employed photography has been used to collect information about visitors’ preferences. Deadwood is the second most photographed forest element which underlines its important role in forest perception. Even though deadwood photographs are evaluated significantly worse than most other forest elements, most visitors nevertheless associate deadwood photographs with a positively rated forest image. Based on the relationship between aesthetics and recreation revealed in the interviews, it can be concluded that the forest path during the hike was both pleasant and restful. This is confirmed by the post-trip interviews, showing that a higher proportion of deadwood is associated with more aesthetics or recreational value. Regarding deadwood structure results show that deadwood fragments and debris are perceived negatively, while root stocks were assessed more positively. We also found a gradient with positive evaluations increasing with progressing decomposition.","container-title":"European Journal of Forest Research","DOI":"10.1007/s10342-020-01260-0","ISSN":"1612-4669, 1612-4677","issue":"3","journalAbbreviation":"Eur J Forest Res","language":"en","page":"431-442","source":"DOI.org (Crossref)","title":"Using the visitor-employed photography method to analyse deadwood perceptions of forest visitors: a case study from Bavarian Forest National Park, Germany","title-short":"Using the visitor-employed photography method to analyse deadwood perceptions of forest visitors","volume":"139","author":[{"family":"Rathmann","given":"Joachim"},{"family":"Sacher","given":"Philipp"},{"family":"Volkmann","given":"Norman"},{"family":"Mayer","given":"Marius"}],"issued":{"date-parts":[["2020",6]]}}}],"schema":"https://github.com/citation-style-language/schema/raw/master/csl-citation.json"} </w:instrText>
      </w:r>
      <w:r w:rsidR="00FC06A4">
        <w:fldChar w:fldCharType="separate"/>
      </w:r>
      <w:r w:rsidR="00FC06A4" w:rsidRPr="00FC06A4">
        <w:rPr>
          <w:rFonts w:ascii="Calibri" w:hAnsi="Calibri" w:cs="Calibri"/>
          <w:szCs w:val="24"/>
        </w:rPr>
        <w:t xml:space="preserve">(Qiu, Lindberg and Nielsen, 2013; Rathmann </w:t>
      </w:r>
      <w:r w:rsidR="00FC06A4" w:rsidRPr="00FC06A4">
        <w:rPr>
          <w:rFonts w:ascii="Calibri" w:hAnsi="Calibri" w:cs="Calibri"/>
          <w:i/>
          <w:iCs/>
          <w:szCs w:val="24"/>
        </w:rPr>
        <w:t>et al.</w:t>
      </w:r>
      <w:r w:rsidR="00FC06A4" w:rsidRPr="00FC06A4">
        <w:rPr>
          <w:rFonts w:ascii="Calibri" w:hAnsi="Calibri" w:cs="Calibri"/>
          <w:szCs w:val="24"/>
        </w:rPr>
        <w:t>, 2020)</w:t>
      </w:r>
      <w:r w:rsidR="00FC06A4">
        <w:fldChar w:fldCharType="end"/>
      </w:r>
      <w:r w:rsidR="00FC06A4">
        <w:t>, content categories were initially predefined</w:t>
      </w:r>
      <w:r w:rsidRPr="00C05886">
        <w:t xml:space="preserve"> </w:t>
      </w:r>
      <w:r w:rsidR="00FC06A4">
        <w:t xml:space="preserve">into broad groups </w:t>
      </w:r>
      <w:r w:rsidRPr="00C05886">
        <w:t xml:space="preserve">(e.g. </w:t>
      </w:r>
      <w:r w:rsidR="00FC06A4">
        <w:t>plants</w:t>
      </w:r>
      <w:r w:rsidRPr="00C05886">
        <w:t xml:space="preserve">, </w:t>
      </w:r>
      <w:r w:rsidR="00F521C9">
        <w:t>water</w:t>
      </w:r>
      <w:r w:rsidRPr="00C05886">
        <w:t>,</w:t>
      </w:r>
      <w:r w:rsidR="00FC06A4">
        <w:t xml:space="preserve"> </w:t>
      </w:r>
      <w:r w:rsidRPr="00C05886">
        <w:t>animals)</w:t>
      </w:r>
      <w:r w:rsidR="00F521C9">
        <w:t xml:space="preserve"> and then subdivided into narrower categories that emerged frequently from the photographs (e.g. </w:t>
      </w:r>
      <w:r w:rsidR="00F521C9">
        <w:lastRenderedPageBreak/>
        <w:t>“plants” included “flowers”, “trees”, “berries”)</w:t>
      </w:r>
      <w:r w:rsidRPr="00C05886">
        <w:t xml:space="preserve">. Content-rich photographs could </w:t>
      </w:r>
      <w:r w:rsidR="00F521C9">
        <w:t>be assigned to</w:t>
      </w:r>
      <w:r w:rsidRPr="00C05886">
        <w:t xml:space="preserve"> multiple </w:t>
      </w:r>
      <w:r w:rsidR="00F521C9">
        <w:t>categories</w:t>
      </w:r>
      <w:r w:rsidRPr="00C05886">
        <w:t xml:space="preserve">; e.g., a photograph showing a blooming cherry tree would have been coded under both “trees” and “colourful flowers” codes. </w:t>
      </w:r>
    </w:p>
    <w:p w14:paraId="15814AFD" w14:textId="58F28AB4" w:rsidR="000E3C80" w:rsidRPr="00C05886" w:rsidRDefault="000E3C80" w:rsidP="006B5E47">
      <w:r w:rsidRPr="00C05886">
        <w:t>After a list of initial codes was produced by each researcher, these were discussed,</w:t>
      </w:r>
      <w:r w:rsidR="00F521C9">
        <w:t xml:space="preserve"> </w:t>
      </w:r>
      <w:r w:rsidRPr="00C05886">
        <w:t xml:space="preserve">all the photographs were once again analysed and coded according to the new list, although leaving open the possibility of adding new codes which could have not emerged in the previous visual inspection. Codes were used as dummy variables in statistical analysis to highlight which of the elements influenced self-reported well-being and the perceptions of </w:t>
      </w:r>
      <w:r w:rsidR="00A76BBB">
        <w:t>species richness</w:t>
      </w:r>
      <w:r w:rsidRPr="00C05886">
        <w:t xml:space="preserve"> or </w:t>
      </w:r>
      <w:r w:rsidR="00B25DD5">
        <w:t>building density</w:t>
      </w:r>
      <w:r w:rsidRPr="00C05886">
        <w:t xml:space="preserve">. </w:t>
      </w:r>
    </w:p>
    <w:p w14:paraId="1C267F9D" w14:textId="14E610E1" w:rsidR="000E3C80" w:rsidRDefault="000E3C80" w:rsidP="00A26959">
      <w:r w:rsidRPr="00C05886">
        <w:t xml:space="preserve">Additionally, all photographs were </w:t>
      </w:r>
      <w:r w:rsidR="00F521C9">
        <w:t>examined</w:t>
      </w:r>
      <w:r w:rsidR="00F521C9" w:rsidRPr="00C05886">
        <w:t xml:space="preserve"> </w:t>
      </w:r>
      <w:r w:rsidR="00C36183">
        <w:t>to assess</w:t>
      </w:r>
      <w:r w:rsidRPr="00C05886">
        <w:t xml:space="preserve"> the species richness</w:t>
      </w:r>
      <w:r w:rsidR="00C36183">
        <w:t xml:space="preserve"> shown</w:t>
      </w:r>
      <w:r w:rsidRPr="00C05886">
        <w:t>.</w:t>
      </w:r>
      <w:r w:rsidR="00C36183">
        <w:t xml:space="preserve"> Although it was impossible to reach a precise species identification, the process distinguished the species based on their visual characteristics (Figure 1).  </w:t>
      </w:r>
      <w:r w:rsidRPr="00C05886">
        <w:t>Each photo was assigned a value corresponding to its species count.</w:t>
      </w:r>
      <w:r w:rsidR="00C36183">
        <w:t xml:space="preserve"> Photographs showing distant objects or panoramic views were not given a species richness value (i.e. </w:t>
      </w:r>
      <w:proofErr w:type="spellStart"/>
      <w:r w:rsidR="00C36183">
        <w:t>were</w:t>
      </w:r>
      <w:proofErr w:type="spellEnd"/>
      <w:r w:rsidR="00C36183">
        <w:t xml:space="preserve"> not considered in the analysis)</w:t>
      </w:r>
    </w:p>
    <w:p w14:paraId="7E445E9F" w14:textId="77777777" w:rsidR="00875E36" w:rsidRDefault="00875E36" w:rsidP="005D7515">
      <w:pPr>
        <w:spacing w:after="0"/>
      </w:pPr>
      <w:r w:rsidRPr="00875E36">
        <w:rPr>
          <w:noProof/>
        </w:rPr>
        <w:drawing>
          <wp:inline distT="0" distB="0" distL="0" distR="0" wp14:anchorId="0023AD3A" wp14:editId="73B93826">
            <wp:extent cx="5391902" cy="3448531"/>
            <wp:effectExtent l="0" t="0" r="0" b="0"/>
            <wp:docPr id="1154417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441734" name=""/>
                    <pic:cNvPicPr/>
                  </pic:nvPicPr>
                  <pic:blipFill>
                    <a:blip r:embed="rId12"/>
                    <a:stretch>
                      <a:fillRect/>
                    </a:stretch>
                  </pic:blipFill>
                  <pic:spPr>
                    <a:xfrm>
                      <a:off x="0" y="0"/>
                      <a:ext cx="5391902" cy="3448531"/>
                    </a:xfrm>
                    <a:prstGeom prst="rect">
                      <a:avLst/>
                    </a:prstGeom>
                  </pic:spPr>
                </pic:pic>
              </a:graphicData>
            </a:graphic>
          </wp:inline>
        </w:drawing>
      </w:r>
      <w:r w:rsidRPr="00875E36">
        <w:t xml:space="preserve"> </w:t>
      </w:r>
    </w:p>
    <w:p w14:paraId="31134D95" w14:textId="6207755D" w:rsidR="00875E36" w:rsidRPr="00C05886" w:rsidRDefault="00875E36" w:rsidP="005D7515">
      <w:pPr>
        <w:pStyle w:val="Caption"/>
      </w:pPr>
      <w:r w:rsidRPr="00C05886">
        <w:t>Figure 1</w:t>
      </w:r>
      <w:r>
        <w:t>. Example of the species counting process in two photographs</w:t>
      </w:r>
      <w:r w:rsidR="009E67CD">
        <w:t>. Left, a photo with two species. Right, a photo with eight species.</w:t>
      </w:r>
    </w:p>
    <w:p w14:paraId="0BFA6A41" w14:textId="77777777" w:rsidR="000E3C80" w:rsidRPr="00C05886" w:rsidRDefault="000E3C80" w:rsidP="00DC0B4B">
      <w:pPr>
        <w:pStyle w:val="Heading3"/>
      </w:pPr>
      <w:bookmarkStart w:id="69" w:name="_Toc179962322"/>
      <w:r w:rsidRPr="00C05886">
        <w:t>Statistical analysis</w:t>
      </w:r>
      <w:bookmarkEnd w:id="69"/>
      <w:r w:rsidRPr="00C05886">
        <w:t xml:space="preserve"> </w:t>
      </w:r>
    </w:p>
    <w:p w14:paraId="20CAE647" w14:textId="77777777" w:rsidR="000E3C80" w:rsidRPr="00C05886" w:rsidRDefault="000E3C80" w:rsidP="00B264F8">
      <w:r w:rsidRPr="00C05886">
        <w:t xml:space="preserve">The coded data was exported from </w:t>
      </w:r>
      <w:proofErr w:type="spellStart"/>
      <w:r w:rsidRPr="00C05886">
        <w:t>Nvivo</w:t>
      </w:r>
      <w:proofErr w:type="spellEnd"/>
      <w:r w:rsidRPr="00C05886">
        <w:t xml:space="preserve"> into Microsoft Excel and linked with the questionnaire data through the participants' unique ID. The data was then imported into STATA (ver. MP 16.1) for analysis. </w:t>
      </w:r>
    </w:p>
    <w:p w14:paraId="12C5A9A2" w14:textId="297A8200" w:rsidR="000E3C80" w:rsidRPr="00C05886" w:rsidRDefault="000E3C80" w:rsidP="005454FF">
      <w:r w:rsidRPr="00C05886">
        <w:lastRenderedPageBreak/>
        <w:t xml:space="preserve">The relationship between self-reported well-being (the dependent variable) and </w:t>
      </w:r>
      <w:r w:rsidR="00A76BBB">
        <w:t>species richness</w:t>
      </w:r>
      <w:r w:rsidRPr="00C05886">
        <w:t xml:space="preserve"> (both actual and perceived) was modelled via Multilevel Ordinal Logistic Regression. Briefly, this method accounts for the effect of the nested structure in the data (see below) while estimating the coefficients for each predictor. The estimated coefficients represent the effect of a 1-unit change of an independent variable on the probability (expressed in log odds) of the dependent variable being in a higher category than the reference category </w:t>
      </w:r>
      <w:r w:rsidRPr="00C05886">
        <w:fldChar w:fldCharType="begin" w:fldLock="1"/>
      </w:r>
      <w:r w:rsidR="00A35208">
        <w:instrText xml:space="preserve"> ADDIN ZOTERO_ITEM CSL_CITATION {"citationID":"6DQZbtK5","properties":{"formattedCitation":"(Steele, 2011)","plainCitation":"(Steele, 2011)","noteIndex":0},"citationItems":[{"id":"6pP8vKpK/L1EvaDJW","uris":["http://www.mendeley.com/documents/?uuid=4b26a477-17cf-42bf-9011-0d96a5c924bf"],"itemData":{"author":[{"dropping-particle":"","family":"Steele","given":"Fiona","non-dropping-particle":"","parse-names":false,"suffix":""}],"container-title":"Centre for Multilevel Modelling, University of Bristol","id":"ITEM-1","issued":{"date-parts":[["2011"]]},"title":"Module 9: single-level and multilevel models for ordinal responses concepts","type":"article-journal"}}],"schema":"https://github.com/citation-style-language/schema/raw/master/csl-citation.json"} </w:instrText>
      </w:r>
      <w:r w:rsidRPr="00C05886">
        <w:fldChar w:fldCharType="separate"/>
      </w:r>
      <w:r w:rsidRPr="00C05886">
        <w:rPr>
          <w:rFonts w:ascii="Calibri" w:hAnsi="Calibri" w:cs="Calibri"/>
        </w:rPr>
        <w:t>(Steele, 2011)</w:t>
      </w:r>
      <w:r w:rsidRPr="00C05886">
        <w:fldChar w:fldCharType="end"/>
      </w:r>
      <w:r w:rsidRPr="00C05886">
        <w:t xml:space="preserve">. In simpler terms, a positive coefficient indicates that as the independent variable increases, the dependent variable is predicted to have higher values </w:t>
      </w:r>
      <w:r w:rsidRPr="00C05886">
        <w:fldChar w:fldCharType="begin" w:fldLock="1"/>
      </w:r>
      <w:r w:rsidR="00A35208">
        <w:instrText xml:space="preserve"> ADDIN ZOTERO_ITEM CSL_CITATION {"citationID":"GrAhRVQI","properties":{"formattedCitation":"(Leckie, Morris and Steele, 2016)","plainCitation":"(Leckie, Morris and Steele, 2016)","noteIndex":0},"citationItems":[{"id":"6pP8vKpK/4Dr2S1Dy","uris":["http://www.mendeley.com/documents/?uuid=abed03c7-5353-4b63-99e0-36e4cfb437f9"],"itemData":{"URL":"http://www.bristol.ac.uk/cmm/learning/online-course/","author":[{"dropping-particle":"","family":"Leckie","given":"George","non-dropping-particle":"","parse-names":false,"suffix":""},{"dropping-particle":"","family":"Morris","given":"Tim","non-dropping-particle":"","parse-names":false,"suffix":""},{"dropping-particle":"","family":"Steele","given":"Fiona","non-dropping-particle":"","parse-names":false,"suffix":""}],"container-title":"LEMMA VLE Module 9","id":"ITEM-1","issued":{"date-parts":[["2016"]]},"page":"1-44","title":"Single-level and Multilevel Models for Ordinal Responses - Stata Practical","type":"webpage"}}],"schema":"https://github.com/citation-style-language/schema/raw/master/csl-citation.json"} </w:instrText>
      </w:r>
      <w:r w:rsidRPr="00C05886">
        <w:fldChar w:fldCharType="separate"/>
      </w:r>
      <w:r w:rsidRPr="00C05886">
        <w:rPr>
          <w:rFonts w:ascii="Calibri" w:hAnsi="Calibri" w:cs="Calibri"/>
        </w:rPr>
        <w:t>(Leckie, Morris and Steele, 2016)</w:t>
      </w:r>
      <w:r w:rsidRPr="00C05886">
        <w:fldChar w:fldCharType="end"/>
      </w:r>
      <w:r w:rsidRPr="00C05886">
        <w:t>.</w:t>
      </w:r>
    </w:p>
    <w:p w14:paraId="44096060" w14:textId="2881D70E" w:rsidR="000E3C80" w:rsidRPr="00C05886" w:rsidRDefault="000E3C80" w:rsidP="00534837">
      <w:pPr>
        <w:rPr>
          <w:strike/>
        </w:rPr>
      </w:pPr>
      <w:r w:rsidRPr="00C05886">
        <w:t xml:space="preserve">This advanced regression model was chosen </w:t>
      </w:r>
      <w:r w:rsidR="000A3C27">
        <w:t>for</w:t>
      </w:r>
      <w:r w:rsidRPr="00C05886">
        <w:t xml:space="preserve"> the following reasons: first, the dependent variable was categorical and ordinal, which discourages the use of linear methods </w:t>
      </w:r>
      <w:r w:rsidRPr="00C05886">
        <w:fldChar w:fldCharType="begin" w:fldLock="1"/>
      </w:r>
      <w:r w:rsidR="00A35208">
        <w:instrText xml:space="preserve"> ADDIN ZOTERO_ITEM CSL_CITATION {"citationID":"as0jdG6l","properties":{"formattedCitation":"(Hedeker, 2015)","plainCitation":"(Hedeker, 2015)","noteIndex":0},"citationItems":[{"id":"6pP8vKpK/18qlF6Mz","uris":["http://www.mendeley.com/documents/?uuid=92fad6a3-d457-44df-ae19-bcb4d14cd425"],"itemData":{"DOI":"10.1007/s11121-014-0495-x","ISSN":"13894986","PMID":"24939751","abstract":"This paper discusses statistical models for multilevel ordinal data that may be more appropriate for prevention outcomes than models that assume continuous measurement and normality. Prevention outcomes often have distributions that make them inappropriate for many popular statistical models that assume normality and are more appropriately considered ordinal outcomes. Despite this, the modeling of ordinal outcomes is often not well understood. This article discusses ways to analyze multilevel ordinal outcomes that are clustered or longitudinal, including the proportional odds regression model for ordinal outcomes, which assumes that the covariate effects are the same across the levels of the ordinal outcome. The article will cover how to test this assumption and what to do if it is violated. It will also discuss application of these models using computer software programs.","author":[{"dropping-particle":"","family":"Hedeker","given":"Donald","non-dropping-particle":"","parse-names":false,"suffix":""}],"container-title":"Prevention Science","id":"ITEM-1","issue":"7","issued":{"date-parts":[["2015"]]},"page":"997-1006","title":"Methods for Multilevel Ordinal Data in Prevention Research","type":"article-journal","volume":"16"}}],"schema":"https://github.com/citation-style-language/schema/raw/master/csl-citation.json"} </w:instrText>
      </w:r>
      <w:r w:rsidRPr="00C05886">
        <w:fldChar w:fldCharType="separate"/>
      </w:r>
      <w:r w:rsidRPr="00C05886">
        <w:rPr>
          <w:rFonts w:ascii="Calibri" w:hAnsi="Calibri" w:cs="Calibri"/>
        </w:rPr>
        <w:t>(Hedeker, 2015)</w:t>
      </w:r>
      <w:r w:rsidRPr="00C05886">
        <w:fldChar w:fldCharType="end"/>
      </w:r>
      <w:r w:rsidRPr="00C05886">
        <w:t xml:space="preserve">; second, the data presented a nested structure, with individual observations (photographs) nested within participants (i.e. each participant took one or more photographs). Additionally, the variables of interest (Well-being, perceived </w:t>
      </w:r>
      <w:r w:rsidR="00A76BBB">
        <w:t>species richness</w:t>
      </w:r>
      <w:r w:rsidRPr="00C05886">
        <w:t xml:space="preserve"> and </w:t>
      </w:r>
      <w:r w:rsidR="00B25DD5">
        <w:t>building density</w:t>
      </w:r>
      <w:r w:rsidRPr="00C05886">
        <w:t xml:space="preserve">) varied both at the photograph level, as each photo was taken in a different space, and at the participant level, reflecting the subjectivity of the perceptions among participants. </w:t>
      </w:r>
    </w:p>
    <w:p w14:paraId="36C32961" w14:textId="77777777" w:rsidR="000E3C80" w:rsidRPr="00C05886" w:rsidRDefault="000E3C80" w:rsidP="00DC0B4B">
      <w:pPr>
        <w:pStyle w:val="Heading4"/>
      </w:pPr>
      <w:r w:rsidRPr="00C05886">
        <w:t>Data preparation</w:t>
      </w:r>
    </w:p>
    <w:p w14:paraId="7817344B" w14:textId="366908C7" w:rsidR="000E3C80" w:rsidRPr="00C05886" w:rsidRDefault="000E3C80" w:rsidP="00B264F8">
      <w:r w:rsidRPr="00C05886">
        <w:t xml:space="preserve">Due to the large number of independent variables – i.e. </w:t>
      </w:r>
      <w:r w:rsidR="00A76BBB">
        <w:t>species richness</w:t>
      </w:r>
      <w:r w:rsidRPr="00C05886">
        <w:t xml:space="preserve">, </w:t>
      </w:r>
      <w:r w:rsidR="00B25DD5">
        <w:t>building density</w:t>
      </w:r>
      <w:r w:rsidRPr="00C05886">
        <w:t xml:space="preserve">, demographics and all the photo codes – a preliminary selection was made by modelling the relationship between well-being and each variable individually. Only independent variables with a p-value &lt;0.25 from this bivariate analysis were included </w:t>
      </w:r>
      <w:r w:rsidRPr="00C05886">
        <w:fldChar w:fldCharType="begin" w:fldLock="1"/>
      </w:r>
      <w:r w:rsidR="00A35208">
        <w:instrText xml:space="preserve"> ADDIN ZOTERO_ITEM CSL_CITATION {"citationID":"Khl9UpQv","properties":{"formattedCitation":"(Bursac {\\i{}et al.}, 2008; Stoltzfus, 2011)","plainCitation":"(Bursac et al., 2008; Stoltzfus, 2011)","noteIndex":0},"citationItems":[{"id":"6pP8vKpK/zBthw3Zv","uris":["http://www.mendeley.com/documents/?uuid=5ecf09d2-6d7c-4a7d-81f5-3035e122ef92"],"itemData":{"DOI":"10.1111/j.1553-2712.2011.01185.x","ISSN":"1069-6563","abstract":"Academic Emergency Medicine 2011","author":[{"dropping-particle":"","family":"Stoltzfus","given":"Jill C","non-dropping-particle":"","parse-names":false,"suffix":""}],"container-title":"Acad Emerg Med","id":"ITEM-1","issue":"10","issued":{"date-parts":[["2011"]]},"note":"Supervising Editor: Craig D. Newgard, MD, MPH.\n\nThe author has no relevant financial information or potential conflicts of interest to disclose.","page":"1099-1104","publisher":"Oxford, UK: Blackwell Publishing Ltd","publisher-place":"Oxford, UK","title":"Logistic Regression: A Brief Primer","type":"article-journal","volume":"18"}},{"id":"6pP8vKpK/pNOCBrgg","uris":["http://www.mendeley.com/documents/?uuid=ea616f25-95f0-4e83-a021-888d63c0402d"],"itemData":{"DOI":"10.1186/1751-0473-3-17","ISSN":"1751-0473","abstract":"The main problem in many model-building situations is to choose from a large set of covariates those that should be included in the \"best\" model. A decision to keep a variable in the model might be based on the clinical or statistical significance. There are several variable selection algorithms in existence. Those methods are mechanical and as such carry some limitations. Hosmer and Lemeshow describe a purposeful selection of covariates within which an analyst makes a variable selection decision at each step of the modeling process.","author":[{"dropping-particle":"","family":"Bursac","given":"Zoran","non-dropping-particle":"","parse-names":false,"suffix":""},{"dropping-particle":"","family":"Gauss","given":"C Heath","non-dropping-particle":"","parse-names":false,"suffix":""},{"dropping-particle":"","family":"Williams","given":"David Keith","non-dropping-particle":"","parse-names":false,"suffix":""},{"dropping-particle":"","family":"Hosmer","given":"David W","non-dropping-particle":"","parse-names":false,"suffix":""}],"container-title":"Source Code for Biology and Medicine","id":"ITEM-2","issue":"1","issued":{"date-parts":[["2008"]]},"page":"17","title":"Purposeful selection of variables in logistic regression","type":"article-journal","volume":"3"}}],"schema":"https://github.com/citation-style-language/schema/raw/master/csl-citation.json"} </w:instrText>
      </w:r>
      <w:r w:rsidRPr="00C05886">
        <w:fldChar w:fldCharType="separate"/>
      </w:r>
      <w:r w:rsidRPr="00C05886">
        <w:rPr>
          <w:rFonts w:ascii="Calibri" w:hAnsi="Calibri" w:cs="Calibri"/>
          <w:szCs w:val="24"/>
        </w:rPr>
        <w:t xml:space="preserve">(Bursac </w:t>
      </w:r>
      <w:r w:rsidRPr="00C05886">
        <w:rPr>
          <w:rFonts w:ascii="Calibri" w:hAnsi="Calibri" w:cs="Calibri"/>
          <w:i/>
          <w:iCs/>
          <w:szCs w:val="24"/>
        </w:rPr>
        <w:t>et al.</w:t>
      </w:r>
      <w:r w:rsidRPr="00C05886">
        <w:rPr>
          <w:rFonts w:ascii="Calibri" w:hAnsi="Calibri" w:cs="Calibri"/>
          <w:szCs w:val="24"/>
        </w:rPr>
        <w:t>, 2008; Stoltzfus, 2011)</w:t>
      </w:r>
      <w:r w:rsidRPr="00C05886">
        <w:fldChar w:fldCharType="end"/>
      </w:r>
      <w:r w:rsidRPr="00C05886">
        <w:t xml:space="preserve">. The variance inflation factor (VIF) was lower than 5, indicating low multicollinearity among the variables that were included in the main models. Each regression model was refined following a stepwise procedure. At each step, the independent variable with the highest p-value and largest standard error was removed from the model, until only statistically significant predictors remained. The fit of the final model was tested by comparing its Akaike information criterion (AIC) against the “null model” (no predictors), the “all-in” model (with all predictors), the single-level ordinal logistic regression and a model where perceived </w:t>
      </w:r>
      <w:r w:rsidR="00A76BBB">
        <w:t>species richness</w:t>
      </w:r>
      <w:r w:rsidRPr="00C05886">
        <w:t xml:space="preserve"> was allowed to vary between participants (random slope).</w:t>
      </w:r>
    </w:p>
    <w:p w14:paraId="2D3E1B15" w14:textId="0B14E70B" w:rsidR="000E3C80" w:rsidRPr="00C05886" w:rsidRDefault="000E3C80" w:rsidP="00E73536">
      <w:r w:rsidRPr="00C05886">
        <w:t>Some variables were recoded due to ceiling effects</w:t>
      </w:r>
      <w:r w:rsidR="00CF65C5">
        <w:t xml:space="preserve"> (i.e. most of the </w:t>
      </w:r>
      <w:r w:rsidR="000A3C27">
        <w:t>observations</w:t>
      </w:r>
      <w:r w:rsidR="00CF65C5">
        <w:t xml:space="preserve"> being high values)</w:t>
      </w:r>
      <w:r w:rsidRPr="00C05886">
        <w:t>. The self-reported well-being was recoded in a tripartite variable (from 3 to 5), collapsing responses of values 1 to 3 together</w:t>
      </w:r>
      <w:r w:rsidR="009555C1">
        <w:t xml:space="preserve"> (only 3% of the photos were associated with values of 1 or 2)</w:t>
      </w:r>
      <w:r w:rsidRPr="00C05886">
        <w:t xml:space="preserve">. Similarly, the </w:t>
      </w:r>
      <w:r w:rsidRPr="00C05886">
        <w:lastRenderedPageBreak/>
        <w:t xml:space="preserve">time spent outdoors during childhood was recoded as a binary variable, where 1 = “a lot of time” spent outside as a child and 0 = “less than a lot of time” spent outside. The actual </w:t>
      </w:r>
      <w:r w:rsidR="00A76BBB">
        <w:t>species richness</w:t>
      </w:r>
      <w:r w:rsidRPr="00C05886">
        <w:t xml:space="preserve"> was recoded </w:t>
      </w:r>
      <w:r w:rsidR="000A3C27">
        <w:t>on</w:t>
      </w:r>
      <w:r w:rsidR="000A3C27" w:rsidRPr="00C05886">
        <w:t xml:space="preserve"> </w:t>
      </w:r>
      <w:r w:rsidRPr="00C05886">
        <w:t xml:space="preserve">a 0 to 8 scale, where 8 includes all photos with 8 species or more. Following </w:t>
      </w:r>
      <w:r w:rsidRPr="00C05886">
        <w:fldChar w:fldCharType="begin" w:fldLock="1"/>
      </w:r>
      <w:r w:rsidR="00A35208">
        <w:instrText xml:space="preserve"> ADDIN ZOTERO_ITEM CSL_CITATION {"citationID":"H6uVP5Ao","properties":{"formattedCitation":"(Peugh, 2010)","plainCitation":"(Peugh, 2010)","noteIndex":0},"citationItems":[{"id":"6pP8vKpK/6Z6vewZ7","uris":["http://www.mendeley.com/documents/?uuid=bcc93a10-cf07-41e7-807c-4c698f400e1d"],"itemData":{"DOI":"10.1016/j.jsp.2009.09.002","ISSN":"00224405","PMID":"20006989","abstract":"Collecting data from students within classrooms or schools, and collecting data from students on multiple occasions over time, are two common sampling methods used in educational research that often require multilevel modeling (MLM) data analysis techniques to avoid Type-1 errors. The purpose of this article is to clarify the seven major steps involved in a multilevel analysis: (1) clarifying the research question, (2) choosing the appropriate parameter estimator, (3) assessing the need for MLM, (4) building the level-1 model, (5) building the level-2 model, (6) multilevel effect size reporting, and (7) likelihood ratio model testing. The seven steps are illustrated with both a cross-sectional and a longitudinal MLM example from the National Educational Longitudinal Study (NELS) dataset. The goal of this article is to assist applied researchers in conducting and interpreting multilevel analyses and to offer recommendations to guide the reporting of MLM analysis results. © 2009 Elsevier Ltd. All rights reserved.","author":[{"dropping-particle":"","family":"Peugh","given":"James L.","non-dropping-particle":"","parse-names":false,"suffix":""}],"container-title":"Journal of School Psychology","id":"ITEM-1","issue":"1","issued":{"date-parts":[["2010"]]},"page":"85-112","publisher":"Elsevier Ltd","title":"A practical guide to multilevel modeling","type":"article-journal","volume":"48"}}],"schema":"https://github.com/citation-style-language/schema/raw/master/csl-citation.json"} </w:instrText>
      </w:r>
      <w:r w:rsidRPr="00C05886">
        <w:fldChar w:fldCharType="separate"/>
      </w:r>
      <w:r w:rsidRPr="00C05886">
        <w:rPr>
          <w:rFonts w:ascii="Calibri" w:hAnsi="Calibri" w:cs="Calibri"/>
        </w:rPr>
        <w:t>(Peugh, 2010)</w:t>
      </w:r>
      <w:r w:rsidRPr="00C05886">
        <w:fldChar w:fldCharType="end"/>
      </w:r>
      <w:r w:rsidRPr="00C05886">
        <w:t xml:space="preserve"> guidelines for multilevel modelling, participant-level continuous predictors – i.e. “Age”, “Nature relatedness” and “Inclusion of nature in self” – were centred on their means.</w:t>
      </w:r>
    </w:p>
    <w:p w14:paraId="42A1B598" w14:textId="77777777" w:rsidR="000E3C80" w:rsidRPr="00C05886" w:rsidRDefault="000E3C80" w:rsidP="00C64930">
      <w:pPr>
        <w:pStyle w:val="Heading2"/>
      </w:pPr>
      <w:bookmarkStart w:id="70" w:name="_Toc179962323"/>
      <w:r w:rsidRPr="00C05886">
        <w:t>Results</w:t>
      </w:r>
      <w:bookmarkEnd w:id="70"/>
    </w:p>
    <w:p w14:paraId="50C04E33" w14:textId="77777777" w:rsidR="000E3C80" w:rsidRPr="00C05886" w:rsidRDefault="000E3C80" w:rsidP="00C64930">
      <w:pPr>
        <w:pStyle w:val="Heading3"/>
      </w:pPr>
      <w:bookmarkStart w:id="71" w:name="_Toc179962324"/>
      <w:r w:rsidRPr="00C05886">
        <w:t>Descriptive statistics</w:t>
      </w:r>
      <w:bookmarkEnd w:id="71"/>
    </w:p>
    <w:p w14:paraId="7C84ED64" w14:textId="77777777" w:rsidR="000E3C80" w:rsidRPr="00C05886" w:rsidRDefault="000E3C80" w:rsidP="00C97C4C">
      <w:r w:rsidRPr="00C05886">
        <w:t>Table 1 reports descriptive statistics for the two study conditions. Both groups showed similar average scores in age, self-reported well-being, time spent outside and nature connectedness.</w:t>
      </w:r>
    </w:p>
    <w:p w14:paraId="129400A1" w14:textId="61EA27F8" w:rsidR="000E3C80" w:rsidRPr="00C05886" w:rsidRDefault="000E3C80" w:rsidP="00244797">
      <w:pPr>
        <w:pStyle w:val="Caption"/>
        <w:keepNext/>
      </w:pPr>
      <w:r w:rsidRPr="00C05886">
        <w:t xml:space="preserve">Table </w:t>
      </w:r>
      <w:r w:rsidR="00DE1077" w:rsidRPr="00C05886">
        <w:t>1</w:t>
      </w:r>
      <w:r w:rsidRPr="00C05886">
        <w:t xml:space="preserve">. </w:t>
      </w:r>
      <w:r w:rsidR="007C78AC">
        <w:t xml:space="preserve">Medians, </w:t>
      </w:r>
      <w:r w:rsidRPr="00C05886">
        <w:t>Means and standard deviations of the main variables in the two study conditions.</w:t>
      </w:r>
    </w:p>
    <w:tbl>
      <w:tblPr>
        <w:tblStyle w:val="PlainTable5"/>
        <w:tblW w:w="9669" w:type="dxa"/>
        <w:tblLook w:val="0420" w:firstRow="1" w:lastRow="0" w:firstColumn="0" w:lastColumn="0" w:noHBand="0" w:noVBand="1"/>
      </w:tblPr>
      <w:tblGrid>
        <w:gridCol w:w="6225"/>
        <w:gridCol w:w="764"/>
        <w:gridCol w:w="809"/>
        <w:gridCol w:w="1229"/>
        <w:gridCol w:w="642"/>
      </w:tblGrid>
      <w:tr w:rsidR="000E3C80" w:rsidRPr="00C05886" w14:paraId="39D2376F" w14:textId="77777777" w:rsidTr="001D392A">
        <w:trPr>
          <w:cnfStyle w:val="100000000000" w:firstRow="1" w:lastRow="0" w:firstColumn="0" w:lastColumn="0" w:oddVBand="0" w:evenVBand="0" w:oddHBand="0" w:evenHBand="0" w:firstRowFirstColumn="0" w:firstRowLastColumn="0" w:lastRowFirstColumn="0" w:lastRowLastColumn="0"/>
          <w:trHeight w:val="344"/>
        </w:trPr>
        <w:tc>
          <w:tcPr>
            <w:tcW w:w="6663" w:type="dxa"/>
            <w:hideMark/>
          </w:tcPr>
          <w:p w14:paraId="52E8D829" w14:textId="77777777" w:rsidR="000E3C80" w:rsidRPr="00C05886" w:rsidRDefault="000E3C80" w:rsidP="00C64930">
            <w:pPr>
              <w:spacing w:line="240" w:lineRule="auto"/>
              <w:rPr>
                <w:rFonts w:ascii="Arial" w:eastAsia="Times New Roman" w:hAnsi="Arial" w:cs="Arial"/>
                <w:b/>
                <w:bCs/>
                <w:sz w:val="18"/>
                <w:szCs w:val="18"/>
                <w:lang w:eastAsia="en-GB"/>
              </w:rPr>
            </w:pPr>
            <w:bookmarkStart w:id="72" w:name="_Hlk67061697"/>
            <w:r w:rsidRPr="00C05886">
              <w:rPr>
                <w:rFonts w:ascii="Arial" w:eastAsia="Times New Roman" w:hAnsi="Arial" w:cs="Arial"/>
                <w:b/>
                <w:bCs/>
                <w:sz w:val="18"/>
                <w:szCs w:val="18"/>
                <w:lang w:eastAsia="en-GB"/>
              </w:rPr>
              <w:t>Variables</w:t>
            </w:r>
          </w:p>
        </w:tc>
        <w:tc>
          <w:tcPr>
            <w:tcW w:w="283" w:type="dxa"/>
            <w:hideMark/>
          </w:tcPr>
          <w:p w14:paraId="49B97529" w14:textId="77777777" w:rsidR="000E3C80" w:rsidRPr="00C05886" w:rsidRDefault="000E3C80" w:rsidP="00C64930">
            <w:pPr>
              <w:spacing w:line="240" w:lineRule="auto"/>
              <w:rPr>
                <w:rFonts w:ascii="Arial" w:eastAsia="Times New Roman" w:hAnsi="Arial" w:cs="Arial"/>
                <w:sz w:val="18"/>
                <w:szCs w:val="18"/>
                <w:lang w:eastAsia="en-GB"/>
              </w:rPr>
            </w:pPr>
            <w:r w:rsidRPr="00C05886">
              <w:rPr>
                <w:rFonts w:ascii="Trebuchet MS" w:eastAsia="Times New Roman" w:hAnsi="Trebuchet MS" w:cs="Arial"/>
                <w:b/>
                <w:bCs/>
                <w:kern w:val="24"/>
                <w:sz w:val="18"/>
                <w:szCs w:val="18"/>
                <w:lang w:eastAsia="en-GB"/>
              </w:rPr>
              <w:t>Built</w:t>
            </w:r>
          </w:p>
        </w:tc>
        <w:tc>
          <w:tcPr>
            <w:tcW w:w="813" w:type="dxa"/>
          </w:tcPr>
          <w:p w14:paraId="6AD07EAF" w14:textId="77777777" w:rsidR="000E3C80" w:rsidRPr="00C05886" w:rsidRDefault="000E3C80" w:rsidP="00C64930">
            <w:pPr>
              <w:spacing w:line="240" w:lineRule="auto"/>
              <w:jc w:val="center"/>
              <w:rPr>
                <w:rFonts w:ascii="Trebuchet MS" w:eastAsia="Times New Roman" w:hAnsi="Trebuchet MS" w:cs="Arial"/>
                <w:b/>
                <w:bCs/>
                <w:kern w:val="24"/>
                <w:sz w:val="18"/>
                <w:szCs w:val="18"/>
                <w:lang w:eastAsia="en-GB"/>
              </w:rPr>
            </w:pPr>
            <w:r w:rsidRPr="00C05886">
              <w:rPr>
                <w:rFonts w:ascii="Trebuchet MS" w:eastAsia="Times New Roman" w:hAnsi="Trebuchet MS" w:cs="Arial"/>
                <w:b/>
                <w:bCs/>
                <w:kern w:val="24"/>
                <w:sz w:val="18"/>
                <w:szCs w:val="18"/>
                <w:lang w:eastAsia="en-GB"/>
              </w:rPr>
              <w:t>SD</w:t>
            </w:r>
          </w:p>
        </w:tc>
        <w:tc>
          <w:tcPr>
            <w:tcW w:w="1268" w:type="dxa"/>
          </w:tcPr>
          <w:p w14:paraId="5B98E2C7" w14:textId="77777777" w:rsidR="000E3C80" w:rsidRPr="00C05886" w:rsidRDefault="000E3C80" w:rsidP="00C64930">
            <w:pPr>
              <w:spacing w:line="240" w:lineRule="auto"/>
              <w:rPr>
                <w:rFonts w:ascii="Trebuchet MS" w:eastAsia="Times New Roman" w:hAnsi="Trebuchet MS" w:cs="Arial"/>
                <w:b/>
                <w:bCs/>
                <w:kern w:val="24"/>
                <w:sz w:val="18"/>
                <w:szCs w:val="18"/>
                <w:lang w:eastAsia="en-GB"/>
              </w:rPr>
            </w:pPr>
            <w:r w:rsidRPr="00C05886">
              <w:rPr>
                <w:rFonts w:ascii="Trebuchet MS" w:eastAsia="Times New Roman" w:hAnsi="Trebuchet MS" w:cs="Arial"/>
                <w:b/>
                <w:bCs/>
                <w:kern w:val="24"/>
                <w:sz w:val="18"/>
                <w:szCs w:val="18"/>
                <w:lang w:eastAsia="en-GB"/>
              </w:rPr>
              <w:t>Nature</w:t>
            </w:r>
          </w:p>
        </w:tc>
        <w:tc>
          <w:tcPr>
            <w:tcW w:w="642" w:type="dxa"/>
          </w:tcPr>
          <w:p w14:paraId="1340D904" w14:textId="77777777" w:rsidR="000E3C80" w:rsidRPr="00C05886" w:rsidRDefault="000E3C80" w:rsidP="00C64930">
            <w:pPr>
              <w:spacing w:line="240" w:lineRule="auto"/>
              <w:jc w:val="center"/>
              <w:rPr>
                <w:rFonts w:ascii="Trebuchet MS" w:eastAsia="Times New Roman" w:hAnsi="Trebuchet MS" w:cs="Arial"/>
                <w:b/>
                <w:bCs/>
                <w:kern w:val="24"/>
                <w:sz w:val="18"/>
                <w:szCs w:val="18"/>
                <w:lang w:eastAsia="en-GB"/>
              </w:rPr>
            </w:pPr>
            <w:r w:rsidRPr="00C05886">
              <w:rPr>
                <w:rFonts w:ascii="Trebuchet MS" w:eastAsia="Times New Roman" w:hAnsi="Trebuchet MS" w:cs="Arial"/>
                <w:b/>
                <w:bCs/>
                <w:kern w:val="24"/>
                <w:sz w:val="18"/>
                <w:szCs w:val="18"/>
                <w:lang w:eastAsia="en-GB"/>
              </w:rPr>
              <w:t>SD</w:t>
            </w:r>
          </w:p>
        </w:tc>
      </w:tr>
      <w:tr w:rsidR="000E3C80" w:rsidRPr="00C05886" w14:paraId="401C6E94" w14:textId="77777777" w:rsidTr="001D392A">
        <w:trPr>
          <w:cnfStyle w:val="000000100000" w:firstRow="0" w:lastRow="0" w:firstColumn="0" w:lastColumn="0" w:oddVBand="0" w:evenVBand="0" w:oddHBand="1" w:evenHBand="0" w:firstRowFirstColumn="0" w:firstRowLastColumn="0" w:lastRowFirstColumn="0" w:lastRowLastColumn="0"/>
          <w:trHeight w:val="344"/>
        </w:trPr>
        <w:tc>
          <w:tcPr>
            <w:tcW w:w="6663" w:type="dxa"/>
            <w:hideMark/>
          </w:tcPr>
          <w:p w14:paraId="50A57404" w14:textId="77777777" w:rsidR="000E3C80" w:rsidRPr="00C05886" w:rsidRDefault="000E3C80" w:rsidP="00C64930">
            <w:pPr>
              <w:spacing w:line="240" w:lineRule="auto"/>
              <w:rPr>
                <w:rFonts w:ascii="Arial" w:hAnsi="Arial"/>
                <w:lang w:eastAsia="en-GB"/>
              </w:rPr>
            </w:pPr>
            <w:r w:rsidRPr="00C05886">
              <w:rPr>
                <w:lang w:eastAsia="en-GB"/>
              </w:rPr>
              <w:t>n. Participants</w:t>
            </w:r>
          </w:p>
        </w:tc>
        <w:tc>
          <w:tcPr>
            <w:tcW w:w="283" w:type="dxa"/>
            <w:hideMark/>
          </w:tcPr>
          <w:p w14:paraId="76609D5C" w14:textId="77777777" w:rsidR="000E3C80" w:rsidRPr="00C05886" w:rsidRDefault="000E3C80" w:rsidP="00C64930">
            <w:pPr>
              <w:spacing w:line="240" w:lineRule="auto"/>
              <w:rPr>
                <w:rFonts w:ascii="Arial" w:hAnsi="Arial"/>
                <w:lang w:eastAsia="en-GB"/>
              </w:rPr>
            </w:pPr>
            <w:r w:rsidRPr="00C05886">
              <w:rPr>
                <w:lang w:eastAsia="en-GB"/>
              </w:rPr>
              <w:t>59</w:t>
            </w:r>
          </w:p>
        </w:tc>
        <w:tc>
          <w:tcPr>
            <w:tcW w:w="813" w:type="dxa"/>
          </w:tcPr>
          <w:p w14:paraId="7381BF71" w14:textId="77777777" w:rsidR="000E3C80" w:rsidRPr="00C05886" w:rsidRDefault="000E3C80" w:rsidP="00C64930">
            <w:pPr>
              <w:spacing w:line="240" w:lineRule="auto"/>
              <w:jc w:val="center"/>
              <w:rPr>
                <w:lang w:eastAsia="en-GB"/>
              </w:rPr>
            </w:pPr>
            <w:r w:rsidRPr="00C05886">
              <w:rPr>
                <w:lang w:eastAsia="en-GB"/>
              </w:rPr>
              <w:t>-</w:t>
            </w:r>
          </w:p>
        </w:tc>
        <w:tc>
          <w:tcPr>
            <w:tcW w:w="1268" w:type="dxa"/>
          </w:tcPr>
          <w:p w14:paraId="539A36FA" w14:textId="77777777" w:rsidR="000E3C80" w:rsidRPr="00C05886" w:rsidRDefault="000E3C80" w:rsidP="00C64930">
            <w:pPr>
              <w:spacing w:line="240" w:lineRule="auto"/>
              <w:rPr>
                <w:lang w:eastAsia="en-GB"/>
              </w:rPr>
            </w:pPr>
            <w:r w:rsidRPr="00C05886">
              <w:rPr>
                <w:lang w:eastAsia="en-GB"/>
              </w:rPr>
              <w:t>129</w:t>
            </w:r>
          </w:p>
        </w:tc>
        <w:tc>
          <w:tcPr>
            <w:tcW w:w="642" w:type="dxa"/>
          </w:tcPr>
          <w:p w14:paraId="5E3C086F" w14:textId="77777777" w:rsidR="000E3C80" w:rsidRPr="00C05886" w:rsidRDefault="000E3C80" w:rsidP="00C64930">
            <w:pPr>
              <w:spacing w:line="240" w:lineRule="auto"/>
              <w:jc w:val="center"/>
              <w:rPr>
                <w:lang w:eastAsia="en-GB"/>
              </w:rPr>
            </w:pPr>
            <w:r w:rsidRPr="00C05886">
              <w:rPr>
                <w:lang w:eastAsia="en-GB"/>
              </w:rPr>
              <w:t>-</w:t>
            </w:r>
          </w:p>
        </w:tc>
      </w:tr>
      <w:tr w:rsidR="000E3C80" w:rsidRPr="00C05886" w14:paraId="561145D1" w14:textId="77777777" w:rsidTr="001D392A">
        <w:trPr>
          <w:trHeight w:val="344"/>
        </w:trPr>
        <w:tc>
          <w:tcPr>
            <w:tcW w:w="6663" w:type="dxa"/>
          </w:tcPr>
          <w:p w14:paraId="1DCAFEF5" w14:textId="77777777" w:rsidR="000E3C80" w:rsidRPr="00C05886" w:rsidRDefault="000E3C80" w:rsidP="00C64930">
            <w:pPr>
              <w:spacing w:line="240" w:lineRule="auto"/>
              <w:rPr>
                <w:lang w:eastAsia="en-GB"/>
              </w:rPr>
            </w:pPr>
            <w:r w:rsidRPr="00C05886">
              <w:rPr>
                <w:lang w:eastAsia="en-GB"/>
              </w:rPr>
              <w:t>n. Female participants</w:t>
            </w:r>
          </w:p>
        </w:tc>
        <w:tc>
          <w:tcPr>
            <w:tcW w:w="283" w:type="dxa"/>
          </w:tcPr>
          <w:p w14:paraId="0FA3B2A8" w14:textId="77777777" w:rsidR="000E3C80" w:rsidRPr="00C05886" w:rsidRDefault="000E3C80" w:rsidP="00C64930">
            <w:pPr>
              <w:spacing w:line="240" w:lineRule="auto"/>
              <w:rPr>
                <w:lang w:eastAsia="en-GB"/>
              </w:rPr>
            </w:pPr>
            <w:r w:rsidRPr="00C05886">
              <w:rPr>
                <w:lang w:eastAsia="en-GB"/>
              </w:rPr>
              <w:t>35</w:t>
            </w:r>
          </w:p>
        </w:tc>
        <w:tc>
          <w:tcPr>
            <w:tcW w:w="813" w:type="dxa"/>
          </w:tcPr>
          <w:p w14:paraId="16098C9C" w14:textId="6A8093A6" w:rsidR="000E3C80" w:rsidRPr="00C05886" w:rsidRDefault="008E3363" w:rsidP="00C64930">
            <w:pPr>
              <w:spacing w:line="240" w:lineRule="auto"/>
              <w:jc w:val="center"/>
              <w:rPr>
                <w:lang w:eastAsia="en-GB"/>
              </w:rPr>
            </w:pPr>
            <w:r>
              <w:rPr>
                <w:lang w:eastAsia="en-GB"/>
              </w:rPr>
              <w:t>-</w:t>
            </w:r>
          </w:p>
        </w:tc>
        <w:tc>
          <w:tcPr>
            <w:tcW w:w="1268" w:type="dxa"/>
          </w:tcPr>
          <w:p w14:paraId="0763EB48" w14:textId="77777777" w:rsidR="000E3C80" w:rsidRPr="00C05886" w:rsidRDefault="000E3C80" w:rsidP="00C64930">
            <w:pPr>
              <w:spacing w:line="240" w:lineRule="auto"/>
              <w:rPr>
                <w:lang w:eastAsia="en-GB"/>
              </w:rPr>
            </w:pPr>
            <w:r w:rsidRPr="00C05886">
              <w:rPr>
                <w:lang w:eastAsia="en-GB"/>
              </w:rPr>
              <w:t>76</w:t>
            </w:r>
          </w:p>
        </w:tc>
        <w:tc>
          <w:tcPr>
            <w:tcW w:w="642" w:type="dxa"/>
          </w:tcPr>
          <w:p w14:paraId="1F45DBE3" w14:textId="01773E96" w:rsidR="000E3C80" w:rsidRPr="00C05886" w:rsidRDefault="008E3363" w:rsidP="00C64930">
            <w:pPr>
              <w:spacing w:line="240" w:lineRule="auto"/>
              <w:jc w:val="center"/>
              <w:rPr>
                <w:lang w:eastAsia="en-GB"/>
              </w:rPr>
            </w:pPr>
            <w:r>
              <w:rPr>
                <w:lang w:eastAsia="en-GB"/>
              </w:rPr>
              <w:t>-</w:t>
            </w:r>
          </w:p>
        </w:tc>
      </w:tr>
      <w:tr w:rsidR="000E3C80" w:rsidRPr="00C05886" w14:paraId="54BD23DE" w14:textId="77777777" w:rsidTr="001D392A">
        <w:trPr>
          <w:cnfStyle w:val="000000100000" w:firstRow="0" w:lastRow="0" w:firstColumn="0" w:lastColumn="0" w:oddVBand="0" w:evenVBand="0" w:oddHBand="1" w:evenHBand="0" w:firstRowFirstColumn="0" w:firstRowLastColumn="0" w:lastRowFirstColumn="0" w:lastRowLastColumn="0"/>
          <w:trHeight w:val="344"/>
        </w:trPr>
        <w:tc>
          <w:tcPr>
            <w:tcW w:w="6663" w:type="dxa"/>
            <w:hideMark/>
          </w:tcPr>
          <w:p w14:paraId="6FB03F29" w14:textId="77777777" w:rsidR="000E3C80" w:rsidRPr="00C05886" w:rsidRDefault="000E3C80" w:rsidP="00C64930">
            <w:pPr>
              <w:spacing w:line="240" w:lineRule="auto"/>
              <w:rPr>
                <w:rFonts w:ascii="Arial" w:hAnsi="Arial"/>
                <w:lang w:eastAsia="en-GB"/>
              </w:rPr>
            </w:pPr>
            <w:r w:rsidRPr="00C05886">
              <w:rPr>
                <w:lang w:eastAsia="en-GB"/>
              </w:rPr>
              <w:t xml:space="preserve">n. </w:t>
            </w:r>
            <w:r w:rsidRPr="00C05886">
              <w:t>Photographs</w:t>
            </w:r>
          </w:p>
        </w:tc>
        <w:tc>
          <w:tcPr>
            <w:tcW w:w="283" w:type="dxa"/>
            <w:hideMark/>
          </w:tcPr>
          <w:p w14:paraId="5773F8BC" w14:textId="77777777" w:rsidR="000E3C80" w:rsidRPr="00C05886" w:rsidRDefault="000E3C80" w:rsidP="00C64930">
            <w:pPr>
              <w:spacing w:line="240" w:lineRule="auto"/>
              <w:rPr>
                <w:rFonts w:ascii="Arial" w:hAnsi="Arial"/>
                <w:lang w:eastAsia="en-GB"/>
              </w:rPr>
            </w:pPr>
            <w:r w:rsidRPr="00C05886">
              <w:rPr>
                <w:lang w:eastAsia="en-GB"/>
              </w:rPr>
              <w:t>370</w:t>
            </w:r>
          </w:p>
        </w:tc>
        <w:tc>
          <w:tcPr>
            <w:tcW w:w="813" w:type="dxa"/>
          </w:tcPr>
          <w:p w14:paraId="171A336B" w14:textId="77777777" w:rsidR="000E3C80" w:rsidRPr="00C05886" w:rsidRDefault="000E3C80" w:rsidP="00C64930">
            <w:pPr>
              <w:spacing w:line="240" w:lineRule="auto"/>
              <w:jc w:val="center"/>
              <w:rPr>
                <w:lang w:eastAsia="en-GB"/>
              </w:rPr>
            </w:pPr>
            <w:r w:rsidRPr="00C05886">
              <w:rPr>
                <w:lang w:eastAsia="en-GB"/>
              </w:rPr>
              <w:t>-</w:t>
            </w:r>
          </w:p>
        </w:tc>
        <w:tc>
          <w:tcPr>
            <w:tcW w:w="1268" w:type="dxa"/>
          </w:tcPr>
          <w:p w14:paraId="633351A8" w14:textId="77777777" w:rsidR="000E3C80" w:rsidRPr="00C05886" w:rsidRDefault="000E3C80" w:rsidP="00C64930">
            <w:pPr>
              <w:spacing w:line="240" w:lineRule="auto"/>
              <w:rPr>
                <w:lang w:eastAsia="en-GB"/>
              </w:rPr>
            </w:pPr>
            <w:r w:rsidRPr="00C05886">
              <w:rPr>
                <w:lang w:eastAsia="en-GB"/>
              </w:rPr>
              <w:t>585</w:t>
            </w:r>
          </w:p>
        </w:tc>
        <w:tc>
          <w:tcPr>
            <w:tcW w:w="642" w:type="dxa"/>
          </w:tcPr>
          <w:p w14:paraId="42D0864E" w14:textId="77777777" w:rsidR="000E3C80" w:rsidRPr="00C05886" w:rsidRDefault="000E3C80" w:rsidP="00C64930">
            <w:pPr>
              <w:spacing w:line="240" w:lineRule="auto"/>
              <w:jc w:val="center"/>
              <w:rPr>
                <w:lang w:eastAsia="en-GB"/>
              </w:rPr>
            </w:pPr>
            <w:r w:rsidRPr="00C05886">
              <w:rPr>
                <w:lang w:eastAsia="en-GB"/>
              </w:rPr>
              <w:t>-</w:t>
            </w:r>
          </w:p>
        </w:tc>
      </w:tr>
      <w:tr w:rsidR="008E3363" w:rsidRPr="00C05886" w14:paraId="6CA708DA" w14:textId="77777777" w:rsidTr="001D392A">
        <w:trPr>
          <w:trHeight w:val="344"/>
        </w:trPr>
        <w:tc>
          <w:tcPr>
            <w:tcW w:w="6663" w:type="dxa"/>
          </w:tcPr>
          <w:p w14:paraId="29FF03CF" w14:textId="04E5842B" w:rsidR="008E3363" w:rsidRPr="00C05886" w:rsidRDefault="008E3363" w:rsidP="00C64930">
            <w:pPr>
              <w:spacing w:line="240" w:lineRule="auto"/>
              <w:rPr>
                <w:lang w:eastAsia="en-GB"/>
              </w:rPr>
            </w:pPr>
            <w:r>
              <w:rPr>
                <w:lang w:eastAsia="en-GB"/>
              </w:rPr>
              <w:t>Minimum and maximum n. Photographs per participant</w:t>
            </w:r>
          </w:p>
        </w:tc>
        <w:tc>
          <w:tcPr>
            <w:tcW w:w="283" w:type="dxa"/>
          </w:tcPr>
          <w:p w14:paraId="3741D31F" w14:textId="53952B3C" w:rsidR="008E3363" w:rsidRPr="00C05886" w:rsidRDefault="008E3363" w:rsidP="00C64930">
            <w:pPr>
              <w:spacing w:line="240" w:lineRule="auto"/>
              <w:rPr>
                <w:lang w:eastAsia="en-GB"/>
              </w:rPr>
            </w:pPr>
            <w:r>
              <w:rPr>
                <w:lang w:eastAsia="en-GB"/>
              </w:rPr>
              <w:t>1 - 20</w:t>
            </w:r>
          </w:p>
        </w:tc>
        <w:tc>
          <w:tcPr>
            <w:tcW w:w="813" w:type="dxa"/>
          </w:tcPr>
          <w:p w14:paraId="734D2B91" w14:textId="3DE5EA38" w:rsidR="008E3363" w:rsidRPr="00C05886" w:rsidRDefault="008E3363" w:rsidP="00C64930">
            <w:pPr>
              <w:spacing w:line="240" w:lineRule="auto"/>
              <w:jc w:val="center"/>
              <w:rPr>
                <w:lang w:eastAsia="en-GB"/>
              </w:rPr>
            </w:pPr>
            <w:r>
              <w:rPr>
                <w:lang w:eastAsia="en-GB"/>
              </w:rPr>
              <w:t>-</w:t>
            </w:r>
          </w:p>
        </w:tc>
        <w:tc>
          <w:tcPr>
            <w:tcW w:w="1268" w:type="dxa"/>
          </w:tcPr>
          <w:p w14:paraId="728D5BAC" w14:textId="78867AC9" w:rsidR="008E3363" w:rsidRPr="00C05886" w:rsidRDefault="008E3363" w:rsidP="00C64930">
            <w:pPr>
              <w:spacing w:line="240" w:lineRule="auto"/>
              <w:rPr>
                <w:lang w:eastAsia="en-GB"/>
              </w:rPr>
            </w:pPr>
            <w:r>
              <w:rPr>
                <w:lang w:eastAsia="en-GB"/>
              </w:rPr>
              <w:t>1 - 19</w:t>
            </w:r>
          </w:p>
        </w:tc>
        <w:tc>
          <w:tcPr>
            <w:tcW w:w="642" w:type="dxa"/>
          </w:tcPr>
          <w:p w14:paraId="3402DB62" w14:textId="5F5DC4C5" w:rsidR="008E3363" w:rsidRPr="00C05886" w:rsidRDefault="008E3363" w:rsidP="00C64930">
            <w:pPr>
              <w:spacing w:line="240" w:lineRule="auto"/>
              <w:jc w:val="center"/>
              <w:rPr>
                <w:lang w:eastAsia="en-GB"/>
              </w:rPr>
            </w:pPr>
            <w:r>
              <w:rPr>
                <w:lang w:eastAsia="en-GB"/>
              </w:rPr>
              <w:t>-</w:t>
            </w:r>
          </w:p>
        </w:tc>
      </w:tr>
      <w:tr w:rsidR="000E3C80" w:rsidRPr="00C05886" w14:paraId="76F44B2F" w14:textId="77777777" w:rsidTr="001D392A">
        <w:trPr>
          <w:cnfStyle w:val="000000100000" w:firstRow="0" w:lastRow="0" w:firstColumn="0" w:lastColumn="0" w:oddVBand="0" w:evenVBand="0" w:oddHBand="1" w:evenHBand="0" w:firstRowFirstColumn="0" w:firstRowLastColumn="0" w:lastRowFirstColumn="0" w:lastRowLastColumn="0"/>
          <w:trHeight w:val="344"/>
        </w:trPr>
        <w:tc>
          <w:tcPr>
            <w:tcW w:w="6663" w:type="dxa"/>
            <w:hideMark/>
          </w:tcPr>
          <w:p w14:paraId="7715EB10" w14:textId="77777777" w:rsidR="000E3C80" w:rsidRPr="00C05886" w:rsidRDefault="000E3C80" w:rsidP="00C64930">
            <w:pPr>
              <w:spacing w:line="240" w:lineRule="auto"/>
              <w:rPr>
                <w:rFonts w:ascii="Arial" w:hAnsi="Arial"/>
                <w:lang w:eastAsia="en-GB"/>
              </w:rPr>
            </w:pPr>
            <w:r w:rsidRPr="00C05886">
              <w:rPr>
                <w:lang w:eastAsia="en-GB"/>
              </w:rPr>
              <w:t xml:space="preserve">Mean n. </w:t>
            </w:r>
            <w:r w:rsidRPr="00C05886">
              <w:t>Photographs</w:t>
            </w:r>
            <w:r w:rsidRPr="00C05886">
              <w:rPr>
                <w:lang w:eastAsia="en-GB"/>
              </w:rPr>
              <w:t xml:space="preserve"> per participant</w:t>
            </w:r>
          </w:p>
        </w:tc>
        <w:tc>
          <w:tcPr>
            <w:tcW w:w="283" w:type="dxa"/>
            <w:hideMark/>
          </w:tcPr>
          <w:p w14:paraId="1EE7C8D7" w14:textId="77777777" w:rsidR="000E3C80" w:rsidRPr="00C05886" w:rsidRDefault="000E3C80" w:rsidP="00C64930">
            <w:pPr>
              <w:spacing w:line="240" w:lineRule="auto"/>
              <w:rPr>
                <w:rFonts w:ascii="Arial" w:hAnsi="Arial"/>
                <w:lang w:eastAsia="en-GB"/>
              </w:rPr>
            </w:pPr>
            <w:r w:rsidRPr="00C05886">
              <w:rPr>
                <w:lang w:eastAsia="en-GB"/>
              </w:rPr>
              <w:t>6.27</w:t>
            </w:r>
          </w:p>
        </w:tc>
        <w:tc>
          <w:tcPr>
            <w:tcW w:w="813" w:type="dxa"/>
          </w:tcPr>
          <w:p w14:paraId="3D1095AE" w14:textId="77777777" w:rsidR="000E3C80" w:rsidRPr="00C05886" w:rsidRDefault="000E3C80" w:rsidP="00C64930">
            <w:pPr>
              <w:spacing w:line="240" w:lineRule="auto"/>
              <w:jc w:val="center"/>
              <w:rPr>
                <w:lang w:eastAsia="en-GB"/>
              </w:rPr>
            </w:pPr>
            <w:r w:rsidRPr="00C05886">
              <w:rPr>
                <w:lang w:eastAsia="en-GB"/>
              </w:rPr>
              <w:t>5.87</w:t>
            </w:r>
          </w:p>
        </w:tc>
        <w:tc>
          <w:tcPr>
            <w:tcW w:w="1268" w:type="dxa"/>
          </w:tcPr>
          <w:p w14:paraId="404B092E" w14:textId="77777777" w:rsidR="000E3C80" w:rsidRPr="00C05886" w:rsidRDefault="000E3C80" w:rsidP="00C64930">
            <w:pPr>
              <w:spacing w:line="240" w:lineRule="auto"/>
              <w:rPr>
                <w:lang w:eastAsia="en-GB"/>
              </w:rPr>
            </w:pPr>
            <w:r w:rsidRPr="00C05886">
              <w:rPr>
                <w:lang w:eastAsia="en-GB"/>
              </w:rPr>
              <w:t>4.6</w:t>
            </w:r>
          </w:p>
        </w:tc>
        <w:tc>
          <w:tcPr>
            <w:tcW w:w="642" w:type="dxa"/>
          </w:tcPr>
          <w:p w14:paraId="19AC02CE" w14:textId="77777777" w:rsidR="000E3C80" w:rsidRPr="00C05886" w:rsidRDefault="000E3C80" w:rsidP="00C64930">
            <w:pPr>
              <w:spacing w:line="240" w:lineRule="auto"/>
              <w:jc w:val="center"/>
              <w:rPr>
                <w:lang w:eastAsia="en-GB"/>
              </w:rPr>
            </w:pPr>
            <w:r w:rsidRPr="00C05886">
              <w:rPr>
                <w:lang w:eastAsia="en-GB"/>
              </w:rPr>
              <w:t>4.05</w:t>
            </w:r>
          </w:p>
        </w:tc>
      </w:tr>
      <w:tr w:rsidR="000E3C80" w:rsidRPr="00C05886" w14:paraId="7DABF0FA" w14:textId="77777777" w:rsidTr="001D392A">
        <w:trPr>
          <w:trHeight w:val="344"/>
        </w:trPr>
        <w:tc>
          <w:tcPr>
            <w:tcW w:w="6663" w:type="dxa"/>
            <w:hideMark/>
          </w:tcPr>
          <w:p w14:paraId="14F54CAD" w14:textId="77777777" w:rsidR="000E3C80" w:rsidRPr="00C05886" w:rsidRDefault="000E3C80" w:rsidP="00C64930">
            <w:pPr>
              <w:spacing w:line="240" w:lineRule="auto"/>
              <w:rPr>
                <w:rFonts w:ascii="Arial" w:hAnsi="Arial"/>
                <w:lang w:eastAsia="en-GB"/>
              </w:rPr>
            </w:pPr>
            <w:r w:rsidRPr="00C05886">
              <w:rPr>
                <w:lang w:eastAsia="en-GB"/>
              </w:rPr>
              <w:t>Mean Age</w:t>
            </w:r>
          </w:p>
        </w:tc>
        <w:tc>
          <w:tcPr>
            <w:tcW w:w="283" w:type="dxa"/>
            <w:hideMark/>
          </w:tcPr>
          <w:p w14:paraId="218B5367" w14:textId="77777777" w:rsidR="000E3C80" w:rsidRPr="00C05886" w:rsidRDefault="000E3C80" w:rsidP="00C64930">
            <w:pPr>
              <w:spacing w:line="240" w:lineRule="auto"/>
              <w:rPr>
                <w:lang w:eastAsia="en-GB"/>
              </w:rPr>
            </w:pPr>
            <w:r w:rsidRPr="00C05886">
              <w:rPr>
                <w:lang w:eastAsia="en-GB"/>
              </w:rPr>
              <w:t>40.51</w:t>
            </w:r>
          </w:p>
        </w:tc>
        <w:tc>
          <w:tcPr>
            <w:tcW w:w="813" w:type="dxa"/>
          </w:tcPr>
          <w:p w14:paraId="790B65FD" w14:textId="77777777" w:rsidR="000E3C80" w:rsidRPr="00C05886" w:rsidRDefault="000E3C80" w:rsidP="00C64930">
            <w:pPr>
              <w:spacing w:line="240" w:lineRule="auto"/>
              <w:jc w:val="center"/>
              <w:rPr>
                <w:lang w:eastAsia="en-GB"/>
              </w:rPr>
            </w:pPr>
            <w:r w:rsidRPr="00C05886">
              <w:rPr>
                <w:lang w:eastAsia="en-GB"/>
              </w:rPr>
              <w:t>14.65</w:t>
            </w:r>
          </w:p>
        </w:tc>
        <w:tc>
          <w:tcPr>
            <w:tcW w:w="1268" w:type="dxa"/>
          </w:tcPr>
          <w:p w14:paraId="4554975E" w14:textId="77777777" w:rsidR="000E3C80" w:rsidRPr="00C05886" w:rsidRDefault="000E3C80" w:rsidP="00C64930">
            <w:pPr>
              <w:spacing w:line="240" w:lineRule="auto"/>
              <w:rPr>
                <w:lang w:eastAsia="en-GB"/>
              </w:rPr>
            </w:pPr>
            <w:r w:rsidRPr="00C05886">
              <w:rPr>
                <w:lang w:eastAsia="en-GB"/>
              </w:rPr>
              <w:t>39.82</w:t>
            </w:r>
          </w:p>
        </w:tc>
        <w:tc>
          <w:tcPr>
            <w:tcW w:w="642" w:type="dxa"/>
          </w:tcPr>
          <w:p w14:paraId="593FBFBF" w14:textId="77777777" w:rsidR="000E3C80" w:rsidRPr="00C05886" w:rsidRDefault="000E3C80" w:rsidP="00C64930">
            <w:pPr>
              <w:spacing w:line="240" w:lineRule="auto"/>
              <w:jc w:val="center"/>
              <w:rPr>
                <w:lang w:eastAsia="en-GB"/>
              </w:rPr>
            </w:pPr>
            <w:r w:rsidRPr="00C05886">
              <w:rPr>
                <w:lang w:eastAsia="en-GB"/>
              </w:rPr>
              <w:t>13.7</w:t>
            </w:r>
          </w:p>
        </w:tc>
      </w:tr>
      <w:tr w:rsidR="000E3C80" w:rsidRPr="00C05886" w14:paraId="6AC16C10" w14:textId="77777777" w:rsidTr="001D392A">
        <w:trPr>
          <w:cnfStyle w:val="000000100000" w:firstRow="0" w:lastRow="0" w:firstColumn="0" w:lastColumn="0" w:oddVBand="0" w:evenVBand="0" w:oddHBand="1" w:evenHBand="0" w:firstRowFirstColumn="0" w:firstRowLastColumn="0" w:lastRowFirstColumn="0" w:lastRowLastColumn="0"/>
          <w:trHeight w:val="344"/>
        </w:trPr>
        <w:tc>
          <w:tcPr>
            <w:tcW w:w="6663" w:type="dxa"/>
            <w:hideMark/>
          </w:tcPr>
          <w:p w14:paraId="4848AAEB" w14:textId="3BF04BAA" w:rsidR="000E3C80" w:rsidRPr="00C05886" w:rsidRDefault="0094151E" w:rsidP="00C64930">
            <w:pPr>
              <w:spacing w:line="240" w:lineRule="auto"/>
              <w:rPr>
                <w:rFonts w:ascii="Arial" w:hAnsi="Arial"/>
                <w:lang w:eastAsia="en-GB"/>
              </w:rPr>
            </w:pPr>
            <w:r w:rsidRPr="00C05886">
              <w:rPr>
                <w:lang w:eastAsia="en-GB"/>
              </w:rPr>
              <w:t>M</w:t>
            </w:r>
            <w:r>
              <w:rPr>
                <w:lang w:eastAsia="en-GB"/>
              </w:rPr>
              <w:t>edian</w:t>
            </w:r>
            <w:r w:rsidRPr="00C05886">
              <w:rPr>
                <w:lang w:eastAsia="en-GB"/>
              </w:rPr>
              <w:t xml:space="preserve"> </w:t>
            </w:r>
            <w:r w:rsidR="000E3C80" w:rsidRPr="00C05886">
              <w:rPr>
                <w:lang w:eastAsia="en-GB"/>
              </w:rPr>
              <w:t xml:space="preserve">Well-being (1 to 5) </w:t>
            </w:r>
          </w:p>
        </w:tc>
        <w:tc>
          <w:tcPr>
            <w:tcW w:w="283" w:type="dxa"/>
            <w:hideMark/>
          </w:tcPr>
          <w:p w14:paraId="26D1DC34" w14:textId="0C939B38" w:rsidR="000E3C80" w:rsidRPr="00C05886" w:rsidRDefault="007C78AC" w:rsidP="00C64930">
            <w:pPr>
              <w:spacing w:line="240" w:lineRule="auto"/>
              <w:rPr>
                <w:rFonts w:ascii="Arial" w:hAnsi="Arial"/>
                <w:lang w:eastAsia="en-GB"/>
              </w:rPr>
            </w:pPr>
            <w:r>
              <w:rPr>
                <w:lang w:eastAsia="en-GB"/>
              </w:rPr>
              <w:t>4</w:t>
            </w:r>
            <w:r w:rsidR="000E3C80" w:rsidRPr="00C05886">
              <w:rPr>
                <w:lang w:eastAsia="en-GB"/>
              </w:rPr>
              <w:t xml:space="preserve"> </w:t>
            </w:r>
          </w:p>
        </w:tc>
        <w:tc>
          <w:tcPr>
            <w:tcW w:w="813" w:type="dxa"/>
          </w:tcPr>
          <w:p w14:paraId="5BF980C5" w14:textId="15B65A62" w:rsidR="000E3C80" w:rsidRPr="00C05886" w:rsidRDefault="007C78AC" w:rsidP="00C64930">
            <w:pPr>
              <w:spacing w:line="240" w:lineRule="auto"/>
              <w:jc w:val="center"/>
              <w:rPr>
                <w:lang w:eastAsia="en-GB"/>
              </w:rPr>
            </w:pPr>
            <w:r>
              <w:rPr>
                <w:lang w:eastAsia="en-GB"/>
              </w:rPr>
              <w:t>-</w:t>
            </w:r>
          </w:p>
        </w:tc>
        <w:tc>
          <w:tcPr>
            <w:tcW w:w="1268" w:type="dxa"/>
          </w:tcPr>
          <w:p w14:paraId="0DCDE328" w14:textId="0FB62D6F" w:rsidR="000E3C80" w:rsidRPr="00C05886" w:rsidRDefault="007C78AC" w:rsidP="00C64930">
            <w:pPr>
              <w:spacing w:line="240" w:lineRule="auto"/>
              <w:rPr>
                <w:lang w:eastAsia="en-GB"/>
              </w:rPr>
            </w:pPr>
            <w:r>
              <w:rPr>
                <w:lang w:eastAsia="en-GB"/>
              </w:rPr>
              <w:t>4</w:t>
            </w:r>
            <w:r w:rsidR="000E3C80" w:rsidRPr="00C05886">
              <w:rPr>
                <w:lang w:eastAsia="en-GB"/>
              </w:rPr>
              <w:t xml:space="preserve"> </w:t>
            </w:r>
          </w:p>
        </w:tc>
        <w:tc>
          <w:tcPr>
            <w:tcW w:w="642" w:type="dxa"/>
          </w:tcPr>
          <w:p w14:paraId="2E9023FD" w14:textId="5AF9A7E8" w:rsidR="000E3C80" w:rsidRPr="00C05886" w:rsidRDefault="007C78AC" w:rsidP="00C64930">
            <w:pPr>
              <w:spacing w:line="240" w:lineRule="auto"/>
              <w:jc w:val="center"/>
              <w:rPr>
                <w:lang w:eastAsia="en-GB"/>
              </w:rPr>
            </w:pPr>
            <w:r>
              <w:rPr>
                <w:lang w:eastAsia="en-GB"/>
              </w:rPr>
              <w:t>-</w:t>
            </w:r>
          </w:p>
        </w:tc>
      </w:tr>
      <w:tr w:rsidR="000E3C80" w:rsidRPr="00C05886" w14:paraId="5650E6B9" w14:textId="77777777" w:rsidTr="001D392A">
        <w:trPr>
          <w:trHeight w:val="344"/>
        </w:trPr>
        <w:tc>
          <w:tcPr>
            <w:tcW w:w="6663" w:type="dxa"/>
            <w:hideMark/>
          </w:tcPr>
          <w:p w14:paraId="195B82C6" w14:textId="649116E3" w:rsidR="000E3C80" w:rsidRPr="00C05886" w:rsidRDefault="0094151E" w:rsidP="00C64930">
            <w:pPr>
              <w:spacing w:line="240" w:lineRule="auto"/>
              <w:rPr>
                <w:rFonts w:ascii="Arial" w:hAnsi="Arial"/>
                <w:lang w:eastAsia="en-GB"/>
              </w:rPr>
            </w:pPr>
            <w:r>
              <w:rPr>
                <w:lang w:eastAsia="en-GB"/>
              </w:rPr>
              <w:t>Median</w:t>
            </w:r>
            <w:r w:rsidRPr="00C05886">
              <w:rPr>
                <w:lang w:eastAsia="en-GB"/>
              </w:rPr>
              <w:t xml:space="preserve"> </w:t>
            </w:r>
            <w:r w:rsidR="000E3C80" w:rsidRPr="00C05886">
              <w:rPr>
                <w:lang w:eastAsia="en-GB"/>
              </w:rPr>
              <w:t xml:space="preserve">Perceived </w:t>
            </w:r>
            <w:r w:rsidR="00A76BBB">
              <w:t>species richness</w:t>
            </w:r>
            <w:r w:rsidR="000E3C80" w:rsidRPr="00C05886">
              <w:rPr>
                <w:lang w:eastAsia="en-GB"/>
              </w:rPr>
              <w:t xml:space="preserve"> (0 to 3)</w:t>
            </w:r>
          </w:p>
        </w:tc>
        <w:tc>
          <w:tcPr>
            <w:tcW w:w="283" w:type="dxa"/>
          </w:tcPr>
          <w:p w14:paraId="66B49B0D" w14:textId="77777777" w:rsidR="000E3C80" w:rsidRPr="00C05886" w:rsidRDefault="000E3C80" w:rsidP="00C64930">
            <w:pPr>
              <w:spacing w:line="240" w:lineRule="auto"/>
              <w:rPr>
                <w:rFonts w:ascii="Arial" w:hAnsi="Arial"/>
                <w:lang w:eastAsia="en-GB"/>
              </w:rPr>
            </w:pPr>
            <w:r w:rsidRPr="00C05886">
              <w:rPr>
                <w:rFonts w:ascii="Arial" w:hAnsi="Arial"/>
                <w:lang w:eastAsia="en-GB"/>
              </w:rPr>
              <w:t>-</w:t>
            </w:r>
          </w:p>
        </w:tc>
        <w:tc>
          <w:tcPr>
            <w:tcW w:w="813" w:type="dxa"/>
          </w:tcPr>
          <w:p w14:paraId="39AD399C" w14:textId="77777777" w:rsidR="000E3C80" w:rsidRPr="00C05886" w:rsidRDefault="000E3C80" w:rsidP="00C64930">
            <w:pPr>
              <w:spacing w:line="240" w:lineRule="auto"/>
              <w:jc w:val="center"/>
              <w:rPr>
                <w:lang w:eastAsia="en-GB"/>
              </w:rPr>
            </w:pPr>
            <w:r w:rsidRPr="00C05886">
              <w:rPr>
                <w:lang w:eastAsia="en-GB"/>
              </w:rPr>
              <w:t>-</w:t>
            </w:r>
          </w:p>
        </w:tc>
        <w:tc>
          <w:tcPr>
            <w:tcW w:w="1268" w:type="dxa"/>
          </w:tcPr>
          <w:p w14:paraId="4587E120" w14:textId="2D27FAF3" w:rsidR="000E3C80" w:rsidRPr="00C05886" w:rsidRDefault="00D72928" w:rsidP="00C64930">
            <w:pPr>
              <w:spacing w:line="240" w:lineRule="auto"/>
              <w:rPr>
                <w:lang w:eastAsia="en-GB"/>
              </w:rPr>
            </w:pPr>
            <w:r>
              <w:rPr>
                <w:lang w:eastAsia="en-GB"/>
              </w:rPr>
              <w:t>2</w:t>
            </w:r>
            <w:r w:rsidR="000E3C80" w:rsidRPr="00C05886">
              <w:rPr>
                <w:lang w:eastAsia="en-GB"/>
              </w:rPr>
              <w:t xml:space="preserve"> </w:t>
            </w:r>
          </w:p>
        </w:tc>
        <w:tc>
          <w:tcPr>
            <w:tcW w:w="642" w:type="dxa"/>
          </w:tcPr>
          <w:p w14:paraId="08D45F19" w14:textId="71D3191C" w:rsidR="000E3C80" w:rsidRPr="00C05886" w:rsidRDefault="00D72928" w:rsidP="00C64930">
            <w:pPr>
              <w:spacing w:line="240" w:lineRule="auto"/>
              <w:jc w:val="center"/>
              <w:rPr>
                <w:lang w:eastAsia="en-GB"/>
              </w:rPr>
            </w:pPr>
            <w:r>
              <w:rPr>
                <w:lang w:eastAsia="en-GB"/>
              </w:rPr>
              <w:t>-</w:t>
            </w:r>
          </w:p>
        </w:tc>
      </w:tr>
      <w:tr w:rsidR="000E3C80" w:rsidRPr="00C05886" w14:paraId="39C9E4E8" w14:textId="77777777" w:rsidTr="001D392A">
        <w:trPr>
          <w:cnfStyle w:val="000000100000" w:firstRow="0" w:lastRow="0" w:firstColumn="0" w:lastColumn="0" w:oddVBand="0" w:evenVBand="0" w:oddHBand="1" w:evenHBand="0" w:firstRowFirstColumn="0" w:firstRowLastColumn="0" w:lastRowFirstColumn="0" w:lastRowLastColumn="0"/>
          <w:trHeight w:val="344"/>
        </w:trPr>
        <w:tc>
          <w:tcPr>
            <w:tcW w:w="6663" w:type="dxa"/>
          </w:tcPr>
          <w:p w14:paraId="78B01A39" w14:textId="4A774966" w:rsidR="000E3C80" w:rsidRPr="00C05886" w:rsidRDefault="0094151E" w:rsidP="00C64930">
            <w:pPr>
              <w:spacing w:line="240" w:lineRule="auto"/>
              <w:rPr>
                <w:lang w:eastAsia="en-GB"/>
              </w:rPr>
            </w:pPr>
            <w:r>
              <w:rPr>
                <w:lang w:eastAsia="en-GB"/>
              </w:rPr>
              <w:t>Median</w:t>
            </w:r>
            <w:r w:rsidRPr="00C05886">
              <w:rPr>
                <w:lang w:eastAsia="en-GB"/>
              </w:rPr>
              <w:t xml:space="preserve"> </w:t>
            </w:r>
            <w:r w:rsidR="000E3C80" w:rsidRPr="00C05886">
              <w:rPr>
                <w:lang w:eastAsia="en-GB"/>
              </w:rPr>
              <w:t>Perceived urbanization (0 to 3)</w:t>
            </w:r>
          </w:p>
        </w:tc>
        <w:tc>
          <w:tcPr>
            <w:tcW w:w="283" w:type="dxa"/>
          </w:tcPr>
          <w:p w14:paraId="16EB06CD" w14:textId="5D479C34" w:rsidR="000E3C80" w:rsidRPr="00C05886" w:rsidRDefault="007C78AC" w:rsidP="00C64930">
            <w:pPr>
              <w:spacing w:line="240" w:lineRule="auto"/>
              <w:rPr>
                <w:lang w:eastAsia="en-GB"/>
              </w:rPr>
            </w:pPr>
            <w:r>
              <w:rPr>
                <w:lang w:eastAsia="en-GB"/>
              </w:rPr>
              <w:t>2</w:t>
            </w:r>
            <w:r w:rsidR="000E3C80" w:rsidRPr="00C05886">
              <w:rPr>
                <w:lang w:eastAsia="en-GB"/>
              </w:rPr>
              <w:t xml:space="preserve"> </w:t>
            </w:r>
          </w:p>
        </w:tc>
        <w:tc>
          <w:tcPr>
            <w:tcW w:w="813" w:type="dxa"/>
          </w:tcPr>
          <w:p w14:paraId="5170B752" w14:textId="1F40620A" w:rsidR="000E3C80" w:rsidRPr="00C05886" w:rsidRDefault="007C78AC" w:rsidP="00C64930">
            <w:pPr>
              <w:spacing w:line="240" w:lineRule="auto"/>
              <w:jc w:val="center"/>
              <w:rPr>
                <w:lang w:eastAsia="en-GB"/>
              </w:rPr>
            </w:pPr>
            <w:r>
              <w:rPr>
                <w:lang w:eastAsia="en-GB"/>
              </w:rPr>
              <w:t>-</w:t>
            </w:r>
          </w:p>
        </w:tc>
        <w:tc>
          <w:tcPr>
            <w:tcW w:w="1268" w:type="dxa"/>
          </w:tcPr>
          <w:p w14:paraId="6C359E40" w14:textId="77777777" w:rsidR="000E3C80" w:rsidRPr="00C05886" w:rsidRDefault="000E3C80" w:rsidP="00C64930">
            <w:pPr>
              <w:spacing w:line="240" w:lineRule="auto"/>
              <w:rPr>
                <w:lang w:eastAsia="en-GB"/>
              </w:rPr>
            </w:pPr>
            <w:r w:rsidRPr="00C05886">
              <w:rPr>
                <w:lang w:eastAsia="en-GB"/>
              </w:rPr>
              <w:t>-</w:t>
            </w:r>
          </w:p>
        </w:tc>
        <w:tc>
          <w:tcPr>
            <w:tcW w:w="642" w:type="dxa"/>
          </w:tcPr>
          <w:p w14:paraId="6004F8CE" w14:textId="77777777" w:rsidR="000E3C80" w:rsidRPr="00C05886" w:rsidRDefault="000E3C80" w:rsidP="00C64930">
            <w:pPr>
              <w:spacing w:line="240" w:lineRule="auto"/>
              <w:jc w:val="center"/>
              <w:rPr>
                <w:lang w:eastAsia="en-GB"/>
              </w:rPr>
            </w:pPr>
            <w:r w:rsidRPr="00C05886">
              <w:rPr>
                <w:lang w:eastAsia="en-GB"/>
              </w:rPr>
              <w:t>-</w:t>
            </w:r>
          </w:p>
        </w:tc>
      </w:tr>
      <w:tr w:rsidR="000E3C80" w:rsidRPr="00C05886" w14:paraId="5FD8A2D8" w14:textId="77777777" w:rsidTr="001D392A">
        <w:trPr>
          <w:trHeight w:val="344"/>
        </w:trPr>
        <w:tc>
          <w:tcPr>
            <w:tcW w:w="6663" w:type="dxa"/>
          </w:tcPr>
          <w:p w14:paraId="115F6B9B" w14:textId="797E4617" w:rsidR="000E3C80" w:rsidRPr="00C05886" w:rsidRDefault="0094151E" w:rsidP="00C64930">
            <w:pPr>
              <w:spacing w:line="240" w:lineRule="auto"/>
              <w:rPr>
                <w:lang w:eastAsia="en-GB"/>
              </w:rPr>
            </w:pPr>
            <w:r>
              <w:rPr>
                <w:lang w:eastAsia="en-GB"/>
              </w:rPr>
              <w:t>Median</w:t>
            </w:r>
            <w:r w:rsidRPr="00C05886">
              <w:rPr>
                <w:lang w:eastAsia="en-GB"/>
              </w:rPr>
              <w:t xml:space="preserve"> </w:t>
            </w:r>
            <w:r w:rsidR="000E3C80" w:rsidRPr="00C05886">
              <w:rPr>
                <w:lang w:eastAsia="en-GB"/>
              </w:rPr>
              <w:t xml:space="preserve">Actual </w:t>
            </w:r>
            <w:r w:rsidR="00017620">
              <w:rPr>
                <w:lang w:eastAsia="en-GB"/>
              </w:rPr>
              <w:t>species richness</w:t>
            </w:r>
            <w:r w:rsidR="00017620" w:rsidRPr="00C05886">
              <w:rPr>
                <w:lang w:eastAsia="en-GB"/>
              </w:rPr>
              <w:t xml:space="preserve"> </w:t>
            </w:r>
            <w:r w:rsidR="000E3C80" w:rsidRPr="00C05886">
              <w:rPr>
                <w:lang w:eastAsia="en-GB"/>
              </w:rPr>
              <w:t xml:space="preserve">(0 to </w:t>
            </w:r>
            <w:r w:rsidR="00C36183">
              <w:rPr>
                <w:lang w:eastAsia="en-GB"/>
              </w:rPr>
              <w:t>18</w:t>
            </w:r>
            <w:r w:rsidR="000E3C80" w:rsidRPr="00C05886">
              <w:rPr>
                <w:lang w:eastAsia="en-GB"/>
              </w:rPr>
              <w:t>)</w:t>
            </w:r>
          </w:p>
        </w:tc>
        <w:tc>
          <w:tcPr>
            <w:tcW w:w="283" w:type="dxa"/>
          </w:tcPr>
          <w:p w14:paraId="14AFCC30" w14:textId="7C53CA9A" w:rsidR="000E3C80" w:rsidRPr="00C05886" w:rsidRDefault="007C78AC" w:rsidP="00C64930">
            <w:pPr>
              <w:spacing w:line="240" w:lineRule="auto"/>
              <w:rPr>
                <w:lang w:eastAsia="en-GB"/>
              </w:rPr>
            </w:pPr>
            <w:r>
              <w:rPr>
                <w:lang w:eastAsia="en-GB"/>
              </w:rPr>
              <w:t>1</w:t>
            </w:r>
          </w:p>
        </w:tc>
        <w:tc>
          <w:tcPr>
            <w:tcW w:w="813" w:type="dxa"/>
          </w:tcPr>
          <w:p w14:paraId="37390DBA" w14:textId="359065AA" w:rsidR="000E3C80" w:rsidRPr="00C05886" w:rsidRDefault="007C78AC" w:rsidP="00C64930">
            <w:pPr>
              <w:spacing w:line="240" w:lineRule="auto"/>
              <w:jc w:val="center"/>
              <w:rPr>
                <w:lang w:eastAsia="en-GB"/>
              </w:rPr>
            </w:pPr>
            <w:r>
              <w:rPr>
                <w:lang w:eastAsia="en-GB"/>
              </w:rPr>
              <w:t>-</w:t>
            </w:r>
          </w:p>
        </w:tc>
        <w:tc>
          <w:tcPr>
            <w:tcW w:w="1268" w:type="dxa"/>
          </w:tcPr>
          <w:p w14:paraId="22D06C91" w14:textId="7F98FE00" w:rsidR="000E3C80" w:rsidRPr="00C05886" w:rsidRDefault="009B4A7B" w:rsidP="00C64930">
            <w:pPr>
              <w:spacing w:line="240" w:lineRule="auto"/>
              <w:rPr>
                <w:lang w:eastAsia="en-GB"/>
              </w:rPr>
            </w:pPr>
            <w:r>
              <w:rPr>
                <w:lang w:eastAsia="en-GB"/>
              </w:rPr>
              <w:t>11</w:t>
            </w:r>
          </w:p>
        </w:tc>
        <w:tc>
          <w:tcPr>
            <w:tcW w:w="642" w:type="dxa"/>
          </w:tcPr>
          <w:p w14:paraId="30E1C1E8" w14:textId="2B553EA3" w:rsidR="000E3C80" w:rsidRPr="00C05886" w:rsidRDefault="007C78AC" w:rsidP="00C64930">
            <w:pPr>
              <w:spacing w:line="240" w:lineRule="auto"/>
              <w:jc w:val="center"/>
              <w:rPr>
                <w:lang w:eastAsia="en-GB"/>
              </w:rPr>
            </w:pPr>
            <w:r>
              <w:rPr>
                <w:lang w:eastAsia="en-GB"/>
              </w:rPr>
              <w:t>-</w:t>
            </w:r>
          </w:p>
        </w:tc>
      </w:tr>
      <w:tr w:rsidR="000E3C80" w:rsidRPr="00C05886" w14:paraId="44DE4C3B" w14:textId="77777777" w:rsidTr="001D392A">
        <w:trPr>
          <w:cnfStyle w:val="000000100000" w:firstRow="0" w:lastRow="0" w:firstColumn="0" w:lastColumn="0" w:oddVBand="0" w:evenVBand="0" w:oddHBand="1" w:evenHBand="0" w:firstRowFirstColumn="0" w:firstRowLastColumn="0" w:lastRowFirstColumn="0" w:lastRowLastColumn="0"/>
          <w:trHeight w:val="344"/>
        </w:trPr>
        <w:tc>
          <w:tcPr>
            <w:tcW w:w="6663" w:type="dxa"/>
          </w:tcPr>
          <w:p w14:paraId="14EC0FD7" w14:textId="0050B7C7" w:rsidR="000E3C80" w:rsidRPr="00C05886" w:rsidRDefault="0094151E" w:rsidP="00C64930">
            <w:pPr>
              <w:spacing w:line="240" w:lineRule="auto"/>
              <w:rPr>
                <w:lang w:eastAsia="en-GB"/>
              </w:rPr>
            </w:pPr>
            <w:r>
              <w:rPr>
                <w:lang w:eastAsia="en-GB"/>
              </w:rPr>
              <w:t>Median</w:t>
            </w:r>
            <w:r w:rsidRPr="00C05886">
              <w:rPr>
                <w:lang w:eastAsia="en-GB"/>
              </w:rPr>
              <w:t xml:space="preserve"> </w:t>
            </w:r>
            <w:r w:rsidR="000E3C80" w:rsidRPr="00C05886">
              <w:rPr>
                <w:lang w:eastAsia="en-GB"/>
              </w:rPr>
              <w:t>time spent outdoors in childhood (0 to 4)</w:t>
            </w:r>
          </w:p>
        </w:tc>
        <w:tc>
          <w:tcPr>
            <w:tcW w:w="283" w:type="dxa"/>
          </w:tcPr>
          <w:p w14:paraId="3F2856A4" w14:textId="33A7087D" w:rsidR="000E3C80" w:rsidRPr="00C05886" w:rsidRDefault="007C78AC" w:rsidP="00C64930">
            <w:pPr>
              <w:spacing w:line="240" w:lineRule="auto"/>
              <w:rPr>
                <w:lang w:eastAsia="en-GB"/>
              </w:rPr>
            </w:pPr>
            <w:r>
              <w:rPr>
                <w:lang w:eastAsia="en-GB"/>
              </w:rPr>
              <w:t>3</w:t>
            </w:r>
          </w:p>
        </w:tc>
        <w:tc>
          <w:tcPr>
            <w:tcW w:w="813" w:type="dxa"/>
          </w:tcPr>
          <w:p w14:paraId="09909983" w14:textId="29FD69EC" w:rsidR="000E3C80" w:rsidRPr="00C05886" w:rsidRDefault="007C78AC" w:rsidP="00C64930">
            <w:pPr>
              <w:spacing w:line="240" w:lineRule="auto"/>
              <w:jc w:val="center"/>
              <w:rPr>
                <w:lang w:eastAsia="en-GB"/>
              </w:rPr>
            </w:pPr>
            <w:r>
              <w:rPr>
                <w:lang w:eastAsia="en-GB"/>
              </w:rPr>
              <w:t>-</w:t>
            </w:r>
          </w:p>
        </w:tc>
        <w:tc>
          <w:tcPr>
            <w:tcW w:w="1268" w:type="dxa"/>
          </w:tcPr>
          <w:p w14:paraId="0B5DF875" w14:textId="79D541AC" w:rsidR="000E3C80" w:rsidRPr="00C05886" w:rsidRDefault="007C78AC" w:rsidP="00C64930">
            <w:pPr>
              <w:spacing w:line="240" w:lineRule="auto"/>
              <w:rPr>
                <w:lang w:eastAsia="en-GB"/>
              </w:rPr>
            </w:pPr>
            <w:r>
              <w:rPr>
                <w:lang w:eastAsia="en-GB"/>
              </w:rPr>
              <w:t>3</w:t>
            </w:r>
          </w:p>
        </w:tc>
        <w:tc>
          <w:tcPr>
            <w:tcW w:w="642" w:type="dxa"/>
          </w:tcPr>
          <w:p w14:paraId="2F114705" w14:textId="05455382" w:rsidR="000E3C80" w:rsidRPr="00C05886" w:rsidRDefault="007C78AC" w:rsidP="00C64930">
            <w:pPr>
              <w:spacing w:line="240" w:lineRule="auto"/>
              <w:jc w:val="center"/>
              <w:rPr>
                <w:lang w:eastAsia="en-GB"/>
              </w:rPr>
            </w:pPr>
            <w:r>
              <w:rPr>
                <w:lang w:eastAsia="en-GB"/>
              </w:rPr>
              <w:t>-</w:t>
            </w:r>
          </w:p>
        </w:tc>
      </w:tr>
      <w:tr w:rsidR="000E3C80" w:rsidRPr="00C05886" w14:paraId="062EAA4D" w14:textId="77777777" w:rsidTr="001D392A">
        <w:trPr>
          <w:trHeight w:val="344"/>
        </w:trPr>
        <w:tc>
          <w:tcPr>
            <w:tcW w:w="6663" w:type="dxa"/>
          </w:tcPr>
          <w:p w14:paraId="1F1F3CDE" w14:textId="4FA1449E" w:rsidR="000E3C80" w:rsidRPr="00C05886" w:rsidRDefault="0094151E" w:rsidP="00C64930">
            <w:pPr>
              <w:spacing w:line="240" w:lineRule="auto"/>
              <w:rPr>
                <w:lang w:eastAsia="en-GB"/>
              </w:rPr>
            </w:pPr>
            <w:r>
              <w:rPr>
                <w:lang w:eastAsia="en-GB"/>
              </w:rPr>
              <w:t>Median</w:t>
            </w:r>
            <w:r w:rsidRPr="00C05886">
              <w:rPr>
                <w:lang w:eastAsia="en-GB"/>
              </w:rPr>
              <w:t xml:space="preserve"> </w:t>
            </w:r>
            <w:r w:rsidR="000E3C80" w:rsidRPr="00C05886">
              <w:rPr>
                <w:lang w:eastAsia="en-GB"/>
              </w:rPr>
              <w:t>time spent outdoors the last year (0 to 4)</w:t>
            </w:r>
          </w:p>
        </w:tc>
        <w:tc>
          <w:tcPr>
            <w:tcW w:w="283" w:type="dxa"/>
          </w:tcPr>
          <w:p w14:paraId="0C6EC46D" w14:textId="78D2498C" w:rsidR="000E3C80" w:rsidRPr="00C05886" w:rsidRDefault="007C78AC" w:rsidP="00C64930">
            <w:pPr>
              <w:spacing w:line="240" w:lineRule="auto"/>
              <w:rPr>
                <w:lang w:eastAsia="en-GB"/>
              </w:rPr>
            </w:pPr>
            <w:r>
              <w:rPr>
                <w:lang w:eastAsia="en-GB"/>
              </w:rPr>
              <w:t>3</w:t>
            </w:r>
          </w:p>
        </w:tc>
        <w:tc>
          <w:tcPr>
            <w:tcW w:w="813" w:type="dxa"/>
          </w:tcPr>
          <w:p w14:paraId="107250C8" w14:textId="365C6C22" w:rsidR="000E3C80" w:rsidRPr="00C05886" w:rsidRDefault="007C78AC" w:rsidP="00C64930">
            <w:pPr>
              <w:spacing w:line="240" w:lineRule="auto"/>
              <w:jc w:val="center"/>
              <w:rPr>
                <w:lang w:eastAsia="en-GB"/>
              </w:rPr>
            </w:pPr>
            <w:r>
              <w:rPr>
                <w:lang w:eastAsia="en-GB"/>
              </w:rPr>
              <w:t>-</w:t>
            </w:r>
          </w:p>
        </w:tc>
        <w:tc>
          <w:tcPr>
            <w:tcW w:w="1268" w:type="dxa"/>
          </w:tcPr>
          <w:p w14:paraId="0C91D191" w14:textId="12AD19F7" w:rsidR="000E3C80" w:rsidRPr="00C05886" w:rsidRDefault="007C78AC" w:rsidP="00C64930">
            <w:pPr>
              <w:spacing w:line="240" w:lineRule="auto"/>
              <w:rPr>
                <w:lang w:eastAsia="en-GB"/>
              </w:rPr>
            </w:pPr>
            <w:r>
              <w:rPr>
                <w:lang w:eastAsia="en-GB"/>
              </w:rPr>
              <w:t>3</w:t>
            </w:r>
          </w:p>
        </w:tc>
        <w:tc>
          <w:tcPr>
            <w:tcW w:w="642" w:type="dxa"/>
          </w:tcPr>
          <w:p w14:paraId="51215109" w14:textId="15C9C265" w:rsidR="000E3C80" w:rsidRPr="00C05886" w:rsidRDefault="007C78AC" w:rsidP="00C64930">
            <w:pPr>
              <w:spacing w:line="240" w:lineRule="auto"/>
              <w:jc w:val="center"/>
              <w:rPr>
                <w:lang w:eastAsia="en-GB"/>
              </w:rPr>
            </w:pPr>
            <w:r>
              <w:rPr>
                <w:lang w:eastAsia="en-GB"/>
              </w:rPr>
              <w:t>-</w:t>
            </w:r>
          </w:p>
        </w:tc>
      </w:tr>
      <w:tr w:rsidR="000E3C80" w:rsidRPr="00C05886" w14:paraId="0A097FFD" w14:textId="77777777" w:rsidTr="001D392A">
        <w:trPr>
          <w:cnfStyle w:val="000000100000" w:firstRow="0" w:lastRow="0" w:firstColumn="0" w:lastColumn="0" w:oddVBand="0" w:evenVBand="0" w:oddHBand="1" w:evenHBand="0" w:firstRowFirstColumn="0" w:firstRowLastColumn="0" w:lastRowFirstColumn="0" w:lastRowLastColumn="0"/>
          <w:trHeight w:val="344"/>
        </w:trPr>
        <w:tc>
          <w:tcPr>
            <w:tcW w:w="6663" w:type="dxa"/>
          </w:tcPr>
          <w:p w14:paraId="47481241" w14:textId="77777777" w:rsidR="000E3C80" w:rsidRPr="00C05886" w:rsidRDefault="000E3C80" w:rsidP="00C64930">
            <w:pPr>
              <w:spacing w:line="240" w:lineRule="auto"/>
              <w:rPr>
                <w:lang w:eastAsia="en-GB"/>
              </w:rPr>
            </w:pPr>
            <w:r w:rsidRPr="00C05886">
              <w:rPr>
                <w:lang w:eastAsia="en-GB"/>
              </w:rPr>
              <w:t>Mean Nature Relatedness 6 score (at Baseline)</w:t>
            </w:r>
          </w:p>
        </w:tc>
        <w:tc>
          <w:tcPr>
            <w:tcW w:w="283" w:type="dxa"/>
          </w:tcPr>
          <w:p w14:paraId="32F12FFD" w14:textId="77777777" w:rsidR="000E3C80" w:rsidRPr="00C05886" w:rsidRDefault="000E3C80" w:rsidP="00C64930">
            <w:pPr>
              <w:spacing w:line="240" w:lineRule="auto"/>
              <w:rPr>
                <w:lang w:eastAsia="en-GB"/>
              </w:rPr>
            </w:pPr>
            <w:r w:rsidRPr="00C05886">
              <w:rPr>
                <w:lang w:eastAsia="en-GB"/>
              </w:rPr>
              <w:t>2.9</w:t>
            </w:r>
          </w:p>
        </w:tc>
        <w:tc>
          <w:tcPr>
            <w:tcW w:w="813" w:type="dxa"/>
          </w:tcPr>
          <w:p w14:paraId="69CAD7B9" w14:textId="77777777" w:rsidR="000E3C80" w:rsidRPr="00C05886" w:rsidRDefault="000E3C80" w:rsidP="00C64930">
            <w:pPr>
              <w:spacing w:line="240" w:lineRule="auto"/>
              <w:jc w:val="center"/>
              <w:rPr>
                <w:lang w:eastAsia="en-GB"/>
              </w:rPr>
            </w:pPr>
            <w:r w:rsidRPr="00C05886">
              <w:rPr>
                <w:lang w:eastAsia="en-GB"/>
              </w:rPr>
              <w:t>0.77</w:t>
            </w:r>
          </w:p>
        </w:tc>
        <w:tc>
          <w:tcPr>
            <w:tcW w:w="1268" w:type="dxa"/>
          </w:tcPr>
          <w:p w14:paraId="25C2B3BE" w14:textId="77777777" w:rsidR="000E3C80" w:rsidRPr="00C05886" w:rsidRDefault="000E3C80" w:rsidP="00C64930">
            <w:pPr>
              <w:spacing w:line="240" w:lineRule="auto"/>
              <w:rPr>
                <w:lang w:eastAsia="en-GB"/>
              </w:rPr>
            </w:pPr>
            <w:r w:rsidRPr="00C05886">
              <w:rPr>
                <w:lang w:eastAsia="en-GB"/>
              </w:rPr>
              <w:t>2.95</w:t>
            </w:r>
          </w:p>
        </w:tc>
        <w:tc>
          <w:tcPr>
            <w:tcW w:w="642" w:type="dxa"/>
          </w:tcPr>
          <w:p w14:paraId="39764A34" w14:textId="77777777" w:rsidR="000E3C80" w:rsidRPr="00C05886" w:rsidRDefault="000E3C80" w:rsidP="00C64930">
            <w:pPr>
              <w:spacing w:line="240" w:lineRule="auto"/>
              <w:jc w:val="center"/>
              <w:rPr>
                <w:lang w:eastAsia="en-GB"/>
              </w:rPr>
            </w:pPr>
            <w:r w:rsidRPr="00C05886">
              <w:rPr>
                <w:lang w:eastAsia="en-GB"/>
              </w:rPr>
              <w:t>0.78</w:t>
            </w:r>
          </w:p>
        </w:tc>
      </w:tr>
      <w:tr w:rsidR="000E3C80" w:rsidRPr="00C05886" w14:paraId="2214929C" w14:textId="77777777" w:rsidTr="001D392A">
        <w:trPr>
          <w:trHeight w:val="344"/>
        </w:trPr>
        <w:tc>
          <w:tcPr>
            <w:tcW w:w="6663" w:type="dxa"/>
          </w:tcPr>
          <w:p w14:paraId="297FD13F" w14:textId="77777777" w:rsidR="000E3C80" w:rsidRPr="00C05886" w:rsidRDefault="000E3C80" w:rsidP="00C64930">
            <w:pPr>
              <w:spacing w:line="240" w:lineRule="auto"/>
              <w:rPr>
                <w:lang w:eastAsia="en-GB"/>
              </w:rPr>
            </w:pPr>
            <w:r w:rsidRPr="00C05886">
              <w:rPr>
                <w:lang w:eastAsia="en-GB"/>
              </w:rPr>
              <w:t>Mean Inclusion of Nature in Self score (at Baseline)</w:t>
            </w:r>
          </w:p>
        </w:tc>
        <w:tc>
          <w:tcPr>
            <w:tcW w:w="283" w:type="dxa"/>
          </w:tcPr>
          <w:p w14:paraId="278B2A8A" w14:textId="77777777" w:rsidR="000E3C80" w:rsidRPr="00C05886" w:rsidRDefault="000E3C80" w:rsidP="00C64930">
            <w:pPr>
              <w:spacing w:line="240" w:lineRule="auto"/>
              <w:rPr>
                <w:lang w:eastAsia="en-GB"/>
              </w:rPr>
            </w:pPr>
            <w:r w:rsidRPr="00C05886">
              <w:rPr>
                <w:lang w:eastAsia="en-GB"/>
              </w:rPr>
              <w:t>55</w:t>
            </w:r>
          </w:p>
        </w:tc>
        <w:tc>
          <w:tcPr>
            <w:tcW w:w="813" w:type="dxa"/>
          </w:tcPr>
          <w:p w14:paraId="20EBC301" w14:textId="77777777" w:rsidR="000E3C80" w:rsidRPr="00C05886" w:rsidRDefault="000E3C80" w:rsidP="00C64930">
            <w:pPr>
              <w:spacing w:line="240" w:lineRule="auto"/>
              <w:jc w:val="center"/>
              <w:rPr>
                <w:lang w:eastAsia="en-GB"/>
              </w:rPr>
            </w:pPr>
            <w:r w:rsidRPr="00C05886">
              <w:rPr>
                <w:lang w:eastAsia="en-GB"/>
              </w:rPr>
              <w:t>22.9</w:t>
            </w:r>
          </w:p>
        </w:tc>
        <w:tc>
          <w:tcPr>
            <w:tcW w:w="1268" w:type="dxa"/>
          </w:tcPr>
          <w:p w14:paraId="0FA4D329" w14:textId="77777777" w:rsidR="000E3C80" w:rsidRPr="00C05886" w:rsidRDefault="000E3C80" w:rsidP="00C64930">
            <w:pPr>
              <w:spacing w:line="240" w:lineRule="auto"/>
              <w:rPr>
                <w:lang w:eastAsia="en-GB"/>
              </w:rPr>
            </w:pPr>
            <w:r w:rsidRPr="00C05886">
              <w:rPr>
                <w:lang w:eastAsia="en-GB"/>
              </w:rPr>
              <w:t>53.35</w:t>
            </w:r>
          </w:p>
        </w:tc>
        <w:tc>
          <w:tcPr>
            <w:tcW w:w="642" w:type="dxa"/>
          </w:tcPr>
          <w:p w14:paraId="41457E8C" w14:textId="77777777" w:rsidR="000E3C80" w:rsidRPr="00C05886" w:rsidRDefault="000E3C80" w:rsidP="00C64930">
            <w:pPr>
              <w:spacing w:line="240" w:lineRule="auto"/>
              <w:jc w:val="center"/>
              <w:rPr>
                <w:lang w:eastAsia="en-GB"/>
              </w:rPr>
            </w:pPr>
            <w:r w:rsidRPr="00C05886">
              <w:rPr>
                <w:lang w:eastAsia="en-GB"/>
              </w:rPr>
              <w:t>25</w:t>
            </w:r>
          </w:p>
        </w:tc>
      </w:tr>
      <w:bookmarkEnd w:id="72"/>
    </w:tbl>
    <w:p w14:paraId="0A4924AC" w14:textId="77777777" w:rsidR="000E3C80" w:rsidRPr="00C05886" w:rsidRDefault="000E3C80" w:rsidP="00BD6BA8"/>
    <w:p w14:paraId="33107E3A" w14:textId="77777777" w:rsidR="000E3C80" w:rsidRPr="00C05886" w:rsidRDefault="000E3C80" w:rsidP="003877CA">
      <w:pPr>
        <w:pStyle w:val="Heading3"/>
      </w:pPr>
      <w:bookmarkStart w:id="73" w:name="_Toc179962325"/>
      <w:r w:rsidRPr="00C05886">
        <w:t>Content analysis.</w:t>
      </w:r>
      <w:bookmarkEnd w:id="73"/>
    </w:p>
    <w:p w14:paraId="531C0985" w14:textId="65007754" w:rsidR="00FC06A4" w:rsidRDefault="00FC06A4" w:rsidP="00BF4154">
      <w:r w:rsidRPr="00FC06A4">
        <w:t>Attached to their survey responses, the participants submitted a total of 1250 photographs. About 250 photos had to be excluded due to their sensitive content (e.g. portraying people’s faces or children), due to missing data (e.g. absence of the well-being rating) or file corruption. In total, 955 photographs were included in this study. Despite the reduced numbers, the ratio of built and nature condition groups was roughly maintained (31% built, 69% nature).</w:t>
      </w:r>
    </w:p>
    <w:p w14:paraId="1AC74333" w14:textId="78334FDD" w:rsidR="000E3C80" w:rsidRPr="00C05886" w:rsidRDefault="000E3C80" w:rsidP="00BF4154">
      <w:r w:rsidRPr="00C05886">
        <w:t xml:space="preserve">The photos were coded into 33 </w:t>
      </w:r>
      <w:r w:rsidR="009555C1">
        <w:t>categories</w:t>
      </w:r>
      <w:r w:rsidR="009555C1" w:rsidRPr="00C05886">
        <w:t xml:space="preserve"> </w:t>
      </w:r>
      <w:r w:rsidRPr="00C05886">
        <w:t xml:space="preserve">via content analysis. Table 2 reports the five most frequent codes found in each condition and their frequencies. The full list of the codes is provided </w:t>
      </w:r>
      <w:r w:rsidRPr="00C05886">
        <w:lastRenderedPageBreak/>
        <w:t xml:space="preserve">in the </w:t>
      </w:r>
      <w:r w:rsidR="008A08F4" w:rsidRPr="00C05886">
        <w:t>Supporting information</w:t>
      </w:r>
      <w:r w:rsidRPr="00C05886">
        <w:t xml:space="preserve"> (Table </w:t>
      </w:r>
      <w:r w:rsidR="008A08F4" w:rsidRPr="00C05886">
        <w:t>S</w:t>
      </w:r>
      <w:r w:rsidRPr="00C05886">
        <w:t xml:space="preserve">.1). Participants in the Nature condition shared images of urban nature in the form of vegetation and water bodies. Photos in the Built condition </w:t>
      </w:r>
      <w:proofErr w:type="gramStart"/>
      <w:r w:rsidRPr="00C05886">
        <w:t>were</w:t>
      </w:r>
      <w:proofErr w:type="gramEnd"/>
      <w:r w:rsidRPr="00C05886">
        <w:t xml:space="preserve"> dominated by buildings, but images of trees and the sky were also frequent. </w:t>
      </w:r>
    </w:p>
    <w:p w14:paraId="6969C3FB" w14:textId="08B9A19E" w:rsidR="000E3C80" w:rsidRPr="00C05886" w:rsidRDefault="000E3C80" w:rsidP="00BF4154">
      <w:pPr>
        <w:pStyle w:val="Caption"/>
        <w:keepNext/>
      </w:pPr>
      <w:r w:rsidRPr="00C05886">
        <w:t xml:space="preserve">Table </w:t>
      </w:r>
      <w:r w:rsidR="00DE1077" w:rsidRPr="00C05886">
        <w:t>2</w:t>
      </w:r>
      <w:r w:rsidRPr="00C05886">
        <w:t>. Frequency of the five most frequent codes found in each condition group</w:t>
      </w:r>
    </w:p>
    <w:tbl>
      <w:tblPr>
        <w:tblStyle w:val="PlainTable5"/>
        <w:tblW w:w="9831" w:type="dxa"/>
        <w:tblLook w:val="0420" w:firstRow="1" w:lastRow="0" w:firstColumn="0" w:lastColumn="0" w:noHBand="0" w:noVBand="1"/>
      </w:tblPr>
      <w:tblGrid>
        <w:gridCol w:w="3119"/>
        <w:gridCol w:w="1701"/>
        <w:gridCol w:w="3402"/>
        <w:gridCol w:w="1609"/>
      </w:tblGrid>
      <w:tr w:rsidR="000E3C80" w:rsidRPr="00C05886" w14:paraId="5B412765" w14:textId="77777777" w:rsidTr="00E71E1D">
        <w:trPr>
          <w:cnfStyle w:val="100000000000" w:firstRow="1" w:lastRow="0" w:firstColumn="0" w:lastColumn="0" w:oddVBand="0" w:evenVBand="0" w:oddHBand="0" w:evenHBand="0" w:firstRowFirstColumn="0" w:firstRowLastColumn="0" w:lastRowFirstColumn="0" w:lastRowLastColumn="0"/>
          <w:trHeight w:val="200"/>
        </w:trPr>
        <w:tc>
          <w:tcPr>
            <w:tcW w:w="4820" w:type="dxa"/>
            <w:gridSpan w:val="2"/>
          </w:tcPr>
          <w:p w14:paraId="199066D4" w14:textId="77777777" w:rsidR="000E3C80" w:rsidRPr="00C05886" w:rsidRDefault="000E3C80" w:rsidP="00C64930">
            <w:pPr>
              <w:spacing w:line="240" w:lineRule="auto"/>
              <w:jc w:val="center"/>
              <w:rPr>
                <w:rFonts w:ascii="Arial" w:eastAsia="Times New Roman" w:hAnsi="Arial" w:cs="Arial"/>
                <w:sz w:val="18"/>
                <w:szCs w:val="18"/>
                <w:lang w:eastAsia="en-GB"/>
              </w:rPr>
            </w:pPr>
            <w:r w:rsidRPr="00C05886">
              <w:rPr>
                <w:rFonts w:ascii="Arial" w:eastAsia="Times New Roman" w:hAnsi="Arial" w:cs="Arial"/>
                <w:sz w:val="18"/>
                <w:szCs w:val="18"/>
                <w:lang w:eastAsia="en-GB"/>
              </w:rPr>
              <w:t>Built condition</w:t>
            </w:r>
          </w:p>
        </w:tc>
        <w:tc>
          <w:tcPr>
            <w:tcW w:w="5011" w:type="dxa"/>
            <w:gridSpan w:val="2"/>
          </w:tcPr>
          <w:p w14:paraId="53C5830B" w14:textId="77777777" w:rsidR="000E3C80" w:rsidRPr="00C05886" w:rsidRDefault="000E3C80" w:rsidP="00C64930">
            <w:pPr>
              <w:spacing w:line="240" w:lineRule="auto"/>
              <w:jc w:val="center"/>
              <w:rPr>
                <w:rFonts w:ascii="Trebuchet MS" w:eastAsia="Times New Roman" w:hAnsi="Trebuchet MS" w:cs="Arial"/>
                <w:b/>
                <w:bCs/>
                <w:kern w:val="24"/>
                <w:sz w:val="18"/>
                <w:szCs w:val="18"/>
                <w:lang w:eastAsia="en-GB"/>
              </w:rPr>
            </w:pPr>
            <w:r w:rsidRPr="00C05886">
              <w:rPr>
                <w:rFonts w:ascii="Arial" w:eastAsia="Times New Roman" w:hAnsi="Arial" w:cs="Arial"/>
                <w:sz w:val="18"/>
                <w:szCs w:val="18"/>
                <w:lang w:eastAsia="en-GB"/>
              </w:rPr>
              <w:t>Nature condition</w:t>
            </w:r>
          </w:p>
        </w:tc>
      </w:tr>
      <w:tr w:rsidR="000E3C80" w:rsidRPr="00C05886" w14:paraId="5DAEB719" w14:textId="77777777" w:rsidTr="00E71E1D">
        <w:trPr>
          <w:cnfStyle w:val="000000100000" w:firstRow="0" w:lastRow="0" w:firstColumn="0" w:lastColumn="0" w:oddVBand="0" w:evenVBand="0" w:oddHBand="1" w:evenHBand="0" w:firstRowFirstColumn="0" w:firstRowLastColumn="0" w:lastRowFirstColumn="0" w:lastRowLastColumn="0"/>
          <w:trHeight w:val="200"/>
        </w:trPr>
        <w:tc>
          <w:tcPr>
            <w:tcW w:w="3119" w:type="dxa"/>
          </w:tcPr>
          <w:p w14:paraId="6D9124D5" w14:textId="77777777" w:rsidR="000E3C80" w:rsidRPr="00C05886" w:rsidRDefault="000E3C80" w:rsidP="00C64930">
            <w:pPr>
              <w:spacing w:line="240" w:lineRule="auto"/>
              <w:jc w:val="center"/>
              <w:rPr>
                <w:rFonts w:cstheme="minorHAnsi"/>
                <w:b/>
                <w:bCs/>
                <w:lang w:eastAsia="en-GB"/>
              </w:rPr>
            </w:pPr>
            <w:r w:rsidRPr="00C05886">
              <w:rPr>
                <w:rFonts w:cstheme="minorHAnsi"/>
                <w:b/>
                <w:bCs/>
                <w:lang w:eastAsia="en-GB"/>
              </w:rPr>
              <w:t>Code</w:t>
            </w:r>
          </w:p>
        </w:tc>
        <w:tc>
          <w:tcPr>
            <w:tcW w:w="1701" w:type="dxa"/>
          </w:tcPr>
          <w:p w14:paraId="743EE2BB" w14:textId="77777777" w:rsidR="000E3C80" w:rsidRPr="00C05886" w:rsidRDefault="000E3C80" w:rsidP="00C64930">
            <w:pPr>
              <w:spacing w:line="240" w:lineRule="auto"/>
              <w:jc w:val="center"/>
              <w:rPr>
                <w:rFonts w:cstheme="minorHAnsi"/>
                <w:b/>
                <w:bCs/>
                <w:lang w:eastAsia="en-GB"/>
              </w:rPr>
            </w:pPr>
            <w:r w:rsidRPr="00C05886">
              <w:rPr>
                <w:rFonts w:cstheme="minorHAnsi"/>
                <w:b/>
                <w:bCs/>
                <w:lang w:eastAsia="en-GB"/>
              </w:rPr>
              <w:t>N (out of 370)</w:t>
            </w:r>
          </w:p>
        </w:tc>
        <w:tc>
          <w:tcPr>
            <w:tcW w:w="3402" w:type="dxa"/>
          </w:tcPr>
          <w:p w14:paraId="2B8D1ABE" w14:textId="77777777" w:rsidR="000E3C80" w:rsidRPr="00C05886" w:rsidRDefault="000E3C80" w:rsidP="00C64930">
            <w:pPr>
              <w:spacing w:line="240" w:lineRule="auto"/>
              <w:jc w:val="center"/>
              <w:rPr>
                <w:b/>
                <w:bCs/>
                <w:lang w:eastAsia="en-GB"/>
              </w:rPr>
            </w:pPr>
            <w:r w:rsidRPr="00C05886">
              <w:rPr>
                <w:b/>
                <w:bCs/>
                <w:lang w:eastAsia="en-GB"/>
              </w:rPr>
              <w:t>Code</w:t>
            </w:r>
          </w:p>
        </w:tc>
        <w:tc>
          <w:tcPr>
            <w:tcW w:w="1609" w:type="dxa"/>
          </w:tcPr>
          <w:p w14:paraId="5F47B9C6" w14:textId="77777777" w:rsidR="000E3C80" w:rsidRPr="00C05886" w:rsidRDefault="000E3C80" w:rsidP="00C64930">
            <w:pPr>
              <w:spacing w:line="240" w:lineRule="auto"/>
              <w:jc w:val="center"/>
              <w:rPr>
                <w:b/>
                <w:bCs/>
                <w:lang w:eastAsia="en-GB"/>
              </w:rPr>
            </w:pPr>
            <w:r w:rsidRPr="00C05886">
              <w:rPr>
                <w:b/>
                <w:bCs/>
                <w:lang w:eastAsia="en-GB"/>
              </w:rPr>
              <w:t>N (out of 585)</w:t>
            </w:r>
          </w:p>
        </w:tc>
      </w:tr>
      <w:tr w:rsidR="000E3C80" w:rsidRPr="00C05886" w14:paraId="049D9AD8" w14:textId="77777777" w:rsidTr="00E71E1D">
        <w:trPr>
          <w:trHeight w:val="200"/>
        </w:trPr>
        <w:tc>
          <w:tcPr>
            <w:tcW w:w="3119" w:type="dxa"/>
            <w:vAlign w:val="bottom"/>
          </w:tcPr>
          <w:p w14:paraId="12B30F94" w14:textId="77777777" w:rsidR="000E3C80" w:rsidRPr="00C05886" w:rsidRDefault="000E3C80" w:rsidP="00C64930">
            <w:pPr>
              <w:spacing w:line="240" w:lineRule="auto"/>
              <w:rPr>
                <w:rFonts w:cstheme="minorHAnsi"/>
                <w:szCs w:val="24"/>
                <w:lang w:eastAsia="en-GB"/>
              </w:rPr>
            </w:pPr>
            <w:r w:rsidRPr="00C05886">
              <w:rPr>
                <w:rFonts w:cstheme="minorHAnsi"/>
                <w:szCs w:val="24"/>
              </w:rPr>
              <w:t>Buildings</w:t>
            </w:r>
          </w:p>
        </w:tc>
        <w:tc>
          <w:tcPr>
            <w:tcW w:w="1701" w:type="dxa"/>
            <w:vAlign w:val="bottom"/>
          </w:tcPr>
          <w:p w14:paraId="7A695DE7" w14:textId="77777777" w:rsidR="000E3C80" w:rsidRPr="00C05886" w:rsidRDefault="000E3C80" w:rsidP="00C64930">
            <w:pPr>
              <w:spacing w:line="240" w:lineRule="auto"/>
              <w:rPr>
                <w:rFonts w:cstheme="minorHAnsi"/>
                <w:szCs w:val="24"/>
                <w:lang w:eastAsia="en-GB"/>
              </w:rPr>
            </w:pPr>
            <w:r w:rsidRPr="00C05886">
              <w:rPr>
                <w:rFonts w:cstheme="minorHAnsi"/>
                <w:szCs w:val="24"/>
              </w:rPr>
              <w:t>197</w:t>
            </w:r>
          </w:p>
        </w:tc>
        <w:tc>
          <w:tcPr>
            <w:tcW w:w="3402" w:type="dxa"/>
            <w:vAlign w:val="bottom"/>
          </w:tcPr>
          <w:p w14:paraId="37446F83" w14:textId="77777777" w:rsidR="000E3C80" w:rsidRPr="00C05886" w:rsidRDefault="000E3C80" w:rsidP="00C64930">
            <w:pPr>
              <w:spacing w:line="240" w:lineRule="auto"/>
              <w:rPr>
                <w:rFonts w:cstheme="minorHAnsi"/>
                <w:szCs w:val="24"/>
                <w:lang w:eastAsia="en-GB"/>
              </w:rPr>
            </w:pPr>
            <w:r w:rsidRPr="00C05886">
              <w:rPr>
                <w:rFonts w:cstheme="minorHAnsi"/>
                <w:szCs w:val="24"/>
              </w:rPr>
              <w:t>Trees</w:t>
            </w:r>
          </w:p>
        </w:tc>
        <w:tc>
          <w:tcPr>
            <w:tcW w:w="1609" w:type="dxa"/>
            <w:vAlign w:val="bottom"/>
          </w:tcPr>
          <w:p w14:paraId="5776D386" w14:textId="77777777" w:rsidR="000E3C80" w:rsidRPr="00C05886" w:rsidRDefault="000E3C80" w:rsidP="00C64930">
            <w:pPr>
              <w:spacing w:line="240" w:lineRule="auto"/>
              <w:rPr>
                <w:rFonts w:cstheme="minorHAnsi"/>
                <w:szCs w:val="24"/>
                <w:lang w:eastAsia="en-GB"/>
              </w:rPr>
            </w:pPr>
            <w:r w:rsidRPr="00C05886">
              <w:rPr>
                <w:rFonts w:cstheme="minorHAnsi"/>
                <w:szCs w:val="24"/>
              </w:rPr>
              <w:t>203</w:t>
            </w:r>
          </w:p>
        </w:tc>
      </w:tr>
      <w:tr w:rsidR="000E3C80" w:rsidRPr="00C05886" w14:paraId="56CF9BA4" w14:textId="77777777" w:rsidTr="00E71E1D">
        <w:trPr>
          <w:cnfStyle w:val="000000100000" w:firstRow="0" w:lastRow="0" w:firstColumn="0" w:lastColumn="0" w:oddVBand="0" w:evenVBand="0" w:oddHBand="1" w:evenHBand="0" w:firstRowFirstColumn="0" w:firstRowLastColumn="0" w:lastRowFirstColumn="0" w:lastRowLastColumn="0"/>
          <w:trHeight w:val="200"/>
        </w:trPr>
        <w:tc>
          <w:tcPr>
            <w:tcW w:w="3119" w:type="dxa"/>
            <w:vAlign w:val="bottom"/>
          </w:tcPr>
          <w:p w14:paraId="2D49F7CF" w14:textId="77777777" w:rsidR="000E3C80" w:rsidRPr="00C05886" w:rsidRDefault="000E3C80" w:rsidP="00C64930">
            <w:pPr>
              <w:spacing w:line="240" w:lineRule="auto"/>
              <w:rPr>
                <w:rFonts w:cstheme="minorHAnsi"/>
                <w:szCs w:val="24"/>
                <w:lang w:eastAsia="en-GB"/>
              </w:rPr>
            </w:pPr>
            <w:r w:rsidRPr="00C05886">
              <w:rPr>
                <w:rFonts w:cstheme="minorHAnsi"/>
                <w:szCs w:val="24"/>
              </w:rPr>
              <w:t>Trees</w:t>
            </w:r>
          </w:p>
        </w:tc>
        <w:tc>
          <w:tcPr>
            <w:tcW w:w="1701" w:type="dxa"/>
            <w:vAlign w:val="bottom"/>
          </w:tcPr>
          <w:p w14:paraId="09B4818A" w14:textId="77777777" w:rsidR="000E3C80" w:rsidRPr="00C05886" w:rsidRDefault="000E3C80" w:rsidP="00C64930">
            <w:pPr>
              <w:spacing w:line="240" w:lineRule="auto"/>
              <w:rPr>
                <w:rFonts w:cstheme="minorHAnsi"/>
                <w:szCs w:val="24"/>
                <w:lang w:eastAsia="en-GB"/>
              </w:rPr>
            </w:pPr>
            <w:r w:rsidRPr="00C05886">
              <w:rPr>
                <w:rFonts w:cstheme="minorHAnsi"/>
                <w:szCs w:val="24"/>
              </w:rPr>
              <w:t>71</w:t>
            </w:r>
          </w:p>
        </w:tc>
        <w:tc>
          <w:tcPr>
            <w:tcW w:w="3402" w:type="dxa"/>
          </w:tcPr>
          <w:p w14:paraId="6CDA4D98" w14:textId="77777777" w:rsidR="000E3C80" w:rsidRPr="00C05886" w:rsidRDefault="000E3C80" w:rsidP="00C64930">
            <w:pPr>
              <w:spacing w:line="240" w:lineRule="auto"/>
              <w:rPr>
                <w:rFonts w:cstheme="minorHAnsi"/>
                <w:szCs w:val="24"/>
                <w:lang w:eastAsia="en-GB"/>
              </w:rPr>
            </w:pPr>
            <w:r w:rsidRPr="00C05886">
              <w:rPr>
                <w:rFonts w:ascii="Calibri" w:hAnsi="Calibri" w:cs="Calibri"/>
                <w:color w:val="000000"/>
              </w:rPr>
              <w:t>Colourful flowers</w:t>
            </w:r>
          </w:p>
        </w:tc>
        <w:tc>
          <w:tcPr>
            <w:tcW w:w="1609" w:type="dxa"/>
            <w:vAlign w:val="bottom"/>
          </w:tcPr>
          <w:p w14:paraId="0DDF9E7B" w14:textId="77777777" w:rsidR="000E3C80" w:rsidRPr="00C05886" w:rsidRDefault="000E3C80" w:rsidP="00C64930">
            <w:pPr>
              <w:spacing w:line="240" w:lineRule="auto"/>
              <w:rPr>
                <w:rFonts w:cstheme="minorHAnsi"/>
                <w:szCs w:val="24"/>
                <w:lang w:eastAsia="en-GB"/>
              </w:rPr>
            </w:pPr>
            <w:r w:rsidRPr="00C05886">
              <w:rPr>
                <w:rFonts w:cstheme="minorHAnsi"/>
                <w:szCs w:val="24"/>
              </w:rPr>
              <w:t>126</w:t>
            </w:r>
          </w:p>
        </w:tc>
      </w:tr>
      <w:tr w:rsidR="000E3C80" w:rsidRPr="00C05886" w14:paraId="0E7B7C88" w14:textId="77777777" w:rsidTr="00E71E1D">
        <w:trPr>
          <w:trHeight w:val="200"/>
        </w:trPr>
        <w:tc>
          <w:tcPr>
            <w:tcW w:w="3119" w:type="dxa"/>
            <w:vAlign w:val="bottom"/>
          </w:tcPr>
          <w:p w14:paraId="7592BCF0" w14:textId="77777777" w:rsidR="000E3C80" w:rsidRPr="00C05886" w:rsidRDefault="000E3C80" w:rsidP="00C64930">
            <w:pPr>
              <w:spacing w:line="240" w:lineRule="auto"/>
              <w:rPr>
                <w:rFonts w:cstheme="minorHAnsi"/>
                <w:szCs w:val="24"/>
                <w:lang w:eastAsia="en-GB"/>
              </w:rPr>
            </w:pPr>
            <w:r w:rsidRPr="00C05886">
              <w:rPr>
                <w:rFonts w:cstheme="minorHAnsi"/>
                <w:szCs w:val="24"/>
              </w:rPr>
              <w:t>Sky</w:t>
            </w:r>
          </w:p>
        </w:tc>
        <w:tc>
          <w:tcPr>
            <w:tcW w:w="1701" w:type="dxa"/>
            <w:vAlign w:val="bottom"/>
          </w:tcPr>
          <w:p w14:paraId="196745A4" w14:textId="77777777" w:rsidR="000E3C80" w:rsidRPr="00C05886" w:rsidRDefault="000E3C80" w:rsidP="00C64930">
            <w:pPr>
              <w:spacing w:line="240" w:lineRule="auto"/>
              <w:rPr>
                <w:rFonts w:cstheme="minorHAnsi"/>
                <w:szCs w:val="24"/>
                <w:lang w:eastAsia="en-GB"/>
              </w:rPr>
            </w:pPr>
            <w:r w:rsidRPr="00C05886">
              <w:rPr>
                <w:rFonts w:cstheme="minorHAnsi"/>
                <w:szCs w:val="24"/>
              </w:rPr>
              <w:t>46</w:t>
            </w:r>
          </w:p>
        </w:tc>
        <w:tc>
          <w:tcPr>
            <w:tcW w:w="3402" w:type="dxa"/>
            <w:vAlign w:val="bottom"/>
          </w:tcPr>
          <w:p w14:paraId="29E76132" w14:textId="77777777" w:rsidR="000E3C80" w:rsidRPr="00C05886" w:rsidRDefault="000E3C80" w:rsidP="00C64930">
            <w:pPr>
              <w:spacing w:line="240" w:lineRule="auto"/>
              <w:rPr>
                <w:rFonts w:cstheme="minorHAnsi"/>
                <w:szCs w:val="24"/>
                <w:lang w:eastAsia="en-GB"/>
              </w:rPr>
            </w:pPr>
            <w:r w:rsidRPr="00C05886">
              <w:rPr>
                <w:rFonts w:ascii="Calibri" w:hAnsi="Calibri" w:cs="Calibri"/>
                <w:color w:val="000000"/>
              </w:rPr>
              <w:t>Mixed planting</w:t>
            </w:r>
          </w:p>
        </w:tc>
        <w:tc>
          <w:tcPr>
            <w:tcW w:w="1609" w:type="dxa"/>
            <w:vAlign w:val="bottom"/>
          </w:tcPr>
          <w:p w14:paraId="2C8892FB" w14:textId="77777777" w:rsidR="000E3C80" w:rsidRPr="00C05886" w:rsidRDefault="000E3C80" w:rsidP="00C64930">
            <w:pPr>
              <w:spacing w:line="240" w:lineRule="auto"/>
              <w:rPr>
                <w:rFonts w:cstheme="minorHAnsi"/>
                <w:szCs w:val="24"/>
                <w:lang w:eastAsia="en-GB"/>
              </w:rPr>
            </w:pPr>
            <w:r w:rsidRPr="00C05886">
              <w:rPr>
                <w:rFonts w:cstheme="minorHAnsi"/>
                <w:szCs w:val="24"/>
              </w:rPr>
              <w:t>120</w:t>
            </w:r>
          </w:p>
        </w:tc>
      </w:tr>
      <w:tr w:rsidR="000E3C80" w:rsidRPr="00C05886" w14:paraId="388F2140" w14:textId="77777777" w:rsidTr="00E71E1D">
        <w:trPr>
          <w:cnfStyle w:val="000000100000" w:firstRow="0" w:lastRow="0" w:firstColumn="0" w:lastColumn="0" w:oddVBand="0" w:evenVBand="0" w:oddHBand="1" w:evenHBand="0" w:firstRowFirstColumn="0" w:firstRowLastColumn="0" w:lastRowFirstColumn="0" w:lastRowLastColumn="0"/>
          <w:trHeight w:val="200"/>
        </w:trPr>
        <w:tc>
          <w:tcPr>
            <w:tcW w:w="3119" w:type="dxa"/>
            <w:vAlign w:val="bottom"/>
          </w:tcPr>
          <w:p w14:paraId="32651C9D" w14:textId="77777777" w:rsidR="000E3C80" w:rsidRPr="00C05886" w:rsidRDefault="000E3C80" w:rsidP="00C64930">
            <w:pPr>
              <w:spacing w:line="240" w:lineRule="auto"/>
              <w:rPr>
                <w:rFonts w:cstheme="minorHAnsi"/>
                <w:szCs w:val="24"/>
                <w:lang w:eastAsia="en-GB"/>
              </w:rPr>
            </w:pPr>
            <w:r w:rsidRPr="00C05886">
              <w:rPr>
                <w:rFonts w:cstheme="minorHAnsi"/>
                <w:color w:val="000000"/>
                <w:szCs w:val="24"/>
              </w:rPr>
              <w:t>Public art</w:t>
            </w:r>
          </w:p>
        </w:tc>
        <w:tc>
          <w:tcPr>
            <w:tcW w:w="1701" w:type="dxa"/>
            <w:vAlign w:val="bottom"/>
          </w:tcPr>
          <w:p w14:paraId="6C077725" w14:textId="77777777" w:rsidR="000E3C80" w:rsidRPr="00C05886" w:rsidRDefault="000E3C80" w:rsidP="00C64930">
            <w:pPr>
              <w:spacing w:line="240" w:lineRule="auto"/>
              <w:rPr>
                <w:rFonts w:cstheme="minorHAnsi"/>
                <w:szCs w:val="24"/>
                <w:lang w:eastAsia="en-GB"/>
              </w:rPr>
            </w:pPr>
            <w:r w:rsidRPr="00C05886">
              <w:rPr>
                <w:rFonts w:cstheme="minorHAnsi"/>
                <w:szCs w:val="24"/>
              </w:rPr>
              <w:t>42</w:t>
            </w:r>
          </w:p>
        </w:tc>
        <w:tc>
          <w:tcPr>
            <w:tcW w:w="3402" w:type="dxa"/>
            <w:vAlign w:val="bottom"/>
          </w:tcPr>
          <w:p w14:paraId="7572A48C" w14:textId="77777777" w:rsidR="000E3C80" w:rsidRPr="00C05886" w:rsidRDefault="000E3C80" w:rsidP="00C64930">
            <w:pPr>
              <w:spacing w:line="240" w:lineRule="auto"/>
              <w:rPr>
                <w:rFonts w:cstheme="minorHAnsi"/>
                <w:szCs w:val="24"/>
                <w:lang w:eastAsia="en-GB"/>
              </w:rPr>
            </w:pPr>
            <w:r w:rsidRPr="00C05886">
              <w:rPr>
                <w:rFonts w:cstheme="minorHAnsi"/>
                <w:szCs w:val="24"/>
              </w:rPr>
              <w:t>Short grass</w:t>
            </w:r>
          </w:p>
        </w:tc>
        <w:tc>
          <w:tcPr>
            <w:tcW w:w="1609" w:type="dxa"/>
            <w:vAlign w:val="bottom"/>
          </w:tcPr>
          <w:p w14:paraId="4A1F9475" w14:textId="77777777" w:rsidR="000E3C80" w:rsidRPr="00C05886" w:rsidRDefault="000E3C80" w:rsidP="00C64930">
            <w:pPr>
              <w:spacing w:line="240" w:lineRule="auto"/>
              <w:rPr>
                <w:rFonts w:cstheme="minorHAnsi"/>
                <w:szCs w:val="24"/>
                <w:lang w:eastAsia="en-GB"/>
              </w:rPr>
            </w:pPr>
            <w:r w:rsidRPr="00C05886">
              <w:rPr>
                <w:rFonts w:cstheme="minorHAnsi"/>
                <w:szCs w:val="24"/>
              </w:rPr>
              <w:t>92</w:t>
            </w:r>
          </w:p>
        </w:tc>
      </w:tr>
      <w:tr w:rsidR="000E3C80" w:rsidRPr="00C05886" w14:paraId="06B14ED7" w14:textId="77777777" w:rsidTr="00E71E1D">
        <w:trPr>
          <w:trHeight w:val="200"/>
        </w:trPr>
        <w:tc>
          <w:tcPr>
            <w:tcW w:w="3119" w:type="dxa"/>
            <w:vAlign w:val="bottom"/>
          </w:tcPr>
          <w:p w14:paraId="65FB586F" w14:textId="77777777" w:rsidR="000E3C80" w:rsidRPr="00C05886" w:rsidRDefault="000E3C80" w:rsidP="00C64930">
            <w:pPr>
              <w:spacing w:line="240" w:lineRule="auto"/>
              <w:rPr>
                <w:rFonts w:cstheme="minorHAnsi"/>
                <w:szCs w:val="24"/>
              </w:rPr>
            </w:pPr>
            <w:r w:rsidRPr="00C05886">
              <w:rPr>
                <w:rFonts w:cstheme="minorHAnsi"/>
                <w:szCs w:val="24"/>
              </w:rPr>
              <w:t>Short grass</w:t>
            </w:r>
          </w:p>
        </w:tc>
        <w:tc>
          <w:tcPr>
            <w:tcW w:w="1701" w:type="dxa"/>
            <w:vAlign w:val="bottom"/>
          </w:tcPr>
          <w:p w14:paraId="767C7F66" w14:textId="77777777" w:rsidR="000E3C80" w:rsidRPr="00C05886" w:rsidRDefault="000E3C80" w:rsidP="00C64930">
            <w:pPr>
              <w:spacing w:line="240" w:lineRule="auto"/>
              <w:rPr>
                <w:rFonts w:cstheme="minorHAnsi"/>
                <w:szCs w:val="24"/>
                <w:lang w:eastAsia="en-GB"/>
              </w:rPr>
            </w:pPr>
            <w:r w:rsidRPr="00C05886">
              <w:rPr>
                <w:rFonts w:cstheme="minorHAnsi"/>
                <w:szCs w:val="24"/>
              </w:rPr>
              <w:t>38</w:t>
            </w:r>
          </w:p>
        </w:tc>
        <w:tc>
          <w:tcPr>
            <w:tcW w:w="3402" w:type="dxa"/>
            <w:vAlign w:val="bottom"/>
          </w:tcPr>
          <w:p w14:paraId="21306D88" w14:textId="77777777" w:rsidR="000E3C80" w:rsidRPr="00C05886" w:rsidRDefault="000E3C80" w:rsidP="00C64930">
            <w:pPr>
              <w:spacing w:line="240" w:lineRule="auto"/>
              <w:rPr>
                <w:rFonts w:cstheme="minorHAnsi"/>
                <w:szCs w:val="24"/>
                <w:lang w:eastAsia="en-GB"/>
              </w:rPr>
            </w:pPr>
            <w:r w:rsidRPr="00C05886">
              <w:rPr>
                <w:rFonts w:cstheme="minorHAnsi"/>
                <w:szCs w:val="24"/>
              </w:rPr>
              <w:t>Water bodies</w:t>
            </w:r>
          </w:p>
        </w:tc>
        <w:tc>
          <w:tcPr>
            <w:tcW w:w="1609" w:type="dxa"/>
            <w:vAlign w:val="bottom"/>
          </w:tcPr>
          <w:p w14:paraId="59E6CF73" w14:textId="77777777" w:rsidR="000E3C80" w:rsidRPr="00C05886" w:rsidRDefault="000E3C80" w:rsidP="00C64930">
            <w:pPr>
              <w:spacing w:line="240" w:lineRule="auto"/>
              <w:rPr>
                <w:rFonts w:cstheme="minorHAnsi"/>
                <w:szCs w:val="24"/>
                <w:lang w:eastAsia="en-GB"/>
              </w:rPr>
            </w:pPr>
            <w:r w:rsidRPr="00C05886">
              <w:rPr>
                <w:rFonts w:cstheme="minorHAnsi"/>
                <w:szCs w:val="24"/>
              </w:rPr>
              <w:t>73</w:t>
            </w:r>
          </w:p>
        </w:tc>
      </w:tr>
    </w:tbl>
    <w:p w14:paraId="5B2A3C56" w14:textId="77777777" w:rsidR="000E3C80" w:rsidRPr="00C05886" w:rsidRDefault="000E3C80" w:rsidP="005E47F5">
      <w:pPr>
        <w:rPr>
          <w:b/>
          <w:bCs/>
        </w:rPr>
      </w:pPr>
    </w:p>
    <w:p w14:paraId="7E598BDA" w14:textId="0649963A" w:rsidR="000E3C80" w:rsidRPr="00C05886" w:rsidRDefault="000E3C80" w:rsidP="00FD6953">
      <w:r w:rsidRPr="00C05886">
        <w:t xml:space="preserve">Figures </w:t>
      </w:r>
      <w:r w:rsidR="005A39F7">
        <w:t>2</w:t>
      </w:r>
      <w:r w:rsidR="005A39F7" w:rsidRPr="00C05886">
        <w:t xml:space="preserve"> </w:t>
      </w:r>
      <w:r w:rsidRPr="00C05886">
        <w:t xml:space="preserve">and </w:t>
      </w:r>
      <w:r w:rsidR="005A39F7">
        <w:t>3</w:t>
      </w:r>
      <w:r w:rsidR="005A39F7" w:rsidRPr="00C05886">
        <w:t xml:space="preserve"> </w:t>
      </w:r>
      <w:r w:rsidRPr="00C05886">
        <w:t xml:space="preserve">show sample photographs coded under the most five frequent codes found in the Nature and Built conditions, respectively. </w:t>
      </w:r>
    </w:p>
    <w:p w14:paraId="4C571784" w14:textId="77777777" w:rsidR="000E3C80" w:rsidRPr="00C05886" w:rsidRDefault="000E3C80" w:rsidP="00D168B6">
      <w:pPr>
        <w:keepNext/>
        <w:jc w:val="center"/>
      </w:pPr>
      <w:r w:rsidRPr="00134B49">
        <w:rPr>
          <w:noProof/>
        </w:rPr>
        <w:drawing>
          <wp:inline distT="0" distB="0" distL="0" distR="0" wp14:anchorId="3E31BBD3" wp14:editId="12272215">
            <wp:extent cx="5952413" cy="3348000"/>
            <wp:effectExtent l="0" t="0" r="0" b="5080"/>
            <wp:docPr id="2" name="Picture 2" descr="A picture containing text, tree, outdoor, differ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text, tree, outdoor, different&#10;&#10;Description automatically generated"/>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952413" cy="3348000"/>
                    </a:xfrm>
                    <a:prstGeom prst="rect">
                      <a:avLst/>
                    </a:prstGeom>
                  </pic:spPr>
                </pic:pic>
              </a:graphicData>
            </a:graphic>
          </wp:inline>
        </w:drawing>
      </w:r>
    </w:p>
    <w:p w14:paraId="442DFD64" w14:textId="5014E35F" w:rsidR="000E3C80" w:rsidRPr="00C05886" w:rsidRDefault="000E3C80" w:rsidP="00D168B6">
      <w:pPr>
        <w:pStyle w:val="Caption"/>
      </w:pPr>
      <w:r w:rsidRPr="00C05886">
        <w:t xml:space="preserve">Figure </w:t>
      </w:r>
      <w:r w:rsidR="005A39F7">
        <w:t>2</w:t>
      </w:r>
      <w:r w:rsidR="00DE1077" w:rsidRPr="00C05886">
        <w:t>.</w:t>
      </w:r>
      <w:r w:rsidRPr="00C05886">
        <w:t xml:space="preserve"> Most frequent codes found in the Nature condition. Top left: Colourful Flowers. Bottom left: Water Bodies. Centre: Short grass. Top right: Mixed planting. Bottom right: Trees.</w:t>
      </w:r>
    </w:p>
    <w:p w14:paraId="335EC862" w14:textId="77777777" w:rsidR="000E3C80" w:rsidRPr="00C05886" w:rsidRDefault="000E3C80" w:rsidP="00C64930">
      <w:pPr>
        <w:keepNext/>
        <w:jc w:val="center"/>
      </w:pPr>
      <w:r w:rsidRPr="00134B49">
        <w:rPr>
          <w:noProof/>
        </w:rPr>
        <w:lastRenderedPageBreak/>
        <w:drawing>
          <wp:inline distT="0" distB="0" distL="0" distR="0" wp14:anchorId="250FA000" wp14:editId="0D265212">
            <wp:extent cx="5952413" cy="3348000"/>
            <wp:effectExtent l="0" t="0" r="0" b="5080"/>
            <wp:docPr id="5" name="Picture 5" descr="A picture containing sky, outdoor, da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picture containing sky, outdoor, day&#10;&#10;Description automatically generated"/>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952413" cy="3348000"/>
                    </a:xfrm>
                    <a:prstGeom prst="rect">
                      <a:avLst/>
                    </a:prstGeom>
                  </pic:spPr>
                </pic:pic>
              </a:graphicData>
            </a:graphic>
          </wp:inline>
        </w:drawing>
      </w:r>
    </w:p>
    <w:p w14:paraId="563A3663" w14:textId="4C63851C" w:rsidR="000E3C80" w:rsidRPr="00C05886" w:rsidRDefault="000E3C80" w:rsidP="00FD6953">
      <w:pPr>
        <w:pStyle w:val="Caption"/>
      </w:pPr>
      <w:r w:rsidRPr="00C05886">
        <w:t xml:space="preserve">Figure </w:t>
      </w:r>
      <w:r w:rsidR="005A39F7">
        <w:t>3</w:t>
      </w:r>
      <w:r w:rsidRPr="00C05886">
        <w:t>. Most frequent codes found in the Built condition. Top left: Trees. Bottom left: Buildings. Centre: Public Art. Top right: Short Grass. Bottom right: Sky.</w:t>
      </w:r>
    </w:p>
    <w:p w14:paraId="4EAEDB22" w14:textId="77777777" w:rsidR="000E3C80" w:rsidRPr="00C05886" w:rsidRDefault="000E3C80" w:rsidP="00042779">
      <w:pPr>
        <w:spacing w:after="0"/>
      </w:pPr>
    </w:p>
    <w:p w14:paraId="7BB41166" w14:textId="77777777" w:rsidR="000A3C27" w:rsidRDefault="000A3C27">
      <w:pPr>
        <w:spacing w:line="259" w:lineRule="auto"/>
        <w:jc w:val="left"/>
        <w:rPr>
          <w:rFonts w:eastAsiaTheme="majorEastAsia" w:cstheme="majorBidi"/>
          <w:b/>
          <w:kern w:val="2"/>
          <w:sz w:val="28"/>
          <w:szCs w:val="24"/>
          <w14:ligatures w14:val="standardContextual"/>
        </w:rPr>
      </w:pPr>
      <w:bookmarkStart w:id="74" w:name="_Toc179962326"/>
      <w:r>
        <w:br w:type="page"/>
      </w:r>
    </w:p>
    <w:p w14:paraId="25198F47" w14:textId="1A243FE6" w:rsidR="000E3C80" w:rsidRPr="00C05886" w:rsidRDefault="000E3C80" w:rsidP="00C64930">
      <w:pPr>
        <w:pStyle w:val="Heading3"/>
      </w:pPr>
      <w:r w:rsidRPr="00C05886">
        <w:lastRenderedPageBreak/>
        <w:t>Regression analysis</w:t>
      </w:r>
      <w:bookmarkEnd w:id="74"/>
    </w:p>
    <w:p w14:paraId="609A6E28" w14:textId="2CFD3E40" w:rsidR="000E3C80" w:rsidRPr="00C05886" w:rsidRDefault="000E3C80" w:rsidP="00C64930">
      <w:pPr>
        <w:pStyle w:val="Heading4"/>
      </w:pPr>
      <w:r w:rsidRPr="00C05886">
        <w:t xml:space="preserve">Associations of </w:t>
      </w:r>
      <w:r w:rsidR="00A76BBB">
        <w:t>species richness</w:t>
      </w:r>
      <w:r w:rsidRPr="00C05886">
        <w:t xml:space="preserve"> and well-being</w:t>
      </w:r>
    </w:p>
    <w:p w14:paraId="1F80ECCB" w14:textId="5206659F" w:rsidR="000E3C80" w:rsidRPr="00C05886" w:rsidRDefault="000E3C80" w:rsidP="00B542DE">
      <w:r w:rsidRPr="00C05886">
        <w:t xml:space="preserve">In the nature condition, both actual and perceived </w:t>
      </w:r>
      <w:r w:rsidR="00A76BBB">
        <w:t>species richness</w:t>
      </w:r>
      <w:r w:rsidRPr="00C05886">
        <w:t xml:space="preserve"> showed a positive relationship with self-reported well-being (Table </w:t>
      </w:r>
      <w:r w:rsidR="005A39F7">
        <w:t>3</w:t>
      </w:r>
      <w:r w:rsidRPr="00C05886">
        <w:t xml:space="preserve">, models 1 and 2), controlling for the effect of demographic predictors. </w:t>
      </w:r>
    </w:p>
    <w:p w14:paraId="3008EFAE" w14:textId="118D4513" w:rsidR="000E3C80" w:rsidRPr="00C05886" w:rsidRDefault="000E3C80" w:rsidP="001A4614">
      <w:pPr>
        <w:pStyle w:val="Caption"/>
        <w:keepNext/>
      </w:pPr>
      <w:r w:rsidRPr="00C05886">
        <w:t xml:space="preserve">Table </w:t>
      </w:r>
      <w:r w:rsidR="005A39F7">
        <w:t>3</w:t>
      </w:r>
      <w:r w:rsidRPr="00C05886">
        <w:t xml:space="preserve">. Summary table of the regression models predicting Well-being in the nature condition. Model 1: demographics and actual </w:t>
      </w:r>
      <w:r w:rsidR="00023F5E">
        <w:t>richness</w:t>
      </w:r>
      <w:r w:rsidRPr="00C05886">
        <w:t xml:space="preserve">; Model 2: demographics and perceived </w:t>
      </w:r>
      <w:r w:rsidR="00A76BBB">
        <w:t>species richness</w:t>
      </w:r>
      <w:r w:rsidRPr="00C05886">
        <w:t xml:space="preserve">; Model 3: demographics and both actual and perceived </w:t>
      </w:r>
      <w:r w:rsidR="00A76BBB">
        <w:t>species richness</w:t>
      </w:r>
      <w:r w:rsidRPr="00C05886">
        <w:t xml:space="preserve">. </w:t>
      </w:r>
    </w:p>
    <w:tbl>
      <w:tblPr>
        <w:tblStyle w:val="GridTable6Colourful"/>
        <w:tblW w:w="9583" w:type="dxa"/>
        <w:tblLook w:val="04A0" w:firstRow="1" w:lastRow="0" w:firstColumn="1" w:lastColumn="0" w:noHBand="0" w:noVBand="1"/>
      </w:tblPr>
      <w:tblGrid>
        <w:gridCol w:w="2258"/>
        <w:gridCol w:w="1260"/>
        <w:gridCol w:w="941"/>
        <w:gridCol w:w="1353"/>
        <w:gridCol w:w="1100"/>
        <w:gridCol w:w="1452"/>
        <w:gridCol w:w="1219"/>
      </w:tblGrid>
      <w:tr w:rsidR="000E3C80" w:rsidRPr="00C05886" w14:paraId="05581E3D" w14:textId="77777777" w:rsidTr="005D7515">
        <w:trPr>
          <w:cnfStyle w:val="100000000000" w:firstRow="1" w:lastRow="0" w:firstColumn="0" w:lastColumn="0" w:oddVBand="0" w:evenVBand="0" w:oddHBand="0"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2258" w:type="dxa"/>
            <w:tcBorders>
              <w:top w:val="nil"/>
              <w:left w:val="nil"/>
            </w:tcBorders>
          </w:tcPr>
          <w:p w14:paraId="61DFA812" w14:textId="77777777" w:rsidR="000E3C80" w:rsidRPr="00C05886" w:rsidRDefault="000E3C80" w:rsidP="00C64930">
            <w:pPr>
              <w:spacing w:line="240" w:lineRule="auto"/>
              <w:rPr>
                <w:sz w:val="22"/>
              </w:rPr>
            </w:pPr>
          </w:p>
        </w:tc>
        <w:tc>
          <w:tcPr>
            <w:tcW w:w="2201" w:type="dxa"/>
            <w:gridSpan w:val="2"/>
          </w:tcPr>
          <w:p w14:paraId="5C3FADC7" w14:textId="0B8B6078" w:rsidR="000E3C80" w:rsidRPr="00C05886" w:rsidRDefault="000E3C80" w:rsidP="00C64930">
            <w:pPr>
              <w:spacing w:line="240" w:lineRule="auto"/>
              <w:jc w:val="center"/>
              <w:cnfStyle w:val="100000000000" w:firstRow="1" w:lastRow="0" w:firstColumn="0" w:lastColumn="0" w:oddVBand="0" w:evenVBand="0" w:oddHBand="0" w:evenHBand="0" w:firstRowFirstColumn="0" w:firstRowLastColumn="0" w:lastRowFirstColumn="0" w:lastRowLastColumn="0"/>
              <w:rPr>
                <w:sz w:val="22"/>
              </w:rPr>
            </w:pPr>
            <w:r w:rsidRPr="00C05886">
              <w:rPr>
                <w:sz w:val="22"/>
              </w:rPr>
              <w:t>Model 1</w:t>
            </w:r>
            <w:r w:rsidR="00C06012">
              <w:rPr>
                <w:sz w:val="22"/>
              </w:rPr>
              <w:t xml:space="preserve"> (N= 585)</w:t>
            </w:r>
          </w:p>
        </w:tc>
        <w:tc>
          <w:tcPr>
            <w:tcW w:w="2453" w:type="dxa"/>
            <w:gridSpan w:val="2"/>
          </w:tcPr>
          <w:p w14:paraId="11FA9312" w14:textId="3626DF7E" w:rsidR="000E3C80" w:rsidRPr="00C05886" w:rsidRDefault="000E3C80" w:rsidP="00C64930">
            <w:pPr>
              <w:spacing w:line="240" w:lineRule="auto"/>
              <w:jc w:val="center"/>
              <w:cnfStyle w:val="100000000000" w:firstRow="1" w:lastRow="0" w:firstColumn="0" w:lastColumn="0" w:oddVBand="0" w:evenVBand="0" w:oddHBand="0" w:evenHBand="0" w:firstRowFirstColumn="0" w:firstRowLastColumn="0" w:lastRowFirstColumn="0" w:lastRowLastColumn="0"/>
              <w:rPr>
                <w:sz w:val="22"/>
              </w:rPr>
            </w:pPr>
            <w:r w:rsidRPr="00C05886">
              <w:rPr>
                <w:sz w:val="22"/>
              </w:rPr>
              <w:t>Model 2</w:t>
            </w:r>
            <w:r w:rsidR="00C06012">
              <w:rPr>
                <w:sz w:val="22"/>
              </w:rPr>
              <w:t xml:space="preserve"> (N= 585)</w:t>
            </w:r>
          </w:p>
        </w:tc>
        <w:tc>
          <w:tcPr>
            <w:tcW w:w="2671" w:type="dxa"/>
            <w:gridSpan w:val="2"/>
          </w:tcPr>
          <w:p w14:paraId="54E8E2F8" w14:textId="51E68C98" w:rsidR="000E3C80" w:rsidRPr="00C05886" w:rsidRDefault="000E3C80" w:rsidP="00C64930">
            <w:pPr>
              <w:spacing w:line="240" w:lineRule="auto"/>
              <w:jc w:val="center"/>
              <w:cnfStyle w:val="100000000000" w:firstRow="1" w:lastRow="0" w:firstColumn="0" w:lastColumn="0" w:oddVBand="0" w:evenVBand="0" w:oddHBand="0" w:evenHBand="0" w:firstRowFirstColumn="0" w:firstRowLastColumn="0" w:lastRowFirstColumn="0" w:lastRowLastColumn="0"/>
              <w:rPr>
                <w:sz w:val="22"/>
              </w:rPr>
            </w:pPr>
            <w:r w:rsidRPr="00C05886">
              <w:rPr>
                <w:sz w:val="22"/>
              </w:rPr>
              <w:t>Model 3</w:t>
            </w:r>
            <w:r w:rsidR="00C06012">
              <w:rPr>
                <w:sz w:val="22"/>
              </w:rPr>
              <w:t xml:space="preserve"> (N= 585)</w:t>
            </w:r>
          </w:p>
        </w:tc>
      </w:tr>
      <w:tr w:rsidR="00FD000F" w:rsidRPr="00C05886" w14:paraId="5E41D6EC" w14:textId="77777777" w:rsidTr="00A76BBB">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2258" w:type="dxa"/>
          </w:tcPr>
          <w:p w14:paraId="208CAAFB" w14:textId="77777777" w:rsidR="000E3C80" w:rsidRPr="00C05886" w:rsidRDefault="000E3C80" w:rsidP="00C64930">
            <w:pPr>
              <w:spacing w:line="240" w:lineRule="auto"/>
              <w:rPr>
                <w:sz w:val="22"/>
              </w:rPr>
            </w:pPr>
            <w:r w:rsidRPr="00C05886">
              <w:rPr>
                <w:sz w:val="22"/>
              </w:rPr>
              <w:t>Predictor</w:t>
            </w:r>
          </w:p>
        </w:tc>
        <w:tc>
          <w:tcPr>
            <w:tcW w:w="1260" w:type="dxa"/>
            <w:tcBorders>
              <w:right w:val="nil"/>
            </w:tcBorders>
          </w:tcPr>
          <w:p w14:paraId="4F882817" w14:textId="77777777" w:rsidR="000E3C80" w:rsidRPr="00C05886" w:rsidRDefault="000E3C80" w:rsidP="00C64930">
            <w:pPr>
              <w:spacing w:line="240" w:lineRule="auto"/>
              <w:jc w:val="center"/>
              <w:cnfStyle w:val="000000100000" w:firstRow="0" w:lastRow="0" w:firstColumn="0" w:lastColumn="0" w:oddVBand="0" w:evenVBand="0" w:oddHBand="1" w:evenHBand="0" w:firstRowFirstColumn="0" w:firstRowLastColumn="0" w:lastRowFirstColumn="0" w:lastRowLastColumn="0"/>
              <w:rPr>
                <w:b/>
                <w:bCs/>
                <w:sz w:val="22"/>
              </w:rPr>
            </w:pPr>
            <w:r w:rsidRPr="00C05886">
              <w:rPr>
                <w:rFonts w:cstheme="minorHAnsi"/>
                <w:b/>
                <w:bCs/>
                <w:sz w:val="22"/>
              </w:rPr>
              <w:t>β</w:t>
            </w:r>
            <w:r w:rsidRPr="00C05886">
              <w:rPr>
                <w:b/>
                <w:bCs/>
                <w:sz w:val="22"/>
              </w:rPr>
              <w:t xml:space="preserve"> (S.E)</w:t>
            </w:r>
          </w:p>
        </w:tc>
        <w:tc>
          <w:tcPr>
            <w:tcW w:w="941" w:type="dxa"/>
            <w:tcBorders>
              <w:left w:val="nil"/>
            </w:tcBorders>
          </w:tcPr>
          <w:p w14:paraId="3576CA15" w14:textId="77777777" w:rsidR="000E3C80" w:rsidRPr="00C05886" w:rsidRDefault="000E3C80" w:rsidP="00C64930">
            <w:pPr>
              <w:spacing w:line="240" w:lineRule="auto"/>
              <w:jc w:val="center"/>
              <w:cnfStyle w:val="000000100000" w:firstRow="0" w:lastRow="0" w:firstColumn="0" w:lastColumn="0" w:oddVBand="0" w:evenVBand="0" w:oddHBand="1" w:evenHBand="0" w:firstRowFirstColumn="0" w:firstRowLastColumn="0" w:lastRowFirstColumn="0" w:lastRowLastColumn="0"/>
              <w:rPr>
                <w:b/>
                <w:bCs/>
                <w:sz w:val="22"/>
              </w:rPr>
            </w:pPr>
            <w:r w:rsidRPr="00C05886">
              <w:rPr>
                <w:b/>
                <w:bCs/>
                <w:sz w:val="22"/>
              </w:rPr>
              <w:t>p-value</w:t>
            </w:r>
          </w:p>
        </w:tc>
        <w:tc>
          <w:tcPr>
            <w:tcW w:w="1353" w:type="dxa"/>
            <w:tcBorders>
              <w:right w:val="nil"/>
            </w:tcBorders>
          </w:tcPr>
          <w:p w14:paraId="2933454C" w14:textId="77777777" w:rsidR="000E3C80" w:rsidRPr="00C05886" w:rsidRDefault="000E3C80" w:rsidP="00C64930">
            <w:pPr>
              <w:spacing w:line="240" w:lineRule="auto"/>
              <w:jc w:val="center"/>
              <w:cnfStyle w:val="000000100000" w:firstRow="0" w:lastRow="0" w:firstColumn="0" w:lastColumn="0" w:oddVBand="0" w:evenVBand="0" w:oddHBand="1" w:evenHBand="0" w:firstRowFirstColumn="0" w:firstRowLastColumn="0" w:lastRowFirstColumn="0" w:lastRowLastColumn="0"/>
              <w:rPr>
                <w:b/>
                <w:bCs/>
                <w:sz w:val="22"/>
              </w:rPr>
            </w:pPr>
            <w:r w:rsidRPr="00C05886">
              <w:rPr>
                <w:rFonts w:cstheme="minorHAnsi"/>
                <w:b/>
                <w:bCs/>
                <w:sz w:val="22"/>
              </w:rPr>
              <w:t>β</w:t>
            </w:r>
            <w:r w:rsidRPr="00C05886">
              <w:rPr>
                <w:b/>
                <w:bCs/>
                <w:sz w:val="22"/>
              </w:rPr>
              <w:t xml:space="preserve"> (S.E)</w:t>
            </w:r>
          </w:p>
        </w:tc>
        <w:tc>
          <w:tcPr>
            <w:tcW w:w="1100" w:type="dxa"/>
            <w:tcBorders>
              <w:left w:val="nil"/>
            </w:tcBorders>
          </w:tcPr>
          <w:p w14:paraId="2EF63AE5" w14:textId="77777777" w:rsidR="000E3C80" w:rsidRPr="00C05886" w:rsidRDefault="000E3C80" w:rsidP="00C64930">
            <w:pPr>
              <w:spacing w:line="240" w:lineRule="auto"/>
              <w:jc w:val="center"/>
              <w:cnfStyle w:val="000000100000" w:firstRow="0" w:lastRow="0" w:firstColumn="0" w:lastColumn="0" w:oddVBand="0" w:evenVBand="0" w:oddHBand="1" w:evenHBand="0" w:firstRowFirstColumn="0" w:firstRowLastColumn="0" w:lastRowFirstColumn="0" w:lastRowLastColumn="0"/>
              <w:rPr>
                <w:b/>
                <w:bCs/>
                <w:sz w:val="22"/>
              </w:rPr>
            </w:pPr>
            <w:r w:rsidRPr="00C05886">
              <w:rPr>
                <w:b/>
                <w:bCs/>
                <w:sz w:val="22"/>
              </w:rPr>
              <w:t>p-value</w:t>
            </w:r>
          </w:p>
        </w:tc>
        <w:tc>
          <w:tcPr>
            <w:tcW w:w="1452" w:type="dxa"/>
            <w:tcBorders>
              <w:right w:val="nil"/>
            </w:tcBorders>
          </w:tcPr>
          <w:p w14:paraId="373E2534" w14:textId="77777777" w:rsidR="000E3C80" w:rsidRPr="00C05886" w:rsidRDefault="000E3C80" w:rsidP="00C64930">
            <w:pPr>
              <w:spacing w:line="240" w:lineRule="auto"/>
              <w:jc w:val="center"/>
              <w:cnfStyle w:val="000000100000" w:firstRow="0" w:lastRow="0" w:firstColumn="0" w:lastColumn="0" w:oddVBand="0" w:evenVBand="0" w:oddHBand="1" w:evenHBand="0" w:firstRowFirstColumn="0" w:firstRowLastColumn="0" w:lastRowFirstColumn="0" w:lastRowLastColumn="0"/>
              <w:rPr>
                <w:b/>
                <w:bCs/>
                <w:sz w:val="22"/>
              </w:rPr>
            </w:pPr>
            <w:r w:rsidRPr="00C05886">
              <w:rPr>
                <w:rFonts w:cstheme="minorHAnsi"/>
                <w:b/>
                <w:bCs/>
                <w:sz w:val="22"/>
              </w:rPr>
              <w:t>β</w:t>
            </w:r>
            <w:r w:rsidRPr="00C05886">
              <w:rPr>
                <w:b/>
                <w:bCs/>
                <w:sz w:val="22"/>
              </w:rPr>
              <w:t xml:space="preserve"> (S.E)</w:t>
            </w:r>
          </w:p>
        </w:tc>
        <w:tc>
          <w:tcPr>
            <w:tcW w:w="1219" w:type="dxa"/>
            <w:tcBorders>
              <w:left w:val="nil"/>
            </w:tcBorders>
          </w:tcPr>
          <w:p w14:paraId="662616B4" w14:textId="77777777" w:rsidR="000E3C80" w:rsidRPr="00C05886" w:rsidRDefault="000E3C80" w:rsidP="00C64930">
            <w:pPr>
              <w:spacing w:line="240" w:lineRule="auto"/>
              <w:jc w:val="center"/>
              <w:cnfStyle w:val="000000100000" w:firstRow="0" w:lastRow="0" w:firstColumn="0" w:lastColumn="0" w:oddVBand="0" w:evenVBand="0" w:oddHBand="1" w:evenHBand="0" w:firstRowFirstColumn="0" w:firstRowLastColumn="0" w:lastRowFirstColumn="0" w:lastRowLastColumn="0"/>
              <w:rPr>
                <w:b/>
                <w:bCs/>
                <w:sz w:val="22"/>
              </w:rPr>
            </w:pPr>
            <w:r w:rsidRPr="00C05886">
              <w:rPr>
                <w:b/>
                <w:bCs/>
                <w:sz w:val="22"/>
              </w:rPr>
              <w:t>p-value</w:t>
            </w:r>
          </w:p>
        </w:tc>
      </w:tr>
      <w:tr w:rsidR="00A76BBB" w:rsidRPr="00C05886" w14:paraId="5C105B2A" w14:textId="77777777" w:rsidTr="005D7515">
        <w:trPr>
          <w:trHeight w:val="270"/>
        </w:trPr>
        <w:tc>
          <w:tcPr>
            <w:cnfStyle w:val="001000000000" w:firstRow="0" w:lastRow="0" w:firstColumn="1" w:lastColumn="0" w:oddVBand="0" w:evenVBand="0" w:oddHBand="0" w:evenHBand="0" w:firstRowFirstColumn="0" w:firstRowLastColumn="0" w:lastRowFirstColumn="0" w:lastRowLastColumn="0"/>
            <w:tcW w:w="2258" w:type="dxa"/>
          </w:tcPr>
          <w:p w14:paraId="1EDF0C47" w14:textId="739F919D" w:rsidR="000E3C80" w:rsidRPr="00C05886" w:rsidRDefault="000E3C80" w:rsidP="00C64930">
            <w:pPr>
              <w:spacing w:line="240" w:lineRule="auto"/>
              <w:rPr>
                <w:sz w:val="22"/>
              </w:rPr>
            </w:pPr>
            <w:r w:rsidRPr="00C05886">
              <w:rPr>
                <w:sz w:val="22"/>
              </w:rPr>
              <w:t xml:space="preserve">Species </w:t>
            </w:r>
            <w:r w:rsidR="00023F5E">
              <w:rPr>
                <w:sz w:val="22"/>
              </w:rPr>
              <w:t>richness</w:t>
            </w:r>
          </w:p>
        </w:tc>
        <w:tc>
          <w:tcPr>
            <w:tcW w:w="1260" w:type="dxa"/>
            <w:tcBorders>
              <w:right w:val="nil"/>
            </w:tcBorders>
          </w:tcPr>
          <w:p w14:paraId="6DE6D2E3" w14:textId="77777777" w:rsidR="000E3C80" w:rsidRPr="00C05886" w:rsidRDefault="000E3C80" w:rsidP="00C64930">
            <w:pPr>
              <w:spacing w:line="240" w:lineRule="auto"/>
              <w:jc w:val="center"/>
              <w:cnfStyle w:val="000000000000" w:firstRow="0" w:lastRow="0" w:firstColumn="0" w:lastColumn="0" w:oddVBand="0" w:evenVBand="0" w:oddHBand="0" w:evenHBand="0" w:firstRowFirstColumn="0" w:firstRowLastColumn="0" w:lastRowFirstColumn="0" w:lastRowLastColumn="0"/>
              <w:rPr>
                <w:sz w:val="22"/>
              </w:rPr>
            </w:pPr>
            <w:r w:rsidRPr="00C05886">
              <w:rPr>
                <w:sz w:val="22"/>
              </w:rPr>
              <w:t>0.15 (0.4)</w:t>
            </w:r>
          </w:p>
        </w:tc>
        <w:tc>
          <w:tcPr>
            <w:tcW w:w="0" w:type="dxa"/>
            <w:tcBorders>
              <w:left w:val="nil"/>
            </w:tcBorders>
          </w:tcPr>
          <w:p w14:paraId="4B35392A" w14:textId="77777777" w:rsidR="000E3C80" w:rsidRPr="00C05886" w:rsidRDefault="000E3C80" w:rsidP="00C64930">
            <w:pPr>
              <w:spacing w:line="240" w:lineRule="auto"/>
              <w:jc w:val="center"/>
              <w:cnfStyle w:val="000000000000" w:firstRow="0" w:lastRow="0" w:firstColumn="0" w:lastColumn="0" w:oddVBand="0" w:evenVBand="0" w:oddHBand="0" w:evenHBand="0" w:firstRowFirstColumn="0" w:firstRowLastColumn="0" w:lastRowFirstColumn="0" w:lastRowLastColumn="0"/>
              <w:rPr>
                <w:sz w:val="22"/>
              </w:rPr>
            </w:pPr>
            <w:r w:rsidRPr="00C05886">
              <w:rPr>
                <w:sz w:val="22"/>
              </w:rPr>
              <w:t>0.001</w:t>
            </w:r>
          </w:p>
        </w:tc>
        <w:tc>
          <w:tcPr>
            <w:tcW w:w="1353" w:type="dxa"/>
            <w:tcBorders>
              <w:right w:val="nil"/>
            </w:tcBorders>
          </w:tcPr>
          <w:p w14:paraId="53DECCE9" w14:textId="77777777" w:rsidR="000E3C80" w:rsidRPr="00C05886" w:rsidRDefault="000E3C80" w:rsidP="00C64930">
            <w:pPr>
              <w:spacing w:line="240" w:lineRule="auto"/>
              <w:jc w:val="center"/>
              <w:cnfStyle w:val="000000000000" w:firstRow="0" w:lastRow="0" w:firstColumn="0" w:lastColumn="0" w:oddVBand="0" w:evenVBand="0" w:oddHBand="0" w:evenHBand="0" w:firstRowFirstColumn="0" w:firstRowLastColumn="0" w:lastRowFirstColumn="0" w:lastRowLastColumn="0"/>
              <w:rPr>
                <w:sz w:val="22"/>
              </w:rPr>
            </w:pPr>
            <w:r w:rsidRPr="00C05886">
              <w:rPr>
                <w:sz w:val="22"/>
              </w:rPr>
              <w:t>-</w:t>
            </w:r>
          </w:p>
        </w:tc>
        <w:tc>
          <w:tcPr>
            <w:tcW w:w="1100" w:type="dxa"/>
            <w:tcBorders>
              <w:left w:val="nil"/>
            </w:tcBorders>
          </w:tcPr>
          <w:p w14:paraId="2567D984" w14:textId="77777777" w:rsidR="000E3C80" w:rsidRPr="00C05886" w:rsidRDefault="000E3C80" w:rsidP="00C64930">
            <w:pPr>
              <w:spacing w:line="240" w:lineRule="auto"/>
              <w:jc w:val="center"/>
              <w:cnfStyle w:val="000000000000" w:firstRow="0" w:lastRow="0" w:firstColumn="0" w:lastColumn="0" w:oddVBand="0" w:evenVBand="0" w:oddHBand="0" w:evenHBand="0" w:firstRowFirstColumn="0" w:firstRowLastColumn="0" w:lastRowFirstColumn="0" w:lastRowLastColumn="0"/>
              <w:rPr>
                <w:sz w:val="22"/>
              </w:rPr>
            </w:pPr>
            <w:r w:rsidRPr="00C05886">
              <w:rPr>
                <w:sz w:val="22"/>
              </w:rPr>
              <w:t>-</w:t>
            </w:r>
          </w:p>
        </w:tc>
        <w:tc>
          <w:tcPr>
            <w:tcW w:w="1452" w:type="dxa"/>
            <w:tcBorders>
              <w:right w:val="nil"/>
            </w:tcBorders>
          </w:tcPr>
          <w:p w14:paraId="1C1072C0" w14:textId="2487CA47" w:rsidR="000E3C80" w:rsidRPr="00C05886" w:rsidRDefault="000E3C80" w:rsidP="00C64930">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rPr>
            </w:pPr>
            <w:r w:rsidRPr="00C05886">
              <w:rPr>
                <w:rFonts w:ascii="Calibri" w:hAnsi="Calibri" w:cs="Calibri"/>
                <w:color w:val="000000"/>
                <w:sz w:val="22"/>
              </w:rPr>
              <w:t>0.</w:t>
            </w:r>
            <w:r w:rsidR="000F1DC5" w:rsidRPr="00C05886">
              <w:rPr>
                <w:rFonts w:ascii="Calibri" w:hAnsi="Calibri" w:cs="Calibri"/>
                <w:color w:val="000000"/>
                <w:sz w:val="22"/>
              </w:rPr>
              <w:t>0</w:t>
            </w:r>
            <w:r w:rsidR="000F1DC5">
              <w:rPr>
                <w:rFonts w:ascii="Calibri" w:hAnsi="Calibri" w:cs="Calibri"/>
                <w:color w:val="000000"/>
                <w:sz w:val="22"/>
              </w:rPr>
              <w:t>45</w:t>
            </w:r>
            <w:r w:rsidR="000F1DC5" w:rsidRPr="00C05886">
              <w:rPr>
                <w:rFonts w:ascii="Calibri" w:hAnsi="Calibri" w:cs="Calibri"/>
                <w:color w:val="000000"/>
                <w:sz w:val="22"/>
              </w:rPr>
              <w:t xml:space="preserve"> </w:t>
            </w:r>
            <w:r w:rsidRPr="00C05886">
              <w:rPr>
                <w:rFonts w:ascii="Calibri" w:hAnsi="Calibri" w:cs="Calibri"/>
                <w:color w:val="000000"/>
                <w:sz w:val="22"/>
              </w:rPr>
              <w:t>(0.</w:t>
            </w:r>
            <w:r w:rsidR="000F1DC5" w:rsidRPr="00C05886">
              <w:rPr>
                <w:rFonts w:ascii="Calibri" w:hAnsi="Calibri" w:cs="Calibri"/>
                <w:color w:val="000000"/>
                <w:sz w:val="22"/>
              </w:rPr>
              <w:t>0</w:t>
            </w:r>
            <w:r w:rsidR="000F1DC5">
              <w:rPr>
                <w:rFonts w:ascii="Calibri" w:hAnsi="Calibri" w:cs="Calibri"/>
                <w:color w:val="000000"/>
                <w:sz w:val="22"/>
              </w:rPr>
              <w:t>5</w:t>
            </w:r>
            <w:r w:rsidRPr="00C05886">
              <w:rPr>
                <w:rFonts w:ascii="Calibri" w:hAnsi="Calibri" w:cs="Calibri"/>
                <w:color w:val="000000"/>
                <w:sz w:val="22"/>
              </w:rPr>
              <w:t>)</w:t>
            </w:r>
          </w:p>
        </w:tc>
        <w:tc>
          <w:tcPr>
            <w:tcW w:w="1219" w:type="dxa"/>
            <w:tcBorders>
              <w:left w:val="nil"/>
            </w:tcBorders>
          </w:tcPr>
          <w:p w14:paraId="3E0EE267" w14:textId="0867C689" w:rsidR="000E3C80" w:rsidRPr="00C05886" w:rsidRDefault="000E3C80" w:rsidP="00C64930">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rPr>
            </w:pPr>
            <w:r w:rsidRPr="00C05886">
              <w:rPr>
                <w:rFonts w:ascii="Calibri" w:hAnsi="Calibri" w:cs="Calibri"/>
                <w:color w:val="000000"/>
                <w:sz w:val="22"/>
              </w:rPr>
              <w:t>0.</w:t>
            </w:r>
            <w:r w:rsidR="000F1DC5" w:rsidRPr="00C05886">
              <w:rPr>
                <w:rFonts w:ascii="Calibri" w:hAnsi="Calibri" w:cs="Calibri"/>
                <w:color w:val="000000"/>
                <w:sz w:val="22"/>
              </w:rPr>
              <w:t>3</w:t>
            </w:r>
            <w:r w:rsidR="000F1DC5">
              <w:rPr>
                <w:rFonts w:ascii="Calibri" w:hAnsi="Calibri" w:cs="Calibri"/>
                <w:color w:val="000000"/>
                <w:sz w:val="22"/>
              </w:rPr>
              <w:t>3</w:t>
            </w:r>
          </w:p>
        </w:tc>
      </w:tr>
      <w:tr w:rsidR="00FD000F" w:rsidRPr="00C05886" w14:paraId="176139FD" w14:textId="77777777" w:rsidTr="00A76BBB">
        <w:trPr>
          <w:cnfStyle w:val="000000100000" w:firstRow="0" w:lastRow="0" w:firstColumn="0" w:lastColumn="0" w:oddVBand="0" w:evenVBand="0" w:oddHBand="1" w:evenHBand="0" w:firstRowFirstColumn="0" w:firstRowLastColumn="0" w:lastRowFirstColumn="0" w:lastRowLastColumn="0"/>
          <w:trHeight w:val="1111"/>
        </w:trPr>
        <w:tc>
          <w:tcPr>
            <w:cnfStyle w:val="001000000000" w:firstRow="0" w:lastRow="0" w:firstColumn="1" w:lastColumn="0" w:oddVBand="0" w:evenVBand="0" w:oddHBand="0" w:evenHBand="0" w:firstRowFirstColumn="0" w:firstRowLastColumn="0" w:lastRowFirstColumn="0" w:lastRowLastColumn="0"/>
            <w:tcW w:w="2258" w:type="dxa"/>
          </w:tcPr>
          <w:p w14:paraId="7A863A9D" w14:textId="103826DA" w:rsidR="000E3C80" w:rsidRPr="00C05886" w:rsidRDefault="000E3C80" w:rsidP="00C64930">
            <w:pPr>
              <w:spacing w:line="240" w:lineRule="auto"/>
              <w:rPr>
                <w:b w:val="0"/>
                <w:bCs w:val="0"/>
                <w:sz w:val="22"/>
              </w:rPr>
            </w:pPr>
            <w:r w:rsidRPr="00C05886">
              <w:rPr>
                <w:sz w:val="22"/>
              </w:rPr>
              <w:t xml:space="preserve">Per. </w:t>
            </w:r>
            <w:r w:rsidR="00A76BBB">
              <w:t>species richness</w:t>
            </w:r>
          </w:p>
          <w:p w14:paraId="0A838982" w14:textId="77777777" w:rsidR="000E3C80" w:rsidRPr="00C05886" w:rsidRDefault="000E3C80" w:rsidP="00C64930">
            <w:pPr>
              <w:spacing w:line="240" w:lineRule="auto"/>
              <w:jc w:val="right"/>
              <w:rPr>
                <w:b w:val="0"/>
                <w:bCs w:val="0"/>
                <w:sz w:val="22"/>
              </w:rPr>
            </w:pPr>
            <w:r w:rsidRPr="00C05886">
              <w:rPr>
                <w:sz w:val="22"/>
              </w:rPr>
              <w:t>1</w:t>
            </w:r>
          </w:p>
          <w:p w14:paraId="733EE610" w14:textId="77777777" w:rsidR="000E3C80" w:rsidRPr="00C05886" w:rsidRDefault="000E3C80" w:rsidP="00C64930">
            <w:pPr>
              <w:spacing w:line="240" w:lineRule="auto"/>
              <w:jc w:val="right"/>
              <w:rPr>
                <w:b w:val="0"/>
                <w:bCs w:val="0"/>
                <w:sz w:val="22"/>
              </w:rPr>
            </w:pPr>
            <w:r w:rsidRPr="00C05886">
              <w:rPr>
                <w:sz w:val="22"/>
              </w:rPr>
              <w:t>2</w:t>
            </w:r>
          </w:p>
          <w:p w14:paraId="4F0CE999" w14:textId="77777777" w:rsidR="000E3C80" w:rsidRPr="00C05886" w:rsidRDefault="000E3C80" w:rsidP="00C64930">
            <w:pPr>
              <w:spacing w:line="240" w:lineRule="auto"/>
              <w:jc w:val="right"/>
              <w:rPr>
                <w:sz w:val="22"/>
              </w:rPr>
            </w:pPr>
            <w:r w:rsidRPr="00C05886">
              <w:rPr>
                <w:sz w:val="22"/>
              </w:rPr>
              <w:t>3</w:t>
            </w:r>
          </w:p>
        </w:tc>
        <w:tc>
          <w:tcPr>
            <w:tcW w:w="1260" w:type="dxa"/>
            <w:tcBorders>
              <w:right w:val="nil"/>
            </w:tcBorders>
          </w:tcPr>
          <w:p w14:paraId="3D6A811A" w14:textId="77777777" w:rsidR="000E3C80" w:rsidRPr="00C05886" w:rsidRDefault="000E3C80" w:rsidP="00C64930">
            <w:pPr>
              <w:spacing w:line="240" w:lineRule="auto"/>
              <w:jc w:val="center"/>
              <w:cnfStyle w:val="000000100000" w:firstRow="0" w:lastRow="0" w:firstColumn="0" w:lastColumn="0" w:oddVBand="0" w:evenVBand="0" w:oddHBand="1" w:evenHBand="0" w:firstRowFirstColumn="0" w:firstRowLastColumn="0" w:lastRowFirstColumn="0" w:lastRowLastColumn="0"/>
              <w:rPr>
                <w:sz w:val="22"/>
              </w:rPr>
            </w:pPr>
          </w:p>
          <w:p w14:paraId="39E79937" w14:textId="77777777" w:rsidR="000E3C80" w:rsidRPr="00C05886" w:rsidRDefault="000E3C80" w:rsidP="00C64930">
            <w:pPr>
              <w:spacing w:line="240" w:lineRule="auto"/>
              <w:jc w:val="center"/>
              <w:cnfStyle w:val="000000100000" w:firstRow="0" w:lastRow="0" w:firstColumn="0" w:lastColumn="0" w:oddVBand="0" w:evenVBand="0" w:oddHBand="1" w:evenHBand="0" w:firstRowFirstColumn="0" w:firstRowLastColumn="0" w:lastRowFirstColumn="0" w:lastRowLastColumn="0"/>
              <w:rPr>
                <w:sz w:val="22"/>
              </w:rPr>
            </w:pPr>
            <w:r w:rsidRPr="00C05886">
              <w:rPr>
                <w:sz w:val="22"/>
              </w:rPr>
              <w:t>-</w:t>
            </w:r>
          </w:p>
          <w:p w14:paraId="04ED937F" w14:textId="77777777" w:rsidR="000E3C80" w:rsidRPr="00C05886" w:rsidRDefault="000E3C80" w:rsidP="00C64930">
            <w:pPr>
              <w:spacing w:line="240" w:lineRule="auto"/>
              <w:jc w:val="center"/>
              <w:cnfStyle w:val="000000100000" w:firstRow="0" w:lastRow="0" w:firstColumn="0" w:lastColumn="0" w:oddVBand="0" w:evenVBand="0" w:oddHBand="1" w:evenHBand="0" w:firstRowFirstColumn="0" w:firstRowLastColumn="0" w:lastRowFirstColumn="0" w:lastRowLastColumn="0"/>
              <w:rPr>
                <w:sz w:val="22"/>
              </w:rPr>
            </w:pPr>
            <w:r w:rsidRPr="00C05886">
              <w:rPr>
                <w:sz w:val="22"/>
              </w:rPr>
              <w:t>-</w:t>
            </w:r>
          </w:p>
          <w:p w14:paraId="294031AD" w14:textId="77777777" w:rsidR="000E3C80" w:rsidRPr="00C05886" w:rsidRDefault="000E3C80" w:rsidP="00C64930">
            <w:pPr>
              <w:spacing w:line="240" w:lineRule="auto"/>
              <w:jc w:val="center"/>
              <w:cnfStyle w:val="000000100000" w:firstRow="0" w:lastRow="0" w:firstColumn="0" w:lastColumn="0" w:oddVBand="0" w:evenVBand="0" w:oddHBand="1" w:evenHBand="0" w:firstRowFirstColumn="0" w:firstRowLastColumn="0" w:lastRowFirstColumn="0" w:lastRowLastColumn="0"/>
              <w:rPr>
                <w:sz w:val="22"/>
              </w:rPr>
            </w:pPr>
            <w:r w:rsidRPr="00C05886">
              <w:rPr>
                <w:sz w:val="22"/>
              </w:rPr>
              <w:t>-</w:t>
            </w:r>
          </w:p>
        </w:tc>
        <w:tc>
          <w:tcPr>
            <w:tcW w:w="941" w:type="dxa"/>
            <w:tcBorders>
              <w:left w:val="nil"/>
            </w:tcBorders>
          </w:tcPr>
          <w:p w14:paraId="1EBE78B7" w14:textId="77777777" w:rsidR="000E3C80" w:rsidRPr="00C05886" w:rsidRDefault="000E3C80" w:rsidP="00C64930">
            <w:pPr>
              <w:spacing w:line="240" w:lineRule="auto"/>
              <w:jc w:val="center"/>
              <w:cnfStyle w:val="000000100000" w:firstRow="0" w:lastRow="0" w:firstColumn="0" w:lastColumn="0" w:oddVBand="0" w:evenVBand="0" w:oddHBand="1" w:evenHBand="0" w:firstRowFirstColumn="0" w:firstRowLastColumn="0" w:lastRowFirstColumn="0" w:lastRowLastColumn="0"/>
              <w:rPr>
                <w:sz w:val="22"/>
              </w:rPr>
            </w:pPr>
          </w:p>
          <w:p w14:paraId="0C29C72C" w14:textId="77777777" w:rsidR="000E3C80" w:rsidRPr="00C05886" w:rsidRDefault="000E3C80" w:rsidP="00C64930">
            <w:pPr>
              <w:spacing w:line="240" w:lineRule="auto"/>
              <w:jc w:val="center"/>
              <w:cnfStyle w:val="000000100000" w:firstRow="0" w:lastRow="0" w:firstColumn="0" w:lastColumn="0" w:oddVBand="0" w:evenVBand="0" w:oddHBand="1" w:evenHBand="0" w:firstRowFirstColumn="0" w:firstRowLastColumn="0" w:lastRowFirstColumn="0" w:lastRowLastColumn="0"/>
              <w:rPr>
                <w:sz w:val="22"/>
              </w:rPr>
            </w:pPr>
            <w:r w:rsidRPr="00C05886">
              <w:rPr>
                <w:sz w:val="22"/>
              </w:rPr>
              <w:t>-</w:t>
            </w:r>
          </w:p>
          <w:p w14:paraId="39CA896C" w14:textId="77777777" w:rsidR="000E3C80" w:rsidRPr="00C05886" w:rsidRDefault="000E3C80" w:rsidP="00C64930">
            <w:pPr>
              <w:spacing w:line="240" w:lineRule="auto"/>
              <w:jc w:val="center"/>
              <w:cnfStyle w:val="000000100000" w:firstRow="0" w:lastRow="0" w:firstColumn="0" w:lastColumn="0" w:oddVBand="0" w:evenVBand="0" w:oddHBand="1" w:evenHBand="0" w:firstRowFirstColumn="0" w:firstRowLastColumn="0" w:lastRowFirstColumn="0" w:lastRowLastColumn="0"/>
              <w:rPr>
                <w:sz w:val="22"/>
              </w:rPr>
            </w:pPr>
            <w:r w:rsidRPr="00C05886">
              <w:rPr>
                <w:sz w:val="22"/>
              </w:rPr>
              <w:t>-</w:t>
            </w:r>
          </w:p>
          <w:p w14:paraId="2A06D50B" w14:textId="77777777" w:rsidR="000E3C80" w:rsidRPr="00C05886" w:rsidRDefault="000E3C80" w:rsidP="00C64930">
            <w:pPr>
              <w:spacing w:line="240" w:lineRule="auto"/>
              <w:jc w:val="center"/>
              <w:cnfStyle w:val="000000100000" w:firstRow="0" w:lastRow="0" w:firstColumn="0" w:lastColumn="0" w:oddVBand="0" w:evenVBand="0" w:oddHBand="1" w:evenHBand="0" w:firstRowFirstColumn="0" w:firstRowLastColumn="0" w:lastRowFirstColumn="0" w:lastRowLastColumn="0"/>
              <w:rPr>
                <w:sz w:val="22"/>
              </w:rPr>
            </w:pPr>
            <w:r w:rsidRPr="00C05886">
              <w:rPr>
                <w:sz w:val="22"/>
              </w:rPr>
              <w:t>-</w:t>
            </w:r>
          </w:p>
        </w:tc>
        <w:tc>
          <w:tcPr>
            <w:tcW w:w="1353" w:type="dxa"/>
            <w:tcBorders>
              <w:right w:val="nil"/>
            </w:tcBorders>
          </w:tcPr>
          <w:p w14:paraId="6327D48C" w14:textId="77777777" w:rsidR="000E3C80" w:rsidRPr="00C05886" w:rsidRDefault="000E3C80" w:rsidP="00C64930">
            <w:pPr>
              <w:spacing w:line="240" w:lineRule="auto"/>
              <w:jc w:val="center"/>
              <w:cnfStyle w:val="000000100000" w:firstRow="0" w:lastRow="0" w:firstColumn="0" w:lastColumn="0" w:oddVBand="0" w:evenVBand="0" w:oddHBand="1" w:evenHBand="0" w:firstRowFirstColumn="0" w:firstRowLastColumn="0" w:lastRowFirstColumn="0" w:lastRowLastColumn="0"/>
              <w:rPr>
                <w:sz w:val="22"/>
              </w:rPr>
            </w:pPr>
          </w:p>
          <w:p w14:paraId="0A11D8A1" w14:textId="55372BB2" w:rsidR="000E3C80" w:rsidRPr="00C05886" w:rsidRDefault="000E3C80" w:rsidP="00C64930">
            <w:pPr>
              <w:spacing w:line="240" w:lineRule="auto"/>
              <w:jc w:val="center"/>
              <w:cnfStyle w:val="000000100000" w:firstRow="0" w:lastRow="0" w:firstColumn="0" w:lastColumn="0" w:oddVBand="0" w:evenVBand="0" w:oddHBand="1" w:evenHBand="0" w:firstRowFirstColumn="0" w:firstRowLastColumn="0" w:lastRowFirstColumn="0" w:lastRowLastColumn="0"/>
              <w:rPr>
                <w:sz w:val="22"/>
              </w:rPr>
            </w:pPr>
            <w:r w:rsidRPr="00C05886">
              <w:rPr>
                <w:sz w:val="22"/>
              </w:rPr>
              <w:t>1.</w:t>
            </w:r>
            <w:r w:rsidR="00023F5E" w:rsidRPr="00C05886">
              <w:rPr>
                <w:sz w:val="22"/>
              </w:rPr>
              <w:t>2</w:t>
            </w:r>
            <w:r w:rsidR="00023F5E">
              <w:rPr>
                <w:sz w:val="22"/>
              </w:rPr>
              <w:t>9</w:t>
            </w:r>
            <w:r w:rsidR="00023F5E" w:rsidRPr="00C05886">
              <w:rPr>
                <w:sz w:val="22"/>
              </w:rPr>
              <w:t xml:space="preserve"> </w:t>
            </w:r>
            <w:r w:rsidRPr="00C05886">
              <w:rPr>
                <w:sz w:val="22"/>
              </w:rPr>
              <w:t>(0.6)</w:t>
            </w:r>
          </w:p>
          <w:p w14:paraId="69B03CD4" w14:textId="77777777" w:rsidR="000E3C80" w:rsidRPr="00C05886" w:rsidRDefault="000E3C80" w:rsidP="00C64930">
            <w:pPr>
              <w:spacing w:line="240" w:lineRule="auto"/>
              <w:jc w:val="center"/>
              <w:cnfStyle w:val="000000100000" w:firstRow="0" w:lastRow="0" w:firstColumn="0" w:lastColumn="0" w:oddVBand="0" w:evenVBand="0" w:oddHBand="1" w:evenHBand="0" w:firstRowFirstColumn="0" w:firstRowLastColumn="0" w:lastRowFirstColumn="0" w:lastRowLastColumn="0"/>
              <w:rPr>
                <w:sz w:val="22"/>
              </w:rPr>
            </w:pPr>
            <w:r w:rsidRPr="00C05886">
              <w:rPr>
                <w:sz w:val="22"/>
              </w:rPr>
              <w:t>2.2 (0.62)</w:t>
            </w:r>
          </w:p>
          <w:p w14:paraId="291A6E87" w14:textId="409435D6" w:rsidR="000E3C80" w:rsidRPr="00C05886" w:rsidRDefault="000E3C80" w:rsidP="00C64930">
            <w:pPr>
              <w:spacing w:line="240" w:lineRule="auto"/>
              <w:jc w:val="center"/>
              <w:cnfStyle w:val="000000100000" w:firstRow="0" w:lastRow="0" w:firstColumn="0" w:lastColumn="0" w:oddVBand="0" w:evenVBand="0" w:oddHBand="1" w:evenHBand="0" w:firstRowFirstColumn="0" w:firstRowLastColumn="0" w:lastRowFirstColumn="0" w:lastRowLastColumn="0"/>
              <w:rPr>
                <w:sz w:val="22"/>
              </w:rPr>
            </w:pPr>
            <w:r w:rsidRPr="00C05886">
              <w:rPr>
                <w:sz w:val="22"/>
              </w:rPr>
              <w:t>4.</w:t>
            </w:r>
            <w:r w:rsidR="00023F5E" w:rsidRPr="00C05886">
              <w:rPr>
                <w:sz w:val="22"/>
              </w:rPr>
              <w:t>2</w:t>
            </w:r>
            <w:r w:rsidR="00023F5E">
              <w:rPr>
                <w:sz w:val="22"/>
              </w:rPr>
              <w:t>6</w:t>
            </w:r>
            <w:r w:rsidR="00023F5E" w:rsidRPr="00C05886">
              <w:rPr>
                <w:sz w:val="22"/>
              </w:rPr>
              <w:t xml:space="preserve"> </w:t>
            </w:r>
            <w:r w:rsidRPr="00C05886">
              <w:rPr>
                <w:sz w:val="22"/>
              </w:rPr>
              <w:t>(0.64)</w:t>
            </w:r>
          </w:p>
        </w:tc>
        <w:tc>
          <w:tcPr>
            <w:tcW w:w="1100" w:type="dxa"/>
            <w:tcBorders>
              <w:left w:val="nil"/>
            </w:tcBorders>
          </w:tcPr>
          <w:p w14:paraId="760EFEE4" w14:textId="77777777" w:rsidR="000E3C80" w:rsidRPr="00C05886" w:rsidRDefault="000E3C80" w:rsidP="00C64930">
            <w:pPr>
              <w:spacing w:line="240" w:lineRule="auto"/>
              <w:jc w:val="center"/>
              <w:cnfStyle w:val="000000100000" w:firstRow="0" w:lastRow="0" w:firstColumn="0" w:lastColumn="0" w:oddVBand="0" w:evenVBand="0" w:oddHBand="1" w:evenHBand="0" w:firstRowFirstColumn="0" w:firstRowLastColumn="0" w:lastRowFirstColumn="0" w:lastRowLastColumn="0"/>
              <w:rPr>
                <w:sz w:val="22"/>
              </w:rPr>
            </w:pPr>
          </w:p>
          <w:p w14:paraId="38556677" w14:textId="77777777" w:rsidR="000E3C80" w:rsidRPr="00C05886" w:rsidRDefault="000E3C80" w:rsidP="00C64930">
            <w:pPr>
              <w:spacing w:line="240" w:lineRule="auto"/>
              <w:jc w:val="center"/>
              <w:cnfStyle w:val="000000100000" w:firstRow="0" w:lastRow="0" w:firstColumn="0" w:lastColumn="0" w:oddVBand="0" w:evenVBand="0" w:oddHBand="1" w:evenHBand="0" w:firstRowFirstColumn="0" w:firstRowLastColumn="0" w:lastRowFirstColumn="0" w:lastRowLastColumn="0"/>
              <w:rPr>
                <w:sz w:val="22"/>
              </w:rPr>
            </w:pPr>
            <w:r w:rsidRPr="00C05886">
              <w:rPr>
                <w:sz w:val="22"/>
              </w:rPr>
              <w:t>0.03</w:t>
            </w:r>
          </w:p>
          <w:p w14:paraId="3F48C3F7" w14:textId="77777777" w:rsidR="000E3C80" w:rsidRPr="00C05886" w:rsidRDefault="000E3C80" w:rsidP="00C64930">
            <w:pPr>
              <w:spacing w:line="240" w:lineRule="auto"/>
              <w:jc w:val="center"/>
              <w:cnfStyle w:val="000000100000" w:firstRow="0" w:lastRow="0" w:firstColumn="0" w:lastColumn="0" w:oddVBand="0" w:evenVBand="0" w:oddHBand="1" w:evenHBand="0" w:firstRowFirstColumn="0" w:firstRowLastColumn="0" w:lastRowFirstColumn="0" w:lastRowLastColumn="0"/>
              <w:rPr>
                <w:sz w:val="22"/>
              </w:rPr>
            </w:pPr>
            <w:r w:rsidRPr="00C05886">
              <w:rPr>
                <w:sz w:val="22"/>
              </w:rPr>
              <w:t>&lt;0.001</w:t>
            </w:r>
          </w:p>
          <w:p w14:paraId="6592A150" w14:textId="77777777" w:rsidR="000E3C80" w:rsidRPr="00C05886" w:rsidRDefault="000E3C80" w:rsidP="00C64930">
            <w:pPr>
              <w:spacing w:line="240" w:lineRule="auto"/>
              <w:jc w:val="center"/>
              <w:cnfStyle w:val="000000100000" w:firstRow="0" w:lastRow="0" w:firstColumn="0" w:lastColumn="0" w:oddVBand="0" w:evenVBand="0" w:oddHBand="1" w:evenHBand="0" w:firstRowFirstColumn="0" w:firstRowLastColumn="0" w:lastRowFirstColumn="0" w:lastRowLastColumn="0"/>
              <w:rPr>
                <w:sz w:val="22"/>
              </w:rPr>
            </w:pPr>
            <w:r w:rsidRPr="00C05886">
              <w:rPr>
                <w:sz w:val="22"/>
              </w:rPr>
              <w:t>&lt;0.001</w:t>
            </w:r>
          </w:p>
        </w:tc>
        <w:tc>
          <w:tcPr>
            <w:tcW w:w="1452" w:type="dxa"/>
            <w:tcBorders>
              <w:right w:val="nil"/>
            </w:tcBorders>
          </w:tcPr>
          <w:p w14:paraId="454357F3" w14:textId="77777777" w:rsidR="000E3C80" w:rsidRPr="00C05886" w:rsidRDefault="000E3C80" w:rsidP="00C64930">
            <w:pPr>
              <w:spacing w:line="240" w:lineRule="auto"/>
              <w:jc w:val="center"/>
              <w:cnfStyle w:val="000000100000" w:firstRow="0" w:lastRow="0" w:firstColumn="0" w:lastColumn="0" w:oddVBand="0" w:evenVBand="0" w:oddHBand="1" w:evenHBand="0" w:firstRowFirstColumn="0" w:firstRowLastColumn="0" w:lastRowFirstColumn="0" w:lastRowLastColumn="0"/>
              <w:rPr>
                <w:sz w:val="22"/>
              </w:rPr>
            </w:pPr>
          </w:p>
          <w:p w14:paraId="4391CF9B" w14:textId="10E23B58" w:rsidR="000E3C80" w:rsidRPr="00C05886" w:rsidRDefault="000E3C80" w:rsidP="00C64930">
            <w:pPr>
              <w:spacing w:line="240" w:lineRule="auto"/>
              <w:jc w:val="center"/>
              <w:cnfStyle w:val="000000100000" w:firstRow="0" w:lastRow="0" w:firstColumn="0" w:lastColumn="0" w:oddVBand="0" w:evenVBand="0" w:oddHBand="1" w:evenHBand="0" w:firstRowFirstColumn="0" w:firstRowLastColumn="0" w:lastRowFirstColumn="0" w:lastRowLastColumn="0"/>
              <w:rPr>
                <w:sz w:val="22"/>
              </w:rPr>
            </w:pPr>
            <w:r w:rsidRPr="00C05886">
              <w:rPr>
                <w:sz w:val="22"/>
              </w:rPr>
              <w:t>1.</w:t>
            </w:r>
            <w:r w:rsidR="000F1DC5" w:rsidRPr="00C05886">
              <w:rPr>
                <w:sz w:val="22"/>
              </w:rPr>
              <w:t>2</w:t>
            </w:r>
            <w:r w:rsidR="000F1DC5">
              <w:rPr>
                <w:sz w:val="22"/>
              </w:rPr>
              <w:t>3</w:t>
            </w:r>
            <w:r w:rsidR="000F1DC5" w:rsidRPr="00C05886">
              <w:rPr>
                <w:sz w:val="22"/>
              </w:rPr>
              <w:t xml:space="preserve"> </w:t>
            </w:r>
            <w:r w:rsidRPr="00C05886">
              <w:rPr>
                <w:sz w:val="22"/>
              </w:rPr>
              <w:t>(0.6)</w:t>
            </w:r>
          </w:p>
          <w:p w14:paraId="4BD64E57" w14:textId="520B6853" w:rsidR="000E3C80" w:rsidRPr="00C05886" w:rsidRDefault="000E3C80" w:rsidP="00C64930">
            <w:pPr>
              <w:spacing w:line="240" w:lineRule="auto"/>
              <w:jc w:val="center"/>
              <w:cnfStyle w:val="000000100000" w:firstRow="0" w:lastRow="0" w:firstColumn="0" w:lastColumn="0" w:oddVBand="0" w:evenVBand="0" w:oddHBand="1" w:evenHBand="0" w:firstRowFirstColumn="0" w:firstRowLastColumn="0" w:lastRowFirstColumn="0" w:lastRowLastColumn="0"/>
              <w:rPr>
                <w:sz w:val="22"/>
              </w:rPr>
            </w:pPr>
            <w:r w:rsidRPr="00C05886">
              <w:rPr>
                <w:sz w:val="22"/>
              </w:rPr>
              <w:t>2.</w:t>
            </w:r>
            <w:r w:rsidR="000F1DC5" w:rsidRPr="00C05886">
              <w:rPr>
                <w:sz w:val="22"/>
              </w:rPr>
              <w:t>1</w:t>
            </w:r>
            <w:r w:rsidR="000F1DC5">
              <w:rPr>
                <w:sz w:val="22"/>
              </w:rPr>
              <w:t>2</w:t>
            </w:r>
            <w:r w:rsidR="000F1DC5" w:rsidRPr="00C05886">
              <w:rPr>
                <w:sz w:val="22"/>
              </w:rPr>
              <w:t xml:space="preserve"> </w:t>
            </w:r>
            <w:r w:rsidRPr="00C05886">
              <w:rPr>
                <w:sz w:val="22"/>
              </w:rPr>
              <w:t>(0.62)</w:t>
            </w:r>
          </w:p>
          <w:p w14:paraId="7788420F" w14:textId="1AAE0B53" w:rsidR="000E3C80" w:rsidRPr="00C05886" w:rsidRDefault="000E3C80" w:rsidP="00C64930">
            <w:pPr>
              <w:spacing w:line="240" w:lineRule="auto"/>
              <w:jc w:val="center"/>
              <w:cnfStyle w:val="000000100000" w:firstRow="0" w:lastRow="0" w:firstColumn="0" w:lastColumn="0" w:oddVBand="0" w:evenVBand="0" w:oddHBand="1" w:evenHBand="0" w:firstRowFirstColumn="0" w:firstRowLastColumn="0" w:lastRowFirstColumn="0" w:lastRowLastColumn="0"/>
              <w:rPr>
                <w:sz w:val="22"/>
              </w:rPr>
            </w:pPr>
            <w:r w:rsidRPr="00C05886">
              <w:rPr>
                <w:sz w:val="22"/>
              </w:rPr>
              <w:t>4.</w:t>
            </w:r>
            <w:r w:rsidR="000F1DC5" w:rsidRPr="00C05886">
              <w:rPr>
                <w:sz w:val="22"/>
              </w:rPr>
              <w:t>1</w:t>
            </w:r>
            <w:r w:rsidR="000F1DC5">
              <w:rPr>
                <w:sz w:val="22"/>
              </w:rPr>
              <w:t>6</w:t>
            </w:r>
            <w:r w:rsidR="000F1DC5" w:rsidRPr="00C05886">
              <w:rPr>
                <w:sz w:val="22"/>
              </w:rPr>
              <w:t xml:space="preserve"> </w:t>
            </w:r>
            <w:r w:rsidRPr="00C05886">
              <w:rPr>
                <w:sz w:val="22"/>
              </w:rPr>
              <w:t>(0.65)</w:t>
            </w:r>
          </w:p>
        </w:tc>
        <w:tc>
          <w:tcPr>
            <w:tcW w:w="1219" w:type="dxa"/>
            <w:tcBorders>
              <w:left w:val="nil"/>
            </w:tcBorders>
          </w:tcPr>
          <w:p w14:paraId="415B2D37" w14:textId="77777777" w:rsidR="000E3C80" w:rsidRPr="00C05886" w:rsidRDefault="000E3C80" w:rsidP="00C64930">
            <w:pPr>
              <w:spacing w:line="240" w:lineRule="auto"/>
              <w:jc w:val="center"/>
              <w:cnfStyle w:val="000000100000" w:firstRow="0" w:lastRow="0" w:firstColumn="0" w:lastColumn="0" w:oddVBand="0" w:evenVBand="0" w:oddHBand="1" w:evenHBand="0" w:firstRowFirstColumn="0" w:firstRowLastColumn="0" w:lastRowFirstColumn="0" w:lastRowLastColumn="0"/>
              <w:rPr>
                <w:sz w:val="22"/>
              </w:rPr>
            </w:pPr>
          </w:p>
          <w:p w14:paraId="61E262E2" w14:textId="77777777" w:rsidR="000E3C80" w:rsidRPr="00C05886" w:rsidRDefault="000E3C80" w:rsidP="00C64930">
            <w:pPr>
              <w:spacing w:line="240" w:lineRule="auto"/>
              <w:jc w:val="center"/>
              <w:cnfStyle w:val="000000100000" w:firstRow="0" w:lastRow="0" w:firstColumn="0" w:lastColumn="0" w:oddVBand="0" w:evenVBand="0" w:oddHBand="1" w:evenHBand="0" w:firstRowFirstColumn="0" w:firstRowLastColumn="0" w:lastRowFirstColumn="0" w:lastRowLastColumn="0"/>
              <w:rPr>
                <w:sz w:val="22"/>
              </w:rPr>
            </w:pPr>
            <w:r w:rsidRPr="00C05886">
              <w:rPr>
                <w:sz w:val="22"/>
              </w:rPr>
              <w:t>0.042</w:t>
            </w:r>
          </w:p>
          <w:p w14:paraId="44F85204" w14:textId="77777777" w:rsidR="000E3C80" w:rsidRPr="00C05886" w:rsidRDefault="000E3C80" w:rsidP="00C64930">
            <w:pPr>
              <w:spacing w:line="240" w:lineRule="auto"/>
              <w:jc w:val="center"/>
              <w:cnfStyle w:val="000000100000" w:firstRow="0" w:lastRow="0" w:firstColumn="0" w:lastColumn="0" w:oddVBand="0" w:evenVBand="0" w:oddHBand="1" w:evenHBand="0" w:firstRowFirstColumn="0" w:firstRowLastColumn="0" w:lastRowFirstColumn="0" w:lastRowLastColumn="0"/>
              <w:rPr>
                <w:sz w:val="22"/>
              </w:rPr>
            </w:pPr>
            <w:r w:rsidRPr="00C05886">
              <w:rPr>
                <w:sz w:val="22"/>
              </w:rPr>
              <w:t>0.001</w:t>
            </w:r>
          </w:p>
          <w:p w14:paraId="056F3C19" w14:textId="21F53A75" w:rsidR="000E3C80" w:rsidRPr="00C05886" w:rsidRDefault="000F1DC5" w:rsidP="00C64930">
            <w:pPr>
              <w:spacing w:line="240" w:lineRule="auto"/>
              <w:jc w:val="center"/>
              <w:cnfStyle w:val="000000100000" w:firstRow="0" w:lastRow="0" w:firstColumn="0" w:lastColumn="0" w:oddVBand="0" w:evenVBand="0" w:oddHBand="1" w:evenHBand="0" w:firstRowFirstColumn="0" w:firstRowLastColumn="0" w:lastRowFirstColumn="0" w:lastRowLastColumn="0"/>
              <w:rPr>
                <w:sz w:val="22"/>
              </w:rPr>
            </w:pPr>
            <w:r w:rsidRPr="00C05886">
              <w:rPr>
                <w:sz w:val="22"/>
              </w:rPr>
              <w:t>&lt;0.001</w:t>
            </w:r>
          </w:p>
        </w:tc>
      </w:tr>
      <w:tr w:rsidR="00A76BBB" w:rsidRPr="00C05886" w14:paraId="7190110E" w14:textId="77777777" w:rsidTr="005D7515">
        <w:trPr>
          <w:trHeight w:val="270"/>
        </w:trPr>
        <w:tc>
          <w:tcPr>
            <w:cnfStyle w:val="001000000000" w:firstRow="0" w:lastRow="0" w:firstColumn="1" w:lastColumn="0" w:oddVBand="0" w:evenVBand="0" w:oddHBand="0" w:evenHBand="0" w:firstRowFirstColumn="0" w:firstRowLastColumn="0" w:lastRowFirstColumn="0" w:lastRowLastColumn="0"/>
            <w:tcW w:w="2258" w:type="dxa"/>
          </w:tcPr>
          <w:p w14:paraId="07FA6D84" w14:textId="77777777" w:rsidR="000E3C80" w:rsidRPr="00C05886" w:rsidRDefault="000E3C80" w:rsidP="00C64930">
            <w:pPr>
              <w:spacing w:line="240" w:lineRule="auto"/>
              <w:rPr>
                <w:sz w:val="22"/>
              </w:rPr>
            </w:pPr>
            <w:r w:rsidRPr="00C05886">
              <w:rPr>
                <w:sz w:val="22"/>
              </w:rPr>
              <w:t>Gender</w:t>
            </w:r>
          </w:p>
        </w:tc>
        <w:tc>
          <w:tcPr>
            <w:tcW w:w="1260" w:type="dxa"/>
            <w:tcBorders>
              <w:right w:val="nil"/>
            </w:tcBorders>
          </w:tcPr>
          <w:p w14:paraId="2D4802D2" w14:textId="57D06309" w:rsidR="000E3C80" w:rsidRPr="00C05886" w:rsidRDefault="000E3C80" w:rsidP="00C64930">
            <w:pPr>
              <w:spacing w:line="240" w:lineRule="auto"/>
              <w:jc w:val="center"/>
              <w:cnfStyle w:val="000000000000" w:firstRow="0" w:lastRow="0" w:firstColumn="0" w:lastColumn="0" w:oddVBand="0" w:evenVBand="0" w:oddHBand="0" w:evenHBand="0" w:firstRowFirstColumn="0" w:firstRowLastColumn="0" w:lastRowFirstColumn="0" w:lastRowLastColumn="0"/>
              <w:rPr>
                <w:sz w:val="22"/>
              </w:rPr>
            </w:pPr>
            <w:r w:rsidRPr="00C05886">
              <w:rPr>
                <w:sz w:val="22"/>
              </w:rPr>
              <w:t>-0.</w:t>
            </w:r>
            <w:r w:rsidR="007C6A02">
              <w:rPr>
                <w:sz w:val="22"/>
              </w:rPr>
              <w:t>29</w:t>
            </w:r>
            <w:r w:rsidR="007C6A02" w:rsidRPr="00C05886">
              <w:rPr>
                <w:sz w:val="22"/>
              </w:rPr>
              <w:t xml:space="preserve"> </w:t>
            </w:r>
            <w:r w:rsidRPr="00C05886">
              <w:rPr>
                <w:sz w:val="22"/>
              </w:rPr>
              <w:t>(0.26)</w:t>
            </w:r>
          </w:p>
        </w:tc>
        <w:tc>
          <w:tcPr>
            <w:tcW w:w="0" w:type="dxa"/>
            <w:tcBorders>
              <w:left w:val="nil"/>
            </w:tcBorders>
          </w:tcPr>
          <w:p w14:paraId="3EA11006" w14:textId="77777777" w:rsidR="000E3C80" w:rsidRPr="00C05886" w:rsidRDefault="000E3C80" w:rsidP="00C64930">
            <w:pPr>
              <w:spacing w:line="240" w:lineRule="auto"/>
              <w:jc w:val="center"/>
              <w:cnfStyle w:val="000000000000" w:firstRow="0" w:lastRow="0" w:firstColumn="0" w:lastColumn="0" w:oddVBand="0" w:evenVBand="0" w:oddHBand="0" w:evenHBand="0" w:firstRowFirstColumn="0" w:firstRowLastColumn="0" w:lastRowFirstColumn="0" w:lastRowLastColumn="0"/>
              <w:rPr>
                <w:sz w:val="22"/>
              </w:rPr>
            </w:pPr>
            <w:r w:rsidRPr="00C05886">
              <w:rPr>
                <w:sz w:val="22"/>
              </w:rPr>
              <w:t>0.17</w:t>
            </w:r>
          </w:p>
        </w:tc>
        <w:tc>
          <w:tcPr>
            <w:tcW w:w="1353" w:type="dxa"/>
            <w:tcBorders>
              <w:right w:val="nil"/>
            </w:tcBorders>
          </w:tcPr>
          <w:p w14:paraId="43F098EF" w14:textId="70742383" w:rsidR="000E3C80" w:rsidRPr="00C05886" w:rsidRDefault="000E3C80" w:rsidP="00C64930">
            <w:pPr>
              <w:spacing w:line="240" w:lineRule="auto"/>
              <w:jc w:val="center"/>
              <w:cnfStyle w:val="000000000000" w:firstRow="0" w:lastRow="0" w:firstColumn="0" w:lastColumn="0" w:oddVBand="0" w:evenVBand="0" w:oddHBand="0" w:evenHBand="0" w:firstRowFirstColumn="0" w:firstRowLastColumn="0" w:lastRowFirstColumn="0" w:lastRowLastColumn="0"/>
              <w:rPr>
                <w:sz w:val="22"/>
              </w:rPr>
            </w:pPr>
            <w:r w:rsidRPr="00C05886">
              <w:rPr>
                <w:sz w:val="22"/>
              </w:rPr>
              <w:t>-0.23 (0.</w:t>
            </w:r>
            <w:r w:rsidR="00023F5E" w:rsidRPr="00C05886">
              <w:rPr>
                <w:sz w:val="22"/>
              </w:rPr>
              <w:t>2</w:t>
            </w:r>
            <w:r w:rsidR="00023F5E">
              <w:rPr>
                <w:sz w:val="22"/>
              </w:rPr>
              <w:t>5</w:t>
            </w:r>
            <w:r w:rsidRPr="00C05886">
              <w:rPr>
                <w:sz w:val="22"/>
              </w:rPr>
              <w:t>)</w:t>
            </w:r>
          </w:p>
        </w:tc>
        <w:tc>
          <w:tcPr>
            <w:tcW w:w="1100" w:type="dxa"/>
            <w:tcBorders>
              <w:left w:val="nil"/>
            </w:tcBorders>
          </w:tcPr>
          <w:p w14:paraId="0027F21A" w14:textId="77777777" w:rsidR="000E3C80" w:rsidRPr="00C05886" w:rsidRDefault="000E3C80" w:rsidP="00C64930">
            <w:pPr>
              <w:spacing w:line="240" w:lineRule="auto"/>
              <w:jc w:val="center"/>
              <w:cnfStyle w:val="000000000000" w:firstRow="0" w:lastRow="0" w:firstColumn="0" w:lastColumn="0" w:oddVBand="0" w:evenVBand="0" w:oddHBand="0" w:evenHBand="0" w:firstRowFirstColumn="0" w:firstRowLastColumn="0" w:lastRowFirstColumn="0" w:lastRowLastColumn="0"/>
              <w:rPr>
                <w:sz w:val="22"/>
              </w:rPr>
            </w:pPr>
            <w:r w:rsidRPr="00C05886">
              <w:rPr>
                <w:sz w:val="22"/>
              </w:rPr>
              <w:t>0.35</w:t>
            </w:r>
          </w:p>
        </w:tc>
        <w:tc>
          <w:tcPr>
            <w:tcW w:w="1452" w:type="dxa"/>
            <w:tcBorders>
              <w:right w:val="nil"/>
            </w:tcBorders>
          </w:tcPr>
          <w:p w14:paraId="177F8ACB" w14:textId="77777777" w:rsidR="000E3C80" w:rsidRPr="00C05886" w:rsidRDefault="000E3C80" w:rsidP="00C64930">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rPr>
            </w:pPr>
            <w:r w:rsidRPr="00C05886">
              <w:rPr>
                <w:rFonts w:ascii="Calibri" w:hAnsi="Calibri" w:cs="Calibri"/>
                <w:color w:val="000000"/>
                <w:sz w:val="22"/>
              </w:rPr>
              <w:t>-0.22 (0.36)</w:t>
            </w:r>
          </w:p>
        </w:tc>
        <w:tc>
          <w:tcPr>
            <w:tcW w:w="1219" w:type="dxa"/>
            <w:tcBorders>
              <w:left w:val="nil"/>
            </w:tcBorders>
          </w:tcPr>
          <w:p w14:paraId="12FC3BD5" w14:textId="3283513A" w:rsidR="000E3C80" w:rsidRPr="00C05886" w:rsidRDefault="000E3C80" w:rsidP="00C64930">
            <w:pPr>
              <w:spacing w:line="240" w:lineRule="auto"/>
              <w:jc w:val="center"/>
              <w:cnfStyle w:val="000000000000" w:firstRow="0" w:lastRow="0" w:firstColumn="0" w:lastColumn="0" w:oddVBand="0" w:evenVBand="0" w:oddHBand="0" w:evenHBand="0" w:firstRowFirstColumn="0" w:firstRowLastColumn="0" w:lastRowFirstColumn="0" w:lastRowLastColumn="0"/>
              <w:rPr>
                <w:sz w:val="22"/>
              </w:rPr>
            </w:pPr>
            <w:r w:rsidRPr="00C05886">
              <w:rPr>
                <w:sz w:val="22"/>
              </w:rPr>
              <w:t>0.</w:t>
            </w:r>
            <w:r w:rsidR="000F1DC5" w:rsidRPr="00C05886">
              <w:rPr>
                <w:sz w:val="22"/>
              </w:rPr>
              <w:t>3</w:t>
            </w:r>
            <w:r w:rsidR="000F1DC5">
              <w:rPr>
                <w:sz w:val="22"/>
              </w:rPr>
              <w:t>7</w:t>
            </w:r>
          </w:p>
        </w:tc>
      </w:tr>
      <w:tr w:rsidR="00FD000F" w:rsidRPr="00C05886" w14:paraId="26D49335" w14:textId="77777777" w:rsidTr="00A76BBB">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2258" w:type="dxa"/>
            <w:tcBorders>
              <w:bottom w:val="single" w:sz="4" w:space="0" w:color="auto"/>
            </w:tcBorders>
          </w:tcPr>
          <w:p w14:paraId="3EEB3EB4" w14:textId="77777777" w:rsidR="000E3C80" w:rsidRPr="00C05886" w:rsidRDefault="000E3C80" w:rsidP="00C64930">
            <w:pPr>
              <w:spacing w:line="240" w:lineRule="auto"/>
              <w:rPr>
                <w:sz w:val="22"/>
              </w:rPr>
            </w:pPr>
            <w:r w:rsidRPr="00C05886">
              <w:rPr>
                <w:sz w:val="22"/>
              </w:rPr>
              <w:t>Age</w:t>
            </w:r>
          </w:p>
        </w:tc>
        <w:tc>
          <w:tcPr>
            <w:tcW w:w="1260" w:type="dxa"/>
            <w:tcBorders>
              <w:bottom w:val="single" w:sz="4" w:space="0" w:color="auto"/>
              <w:right w:val="nil"/>
            </w:tcBorders>
          </w:tcPr>
          <w:p w14:paraId="61D14BBE" w14:textId="77777777" w:rsidR="000E3C80" w:rsidRPr="00C05886" w:rsidRDefault="000E3C80" w:rsidP="00C64930">
            <w:pPr>
              <w:spacing w:line="240" w:lineRule="auto"/>
              <w:jc w:val="center"/>
              <w:cnfStyle w:val="000000100000" w:firstRow="0" w:lastRow="0" w:firstColumn="0" w:lastColumn="0" w:oddVBand="0" w:evenVBand="0" w:oddHBand="1" w:evenHBand="0" w:firstRowFirstColumn="0" w:firstRowLastColumn="0" w:lastRowFirstColumn="0" w:lastRowLastColumn="0"/>
              <w:rPr>
                <w:sz w:val="22"/>
              </w:rPr>
            </w:pPr>
            <w:r w:rsidRPr="00C05886">
              <w:rPr>
                <w:sz w:val="22"/>
              </w:rPr>
              <w:t>0.01 (0.01)</w:t>
            </w:r>
          </w:p>
        </w:tc>
        <w:tc>
          <w:tcPr>
            <w:tcW w:w="941" w:type="dxa"/>
            <w:tcBorders>
              <w:left w:val="nil"/>
              <w:bottom w:val="single" w:sz="4" w:space="0" w:color="auto"/>
            </w:tcBorders>
          </w:tcPr>
          <w:p w14:paraId="35539563" w14:textId="72CFE2A0" w:rsidR="000E3C80" w:rsidRPr="00C05886" w:rsidRDefault="000E3C80" w:rsidP="00C64930">
            <w:pPr>
              <w:spacing w:line="240" w:lineRule="auto"/>
              <w:jc w:val="center"/>
              <w:cnfStyle w:val="000000100000" w:firstRow="0" w:lastRow="0" w:firstColumn="0" w:lastColumn="0" w:oddVBand="0" w:evenVBand="0" w:oddHBand="1" w:evenHBand="0" w:firstRowFirstColumn="0" w:firstRowLastColumn="0" w:lastRowFirstColumn="0" w:lastRowLastColumn="0"/>
              <w:rPr>
                <w:sz w:val="22"/>
              </w:rPr>
            </w:pPr>
            <w:r w:rsidRPr="00C05886">
              <w:rPr>
                <w:sz w:val="22"/>
              </w:rPr>
              <w:t>0.</w:t>
            </w:r>
            <w:r w:rsidR="007C6A02">
              <w:rPr>
                <w:sz w:val="22"/>
              </w:rPr>
              <w:t>37</w:t>
            </w:r>
          </w:p>
        </w:tc>
        <w:tc>
          <w:tcPr>
            <w:tcW w:w="1353" w:type="dxa"/>
            <w:tcBorders>
              <w:bottom w:val="single" w:sz="4" w:space="0" w:color="auto"/>
              <w:right w:val="nil"/>
            </w:tcBorders>
          </w:tcPr>
          <w:p w14:paraId="6296B6E0" w14:textId="77777777" w:rsidR="000E3C80" w:rsidRPr="00C05886" w:rsidRDefault="000E3C80" w:rsidP="00C64930">
            <w:pPr>
              <w:spacing w:line="240" w:lineRule="auto"/>
              <w:jc w:val="center"/>
              <w:cnfStyle w:val="000000100000" w:firstRow="0" w:lastRow="0" w:firstColumn="0" w:lastColumn="0" w:oddVBand="0" w:evenVBand="0" w:oddHBand="1" w:evenHBand="0" w:firstRowFirstColumn="0" w:firstRowLastColumn="0" w:lastRowFirstColumn="0" w:lastRowLastColumn="0"/>
              <w:rPr>
                <w:sz w:val="22"/>
              </w:rPr>
            </w:pPr>
            <w:r w:rsidRPr="00C05886">
              <w:rPr>
                <w:sz w:val="22"/>
              </w:rPr>
              <w:t>0.001 (0.01)</w:t>
            </w:r>
          </w:p>
        </w:tc>
        <w:tc>
          <w:tcPr>
            <w:tcW w:w="1100" w:type="dxa"/>
            <w:tcBorders>
              <w:left w:val="nil"/>
              <w:bottom w:val="single" w:sz="4" w:space="0" w:color="auto"/>
            </w:tcBorders>
          </w:tcPr>
          <w:p w14:paraId="4AF2AD41" w14:textId="2C361C0C" w:rsidR="000E3C80" w:rsidRPr="00C05886" w:rsidRDefault="000E3C80" w:rsidP="00C64930">
            <w:pPr>
              <w:spacing w:line="240" w:lineRule="auto"/>
              <w:jc w:val="center"/>
              <w:cnfStyle w:val="000000100000" w:firstRow="0" w:lastRow="0" w:firstColumn="0" w:lastColumn="0" w:oddVBand="0" w:evenVBand="0" w:oddHBand="1" w:evenHBand="0" w:firstRowFirstColumn="0" w:firstRowLastColumn="0" w:lastRowFirstColumn="0" w:lastRowLastColumn="0"/>
              <w:rPr>
                <w:sz w:val="22"/>
              </w:rPr>
            </w:pPr>
            <w:r w:rsidRPr="00C05886">
              <w:rPr>
                <w:sz w:val="22"/>
              </w:rPr>
              <w:t>0.</w:t>
            </w:r>
            <w:r w:rsidR="00023F5E">
              <w:rPr>
                <w:sz w:val="22"/>
              </w:rPr>
              <w:t>87</w:t>
            </w:r>
          </w:p>
        </w:tc>
        <w:tc>
          <w:tcPr>
            <w:tcW w:w="1452" w:type="dxa"/>
            <w:tcBorders>
              <w:bottom w:val="single" w:sz="4" w:space="0" w:color="auto"/>
              <w:right w:val="nil"/>
            </w:tcBorders>
          </w:tcPr>
          <w:p w14:paraId="5AED7672" w14:textId="32DEBF05" w:rsidR="000E3C80" w:rsidRPr="00C05886" w:rsidRDefault="000E3C80" w:rsidP="00C64930">
            <w:pPr>
              <w:spacing w:line="240" w:lineRule="auto"/>
              <w:jc w:val="center"/>
              <w:cnfStyle w:val="000000100000" w:firstRow="0" w:lastRow="0" w:firstColumn="0" w:lastColumn="0" w:oddVBand="0" w:evenVBand="0" w:oddHBand="1" w:evenHBand="0" w:firstRowFirstColumn="0" w:firstRowLastColumn="0" w:lastRowFirstColumn="0" w:lastRowLastColumn="0"/>
              <w:rPr>
                <w:sz w:val="22"/>
              </w:rPr>
            </w:pPr>
            <w:r w:rsidRPr="00C05886">
              <w:rPr>
                <w:sz w:val="22"/>
              </w:rPr>
              <w:t>0.</w:t>
            </w:r>
            <w:r w:rsidR="000F1DC5" w:rsidRPr="00C05886">
              <w:rPr>
                <w:sz w:val="22"/>
              </w:rPr>
              <w:t>00</w:t>
            </w:r>
            <w:r w:rsidR="000F1DC5">
              <w:rPr>
                <w:sz w:val="22"/>
              </w:rPr>
              <w:t>2</w:t>
            </w:r>
            <w:r w:rsidR="000F1DC5" w:rsidRPr="00C05886">
              <w:rPr>
                <w:sz w:val="22"/>
              </w:rPr>
              <w:t xml:space="preserve"> </w:t>
            </w:r>
            <w:r w:rsidRPr="00C05886">
              <w:rPr>
                <w:sz w:val="22"/>
              </w:rPr>
              <w:t>(0.01)</w:t>
            </w:r>
          </w:p>
        </w:tc>
        <w:tc>
          <w:tcPr>
            <w:tcW w:w="1219" w:type="dxa"/>
            <w:tcBorders>
              <w:left w:val="nil"/>
              <w:bottom w:val="single" w:sz="4" w:space="0" w:color="auto"/>
            </w:tcBorders>
          </w:tcPr>
          <w:p w14:paraId="62E5D977" w14:textId="2652E14F" w:rsidR="000E3C80" w:rsidRPr="00C05886" w:rsidRDefault="000E3C80" w:rsidP="00C64930">
            <w:pPr>
              <w:spacing w:line="240" w:lineRule="auto"/>
              <w:jc w:val="center"/>
              <w:cnfStyle w:val="000000100000" w:firstRow="0" w:lastRow="0" w:firstColumn="0" w:lastColumn="0" w:oddVBand="0" w:evenVBand="0" w:oddHBand="1" w:evenHBand="0" w:firstRowFirstColumn="0" w:firstRowLastColumn="0" w:lastRowFirstColumn="0" w:lastRowLastColumn="0"/>
              <w:rPr>
                <w:sz w:val="22"/>
              </w:rPr>
            </w:pPr>
            <w:r w:rsidRPr="00C05886">
              <w:rPr>
                <w:sz w:val="22"/>
              </w:rPr>
              <w:t>0.</w:t>
            </w:r>
            <w:r w:rsidR="000F1DC5">
              <w:rPr>
                <w:sz w:val="22"/>
              </w:rPr>
              <w:t>78</w:t>
            </w:r>
          </w:p>
        </w:tc>
      </w:tr>
      <w:tr w:rsidR="005D7515" w:rsidRPr="00C05886" w14:paraId="7DFCA71B" w14:textId="77777777" w:rsidTr="005D7515">
        <w:trPr>
          <w:trHeight w:val="270"/>
        </w:trPr>
        <w:tc>
          <w:tcPr>
            <w:cnfStyle w:val="001000000000" w:firstRow="0" w:lastRow="0" w:firstColumn="1" w:lastColumn="0" w:oddVBand="0" w:evenVBand="0" w:oddHBand="0" w:evenHBand="0" w:firstRowFirstColumn="0" w:firstRowLastColumn="0" w:lastRowFirstColumn="0" w:lastRowLastColumn="0"/>
            <w:tcW w:w="2258" w:type="dxa"/>
            <w:tcBorders>
              <w:bottom w:val="single" w:sz="4" w:space="0" w:color="auto"/>
            </w:tcBorders>
          </w:tcPr>
          <w:p w14:paraId="49ED86E1" w14:textId="77777777" w:rsidR="000E3C80" w:rsidRDefault="000E3C80" w:rsidP="00C64930">
            <w:pPr>
              <w:spacing w:line="240" w:lineRule="auto"/>
              <w:rPr>
                <w:b w:val="0"/>
                <w:bCs w:val="0"/>
                <w:sz w:val="22"/>
              </w:rPr>
            </w:pPr>
            <w:r w:rsidRPr="00C05886">
              <w:rPr>
                <w:sz w:val="22"/>
              </w:rPr>
              <w:t>Childhood outdoors</w:t>
            </w:r>
          </w:p>
          <w:p w14:paraId="00E1B1D1" w14:textId="77777777" w:rsidR="007C6A02" w:rsidRPr="00C05886" w:rsidRDefault="007C6A02" w:rsidP="007C6A02">
            <w:pPr>
              <w:spacing w:line="240" w:lineRule="auto"/>
              <w:jc w:val="right"/>
              <w:rPr>
                <w:b w:val="0"/>
                <w:bCs w:val="0"/>
                <w:sz w:val="22"/>
              </w:rPr>
            </w:pPr>
            <w:r w:rsidRPr="00C05886">
              <w:rPr>
                <w:sz w:val="22"/>
              </w:rPr>
              <w:t>2</w:t>
            </w:r>
          </w:p>
          <w:p w14:paraId="6D6F4D4E" w14:textId="77777777" w:rsidR="007C6A02" w:rsidRPr="00C05886" w:rsidRDefault="007C6A02" w:rsidP="007C6A02">
            <w:pPr>
              <w:spacing w:line="240" w:lineRule="auto"/>
              <w:jc w:val="right"/>
              <w:rPr>
                <w:b w:val="0"/>
                <w:bCs w:val="0"/>
                <w:sz w:val="22"/>
              </w:rPr>
            </w:pPr>
            <w:r w:rsidRPr="00C05886">
              <w:rPr>
                <w:sz w:val="22"/>
              </w:rPr>
              <w:t>3</w:t>
            </w:r>
          </w:p>
          <w:p w14:paraId="44201E16" w14:textId="61F593E2" w:rsidR="007C6A02" w:rsidRPr="00C05886" w:rsidRDefault="007C6A02" w:rsidP="005D7515">
            <w:pPr>
              <w:spacing w:line="240" w:lineRule="auto"/>
              <w:jc w:val="right"/>
              <w:rPr>
                <w:sz w:val="22"/>
              </w:rPr>
            </w:pPr>
            <w:r w:rsidRPr="00C05886">
              <w:rPr>
                <w:sz w:val="22"/>
              </w:rPr>
              <w:t>4</w:t>
            </w:r>
          </w:p>
        </w:tc>
        <w:tc>
          <w:tcPr>
            <w:tcW w:w="1260" w:type="dxa"/>
            <w:tcBorders>
              <w:bottom w:val="single" w:sz="4" w:space="0" w:color="auto"/>
              <w:right w:val="nil"/>
            </w:tcBorders>
          </w:tcPr>
          <w:p w14:paraId="152BB3D5" w14:textId="77777777" w:rsidR="007C6A02" w:rsidRDefault="007C6A02" w:rsidP="00C64930">
            <w:pPr>
              <w:spacing w:line="240" w:lineRule="auto"/>
              <w:jc w:val="center"/>
              <w:cnfStyle w:val="000000000000" w:firstRow="0" w:lastRow="0" w:firstColumn="0" w:lastColumn="0" w:oddVBand="0" w:evenVBand="0" w:oddHBand="0" w:evenHBand="0" w:firstRowFirstColumn="0" w:firstRowLastColumn="0" w:lastRowFirstColumn="0" w:lastRowLastColumn="0"/>
              <w:rPr>
                <w:sz w:val="22"/>
              </w:rPr>
            </w:pPr>
          </w:p>
          <w:p w14:paraId="4BF8E4E9" w14:textId="549A59E8" w:rsidR="000E3C80" w:rsidRDefault="007C6A02" w:rsidP="00C64930">
            <w:pPr>
              <w:spacing w:line="240" w:lineRule="auto"/>
              <w:jc w:val="center"/>
              <w:cnfStyle w:val="000000000000" w:firstRow="0" w:lastRow="0" w:firstColumn="0" w:lastColumn="0" w:oddVBand="0" w:evenVBand="0" w:oddHBand="0" w:evenHBand="0" w:firstRowFirstColumn="0" w:firstRowLastColumn="0" w:lastRowFirstColumn="0" w:lastRowLastColumn="0"/>
              <w:rPr>
                <w:sz w:val="22"/>
              </w:rPr>
            </w:pPr>
            <w:r>
              <w:rPr>
                <w:sz w:val="22"/>
              </w:rPr>
              <w:t>-0.14 (0.5)</w:t>
            </w:r>
          </w:p>
          <w:p w14:paraId="4127260E" w14:textId="77777777" w:rsidR="007C6A02" w:rsidRDefault="007C6A02" w:rsidP="00C64930">
            <w:pPr>
              <w:spacing w:line="240" w:lineRule="auto"/>
              <w:jc w:val="center"/>
              <w:cnfStyle w:val="000000000000" w:firstRow="0" w:lastRow="0" w:firstColumn="0" w:lastColumn="0" w:oddVBand="0" w:evenVBand="0" w:oddHBand="0" w:evenHBand="0" w:firstRowFirstColumn="0" w:firstRowLastColumn="0" w:lastRowFirstColumn="0" w:lastRowLastColumn="0"/>
              <w:rPr>
                <w:sz w:val="22"/>
              </w:rPr>
            </w:pPr>
            <w:r>
              <w:rPr>
                <w:sz w:val="22"/>
              </w:rPr>
              <w:t>0.27 (0.42)</w:t>
            </w:r>
          </w:p>
          <w:p w14:paraId="1F2F16EC" w14:textId="7E42E9AD" w:rsidR="007C6A02" w:rsidRPr="00C05886" w:rsidRDefault="007C6A02" w:rsidP="00C64930">
            <w:pPr>
              <w:spacing w:line="240" w:lineRule="auto"/>
              <w:jc w:val="center"/>
              <w:cnfStyle w:val="000000000000" w:firstRow="0" w:lastRow="0" w:firstColumn="0" w:lastColumn="0" w:oddVBand="0" w:evenVBand="0" w:oddHBand="0" w:evenHBand="0" w:firstRowFirstColumn="0" w:firstRowLastColumn="0" w:lastRowFirstColumn="0" w:lastRowLastColumn="0"/>
              <w:rPr>
                <w:sz w:val="22"/>
              </w:rPr>
            </w:pPr>
            <w:r>
              <w:rPr>
                <w:sz w:val="22"/>
              </w:rPr>
              <w:t>0.8 (0.45)</w:t>
            </w:r>
          </w:p>
        </w:tc>
        <w:tc>
          <w:tcPr>
            <w:tcW w:w="0" w:type="dxa"/>
            <w:tcBorders>
              <w:left w:val="nil"/>
              <w:bottom w:val="single" w:sz="4" w:space="0" w:color="auto"/>
            </w:tcBorders>
          </w:tcPr>
          <w:p w14:paraId="57B8C972" w14:textId="77777777" w:rsidR="007C6A02" w:rsidRDefault="007C6A02" w:rsidP="00C64930">
            <w:pPr>
              <w:spacing w:line="240" w:lineRule="auto"/>
              <w:jc w:val="center"/>
              <w:cnfStyle w:val="000000000000" w:firstRow="0" w:lastRow="0" w:firstColumn="0" w:lastColumn="0" w:oddVBand="0" w:evenVBand="0" w:oddHBand="0" w:evenHBand="0" w:firstRowFirstColumn="0" w:firstRowLastColumn="0" w:lastRowFirstColumn="0" w:lastRowLastColumn="0"/>
              <w:rPr>
                <w:sz w:val="22"/>
              </w:rPr>
            </w:pPr>
          </w:p>
          <w:p w14:paraId="67C57D2C" w14:textId="4077FAB0" w:rsidR="000E3C80" w:rsidRDefault="000E3C80" w:rsidP="00C64930">
            <w:pPr>
              <w:spacing w:line="240" w:lineRule="auto"/>
              <w:jc w:val="center"/>
              <w:cnfStyle w:val="000000000000" w:firstRow="0" w:lastRow="0" w:firstColumn="0" w:lastColumn="0" w:oddVBand="0" w:evenVBand="0" w:oddHBand="0" w:evenHBand="0" w:firstRowFirstColumn="0" w:firstRowLastColumn="0" w:lastRowFirstColumn="0" w:lastRowLastColumn="0"/>
              <w:rPr>
                <w:sz w:val="22"/>
              </w:rPr>
            </w:pPr>
            <w:r w:rsidRPr="00C05886">
              <w:rPr>
                <w:sz w:val="22"/>
              </w:rPr>
              <w:t>0.</w:t>
            </w:r>
            <w:r w:rsidR="007C6A02">
              <w:rPr>
                <w:sz w:val="22"/>
              </w:rPr>
              <w:t>77</w:t>
            </w:r>
          </w:p>
          <w:p w14:paraId="33D8B9DB" w14:textId="77777777" w:rsidR="007C6A02" w:rsidRDefault="007C6A02" w:rsidP="00C64930">
            <w:pPr>
              <w:spacing w:line="240" w:lineRule="auto"/>
              <w:jc w:val="center"/>
              <w:cnfStyle w:val="000000000000" w:firstRow="0" w:lastRow="0" w:firstColumn="0" w:lastColumn="0" w:oddVBand="0" w:evenVBand="0" w:oddHBand="0" w:evenHBand="0" w:firstRowFirstColumn="0" w:firstRowLastColumn="0" w:lastRowFirstColumn="0" w:lastRowLastColumn="0"/>
              <w:rPr>
                <w:sz w:val="22"/>
              </w:rPr>
            </w:pPr>
            <w:r>
              <w:rPr>
                <w:sz w:val="22"/>
              </w:rPr>
              <w:t>0.52</w:t>
            </w:r>
          </w:p>
          <w:p w14:paraId="6C8F28E8" w14:textId="4A7B1A97" w:rsidR="007C6A02" w:rsidRPr="00C05886" w:rsidRDefault="007C6A02" w:rsidP="00C64930">
            <w:pPr>
              <w:spacing w:line="240" w:lineRule="auto"/>
              <w:jc w:val="center"/>
              <w:cnfStyle w:val="000000000000" w:firstRow="0" w:lastRow="0" w:firstColumn="0" w:lastColumn="0" w:oddVBand="0" w:evenVBand="0" w:oddHBand="0" w:evenHBand="0" w:firstRowFirstColumn="0" w:firstRowLastColumn="0" w:lastRowFirstColumn="0" w:lastRowLastColumn="0"/>
              <w:rPr>
                <w:sz w:val="22"/>
              </w:rPr>
            </w:pPr>
            <w:r>
              <w:rPr>
                <w:sz w:val="22"/>
              </w:rPr>
              <w:t>0.07</w:t>
            </w:r>
          </w:p>
        </w:tc>
        <w:tc>
          <w:tcPr>
            <w:tcW w:w="1353" w:type="dxa"/>
            <w:tcBorders>
              <w:bottom w:val="single" w:sz="4" w:space="0" w:color="auto"/>
              <w:right w:val="nil"/>
            </w:tcBorders>
          </w:tcPr>
          <w:p w14:paraId="43EB6257" w14:textId="77777777" w:rsidR="007C6A02" w:rsidRDefault="007C6A02" w:rsidP="00C64930">
            <w:pPr>
              <w:spacing w:line="240" w:lineRule="auto"/>
              <w:jc w:val="center"/>
              <w:cnfStyle w:val="000000000000" w:firstRow="0" w:lastRow="0" w:firstColumn="0" w:lastColumn="0" w:oddVBand="0" w:evenVBand="0" w:oddHBand="0" w:evenHBand="0" w:firstRowFirstColumn="0" w:firstRowLastColumn="0" w:lastRowFirstColumn="0" w:lastRowLastColumn="0"/>
              <w:rPr>
                <w:sz w:val="22"/>
              </w:rPr>
            </w:pPr>
          </w:p>
          <w:p w14:paraId="7C087925" w14:textId="03691A2D" w:rsidR="000E3C80" w:rsidRDefault="003A21F0" w:rsidP="00C64930">
            <w:pPr>
              <w:spacing w:line="240" w:lineRule="auto"/>
              <w:jc w:val="center"/>
              <w:cnfStyle w:val="000000000000" w:firstRow="0" w:lastRow="0" w:firstColumn="0" w:lastColumn="0" w:oddVBand="0" w:evenVBand="0" w:oddHBand="0" w:evenHBand="0" w:firstRowFirstColumn="0" w:firstRowLastColumn="0" w:lastRowFirstColumn="0" w:lastRowLastColumn="0"/>
              <w:rPr>
                <w:sz w:val="22"/>
              </w:rPr>
            </w:pPr>
            <w:r>
              <w:rPr>
                <w:sz w:val="22"/>
              </w:rPr>
              <w:t>-</w:t>
            </w:r>
            <w:r w:rsidR="000E3C80" w:rsidRPr="00C05886">
              <w:rPr>
                <w:sz w:val="22"/>
              </w:rPr>
              <w:t>0.</w:t>
            </w:r>
            <w:r>
              <w:rPr>
                <w:sz w:val="22"/>
              </w:rPr>
              <w:t>08</w:t>
            </w:r>
            <w:r w:rsidRPr="00C05886">
              <w:rPr>
                <w:sz w:val="22"/>
              </w:rPr>
              <w:t xml:space="preserve"> </w:t>
            </w:r>
            <w:r w:rsidR="000E3C80" w:rsidRPr="00C05886">
              <w:rPr>
                <w:sz w:val="22"/>
              </w:rPr>
              <w:t>(0.</w:t>
            </w:r>
            <w:r>
              <w:rPr>
                <w:sz w:val="22"/>
              </w:rPr>
              <w:t>47</w:t>
            </w:r>
            <w:r w:rsidR="000E3C80" w:rsidRPr="00C05886">
              <w:rPr>
                <w:sz w:val="22"/>
              </w:rPr>
              <w:t>)</w:t>
            </w:r>
          </w:p>
          <w:p w14:paraId="36BC5576" w14:textId="7C77F27C" w:rsidR="00023F5E" w:rsidRDefault="003A21F0" w:rsidP="00C64930">
            <w:pPr>
              <w:spacing w:line="240" w:lineRule="auto"/>
              <w:jc w:val="center"/>
              <w:cnfStyle w:val="000000000000" w:firstRow="0" w:lastRow="0" w:firstColumn="0" w:lastColumn="0" w:oddVBand="0" w:evenVBand="0" w:oddHBand="0" w:evenHBand="0" w:firstRowFirstColumn="0" w:firstRowLastColumn="0" w:lastRowFirstColumn="0" w:lastRowLastColumn="0"/>
              <w:rPr>
                <w:sz w:val="22"/>
              </w:rPr>
            </w:pPr>
            <w:r>
              <w:rPr>
                <w:sz w:val="22"/>
              </w:rPr>
              <w:t>-</w:t>
            </w:r>
            <w:r w:rsidR="00023F5E" w:rsidRPr="00C05886">
              <w:rPr>
                <w:sz w:val="22"/>
              </w:rPr>
              <w:t>0.</w:t>
            </w:r>
            <w:r>
              <w:rPr>
                <w:sz w:val="22"/>
              </w:rPr>
              <w:t>11</w:t>
            </w:r>
            <w:r w:rsidR="00023F5E" w:rsidRPr="00C05886">
              <w:rPr>
                <w:sz w:val="22"/>
              </w:rPr>
              <w:t xml:space="preserve"> (0.</w:t>
            </w:r>
            <w:r>
              <w:rPr>
                <w:sz w:val="22"/>
              </w:rPr>
              <w:t>40</w:t>
            </w:r>
            <w:r w:rsidR="00023F5E" w:rsidRPr="00C05886">
              <w:rPr>
                <w:sz w:val="22"/>
              </w:rPr>
              <w:t>)</w:t>
            </w:r>
          </w:p>
          <w:p w14:paraId="4B214FEE" w14:textId="330C1C79" w:rsidR="00023F5E" w:rsidRPr="00C05886" w:rsidRDefault="00023F5E" w:rsidP="00C64930">
            <w:pPr>
              <w:spacing w:line="240" w:lineRule="auto"/>
              <w:jc w:val="center"/>
              <w:cnfStyle w:val="000000000000" w:firstRow="0" w:lastRow="0" w:firstColumn="0" w:lastColumn="0" w:oddVBand="0" w:evenVBand="0" w:oddHBand="0" w:evenHBand="0" w:firstRowFirstColumn="0" w:firstRowLastColumn="0" w:lastRowFirstColumn="0" w:lastRowLastColumn="0"/>
              <w:rPr>
                <w:sz w:val="22"/>
              </w:rPr>
            </w:pPr>
            <w:r w:rsidRPr="00C05886">
              <w:rPr>
                <w:sz w:val="22"/>
              </w:rPr>
              <w:t>0.</w:t>
            </w:r>
            <w:r w:rsidR="003A21F0">
              <w:rPr>
                <w:sz w:val="22"/>
              </w:rPr>
              <w:t xml:space="preserve">54 </w:t>
            </w:r>
            <w:r w:rsidRPr="00C05886">
              <w:rPr>
                <w:sz w:val="22"/>
              </w:rPr>
              <w:t>(0.</w:t>
            </w:r>
            <w:r w:rsidR="003A21F0">
              <w:rPr>
                <w:sz w:val="22"/>
              </w:rPr>
              <w:t>43</w:t>
            </w:r>
            <w:r w:rsidRPr="00C05886">
              <w:rPr>
                <w:sz w:val="22"/>
              </w:rPr>
              <w:t>)</w:t>
            </w:r>
          </w:p>
        </w:tc>
        <w:tc>
          <w:tcPr>
            <w:tcW w:w="1100" w:type="dxa"/>
            <w:tcBorders>
              <w:left w:val="nil"/>
              <w:bottom w:val="single" w:sz="4" w:space="0" w:color="auto"/>
            </w:tcBorders>
          </w:tcPr>
          <w:p w14:paraId="39AA65EA" w14:textId="77777777" w:rsidR="007C6A02" w:rsidRDefault="007C6A02" w:rsidP="00C64930">
            <w:pPr>
              <w:spacing w:line="240" w:lineRule="auto"/>
              <w:jc w:val="center"/>
              <w:cnfStyle w:val="000000000000" w:firstRow="0" w:lastRow="0" w:firstColumn="0" w:lastColumn="0" w:oddVBand="0" w:evenVBand="0" w:oddHBand="0" w:evenHBand="0" w:firstRowFirstColumn="0" w:firstRowLastColumn="0" w:lastRowFirstColumn="0" w:lastRowLastColumn="0"/>
              <w:rPr>
                <w:sz w:val="22"/>
              </w:rPr>
            </w:pPr>
          </w:p>
          <w:p w14:paraId="3C6A925C" w14:textId="721DD7AF" w:rsidR="000E3C80" w:rsidRDefault="000E3C80" w:rsidP="00C64930">
            <w:pPr>
              <w:spacing w:line="240" w:lineRule="auto"/>
              <w:jc w:val="center"/>
              <w:cnfStyle w:val="000000000000" w:firstRow="0" w:lastRow="0" w:firstColumn="0" w:lastColumn="0" w:oddVBand="0" w:evenVBand="0" w:oddHBand="0" w:evenHBand="0" w:firstRowFirstColumn="0" w:firstRowLastColumn="0" w:lastRowFirstColumn="0" w:lastRowLastColumn="0"/>
              <w:rPr>
                <w:sz w:val="22"/>
              </w:rPr>
            </w:pPr>
            <w:r w:rsidRPr="00C05886">
              <w:rPr>
                <w:sz w:val="22"/>
              </w:rPr>
              <w:t>0.</w:t>
            </w:r>
            <w:r w:rsidR="003A21F0">
              <w:rPr>
                <w:sz w:val="22"/>
              </w:rPr>
              <w:t>86</w:t>
            </w:r>
          </w:p>
          <w:p w14:paraId="15B699F9" w14:textId="56FA3164" w:rsidR="00023F5E" w:rsidRDefault="00023F5E" w:rsidP="00C64930">
            <w:pPr>
              <w:spacing w:line="240" w:lineRule="auto"/>
              <w:jc w:val="center"/>
              <w:cnfStyle w:val="000000000000" w:firstRow="0" w:lastRow="0" w:firstColumn="0" w:lastColumn="0" w:oddVBand="0" w:evenVBand="0" w:oddHBand="0" w:evenHBand="0" w:firstRowFirstColumn="0" w:firstRowLastColumn="0" w:lastRowFirstColumn="0" w:lastRowLastColumn="0"/>
              <w:rPr>
                <w:sz w:val="22"/>
              </w:rPr>
            </w:pPr>
            <w:r w:rsidRPr="00C05886">
              <w:rPr>
                <w:sz w:val="22"/>
              </w:rPr>
              <w:t>0.</w:t>
            </w:r>
            <w:r w:rsidR="003A21F0">
              <w:rPr>
                <w:sz w:val="22"/>
              </w:rPr>
              <w:t>77</w:t>
            </w:r>
          </w:p>
          <w:p w14:paraId="58043CD8" w14:textId="7C4D16C7" w:rsidR="00023F5E" w:rsidRPr="00C05886" w:rsidRDefault="00023F5E" w:rsidP="00C64930">
            <w:pPr>
              <w:spacing w:line="240" w:lineRule="auto"/>
              <w:jc w:val="center"/>
              <w:cnfStyle w:val="000000000000" w:firstRow="0" w:lastRow="0" w:firstColumn="0" w:lastColumn="0" w:oddVBand="0" w:evenVBand="0" w:oddHBand="0" w:evenHBand="0" w:firstRowFirstColumn="0" w:firstRowLastColumn="0" w:lastRowFirstColumn="0" w:lastRowLastColumn="0"/>
              <w:rPr>
                <w:sz w:val="22"/>
              </w:rPr>
            </w:pPr>
            <w:r w:rsidRPr="00C05886">
              <w:rPr>
                <w:sz w:val="22"/>
              </w:rPr>
              <w:t>0.</w:t>
            </w:r>
            <w:r w:rsidR="003A21F0">
              <w:rPr>
                <w:sz w:val="22"/>
              </w:rPr>
              <w:t>21</w:t>
            </w:r>
          </w:p>
        </w:tc>
        <w:tc>
          <w:tcPr>
            <w:tcW w:w="1452" w:type="dxa"/>
            <w:tcBorders>
              <w:bottom w:val="single" w:sz="4" w:space="0" w:color="auto"/>
              <w:right w:val="nil"/>
            </w:tcBorders>
          </w:tcPr>
          <w:p w14:paraId="0C01D7AA" w14:textId="77777777" w:rsidR="007C6A02" w:rsidRDefault="007C6A02" w:rsidP="00C64930">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rPr>
            </w:pPr>
          </w:p>
          <w:p w14:paraId="26E8C17F" w14:textId="7DE83C46" w:rsidR="000E3C80" w:rsidRDefault="000F1DC5" w:rsidP="00C64930">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rPr>
            </w:pPr>
            <w:r>
              <w:rPr>
                <w:rFonts w:ascii="Calibri" w:hAnsi="Calibri" w:cs="Calibri"/>
                <w:color w:val="000000"/>
                <w:sz w:val="22"/>
              </w:rPr>
              <w:t>-</w:t>
            </w:r>
            <w:r w:rsidR="000E3C80" w:rsidRPr="00C05886">
              <w:rPr>
                <w:rFonts w:ascii="Calibri" w:hAnsi="Calibri" w:cs="Calibri"/>
                <w:color w:val="000000"/>
                <w:sz w:val="22"/>
              </w:rPr>
              <w:t>0.</w:t>
            </w:r>
            <w:r>
              <w:rPr>
                <w:rFonts w:ascii="Calibri" w:hAnsi="Calibri" w:cs="Calibri"/>
                <w:color w:val="000000"/>
                <w:sz w:val="22"/>
              </w:rPr>
              <w:t>07</w:t>
            </w:r>
            <w:r w:rsidRPr="00C05886">
              <w:rPr>
                <w:rFonts w:ascii="Calibri" w:hAnsi="Calibri" w:cs="Calibri"/>
                <w:color w:val="000000"/>
                <w:sz w:val="22"/>
              </w:rPr>
              <w:t xml:space="preserve"> </w:t>
            </w:r>
            <w:r w:rsidR="000E3C80" w:rsidRPr="00C05886">
              <w:rPr>
                <w:rFonts w:ascii="Calibri" w:hAnsi="Calibri" w:cs="Calibri"/>
                <w:color w:val="000000"/>
                <w:sz w:val="22"/>
              </w:rPr>
              <w:t>(0.24)</w:t>
            </w:r>
          </w:p>
          <w:p w14:paraId="4BEF6F5E" w14:textId="3C81BAA9" w:rsidR="003A21F0" w:rsidRDefault="000F1DC5" w:rsidP="00C64930">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rPr>
            </w:pPr>
            <w:r>
              <w:rPr>
                <w:rFonts w:ascii="Calibri" w:hAnsi="Calibri" w:cs="Calibri"/>
                <w:color w:val="000000"/>
                <w:sz w:val="22"/>
              </w:rPr>
              <w:t>-</w:t>
            </w:r>
            <w:r w:rsidR="003A21F0" w:rsidRPr="00C05886">
              <w:rPr>
                <w:rFonts w:ascii="Calibri" w:hAnsi="Calibri" w:cs="Calibri"/>
                <w:color w:val="000000"/>
                <w:sz w:val="22"/>
              </w:rPr>
              <w:t>0.</w:t>
            </w:r>
            <w:r>
              <w:rPr>
                <w:rFonts w:ascii="Calibri" w:hAnsi="Calibri" w:cs="Calibri"/>
                <w:color w:val="000000"/>
                <w:sz w:val="22"/>
              </w:rPr>
              <w:t>09</w:t>
            </w:r>
            <w:r w:rsidR="003A21F0" w:rsidRPr="00C05886">
              <w:rPr>
                <w:rFonts w:ascii="Calibri" w:hAnsi="Calibri" w:cs="Calibri"/>
                <w:color w:val="000000"/>
                <w:sz w:val="22"/>
              </w:rPr>
              <w:t xml:space="preserve"> (0.24)</w:t>
            </w:r>
          </w:p>
          <w:p w14:paraId="359F0D13" w14:textId="2AACA143" w:rsidR="003A21F0" w:rsidRPr="00C05886" w:rsidRDefault="003A21F0" w:rsidP="00C64930">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rPr>
            </w:pPr>
            <w:r w:rsidRPr="00C05886">
              <w:rPr>
                <w:rFonts w:ascii="Calibri" w:hAnsi="Calibri" w:cs="Calibri"/>
                <w:color w:val="000000"/>
                <w:sz w:val="22"/>
              </w:rPr>
              <w:t>0.</w:t>
            </w:r>
            <w:r w:rsidR="000F1DC5">
              <w:rPr>
                <w:rFonts w:ascii="Calibri" w:hAnsi="Calibri" w:cs="Calibri"/>
                <w:color w:val="000000"/>
                <w:sz w:val="22"/>
              </w:rPr>
              <w:t>56</w:t>
            </w:r>
            <w:r w:rsidRPr="00C05886">
              <w:rPr>
                <w:rFonts w:ascii="Calibri" w:hAnsi="Calibri" w:cs="Calibri"/>
                <w:color w:val="000000"/>
                <w:sz w:val="22"/>
              </w:rPr>
              <w:t xml:space="preserve"> (0.24)</w:t>
            </w:r>
          </w:p>
        </w:tc>
        <w:tc>
          <w:tcPr>
            <w:tcW w:w="1219" w:type="dxa"/>
            <w:tcBorders>
              <w:left w:val="nil"/>
              <w:bottom w:val="single" w:sz="4" w:space="0" w:color="auto"/>
            </w:tcBorders>
          </w:tcPr>
          <w:p w14:paraId="55326B6E" w14:textId="77777777" w:rsidR="007C6A02" w:rsidRDefault="007C6A02" w:rsidP="00C64930">
            <w:pPr>
              <w:spacing w:line="240" w:lineRule="auto"/>
              <w:jc w:val="center"/>
              <w:cnfStyle w:val="000000000000" w:firstRow="0" w:lastRow="0" w:firstColumn="0" w:lastColumn="0" w:oddVBand="0" w:evenVBand="0" w:oddHBand="0" w:evenHBand="0" w:firstRowFirstColumn="0" w:firstRowLastColumn="0" w:lastRowFirstColumn="0" w:lastRowLastColumn="0"/>
              <w:rPr>
                <w:sz w:val="22"/>
              </w:rPr>
            </w:pPr>
          </w:p>
          <w:p w14:paraId="68153347" w14:textId="515D3241" w:rsidR="000E3C80" w:rsidRDefault="000E3C80" w:rsidP="00C64930">
            <w:pPr>
              <w:spacing w:line="240" w:lineRule="auto"/>
              <w:jc w:val="center"/>
              <w:cnfStyle w:val="000000000000" w:firstRow="0" w:lastRow="0" w:firstColumn="0" w:lastColumn="0" w:oddVBand="0" w:evenVBand="0" w:oddHBand="0" w:evenHBand="0" w:firstRowFirstColumn="0" w:firstRowLastColumn="0" w:lastRowFirstColumn="0" w:lastRowLastColumn="0"/>
              <w:rPr>
                <w:sz w:val="22"/>
              </w:rPr>
            </w:pPr>
            <w:r w:rsidRPr="00C05886">
              <w:rPr>
                <w:sz w:val="22"/>
              </w:rPr>
              <w:t>0.</w:t>
            </w:r>
            <w:r w:rsidR="000F1DC5">
              <w:rPr>
                <w:sz w:val="22"/>
              </w:rPr>
              <w:t>89</w:t>
            </w:r>
          </w:p>
          <w:p w14:paraId="033E33A1" w14:textId="77DB8C43" w:rsidR="003A21F0" w:rsidRDefault="003A21F0" w:rsidP="00C64930">
            <w:pPr>
              <w:spacing w:line="240" w:lineRule="auto"/>
              <w:jc w:val="center"/>
              <w:cnfStyle w:val="000000000000" w:firstRow="0" w:lastRow="0" w:firstColumn="0" w:lastColumn="0" w:oddVBand="0" w:evenVBand="0" w:oddHBand="0" w:evenHBand="0" w:firstRowFirstColumn="0" w:firstRowLastColumn="0" w:lastRowFirstColumn="0" w:lastRowLastColumn="0"/>
              <w:rPr>
                <w:sz w:val="22"/>
              </w:rPr>
            </w:pPr>
            <w:r w:rsidRPr="00C05886">
              <w:rPr>
                <w:sz w:val="22"/>
              </w:rPr>
              <w:t>0.</w:t>
            </w:r>
            <w:r w:rsidR="000F1DC5">
              <w:rPr>
                <w:sz w:val="22"/>
              </w:rPr>
              <w:t>81</w:t>
            </w:r>
          </w:p>
          <w:p w14:paraId="31C56D3E" w14:textId="4A9B27C1" w:rsidR="003A21F0" w:rsidRPr="00C05886" w:rsidRDefault="003A21F0" w:rsidP="00C64930">
            <w:pPr>
              <w:spacing w:line="240" w:lineRule="auto"/>
              <w:jc w:val="center"/>
              <w:cnfStyle w:val="000000000000" w:firstRow="0" w:lastRow="0" w:firstColumn="0" w:lastColumn="0" w:oddVBand="0" w:evenVBand="0" w:oddHBand="0" w:evenHBand="0" w:firstRowFirstColumn="0" w:firstRowLastColumn="0" w:lastRowFirstColumn="0" w:lastRowLastColumn="0"/>
              <w:rPr>
                <w:sz w:val="22"/>
              </w:rPr>
            </w:pPr>
            <w:r w:rsidRPr="00C05886">
              <w:rPr>
                <w:sz w:val="22"/>
              </w:rPr>
              <w:t>0.</w:t>
            </w:r>
            <w:r w:rsidR="000F1DC5">
              <w:rPr>
                <w:sz w:val="22"/>
              </w:rPr>
              <w:t>19</w:t>
            </w:r>
          </w:p>
        </w:tc>
      </w:tr>
      <w:tr w:rsidR="00FD000F" w:rsidRPr="00C05886" w14:paraId="303CC566" w14:textId="77777777" w:rsidTr="00A76BBB">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2258" w:type="dxa"/>
            <w:tcBorders>
              <w:bottom w:val="single" w:sz="4" w:space="0" w:color="auto"/>
            </w:tcBorders>
          </w:tcPr>
          <w:p w14:paraId="60A3B0DD" w14:textId="77777777" w:rsidR="000E3C80" w:rsidRPr="00C05886" w:rsidRDefault="000E3C80" w:rsidP="00C64930">
            <w:pPr>
              <w:spacing w:line="240" w:lineRule="auto"/>
              <w:rPr>
                <w:b w:val="0"/>
                <w:bCs w:val="0"/>
                <w:sz w:val="22"/>
              </w:rPr>
            </w:pPr>
            <w:r w:rsidRPr="00C05886">
              <w:rPr>
                <w:sz w:val="22"/>
              </w:rPr>
              <w:t>Past year outdoors</w:t>
            </w:r>
          </w:p>
          <w:p w14:paraId="02C50A72" w14:textId="77777777" w:rsidR="000E3C80" w:rsidRPr="00C05886" w:rsidRDefault="000E3C80" w:rsidP="00C64930">
            <w:pPr>
              <w:spacing w:line="240" w:lineRule="auto"/>
              <w:jc w:val="right"/>
              <w:rPr>
                <w:b w:val="0"/>
                <w:bCs w:val="0"/>
                <w:sz w:val="22"/>
              </w:rPr>
            </w:pPr>
            <w:r w:rsidRPr="00C05886">
              <w:rPr>
                <w:sz w:val="22"/>
              </w:rPr>
              <w:t>2</w:t>
            </w:r>
          </w:p>
          <w:p w14:paraId="5C2E6A10" w14:textId="77777777" w:rsidR="000E3C80" w:rsidRPr="00C05886" w:rsidRDefault="000E3C80" w:rsidP="00C64930">
            <w:pPr>
              <w:spacing w:line="240" w:lineRule="auto"/>
              <w:jc w:val="right"/>
              <w:rPr>
                <w:b w:val="0"/>
                <w:bCs w:val="0"/>
                <w:sz w:val="22"/>
              </w:rPr>
            </w:pPr>
            <w:r w:rsidRPr="00C05886">
              <w:rPr>
                <w:sz w:val="22"/>
              </w:rPr>
              <w:t>3</w:t>
            </w:r>
          </w:p>
          <w:p w14:paraId="7BA7DFEC" w14:textId="77777777" w:rsidR="000E3C80" w:rsidRPr="00C05886" w:rsidRDefault="000E3C80" w:rsidP="00C64930">
            <w:pPr>
              <w:spacing w:line="240" w:lineRule="auto"/>
              <w:jc w:val="right"/>
              <w:rPr>
                <w:sz w:val="22"/>
              </w:rPr>
            </w:pPr>
            <w:r w:rsidRPr="00C05886">
              <w:rPr>
                <w:sz w:val="22"/>
              </w:rPr>
              <w:t>4</w:t>
            </w:r>
          </w:p>
        </w:tc>
        <w:tc>
          <w:tcPr>
            <w:tcW w:w="1260" w:type="dxa"/>
            <w:tcBorders>
              <w:bottom w:val="single" w:sz="4" w:space="0" w:color="auto"/>
              <w:right w:val="nil"/>
            </w:tcBorders>
          </w:tcPr>
          <w:p w14:paraId="72465818" w14:textId="77777777" w:rsidR="000E3C80" w:rsidRPr="00C05886" w:rsidRDefault="000E3C80" w:rsidP="00C64930">
            <w:pPr>
              <w:spacing w:line="240" w:lineRule="auto"/>
              <w:jc w:val="center"/>
              <w:cnfStyle w:val="000000100000" w:firstRow="0" w:lastRow="0" w:firstColumn="0" w:lastColumn="0" w:oddVBand="0" w:evenVBand="0" w:oddHBand="1" w:evenHBand="0" w:firstRowFirstColumn="0" w:firstRowLastColumn="0" w:lastRowFirstColumn="0" w:lastRowLastColumn="0"/>
              <w:rPr>
                <w:sz w:val="22"/>
              </w:rPr>
            </w:pPr>
          </w:p>
          <w:p w14:paraId="0FAE7833" w14:textId="7F5DC5F2" w:rsidR="000E3C80" w:rsidRPr="00C05886" w:rsidRDefault="000E3C80" w:rsidP="00C64930">
            <w:pPr>
              <w:spacing w:line="240" w:lineRule="auto"/>
              <w:jc w:val="center"/>
              <w:cnfStyle w:val="000000100000" w:firstRow="0" w:lastRow="0" w:firstColumn="0" w:lastColumn="0" w:oddVBand="0" w:evenVBand="0" w:oddHBand="1" w:evenHBand="0" w:firstRowFirstColumn="0" w:firstRowLastColumn="0" w:lastRowFirstColumn="0" w:lastRowLastColumn="0"/>
              <w:rPr>
                <w:sz w:val="22"/>
              </w:rPr>
            </w:pPr>
            <w:r w:rsidRPr="00C05886">
              <w:rPr>
                <w:sz w:val="22"/>
              </w:rPr>
              <w:t>0.</w:t>
            </w:r>
            <w:r w:rsidR="007C6A02">
              <w:rPr>
                <w:sz w:val="22"/>
              </w:rPr>
              <w:t>08 (0.37)</w:t>
            </w:r>
          </w:p>
          <w:p w14:paraId="3345EA29" w14:textId="4B7FC90D" w:rsidR="000E3C80" w:rsidRPr="00C05886" w:rsidRDefault="000E3C80" w:rsidP="00C64930">
            <w:pPr>
              <w:spacing w:line="240" w:lineRule="auto"/>
              <w:jc w:val="center"/>
              <w:cnfStyle w:val="000000100000" w:firstRow="0" w:lastRow="0" w:firstColumn="0" w:lastColumn="0" w:oddVBand="0" w:evenVBand="0" w:oddHBand="1" w:evenHBand="0" w:firstRowFirstColumn="0" w:firstRowLastColumn="0" w:lastRowFirstColumn="0" w:lastRowLastColumn="0"/>
              <w:rPr>
                <w:sz w:val="22"/>
              </w:rPr>
            </w:pPr>
            <w:r w:rsidRPr="00C05886">
              <w:rPr>
                <w:sz w:val="22"/>
              </w:rPr>
              <w:t>0.</w:t>
            </w:r>
            <w:r w:rsidR="007C6A02">
              <w:rPr>
                <w:sz w:val="22"/>
              </w:rPr>
              <w:t>16 (0.42)</w:t>
            </w:r>
          </w:p>
          <w:p w14:paraId="1C34F220" w14:textId="0050E68C" w:rsidR="000E3C80" w:rsidRPr="00C05886" w:rsidRDefault="000E3C80" w:rsidP="00C64930">
            <w:pPr>
              <w:spacing w:line="240" w:lineRule="auto"/>
              <w:jc w:val="center"/>
              <w:cnfStyle w:val="000000100000" w:firstRow="0" w:lastRow="0" w:firstColumn="0" w:lastColumn="0" w:oddVBand="0" w:evenVBand="0" w:oddHBand="1" w:evenHBand="0" w:firstRowFirstColumn="0" w:firstRowLastColumn="0" w:lastRowFirstColumn="0" w:lastRowLastColumn="0"/>
              <w:rPr>
                <w:sz w:val="22"/>
              </w:rPr>
            </w:pPr>
            <w:r w:rsidRPr="00C05886">
              <w:rPr>
                <w:sz w:val="22"/>
              </w:rPr>
              <w:t>-0.</w:t>
            </w:r>
            <w:r w:rsidR="007C6A02">
              <w:rPr>
                <w:sz w:val="22"/>
              </w:rPr>
              <w:t>12 (0.4)</w:t>
            </w:r>
          </w:p>
        </w:tc>
        <w:tc>
          <w:tcPr>
            <w:tcW w:w="941" w:type="dxa"/>
            <w:tcBorders>
              <w:left w:val="nil"/>
              <w:bottom w:val="single" w:sz="4" w:space="0" w:color="auto"/>
            </w:tcBorders>
          </w:tcPr>
          <w:p w14:paraId="36397730" w14:textId="77777777" w:rsidR="000E3C80" w:rsidRPr="00C05886" w:rsidRDefault="000E3C80" w:rsidP="00C64930">
            <w:pPr>
              <w:spacing w:line="240" w:lineRule="auto"/>
              <w:jc w:val="center"/>
              <w:cnfStyle w:val="000000100000" w:firstRow="0" w:lastRow="0" w:firstColumn="0" w:lastColumn="0" w:oddVBand="0" w:evenVBand="0" w:oddHBand="1" w:evenHBand="0" w:firstRowFirstColumn="0" w:firstRowLastColumn="0" w:lastRowFirstColumn="0" w:lastRowLastColumn="0"/>
              <w:rPr>
                <w:sz w:val="22"/>
              </w:rPr>
            </w:pPr>
          </w:p>
          <w:p w14:paraId="559E43CE" w14:textId="3AA92EC6" w:rsidR="000E3C80" w:rsidRPr="00C05886" w:rsidRDefault="007C6A02" w:rsidP="00C64930">
            <w:pPr>
              <w:spacing w:line="240" w:lineRule="auto"/>
              <w:jc w:val="center"/>
              <w:cnfStyle w:val="000000100000" w:firstRow="0" w:lastRow="0" w:firstColumn="0" w:lastColumn="0" w:oddVBand="0" w:evenVBand="0" w:oddHBand="1" w:evenHBand="0" w:firstRowFirstColumn="0" w:firstRowLastColumn="0" w:lastRowFirstColumn="0" w:lastRowLastColumn="0"/>
              <w:rPr>
                <w:sz w:val="22"/>
              </w:rPr>
            </w:pPr>
            <w:r>
              <w:rPr>
                <w:sz w:val="22"/>
              </w:rPr>
              <w:t>0.83</w:t>
            </w:r>
          </w:p>
          <w:p w14:paraId="339C07BC" w14:textId="07743854" w:rsidR="000E3C80" w:rsidRPr="00C05886" w:rsidRDefault="000E3C80" w:rsidP="00C64930">
            <w:pPr>
              <w:spacing w:line="240" w:lineRule="auto"/>
              <w:jc w:val="center"/>
              <w:cnfStyle w:val="000000100000" w:firstRow="0" w:lastRow="0" w:firstColumn="0" w:lastColumn="0" w:oddVBand="0" w:evenVBand="0" w:oddHBand="1" w:evenHBand="0" w:firstRowFirstColumn="0" w:firstRowLastColumn="0" w:lastRowFirstColumn="0" w:lastRowLastColumn="0"/>
              <w:rPr>
                <w:sz w:val="22"/>
              </w:rPr>
            </w:pPr>
            <w:r w:rsidRPr="00C05886">
              <w:rPr>
                <w:sz w:val="22"/>
              </w:rPr>
              <w:t>0.</w:t>
            </w:r>
            <w:r w:rsidR="007C6A02">
              <w:rPr>
                <w:sz w:val="22"/>
              </w:rPr>
              <w:t>6</w:t>
            </w:r>
          </w:p>
          <w:p w14:paraId="03E17F3B" w14:textId="10A19A94" w:rsidR="000E3C80" w:rsidRPr="00C05886" w:rsidRDefault="000E3C80" w:rsidP="00C64930">
            <w:pPr>
              <w:spacing w:line="240" w:lineRule="auto"/>
              <w:jc w:val="center"/>
              <w:cnfStyle w:val="000000100000" w:firstRow="0" w:lastRow="0" w:firstColumn="0" w:lastColumn="0" w:oddVBand="0" w:evenVBand="0" w:oddHBand="1" w:evenHBand="0" w:firstRowFirstColumn="0" w:firstRowLastColumn="0" w:lastRowFirstColumn="0" w:lastRowLastColumn="0"/>
              <w:rPr>
                <w:sz w:val="22"/>
              </w:rPr>
            </w:pPr>
            <w:r w:rsidRPr="00C05886">
              <w:rPr>
                <w:sz w:val="22"/>
              </w:rPr>
              <w:t>0.</w:t>
            </w:r>
            <w:r w:rsidR="007C6A02">
              <w:rPr>
                <w:sz w:val="22"/>
              </w:rPr>
              <w:t>75</w:t>
            </w:r>
          </w:p>
        </w:tc>
        <w:tc>
          <w:tcPr>
            <w:tcW w:w="1353" w:type="dxa"/>
            <w:tcBorders>
              <w:bottom w:val="single" w:sz="4" w:space="0" w:color="auto"/>
              <w:right w:val="nil"/>
            </w:tcBorders>
          </w:tcPr>
          <w:p w14:paraId="7CDABC4B" w14:textId="77777777" w:rsidR="000E3C80" w:rsidRPr="00C05886" w:rsidRDefault="000E3C80" w:rsidP="00C64930">
            <w:pPr>
              <w:spacing w:line="240" w:lineRule="auto"/>
              <w:jc w:val="center"/>
              <w:cnfStyle w:val="000000100000" w:firstRow="0" w:lastRow="0" w:firstColumn="0" w:lastColumn="0" w:oddVBand="0" w:evenVBand="0" w:oddHBand="1" w:evenHBand="0" w:firstRowFirstColumn="0" w:firstRowLastColumn="0" w:lastRowFirstColumn="0" w:lastRowLastColumn="0"/>
              <w:rPr>
                <w:sz w:val="22"/>
              </w:rPr>
            </w:pPr>
          </w:p>
          <w:p w14:paraId="6E767C7C" w14:textId="77777777" w:rsidR="000E3C80" w:rsidRPr="00C05886" w:rsidRDefault="000E3C80" w:rsidP="00C64930">
            <w:pPr>
              <w:spacing w:line="240" w:lineRule="auto"/>
              <w:jc w:val="center"/>
              <w:cnfStyle w:val="000000100000" w:firstRow="0" w:lastRow="0" w:firstColumn="0" w:lastColumn="0" w:oddVBand="0" w:evenVBand="0" w:oddHBand="1" w:evenHBand="0" w:firstRowFirstColumn="0" w:firstRowLastColumn="0" w:lastRowFirstColumn="0" w:lastRowLastColumn="0"/>
              <w:rPr>
                <w:sz w:val="22"/>
              </w:rPr>
            </w:pPr>
            <w:r w:rsidRPr="00C05886">
              <w:rPr>
                <w:sz w:val="22"/>
              </w:rPr>
              <w:t>0.36 (0.37)</w:t>
            </w:r>
          </w:p>
          <w:p w14:paraId="529288F9" w14:textId="77777777" w:rsidR="000E3C80" w:rsidRPr="00C05886" w:rsidRDefault="000E3C80" w:rsidP="00C64930">
            <w:pPr>
              <w:spacing w:line="240" w:lineRule="auto"/>
              <w:jc w:val="center"/>
              <w:cnfStyle w:val="000000100000" w:firstRow="0" w:lastRow="0" w:firstColumn="0" w:lastColumn="0" w:oddVBand="0" w:evenVBand="0" w:oddHBand="1" w:evenHBand="0" w:firstRowFirstColumn="0" w:firstRowLastColumn="0" w:lastRowFirstColumn="0" w:lastRowLastColumn="0"/>
              <w:rPr>
                <w:sz w:val="22"/>
              </w:rPr>
            </w:pPr>
            <w:r w:rsidRPr="00C05886">
              <w:rPr>
                <w:sz w:val="22"/>
              </w:rPr>
              <w:t>0.09 (0.3)</w:t>
            </w:r>
          </w:p>
          <w:p w14:paraId="5A9D8FE6" w14:textId="669C5020" w:rsidR="000E3C80" w:rsidRPr="00C05886" w:rsidRDefault="000E3C80" w:rsidP="00C64930">
            <w:pPr>
              <w:spacing w:line="240" w:lineRule="auto"/>
              <w:jc w:val="center"/>
              <w:cnfStyle w:val="000000100000" w:firstRow="0" w:lastRow="0" w:firstColumn="0" w:lastColumn="0" w:oddVBand="0" w:evenVBand="0" w:oddHBand="1" w:evenHBand="0" w:firstRowFirstColumn="0" w:firstRowLastColumn="0" w:lastRowFirstColumn="0" w:lastRowLastColumn="0"/>
              <w:rPr>
                <w:sz w:val="22"/>
              </w:rPr>
            </w:pPr>
            <w:r w:rsidRPr="00C05886">
              <w:rPr>
                <w:sz w:val="22"/>
              </w:rPr>
              <w:t>0.</w:t>
            </w:r>
            <w:r w:rsidR="003A21F0" w:rsidRPr="00C05886">
              <w:rPr>
                <w:sz w:val="22"/>
              </w:rPr>
              <w:t>0</w:t>
            </w:r>
            <w:r w:rsidR="003A21F0">
              <w:rPr>
                <w:sz w:val="22"/>
              </w:rPr>
              <w:t>9</w:t>
            </w:r>
            <w:r w:rsidR="003A21F0" w:rsidRPr="00C05886">
              <w:rPr>
                <w:sz w:val="22"/>
              </w:rPr>
              <w:t xml:space="preserve"> </w:t>
            </w:r>
            <w:r w:rsidRPr="00C05886">
              <w:rPr>
                <w:sz w:val="22"/>
              </w:rPr>
              <w:t>(0.</w:t>
            </w:r>
            <w:r w:rsidR="003A21F0" w:rsidRPr="00C05886">
              <w:rPr>
                <w:sz w:val="22"/>
              </w:rPr>
              <w:t>3</w:t>
            </w:r>
            <w:r w:rsidR="003A21F0">
              <w:rPr>
                <w:sz w:val="22"/>
              </w:rPr>
              <w:t>9</w:t>
            </w:r>
            <w:r w:rsidRPr="00C05886">
              <w:rPr>
                <w:sz w:val="22"/>
              </w:rPr>
              <w:t>)</w:t>
            </w:r>
          </w:p>
        </w:tc>
        <w:tc>
          <w:tcPr>
            <w:tcW w:w="1100" w:type="dxa"/>
            <w:tcBorders>
              <w:left w:val="nil"/>
              <w:bottom w:val="single" w:sz="4" w:space="0" w:color="auto"/>
            </w:tcBorders>
          </w:tcPr>
          <w:p w14:paraId="69A6436B" w14:textId="77777777" w:rsidR="000E3C80" w:rsidRPr="00C05886" w:rsidRDefault="000E3C80" w:rsidP="00C64930">
            <w:pPr>
              <w:spacing w:line="240" w:lineRule="auto"/>
              <w:jc w:val="center"/>
              <w:cnfStyle w:val="000000100000" w:firstRow="0" w:lastRow="0" w:firstColumn="0" w:lastColumn="0" w:oddVBand="0" w:evenVBand="0" w:oddHBand="1" w:evenHBand="0" w:firstRowFirstColumn="0" w:firstRowLastColumn="0" w:lastRowFirstColumn="0" w:lastRowLastColumn="0"/>
              <w:rPr>
                <w:sz w:val="22"/>
              </w:rPr>
            </w:pPr>
          </w:p>
          <w:p w14:paraId="2A754A0C" w14:textId="77777777" w:rsidR="000E3C80" w:rsidRPr="00C05886" w:rsidRDefault="000E3C80" w:rsidP="00C64930">
            <w:pPr>
              <w:spacing w:line="240" w:lineRule="auto"/>
              <w:jc w:val="center"/>
              <w:cnfStyle w:val="000000100000" w:firstRow="0" w:lastRow="0" w:firstColumn="0" w:lastColumn="0" w:oddVBand="0" w:evenVBand="0" w:oddHBand="1" w:evenHBand="0" w:firstRowFirstColumn="0" w:firstRowLastColumn="0" w:lastRowFirstColumn="0" w:lastRowLastColumn="0"/>
              <w:rPr>
                <w:sz w:val="22"/>
              </w:rPr>
            </w:pPr>
            <w:r w:rsidRPr="00C05886">
              <w:rPr>
                <w:sz w:val="22"/>
              </w:rPr>
              <w:t>0.33</w:t>
            </w:r>
          </w:p>
          <w:p w14:paraId="70A67098" w14:textId="15BAD17D" w:rsidR="000E3C80" w:rsidRPr="00C05886" w:rsidRDefault="000E3C80" w:rsidP="00C64930">
            <w:pPr>
              <w:spacing w:line="240" w:lineRule="auto"/>
              <w:jc w:val="center"/>
              <w:cnfStyle w:val="000000100000" w:firstRow="0" w:lastRow="0" w:firstColumn="0" w:lastColumn="0" w:oddVBand="0" w:evenVBand="0" w:oddHBand="1" w:evenHBand="0" w:firstRowFirstColumn="0" w:firstRowLastColumn="0" w:lastRowFirstColumn="0" w:lastRowLastColumn="0"/>
              <w:rPr>
                <w:sz w:val="22"/>
              </w:rPr>
            </w:pPr>
            <w:r w:rsidRPr="00C05886">
              <w:rPr>
                <w:sz w:val="22"/>
              </w:rPr>
              <w:t>0.</w:t>
            </w:r>
            <w:r w:rsidR="003A21F0" w:rsidRPr="00C05886">
              <w:rPr>
                <w:sz w:val="22"/>
              </w:rPr>
              <w:t>7</w:t>
            </w:r>
            <w:r w:rsidR="003A21F0">
              <w:rPr>
                <w:sz w:val="22"/>
              </w:rPr>
              <w:t>5</w:t>
            </w:r>
          </w:p>
          <w:p w14:paraId="3C3A66F0" w14:textId="3B037789" w:rsidR="000E3C80" w:rsidRPr="00C05886" w:rsidRDefault="000E3C80" w:rsidP="00C64930">
            <w:pPr>
              <w:spacing w:line="240" w:lineRule="auto"/>
              <w:jc w:val="center"/>
              <w:cnfStyle w:val="000000100000" w:firstRow="0" w:lastRow="0" w:firstColumn="0" w:lastColumn="0" w:oddVBand="0" w:evenVBand="0" w:oddHBand="1" w:evenHBand="0" w:firstRowFirstColumn="0" w:firstRowLastColumn="0" w:lastRowFirstColumn="0" w:lastRowLastColumn="0"/>
              <w:rPr>
                <w:sz w:val="22"/>
              </w:rPr>
            </w:pPr>
            <w:r w:rsidRPr="00C05886">
              <w:rPr>
                <w:sz w:val="22"/>
              </w:rPr>
              <w:t>0.</w:t>
            </w:r>
            <w:r w:rsidR="003A21F0" w:rsidRPr="00C05886">
              <w:rPr>
                <w:sz w:val="22"/>
              </w:rPr>
              <w:t>8</w:t>
            </w:r>
            <w:r w:rsidR="003A21F0">
              <w:rPr>
                <w:sz w:val="22"/>
              </w:rPr>
              <w:t>6</w:t>
            </w:r>
          </w:p>
        </w:tc>
        <w:tc>
          <w:tcPr>
            <w:tcW w:w="1452" w:type="dxa"/>
            <w:tcBorders>
              <w:bottom w:val="single" w:sz="4" w:space="0" w:color="auto"/>
              <w:right w:val="nil"/>
            </w:tcBorders>
          </w:tcPr>
          <w:p w14:paraId="278BD86F" w14:textId="77777777" w:rsidR="000E3C80" w:rsidRPr="00C05886" w:rsidRDefault="000E3C80" w:rsidP="00C64930">
            <w:pPr>
              <w:spacing w:line="240" w:lineRule="auto"/>
              <w:jc w:val="center"/>
              <w:cnfStyle w:val="000000100000" w:firstRow="0" w:lastRow="0" w:firstColumn="0" w:lastColumn="0" w:oddVBand="0" w:evenVBand="0" w:oddHBand="1" w:evenHBand="0" w:firstRowFirstColumn="0" w:firstRowLastColumn="0" w:lastRowFirstColumn="0" w:lastRowLastColumn="0"/>
              <w:rPr>
                <w:sz w:val="22"/>
              </w:rPr>
            </w:pPr>
          </w:p>
          <w:p w14:paraId="3AFAEC99" w14:textId="77777777" w:rsidR="000E3C80" w:rsidRPr="00C05886" w:rsidRDefault="000E3C80" w:rsidP="00C64930">
            <w:pPr>
              <w:spacing w:line="240" w:lineRule="auto"/>
              <w:jc w:val="center"/>
              <w:cnfStyle w:val="000000100000" w:firstRow="0" w:lastRow="0" w:firstColumn="0" w:lastColumn="0" w:oddVBand="0" w:evenVBand="0" w:oddHBand="1" w:evenHBand="0" w:firstRowFirstColumn="0" w:firstRowLastColumn="0" w:lastRowFirstColumn="0" w:lastRowLastColumn="0"/>
              <w:rPr>
                <w:sz w:val="22"/>
              </w:rPr>
            </w:pPr>
            <w:r w:rsidRPr="00C05886">
              <w:rPr>
                <w:sz w:val="22"/>
              </w:rPr>
              <w:t>0.35 (0.36)</w:t>
            </w:r>
          </w:p>
          <w:p w14:paraId="47536DFE" w14:textId="77777777" w:rsidR="000E3C80" w:rsidRPr="00C05886" w:rsidRDefault="000E3C80" w:rsidP="00C64930">
            <w:pPr>
              <w:spacing w:line="240" w:lineRule="auto"/>
              <w:jc w:val="center"/>
              <w:cnfStyle w:val="000000100000" w:firstRow="0" w:lastRow="0" w:firstColumn="0" w:lastColumn="0" w:oddVBand="0" w:evenVBand="0" w:oddHBand="1" w:evenHBand="0" w:firstRowFirstColumn="0" w:firstRowLastColumn="0" w:lastRowFirstColumn="0" w:lastRowLastColumn="0"/>
              <w:rPr>
                <w:sz w:val="22"/>
              </w:rPr>
            </w:pPr>
            <w:r w:rsidRPr="00C05886">
              <w:rPr>
                <w:sz w:val="22"/>
              </w:rPr>
              <w:t>0.09 (0.30)</w:t>
            </w:r>
          </w:p>
          <w:p w14:paraId="66AF7CE4" w14:textId="1729EAC3" w:rsidR="000E3C80" w:rsidRPr="00C05886" w:rsidRDefault="000E3C80" w:rsidP="00C64930">
            <w:pPr>
              <w:spacing w:line="240" w:lineRule="auto"/>
              <w:jc w:val="center"/>
              <w:cnfStyle w:val="000000100000" w:firstRow="0" w:lastRow="0" w:firstColumn="0" w:lastColumn="0" w:oddVBand="0" w:evenVBand="0" w:oddHBand="1" w:evenHBand="0" w:firstRowFirstColumn="0" w:firstRowLastColumn="0" w:lastRowFirstColumn="0" w:lastRowLastColumn="0"/>
              <w:rPr>
                <w:sz w:val="22"/>
              </w:rPr>
            </w:pPr>
            <w:r w:rsidRPr="00C05886">
              <w:rPr>
                <w:sz w:val="22"/>
              </w:rPr>
              <w:t>0.</w:t>
            </w:r>
            <w:r w:rsidR="000F1DC5" w:rsidRPr="00C05886">
              <w:rPr>
                <w:sz w:val="22"/>
              </w:rPr>
              <w:t>0</w:t>
            </w:r>
            <w:r w:rsidR="000F1DC5">
              <w:rPr>
                <w:sz w:val="22"/>
              </w:rPr>
              <w:t>9</w:t>
            </w:r>
            <w:r w:rsidR="000F1DC5" w:rsidRPr="00C05886">
              <w:rPr>
                <w:sz w:val="22"/>
              </w:rPr>
              <w:t xml:space="preserve"> </w:t>
            </w:r>
            <w:r w:rsidRPr="00C05886">
              <w:rPr>
                <w:sz w:val="22"/>
              </w:rPr>
              <w:t>(0.</w:t>
            </w:r>
            <w:r w:rsidR="000F1DC5" w:rsidRPr="00C05886">
              <w:rPr>
                <w:sz w:val="22"/>
              </w:rPr>
              <w:t>3</w:t>
            </w:r>
            <w:r w:rsidR="000F1DC5">
              <w:rPr>
                <w:sz w:val="22"/>
              </w:rPr>
              <w:t>9</w:t>
            </w:r>
            <w:r w:rsidRPr="00C05886">
              <w:rPr>
                <w:sz w:val="22"/>
              </w:rPr>
              <w:t>)</w:t>
            </w:r>
          </w:p>
        </w:tc>
        <w:tc>
          <w:tcPr>
            <w:tcW w:w="1219" w:type="dxa"/>
            <w:tcBorders>
              <w:left w:val="nil"/>
              <w:bottom w:val="single" w:sz="4" w:space="0" w:color="auto"/>
            </w:tcBorders>
          </w:tcPr>
          <w:p w14:paraId="75572BF0" w14:textId="77777777" w:rsidR="000E3C80" w:rsidRPr="00C05886" w:rsidRDefault="000E3C80" w:rsidP="00C64930">
            <w:pPr>
              <w:spacing w:line="240" w:lineRule="auto"/>
              <w:jc w:val="center"/>
              <w:cnfStyle w:val="000000100000" w:firstRow="0" w:lastRow="0" w:firstColumn="0" w:lastColumn="0" w:oddVBand="0" w:evenVBand="0" w:oddHBand="1" w:evenHBand="0" w:firstRowFirstColumn="0" w:firstRowLastColumn="0" w:lastRowFirstColumn="0" w:lastRowLastColumn="0"/>
              <w:rPr>
                <w:sz w:val="22"/>
              </w:rPr>
            </w:pPr>
          </w:p>
          <w:p w14:paraId="2C3D92B8" w14:textId="3E1FF9DB" w:rsidR="000E3C80" w:rsidRPr="00C05886" w:rsidRDefault="000E3C80" w:rsidP="00C64930">
            <w:pPr>
              <w:spacing w:line="240" w:lineRule="auto"/>
              <w:jc w:val="center"/>
              <w:cnfStyle w:val="000000100000" w:firstRow="0" w:lastRow="0" w:firstColumn="0" w:lastColumn="0" w:oddVBand="0" w:evenVBand="0" w:oddHBand="1" w:evenHBand="0" w:firstRowFirstColumn="0" w:firstRowLastColumn="0" w:lastRowFirstColumn="0" w:lastRowLastColumn="0"/>
              <w:rPr>
                <w:sz w:val="22"/>
              </w:rPr>
            </w:pPr>
            <w:r w:rsidRPr="00C05886">
              <w:rPr>
                <w:sz w:val="22"/>
              </w:rPr>
              <w:t>0.</w:t>
            </w:r>
            <w:r w:rsidR="000F1DC5" w:rsidRPr="00C05886">
              <w:rPr>
                <w:sz w:val="22"/>
              </w:rPr>
              <w:t>3</w:t>
            </w:r>
            <w:r w:rsidR="000F1DC5">
              <w:rPr>
                <w:sz w:val="22"/>
              </w:rPr>
              <w:t>5</w:t>
            </w:r>
          </w:p>
          <w:p w14:paraId="5132727C" w14:textId="6BC1172E" w:rsidR="000E3C80" w:rsidRPr="00C05886" w:rsidRDefault="000E3C80" w:rsidP="00C64930">
            <w:pPr>
              <w:spacing w:line="240" w:lineRule="auto"/>
              <w:jc w:val="center"/>
              <w:cnfStyle w:val="000000100000" w:firstRow="0" w:lastRow="0" w:firstColumn="0" w:lastColumn="0" w:oddVBand="0" w:evenVBand="0" w:oddHBand="1" w:evenHBand="0" w:firstRowFirstColumn="0" w:firstRowLastColumn="0" w:lastRowFirstColumn="0" w:lastRowLastColumn="0"/>
              <w:rPr>
                <w:sz w:val="22"/>
              </w:rPr>
            </w:pPr>
            <w:r w:rsidRPr="00C05886">
              <w:rPr>
                <w:sz w:val="22"/>
              </w:rPr>
              <w:t>0.76</w:t>
            </w:r>
          </w:p>
          <w:p w14:paraId="175EF07E" w14:textId="69A32AA2" w:rsidR="000E3C80" w:rsidRPr="00C05886" w:rsidRDefault="000E3C80" w:rsidP="00C64930">
            <w:pPr>
              <w:spacing w:line="240" w:lineRule="auto"/>
              <w:jc w:val="center"/>
              <w:cnfStyle w:val="000000100000" w:firstRow="0" w:lastRow="0" w:firstColumn="0" w:lastColumn="0" w:oddVBand="0" w:evenVBand="0" w:oddHBand="1" w:evenHBand="0" w:firstRowFirstColumn="0" w:firstRowLastColumn="0" w:lastRowFirstColumn="0" w:lastRowLastColumn="0"/>
              <w:rPr>
                <w:sz w:val="22"/>
              </w:rPr>
            </w:pPr>
            <w:r w:rsidRPr="00C05886">
              <w:rPr>
                <w:sz w:val="22"/>
              </w:rPr>
              <w:t>0.</w:t>
            </w:r>
            <w:r w:rsidR="000F1DC5" w:rsidRPr="00C05886">
              <w:rPr>
                <w:sz w:val="22"/>
              </w:rPr>
              <w:t>8</w:t>
            </w:r>
            <w:r w:rsidR="000F1DC5">
              <w:rPr>
                <w:sz w:val="22"/>
              </w:rPr>
              <w:t>1</w:t>
            </w:r>
          </w:p>
        </w:tc>
      </w:tr>
      <w:tr w:rsidR="005D7515" w:rsidRPr="00C05886" w14:paraId="0EAA9D46" w14:textId="77777777" w:rsidTr="005D7515">
        <w:trPr>
          <w:trHeight w:val="270"/>
        </w:trPr>
        <w:tc>
          <w:tcPr>
            <w:cnfStyle w:val="001000000000" w:firstRow="0" w:lastRow="0" w:firstColumn="1" w:lastColumn="0" w:oddVBand="0" w:evenVBand="0" w:oddHBand="0" w:evenHBand="0" w:firstRowFirstColumn="0" w:firstRowLastColumn="0" w:lastRowFirstColumn="0" w:lastRowLastColumn="0"/>
            <w:tcW w:w="2258" w:type="dxa"/>
            <w:tcBorders>
              <w:bottom w:val="single" w:sz="4" w:space="0" w:color="auto"/>
            </w:tcBorders>
          </w:tcPr>
          <w:p w14:paraId="266DB9AA" w14:textId="77777777" w:rsidR="000E3C80" w:rsidRPr="00C05886" w:rsidRDefault="000E3C80" w:rsidP="00C64930">
            <w:pPr>
              <w:spacing w:line="240" w:lineRule="auto"/>
              <w:rPr>
                <w:sz w:val="22"/>
              </w:rPr>
            </w:pPr>
            <w:r w:rsidRPr="00C05886">
              <w:rPr>
                <w:sz w:val="22"/>
              </w:rPr>
              <w:t>Inclusion of Nature</w:t>
            </w:r>
          </w:p>
        </w:tc>
        <w:tc>
          <w:tcPr>
            <w:tcW w:w="1260" w:type="dxa"/>
            <w:tcBorders>
              <w:bottom w:val="single" w:sz="4" w:space="0" w:color="auto"/>
              <w:right w:val="nil"/>
            </w:tcBorders>
          </w:tcPr>
          <w:p w14:paraId="5A787FE7" w14:textId="08E562ED" w:rsidR="000E3C80" w:rsidRPr="00C05886" w:rsidRDefault="000E3C80" w:rsidP="00C64930">
            <w:pPr>
              <w:spacing w:line="240" w:lineRule="auto"/>
              <w:jc w:val="center"/>
              <w:cnfStyle w:val="000000000000" w:firstRow="0" w:lastRow="0" w:firstColumn="0" w:lastColumn="0" w:oddVBand="0" w:evenVBand="0" w:oddHBand="0" w:evenHBand="0" w:firstRowFirstColumn="0" w:firstRowLastColumn="0" w:lastRowFirstColumn="0" w:lastRowLastColumn="0"/>
              <w:rPr>
                <w:sz w:val="22"/>
              </w:rPr>
            </w:pPr>
            <w:r w:rsidRPr="00C05886">
              <w:rPr>
                <w:sz w:val="22"/>
              </w:rPr>
              <w:t>0.13</w:t>
            </w:r>
            <w:r w:rsidR="007C6A02">
              <w:rPr>
                <w:sz w:val="22"/>
              </w:rPr>
              <w:t xml:space="preserve"> (0.006)</w:t>
            </w:r>
          </w:p>
        </w:tc>
        <w:tc>
          <w:tcPr>
            <w:tcW w:w="0" w:type="dxa"/>
            <w:tcBorders>
              <w:left w:val="nil"/>
              <w:bottom w:val="single" w:sz="4" w:space="0" w:color="auto"/>
            </w:tcBorders>
          </w:tcPr>
          <w:p w14:paraId="5BCFB641" w14:textId="33A76A7C" w:rsidR="000E3C80" w:rsidRPr="00C05886" w:rsidRDefault="000E3C80" w:rsidP="00C64930">
            <w:pPr>
              <w:spacing w:line="240" w:lineRule="auto"/>
              <w:jc w:val="center"/>
              <w:cnfStyle w:val="000000000000" w:firstRow="0" w:lastRow="0" w:firstColumn="0" w:lastColumn="0" w:oddVBand="0" w:evenVBand="0" w:oddHBand="0" w:evenHBand="0" w:firstRowFirstColumn="0" w:firstRowLastColumn="0" w:lastRowFirstColumn="0" w:lastRowLastColumn="0"/>
              <w:rPr>
                <w:sz w:val="22"/>
              </w:rPr>
            </w:pPr>
            <w:r w:rsidRPr="00C05886">
              <w:rPr>
                <w:sz w:val="22"/>
              </w:rPr>
              <w:t>0.</w:t>
            </w:r>
            <w:r w:rsidR="007C6A02" w:rsidRPr="00C05886">
              <w:rPr>
                <w:sz w:val="22"/>
              </w:rPr>
              <w:t>0</w:t>
            </w:r>
            <w:r w:rsidR="007C6A02">
              <w:rPr>
                <w:sz w:val="22"/>
              </w:rPr>
              <w:t>4</w:t>
            </w:r>
          </w:p>
        </w:tc>
        <w:tc>
          <w:tcPr>
            <w:tcW w:w="1353" w:type="dxa"/>
            <w:tcBorders>
              <w:bottom w:val="single" w:sz="4" w:space="0" w:color="auto"/>
              <w:right w:val="nil"/>
            </w:tcBorders>
          </w:tcPr>
          <w:p w14:paraId="4A8FC6AF" w14:textId="699F54B5" w:rsidR="000E3C80" w:rsidRPr="00C05886" w:rsidRDefault="000E3C80" w:rsidP="00C64930">
            <w:pPr>
              <w:spacing w:line="240" w:lineRule="auto"/>
              <w:jc w:val="center"/>
              <w:cnfStyle w:val="000000000000" w:firstRow="0" w:lastRow="0" w:firstColumn="0" w:lastColumn="0" w:oddVBand="0" w:evenVBand="0" w:oddHBand="0" w:evenHBand="0" w:firstRowFirstColumn="0" w:firstRowLastColumn="0" w:lastRowFirstColumn="0" w:lastRowLastColumn="0"/>
              <w:rPr>
                <w:sz w:val="22"/>
              </w:rPr>
            </w:pPr>
            <w:r w:rsidRPr="00C05886">
              <w:rPr>
                <w:sz w:val="22"/>
              </w:rPr>
              <w:t>0.01</w:t>
            </w:r>
            <w:r w:rsidR="003A21F0">
              <w:rPr>
                <w:sz w:val="22"/>
              </w:rPr>
              <w:t xml:space="preserve"> (0.006)</w:t>
            </w:r>
          </w:p>
        </w:tc>
        <w:tc>
          <w:tcPr>
            <w:tcW w:w="1100" w:type="dxa"/>
            <w:tcBorders>
              <w:left w:val="nil"/>
              <w:bottom w:val="single" w:sz="4" w:space="0" w:color="auto"/>
            </w:tcBorders>
          </w:tcPr>
          <w:p w14:paraId="08C61712" w14:textId="77777777" w:rsidR="000E3C80" w:rsidRPr="00C05886" w:rsidRDefault="000E3C80" w:rsidP="00C64930">
            <w:pPr>
              <w:spacing w:line="240" w:lineRule="auto"/>
              <w:jc w:val="center"/>
              <w:cnfStyle w:val="000000000000" w:firstRow="0" w:lastRow="0" w:firstColumn="0" w:lastColumn="0" w:oddVBand="0" w:evenVBand="0" w:oddHBand="0" w:evenHBand="0" w:firstRowFirstColumn="0" w:firstRowLastColumn="0" w:lastRowFirstColumn="0" w:lastRowLastColumn="0"/>
              <w:rPr>
                <w:sz w:val="22"/>
              </w:rPr>
            </w:pPr>
            <w:r w:rsidRPr="00C05886">
              <w:rPr>
                <w:sz w:val="22"/>
              </w:rPr>
              <w:t>0.09</w:t>
            </w:r>
          </w:p>
        </w:tc>
        <w:tc>
          <w:tcPr>
            <w:tcW w:w="1452" w:type="dxa"/>
            <w:tcBorders>
              <w:bottom w:val="single" w:sz="4" w:space="0" w:color="auto"/>
              <w:right w:val="nil"/>
            </w:tcBorders>
          </w:tcPr>
          <w:p w14:paraId="326FCBCE" w14:textId="77777777" w:rsidR="000E3C80" w:rsidRPr="00C05886" w:rsidRDefault="000E3C80" w:rsidP="00C64930">
            <w:pPr>
              <w:spacing w:line="240" w:lineRule="auto"/>
              <w:jc w:val="center"/>
              <w:cnfStyle w:val="000000000000" w:firstRow="0" w:lastRow="0" w:firstColumn="0" w:lastColumn="0" w:oddVBand="0" w:evenVBand="0" w:oddHBand="0" w:evenHBand="0" w:firstRowFirstColumn="0" w:firstRowLastColumn="0" w:lastRowFirstColumn="0" w:lastRowLastColumn="0"/>
              <w:rPr>
                <w:sz w:val="22"/>
              </w:rPr>
            </w:pPr>
            <w:r w:rsidRPr="00C05886">
              <w:rPr>
                <w:sz w:val="22"/>
              </w:rPr>
              <w:t>0.01 (0.006)</w:t>
            </w:r>
          </w:p>
        </w:tc>
        <w:tc>
          <w:tcPr>
            <w:tcW w:w="1219" w:type="dxa"/>
            <w:tcBorders>
              <w:left w:val="nil"/>
              <w:bottom w:val="single" w:sz="4" w:space="0" w:color="auto"/>
            </w:tcBorders>
          </w:tcPr>
          <w:p w14:paraId="05EA7582" w14:textId="77777777" w:rsidR="000E3C80" w:rsidRPr="00C05886" w:rsidRDefault="000E3C80" w:rsidP="00C64930">
            <w:pPr>
              <w:spacing w:line="240" w:lineRule="auto"/>
              <w:jc w:val="center"/>
              <w:cnfStyle w:val="000000000000" w:firstRow="0" w:lastRow="0" w:firstColumn="0" w:lastColumn="0" w:oddVBand="0" w:evenVBand="0" w:oddHBand="0" w:evenHBand="0" w:firstRowFirstColumn="0" w:firstRowLastColumn="0" w:lastRowFirstColumn="0" w:lastRowLastColumn="0"/>
              <w:rPr>
                <w:sz w:val="22"/>
              </w:rPr>
            </w:pPr>
            <w:r w:rsidRPr="00C05886">
              <w:rPr>
                <w:sz w:val="22"/>
              </w:rPr>
              <w:t>0.1</w:t>
            </w:r>
          </w:p>
        </w:tc>
      </w:tr>
      <w:tr w:rsidR="00FD000F" w:rsidRPr="00C05886" w14:paraId="5E35D96C" w14:textId="77777777" w:rsidTr="00A76BBB">
        <w:trPr>
          <w:cnfStyle w:val="000000100000" w:firstRow="0" w:lastRow="0" w:firstColumn="0" w:lastColumn="0" w:oddVBand="0" w:evenVBand="0" w:oddHBand="1" w:evenHBand="0" w:firstRowFirstColumn="0" w:firstRowLastColumn="0" w:lastRowFirstColumn="0" w:lastRowLastColumn="0"/>
          <w:trHeight w:val="282"/>
        </w:trPr>
        <w:tc>
          <w:tcPr>
            <w:cnfStyle w:val="001000000000" w:firstRow="0" w:lastRow="0" w:firstColumn="1" w:lastColumn="0" w:oddVBand="0" w:evenVBand="0" w:oddHBand="0" w:evenHBand="0" w:firstRowFirstColumn="0" w:firstRowLastColumn="0" w:lastRowFirstColumn="0" w:lastRowLastColumn="0"/>
            <w:tcW w:w="2258" w:type="dxa"/>
            <w:tcBorders>
              <w:top w:val="single" w:sz="4" w:space="0" w:color="auto"/>
              <w:bottom w:val="single" w:sz="18" w:space="0" w:color="auto"/>
            </w:tcBorders>
          </w:tcPr>
          <w:p w14:paraId="42603DE0" w14:textId="77777777" w:rsidR="000E3C80" w:rsidRPr="00C05886" w:rsidRDefault="000E3C80" w:rsidP="00C64930">
            <w:pPr>
              <w:spacing w:line="240" w:lineRule="auto"/>
              <w:rPr>
                <w:sz w:val="22"/>
              </w:rPr>
            </w:pPr>
            <w:r w:rsidRPr="00C05886">
              <w:rPr>
                <w:sz w:val="22"/>
              </w:rPr>
              <w:t>Nature Relatedness</w:t>
            </w:r>
          </w:p>
        </w:tc>
        <w:tc>
          <w:tcPr>
            <w:tcW w:w="1260" w:type="dxa"/>
            <w:tcBorders>
              <w:top w:val="single" w:sz="4" w:space="0" w:color="auto"/>
              <w:bottom w:val="single" w:sz="18" w:space="0" w:color="auto"/>
              <w:right w:val="nil"/>
            </w:tcBorders>
          </w:tcPr>
          <w:p w14:paraId="0132A41A" w14:textId="38ACE486" w:rsidR="000E3C80" w:rsidRPr="00C05886" w:rsidRDefault="000E3C80" w:rsidP="00C64930">
            <w:pPr>
              <w:spacing w:line="240" w:lineRule="auto"/>
              <w:jc w:val="center"/>
              <w:cnfStyle w:val="000000100000" w:firstRow="0" w:lastRow="0" w:firstColumn="0" w:lastColumn="0" w:oddVBand="0" w:evenVBand="0" w:oddHBand="1" w:evenHBand="0" w:firstRowFirstColumn="0" w:firstRowLastColumn="0" w:lastRowFirstColumn="0" w:lastRowLastColumn="0"/>
              <w:rPr>
                <w:sz w:val="22"/>
              </w:rPr>
            </w:pPr>
            <w:r w:rsidRPr="00C05886">
              <w:rPr>
                <w:sz w:val="22"/>
              </w:rPr>
              <w:t>-0.</w:t>
            </w:r>
            <w:r w:rsidR="007C6A02" w:rsidRPr="00C05886">
              <w:rPr>
                <w:sz w:val="22"/>
              </w:rPr>
              <w:t>1</w:t>
            </w:r>
            <w:r w:rsidR="007C6A02">
              <w:rPr>
                <w:sz w:val="22"/>
              </w:rPr>
              <w:t>5 (0.21)</w:t>
            </w:r>
          </w:p>
        </w:tc>
        <w:tc>
          <w:tcPr>
            <w:tcW w:w="941" w:type="dxa"/>
            <w:tcBorders>
              <w:top w:val="single" w:sz="4" w:space="0" w:color="auto"/>
              <w:left w:val="nil"/>
              <w:bottom w:val="single" w:sz="18" w:space="0" w:color="auto"/>
            </w:tcBorders>
          </w:tcPr>
          <w:p w14:paraId="0ECE383D" w14:textId="5BC7BB79" w:rsidR="000E3C80" w:rsidRPr="00C05886" w:rsidRDefault="000E3C80" w:rsidP="00C64930">
            <w:pPr>
              <w:spacing w:line="240" w:lineRule="auto"/>
              <w:jc w:val="center"/>
              <w:cnfStyle w:val="000000100000" w:firstRow="0" w:lastRow="0" w:firstColumn="0" w:lastColumn="0" w:oddVBand="0" w:evenVBand="0" w:oddHBand="1" w:evenHBand="0" w:firstRowFirstColumn="0" w:firstRowLastColumn="0" w:lastRowFirstColumn="0" w:lastRowLastColumn="0"/>
              <w:rPr>
                <w:sz w:val="22"/>
              </w:rPr>
            </w:pPr>
            <w:r w:rsidRPr="00C05886">
              <w:rPr>
                <w:sz w:val="22"/>
              </w:rPr>
              <w:t>0.</w:t>
            </w:r>
            <w:r w:rsidR="007C6A02">
              <w:rPr>
                <w:sz w:val="22"/>
              </w:rPr>
              <w:t>47</w:t>
            </w:r>
          </w:p>
        </w:tc>
        <w:tc>
          <w:tcPr>
            <w:tcW w:w="1353" w:type="dxa"/>
            <w:tcBorders>
              <w:top w:val="single" w:sz="4" w:space="0" w:color="auto"/>
              <w:bottom w:val="single" w:sz="18" w:space="0" w:color="auto"/>
              <w:right w:val="nil"/>
            </w:tcBorders>
          </w:tcPr>
          <w:p w14:paraId="185037E2" w14:textId="18700626" w:rsidR="000E3C80" w:rsidRPr="00C05886" w:rsidRDefault="000E3C80" w:rsidP="00C64930">
            <w:pPr>
              <w:spacing w:line="240" w:lineRule="auto"/>
              <w:jc w:val="center"/>
              <w:cnfStyle w:val="000000100000" w:firstRow="0" w:lastRow="0" w:firstColumn="0" w:lastColumn="0" w:oddVBand="0" w:evenVBand="0" w:oddHBand="1" w:evenHBand="0" w:firstRowFirstColumn="0" w:firstRowLastColumn="0" w:lastRowFirstColumn="0" w:lastRowLastColumn="0"/>
              <w:rPr>
                <w:sz w:val="22"/>
              </w:rPr>
            </w:pPr>
            <w:r w:rsidRPr="00C05886">
              <w:rPr>
                <w:sz w:val="22"/>
              </w:rPr>
              <w:t>-0.</w:t>
            </w:r>
            <w:r w:rsidR="003A21F0" w:rsidRPr="00C05886">
              <w:rPr>
                <w:sz w:val="22"/>
              </w:rPr>
              <w:t>2</w:t>
            </w:r>
            <w:r w:rsidR="003A21F0">
              <w:rPr>
                <w:sz w:val="22"/>
              </w:rPr>
              <w:t>6 (0.2)</w:t>
            </w:r>
          </w:p>
        </w:tc>
        <w:tc>
          <w:tcPr>
            <w:tcW w:w="1100" w:type="dxa"/>
            <w:tcBorders>
              <w:top w:val="single" w:sz="4" w:space="0" w:color="auto"/>
              <w:left w:val="nil"/>
              <w:bottom w:val="single" w:sz="18" w:space="0" w:color="auto"/>
            </w:tcBorders>
          </w:tcPr>
          <w:p w14:paraId="587C8F29" w14:textId="1CA89694" w:rsidR="000E3C80" w:rsidRPr="00C05886" w:rsidRDefault="000E3C80" w:rsidP="00C64930">
            <w:pPr>
              <w:spacing w:line="240" w:lineRule="auto"/>
              <w:jc w:val="center"/>
              <w:cnfStyle w:val="000000100000" w:firstRow="0" w:lastRow="0" w:firstColumn="0" w:lastColumn="0" w:oddVBand="0" w:evenVBand="0" w:oddHBand="1" w:evenHBand="0" w:firstRowFirstColumn="0" w:firstRowLastColumn="0" w:lastRowFirstColumn="0" w:lastRowLastColumn="0"/>
              <w:rPr>
                <w:sz w:val="22"/>
              </w:rPr>
            </w:pPr>
            <w:r w:rsidRPr="00C05886">
              <w:rPr>
                <w:sz w:val="22"/>
              </w:rPr>
              <w:t>0.</w:t>
            </w:r>
            <w:r w:rsidR="003A21F0" w:rsidRPr="00C05886">
              <w:rPr>
                <w:sz w:val="22"/>
              </w:rPr>
              <w:t>1</w:t>
            </w:r>
            <w:r w:rsidR="003A21F0">
              <w:rPr>
                <w:sz w:val="22"/>
              </w:rPr>
              <w:t>9</w:t>
            </w:r>
          </w:p>
        </w:tc>
        <w:tc>
          <w:tcPr>
            <w:tcW w:w="1452" w:type="dxa"/>
            <w:tcBorders>
              <w:top w:val="single" w:sz="4" w:space="0" w:color="auto"/>
              <w:bottom w:val="single" w:sz="18" w:space="0" w:color="auto"/>
              <w:right w:val="nil"/>
            </w:tcBorders>
          </w:tcPr>
          <w:p w14:paraId="3D8D06FA" w14:textId="0AA57D24" w:rsidR="000E3C80" w:rsidRPr="00C05886" w:rsidRDefault="000E3C80" w:rsidP="00C64930">
            <w:pPr>
              <w:spacing w:line="240" w:lineRule="auto"/>
              <w:jc w:val="center"/>
              <w:cnfStyle w:val="000000100000" w:firstRow="0" w:lastRow="0" w:firstColumn="0" w:lastColumn="0" w:oddVBand="0" w:evenVBand="0" w:oddHBand="1" w:evenHBand="0" w:firstRowFirstColumn="0" w:firstRowLastColumn="0" w:lastRowFirstColumn="0" w:lastRowLastColumn="0"/>
              <w:rPr>
                <w:sz w:val="22"/>
              </w:rPr>
            </w:pPr>
            <w:r w:rsidRPr="00C05886">
              <w:rPr>
                <w:sz w:val="22"/>
              </w:rPr>
              <w:t>-0.</w:t>
            </w:r>
            <w:r w:rsidR="000F1DC5" w:rsidRPr="00C05886">
              <w:rPr>
                <w:sz w:val="22"/>
              </w:rPr>
              <w:t>2</w:t>
            </w:r>
            <w:r w:rsidR="000F1DC5">
              <w:rPr>
                <w:sz w:val="22"/>
              </w:rPr>
              <w:t>5</w:t>
            </w:r>
            <w:r w:rsidR="000F1DC5" w:rsidRPr="00C05886">
              <w:rPr>
                <w:sz w:val="22"/>
              </w:rPr>
              <w:t xml:space="preserve"> </w:t>
            </w:r>
            <w:r w:rsidRPr="00C05886">
              <w:rPr>
                <w:sz w:val="22"/>
              </w:rPr>
              <w:t>(0.2)</w:t>
            </w:r>
          </w:p>
        </w:tc>
        <w:tc>
          <w:tcPr>
            <w:tcW w:w="1219" w:type="dxa"/>
            <w:tcBorders>
              <w:top w:val="single" w:sz="4" w:space="0" w:color="auto"/>
              <w:left w:val="nil"/>
              <w:bottom w:val="single" w:sz="18" w:space="0" w:color="auto"/>
            </w:tcBorders>
          </w:tcPr>
          <w:p w14:paraId="66517657" w14:textId="09BE8B99" w:rsidR="000E3C80" w:rsidRPr="00C05886" w:rsidRDefault="000E3C80" w:rsidP="00C64930">
            <w:pPr>
              <w:spacing w:line="240" w:lineRule="auto"/>
              <w:jc w:val="center"/>
              <w:cnfStyle w:val="000000100000" w:firstRow="0" w:lastRow="0" w:firstColumn="0" w:lastColumn="0" w:oddVBand="0" w:evenVBand="0" w:oddHBand="1" w:evenHBand="0" w:firstRowFirstColumn="0" w:firstRowLastColumn="0" w:lastRowFirstColumn="0" w:lastRowLastColumn="0"/>
              <w:rPr>
                <w:sz w:val="22"/>
              </w:rPr>
            </w:pPr>
            <w:r w:rsidRPr="00C05886">
              <w:rPr>
                <w:sz w:val="22"/>
              </w:rPr>
              <w:t>0.</w:t>
            </w:r>
            <w:r w:rsidR="000F1DC5">
              <w:rPr>
                <w:sz w:val="22"/>
              </w:rPr>
              <w:t>20</w:t>
            </w:r>
          </w:p>
        </w:tc>
      </w:tr>
      <w:tr w:rsidR="000E3C80" w:rsidRPr="00C05886" w14:paraId="7C7F659A" w14:textId="77777777" w:rsidTr="005D7515">
        <w:trPr>
          <w:trHeight w:val="270"/>
        </w:trPr>
        <w:tc>
          <w:tcPr>
            <w:cnfStyle w:val="001000000000" w:firstRow="0" w:lastRow="0" w:firstColumn="1" w:lastColumn="0" w:oddVBand="0" w:evenVBand="0" w:oddHBand="0" w:evenHBand="0" w:firstRowFirstColumn="0" w:firstRowLastColumn="0" w:lastRowFirstColumn="0" w:lastRowLastColumn="0"/>
            <w:tcW w:w="2258" w:type="dxa"/>
            <w:tcBorders>
              <w:top w:val="single" w:sz="18" w:space="0" w:color="auto"/>
              <w:bottom w:val="single" w:sz="18" w:space="0" w:color="auto"/>
            </w:tcBorders>
          </w:tcPr>
          <w:p w14:paraId="52E2DAB3" w14:textId="77777777" w:rsidR="000E3C80" w:rsidRPr="00C05886" w:rsidRDefault="000E3C80" w:rsidP="00C64930">
            <w:pPr>
              <w:spacing w:line="240" w:lineRule="auto"/>
              <w:rPr>
                <w:sz w:val="22"/>
              </w:rPr>
            </w:pPr>
            <w:r w:rsidRPr="00C05886">
              <w:rPr>
                <w:sz w:val="22"/>
              </w:rPr>
              <w:t>Residual ICC</w:t>
            </w:r>
          </w:p>
        </w:tc>
        <w:tc>
          <w:tcPr>
            <w:tcW w:w="2201" w:type="dxa"/>
            <w:gridSpan w:val="2"/>
            <w:tcBorders>
              <w:top w:val="single" w:sz="18" w:space="0" w:color="auto"/>
              <w:bottom w:val="single" w:sz="18" w:space="0" w:color="auto"/>
            </w:tcBorders>
          </w:tcPr>
          <w:p w14:paraId="63ECF664" w14:textId="6DFE24ED" w:rsidR="000E3C80" w:rsidRPr="00C05886" w:rsidRDefault="000E3C80" w:rsidP="00C64930">
            <w:pPr>
              <w:spacing w:line="240" w:lineRule="auto"/>
              <w:jc w:val="center"/>
              <w:cnfStyle w:val="000000000000" w:firstRow="0" w:lastRow="0" w:firstColumn="0" w:lastColumn="0" w:oddVBand="0" w:evenVBand="0" w:oddHBand="0" w:evenHBand="0" w:firstRowFirstColumn="0" w:firstRowLastColumn="0" w:lastRowFirstColumn="0" w:lastRowLastColumn="0"/>
              <w:rPr>
                <w:sz w:val="22"/>
              </w:rPr>
            </w:pPr>
            <w:r w:rsidRPr="00C05886">
              <w:rPr>
                <w:sz w:val="22"/>
              </w:rPr>
              <w:t>0.11 (0.</w:t>
            </w:r>
            <w:r w:rsidR="007C6A02" w:rsidRPr="00C05886">
              <w:rPr>
                <w:sz w:val="22"/>
              </w:rPr>
              <w:t>4</w:t>
            </w:r>
            <w:r w:rsidR="007C6A02">
              <w:rPr>
                <w:sz w:val="22"/>
              </w:rPr>
              <w:t>4</w:t>
            </w:r>
            <w:r w:rsidRPr="00C05886">
              <w:rPr>
                <w:sz w:val="22"/>
              </w:rPr>
              <w:t>)</w:t>
            </w:r>
          </w:p>
        </w:tc>
        <w:tc>
          <w:tcPr>
            <w:tcW w:w="2453" w:type="dxa"/>
            <w:gridSpan w:val="2"/>
            <w:tcBorders>
              <w:top w:val="single" w:sz="18" w:space="0" w:color="auto"/>
              <w:bottom w:val="single" w:sz="18" w:space="0" w:color="auto"/>
            </w:tcBorders>
          </w:tcPr>
          <w:p w14:paraId="14B553B7" w14:textId="5DCD2161" w:rsidR="000E3C80" w:rsidRPr="00C05886" w:rsidRDefault="000E3C80" w:rsidP="00C64930">
            <w:pPr>
              <w:spacing w:line="240" w:lineRule="auto"/>
              <w:jc w:val="center"/>
              <w:cnfStyle w:val="000000000000" w:firstRow="0" w:lastRow="0" w:firstColumn="0" w:lastColumn="0" w:oddVBand="0" w:evenVBand="0" w:oddHBand="0" w:evenHBand="0" w:firstRowFirstColumn="0" w:firstRowLastColumn="0" w:lastRowFirstColumn="0" w:lastRowLastColumn="0"/>
              <w:rPr>
                <w:sz w:val="22"/>
              </w:rPr>
            </w:pPr>
            <w:r w:rsidRPr="00C05886">
              <w:rPr>
                <w:sz w:val="22"/>
              </w:rPr>
              <w:t>0.06</w:t>
            </w:r>
            <w:r w:rsidR="003A21F0">
              <w:rPr>
                <w:sz w:val="22"/>
              </w:rPr>
              <w:t>2</w:t>
            </w:r>
            <w:r w:rsidRPr="00C05886">
              <w:rPr>
                <w:sz w:val="22"/>
              </w:rPr>
              <w:t xml:space="preserve"> (0.04</w:t>
            </w:r>
            <w:r w:rsidR="003A21F0">
              <w:rPr>
                <w:sz w:val="22"/>
              </w:rPr>
              <w:t>1</w:t>
            </w:r>
            <w:r w:rsidRPr="00C05886">
              <w:rPr>
                <w:sz w:val="22"/>
              </w:rPr>
              <w:t>)</w:t>
            </w:r>
          </w:p>
        </w:tc>
        <w:tc>
          <w:tcPr>
            <w:tcW w:w="2671" w:type="dxa"/>
            <w:gridSpan w:val="2"/>
            <w:tcBorders>
              <w:top w:val="single" w:sz="18" w:space="0" w:color="auto"/>
              <w:bottom w:val="single" w:sz="18" w:space="0" w:color="auto"/>
            </w:tcBorders>
          </w:tcPr>
          <w:p w14:paraId="0B5950DA" w14:textId="19D7C7FB" w:rsidR="000E3C80" w:rsidRPr="00C05886" w:rsidRDefault="000E3C80" w:rsidP="00C64930">
            <w:pPr>
              <w:spacing w:line="240" w:lineRule="auto"/>
              <w:jc w:val="center"/>
              <w:cnfStyle w:val="000000000000" w:firstRow="0" w:lastRow="0" w:firstColumn="0" w:lastColumn="0" w:oddVBand="0" w:evenVBand="0" w:oddHBand="0" w:evenHBand="0" w:firstRowFirstColumn="0" w:firstRowLastColumn="0" w:lastRowFirstColumn="0" w:lastRowLastColumn="0"/>
              <w:rPr>
                <w:sz w:val="22"/>
              </w:rPr>
            </w:pPr>
            <w:r w:rsidRPr="00C05886">
              <w:rPr>
                <w:sz w:val="22"/>
              </w:rPr>
              <w:t>0.06</w:t>
            </w:r>
            <w:r w:rsidR="000F1DC5">
              <w:rPr>
                <w:sz w:val="22"/>
              </w:rPr>
              <w:t>1</w:t>
            </w:r>
            <w:r w:rsidRPr="00C05886">
              <w:rPr>
                <w:sz w:val="22"/>
              </w:rPr>
              <w:t xml:space="preserve"> (0.04</w:t>
            </w:r>
            <w:r w:rsidR="000F1DC5">
              <w:rPr>
                <w:sz w:val="22"/>
              </w:rPr>
              <w:t>1</w:t>
            </w:r>
            <w:r w:rsidRPr="00C05886">
              <w:rPr>
                <w:sz w:val="22"/>
              </w:rPr>
              <w:t>)</w:t>
            </w:r>
          </w:p>
        </w:tc>
      </w:tr>
      <w:tr w:rsidR="000E3C80" w:rsidRPr="00C05886" w14:paraId="647A6AC3" w14:textId="77777777" w:rsidTr="005D7515">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2258" w:type="dxa"/>
            <w:tcBorders>
              <w:top w:val="single" w:sz="18" w:space="0" w:color="auto"/>
            </w:tcBorders>
          </w:tcPr>
          <w:p w14:paraId="3E69BDCE" w14:textId="77777777" w:rsidR="000E3C80" w:rsidRPr="00C05886" w:rsidRDefault="000E3C80" w:rsidP="00C64930">
            <w:pPr>
              <w:spacing w:line="240" w:lineRule="auto"/>
              <w:rPr>
                <w:sz w:val="22"/>
              </w:rPr>
            </w:pPr>
            <w:r w:rsidRPr="00C05886">
              <w:rPr>
                <w:sz w:val="22"/>
              </w:rPr>
              <w:t>AIC</w:t>
            </w:r>
          </w:p>
        </w:tc>
        <w:tc>
          <w:tcPr>
            <w:tcW w:w="2201" w:type="dxa"/>
            <w:gridSpan w:val="2"/>
            <w:tcBorders>
              <w:top w:val="single" w:sz="18" w:space="0" w:color="auto"/>
            </w:tcBorders>
          </w:tcPr>
          <w:p w14:paraId="79A36139" w14:textId="0618AEA0" w:rsidR="000E3C80" w:rsidRPr="00C05886" w:rsidRDefault="003010E4" w:rsidP="00C64930">
            <w:pPr>
              <w:spacing w:line="240" w:lineRule="auto"/>
              <w:jc w:val="center"/>
              <w:cnfStyle w:val="000000100000" w:firstRow="0" w:lastRow="0" w:firstColumn="0" w:lastColumn="0" w:oddVBand="0" w:evenVBand="0" w:oddHBand="1" w:evenHBand="0" w:firstRowFirstColumn="0" w:firstRowLastColumn="0" w:lastRowFirstColumn="0" w:lastRowLastColumn="0"/>
              <w:rPr>
                <w:sz w:val="22"/>
              </w:rPr>
            </w:pPr>
            <w:r w:rsidRPr="00C05886">
              <w:rPr>
                <w:sz w:val="22"/>
              </w:rPr>
              <w:t>115</w:t>
            </w:r>
            <w:r>
              <w:rPr>
                <w:sz w:val="22"/>
              </w:rPr>
              <w:t>8</w:t>
            </w:r>
            <w:r w:rsidR="000E3C80" w:rsidRPr="00C05886">
              <w:rPr>
                <w:sz w:val="22"/>
              </w:rPr>
              <w:t>.</w:t>
            </w:r>
            <w:r>
              <w:rPr>
                <w:sz w:val="22"/>
              </w:rPr>
              <w:t>2</w:t>
            </w:r>
          </w:p>
        </w:tc>
        <w:tc>
          <w:tcPr>
            <w:tcW w:w="2453" w:type="dxa"/>
            <w:gridSpan w:val="2"/>
            <w:tcBorders>
              <w:top w:val="single" w:sz="18" w:space="0" w:color="auto"/>
            </w:tcBorders>
          </w:tcPr>
          <w:p w14:paraId="0BD5BC4D" w14:textId="7BEFD0F1" w:rsidR="000E3C80" w:rsidRPr="00C05886" w:rsidRDefault="003A21F0" w:rsidP="00C64930">
            <w:pPr>
              <w:spacing w:line="240" w:lineRule="auto"/>
              <w:jc w:val="center"/>
              <w:cnfStyle w:val="000000100000" w:firstRow="0" w:lastRow="0" w:firstColumn="0" w:lastColumn="0" w:oddVBand="0" w:evenVBand="0" w:oddHBand="1" w:evenHBand="0" w:firstRowFirstColumn="0" w:firstRowLastColumn="0" w:lastRowFirstColumn="0" w:lastRowLastColumn="0"/>
              <w:rPr>
                <w:sz w:val="22"/>
              </w:rPr>
            </w:pPr>
            <w:r w:rsidRPr="00C05886">
              <w:rPr>
                <w:sz w:val="22"/>
              </w:rPr>
              <w:t>101</w:t>
            </w:r>
            <w:r>
              <w:rPr>
                <w:sz w:val="22"/>
              </w:rPr>
              <w:t>4</w:t>
            </w:r>
            <w:r w:rsidR="000E3C80" w:rsidRPr="00C05886">
              <w:rPr>
                <w:sz w:val="22"/>
              </w:rPr>
              <w:t>.2</w:t>
            </w:r>
          </w:p>
        </w:tc>
        <w:tc>
          <w:tcPr>
            <w:tcW w:w="2671" w:type="dxa"/>
            <w:gridSpan w:val="2"/>
            <w:tcBorders>
              <w:top w:val="single" w:sz="18" w:space="0" w:color="auto"/>
            </w:tcBorders>
          </w:tcPr>
          <w:p w14:paraId="21A57B5D" w14:textId="4F9FF416" w:rsidR="000E3C80" w:rsidRPr="00C05886" w:rsidRDefault="000F1DC5" w:rsidP="00C64930">
            <w:pPr>
              <w:spacing w:line="240" w:lineRule="auto"/>
              <w:jc w:val="center"/>
              <w:cnfStyle w:val="000000100000" w:firstRow="0" w:lastRow="0" w:firstColumn="0" w:lastColumn="0" w:oddVBand="0" w:evenVBand="0" w:oddHBand="1" w:evenHBand="0" w:firstRowFirstColumn="0" w:firstRowLastColumn="0" w:lastRowFirstColumn="0" w:lastRowLastColumn="0"/>
              <w:rPr>
                <w:sz w:val="22"/>
              </w:rPr>
            </w:pPr>
            <w:r w:rsidRPr="00C05886">
              <w:rPr>
                <w:sz w:val="22"/>
              </w:rPr>
              <w:t>101</w:t>
            </w:r>
            <w:r>
              <w:rPr>
                <w:sz w:val="22"/>
              </w:rPr>
              <w:t>5</w:t>
            </w:r>
            <w:r w:rsidR="000E3C80" w:rsidRPr="00C05886">
              <w:rPr>
                <w:sz w:val="22"/>
              </w:rPr>
              <w:t>.</w:t>
            </w:r>
            <w:r>
              <w:rPr>
                <w:sz w:val="22"/>
              </w:rPr>
              <w:t>2</w:t>
            </w:r>
          </w:p>
        </w:tc>
      </w:tr>
    </w:tbl>
    <w:p w14:paraId="475E9BB9" w14:textId="77777777" w:rsidR="000E3C80" w:rsidRPr="00C05886" w:rsidRDefault="000E3C80" w:rsidP="00B542DE"/>
    <w:p w14:paraId="1388DCBB" w14:textId="57661190" w:rsidR="000E3C80" w:rsidRPr="00C05886" w:rsidRDefault="000E3C80" w:rsidP="00B542DE">
      <w:r w:rsidRPr="00C05886">
        <w:t xml:space="preserve">Figure </w:t>
      </w:r>
      <w:r w:rsidR="005A39F7">
        <w:t>4</w:t>
      </w:r>
      <w:r w:rsidR="005A39F7" w:rsidRPr="00C05886">
        <w:t xml:space="preserve"> </w:t>
      </w:r>
      <w:r w:rsidRPr="00C05886">
        <w:t xml:space="preserve">shows that as the actual number of species increased so did the probability of reporting high well-being. The same was true for the perceived </w:t>
      </w:r>
      <w:r w:rsidR="00A76BBB">
        <w:t>species richness</w:t>
      </w:r>
      <w:r w:rsidRPr="00C05886">
        <w:t xml:space="preserve"> (Figure 4). However, the model with perceived </w:t>
      </w:r>
      <w:r w:rsidR="00A76BBB">
        <w:t>species richness</w:t>
      </w:r>
      <w:r w:rsidRPr="00C05886">
        <w:t xml:space="preserve"> showed a better fit of the data – i.e. a lower AIC – and explained more variance – i.e. lower residual ICC. When modelled together, only the perceived </w:t>
      </w:r>
      <w:r w:rsidR="00A76BBB">
        <w:t>species richness</w:t>
      </w:r>
      <w:r w:rsidRPr="00C05886">
        <w:t xml:space="preserve"> remained a significant predictor of well-being (Table 3, model 3). Therefore, perceived </w:t>
      </w:r>
      <w:r w:rsidR="00A76BBB">
        <w:t>species richness</w:t>
      </w:r>
      <w:r w:rsidRPr="00C05886">
        <w:t xml:space="preserve"> was more strongly associated with well-being than actual </w:t>
      </w:r>
      <w:r w:rsidR="00A76BBB">
        <w:t>species richness</w:t>
      </w:r>
      <w:r w:rsidRPr="00C05886">
        <w:t>.</w:t>
      </w:r>
    </w:p>
    <w:p w14:paraId="0488A138" w14:textId="77777777" w:rsidR="000E3C80" w:rsidRPr="00C05886" w:rsidRDefault="000E3C80" w:rsidP="009D6C02">
      <w:pPr>
        <w:keepNext/>
      </w:pPr>
      <w:r w:rsidRPr="00134B49">
        <w:rPr>
          <w:noProof/>
        </w:rPr>
        <w:lastRenderedPageBreak/>
        <w:drawing>
          <wp:inline distT="0" distB="0" distL="0" distR="0" wp14:anchorId="554AEEA0" wp14:editId="34578594">
            <wp:extent cx="4554001" cy="3312000"/>
            <wp:effectExtent l="0" t="0" r="0" b="3175"/>
            <wp:docPr id="18486890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554001" cy="3312000"/>
                    </a:xfrm>
                    <a:prstGeom prst="rect">
                      <a:avLst/>
                    </a:prstGeom>
                    <a:noFill/>
                    <a:ln>
                      <a:noFill/>
                    </a:ln>
                  </pic:spPr>
                </pic:pic>
              </a:graphicData>
            </a:graphic>
          </wp:inline>
        </w:drawing>
      </w:r>
    </w:p>
    <w:p w14:paraId="089D8610" w14:textId="3DA4214E" w:rsidR="000E3C80" w:rsidRPr="00C05886" w:rsidRDefault="000E3C80" w:rsidP="009D6C02">
      <w:pPr>
        <w:pStyle w:val="Caption"/>
      </w:pPr>
      <w:r w:rsidRPr="00C05886">
        <w:t xml:space="preserve">Figure </w:t>
      </w:r>
      <w:r w:rsidR="005A39F7">
        <w:t>4</w:t>
      </w:r>
      <w:r w:rsidRPr="00C05886">
        <w:t xml:space="preserve">. Probabilities of reporting low, medium and high well-being predicted by actual </w:t>
      </w:r>
      <w:r w:rsidR="00A76BBB">
        <w:t>species richness</w:t>
      </w:r>
      <w:r w:rsidRPr="00C05886">
        <w:t>.</w:t>
      </w:r>
    </w:p>
    <w:p w14:paraId="1E2CC771" w14:textId="77777777" w:rsidR="000E3C80" w:rsidRPr="00C05886" w:rsidRDefault="000E3C80" w:rsidP="00AA2821">
      <w:pPr>
        <w:keepNext/>
      </w:pPr>
      <w:r w:rsidRPr="00C05886">
        <w:t xml:space="preserve"> </w:t>
      </w:r>
    </w:p>
    <w:p w14:paraId="36EBF34C" w14:textId="77777777" w:rsidR="000E3C80" w:rsidRPr="00C05886" w:rsidRDefault="000E3C80" w:rsidP="001F668A">
      <w:pPr>
        <w:keepNext/>
      </w:pPr>
      <w:r w:rsidRPr="00134B49">
        <w:rPr>
          <w:noProof/>
        </w:rPr>
        <w:drawing>
          <wp:inline distT="0" distB="0" distL="0" distR="0" wp14:anchorId="4EA829C6" wp14:editId="2F383319">
            <wp:extent cx="4548215" cy="3312000"/>
            <wp:effectExtent l="0" t="0" r="5080" b="3175"/>
            <wp:docPr id="20283219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8321994" name="Picture 1"/>
                    <pic:cNvPicPr>
                      <a:picLocks noChangeAspect="1" noChangeArrowheads="1"/>
                    </pic:cNvPicPr>
                  </pic:nvPicPr>
                  <pic:blipFill>
                    <a:blip r:embed="rId16">
                      <a:extLst>
                        <a:ext uri="{28A0092B-C50C-407E-A947-70E740481C1C}">
                          <a14:useLocalDpi xmlns:a14="http://schemas.microsoft.com/office/drawing/2010/main" val="0"/>
                        </a:ext>
                      </a:extLst>
                    </a:blip>
                    <a:stretch>
                      <a:fillRect/>
                    </a:stretch>
                  </pic:blipFill>
                  <pic:spPr bwMode="auto">
                    <a:xfrm>
                      <a:off x="0" y="0"/>
                      <a:ext cx="4548215" cy="3312000"/>
                    </a:xfrm>
                    <a:prstGeom prst="rect">
                      <a:avLst/>
                    </a:prstGeom>
                    <a:noFill/>
                    <a:ln>
                      <a:noFill/>
                    </a:ln>
                  </pic:spPr>
                </pic:pic>
              </a:graphicData>
            </a:graphic>
          </wp:inline>
        </w:drawing>
      </w:r>
    </w:p>
    <w:p w14:paraId="14E17BC2" w14:textId="4578D745" w:rsidR="000E3C80" w:rsidRPr="00C05886" w:rsidRDefault="000E3C80" w:rsidP="001F668A">
      <w:pPr>
        <w:pStyle w:val="Caption"/>
      </w:pPr>
      <w:r w:rsidRPr="00C05886">
        <w:t xml:space="preserve">Figure </w:t>
      </w:r>
      <w:r w:rsidR="005A39F7">
        <w:t>5</w:t>
      </w:r>
      <w:r w:rsidRPr="00C05886">
        <w:t xml:space="preserve">. Probabilities of reporting low, medium and high well-being predicted by perceived </w:t>
      </w:r>
      <w:r w:rsidR="00A76BBB">
        <w:t>species richness</w:t>
      </w:r>
      <w:r w:rsidRPr="00C05886">
        <w:t>.</w:t>
      </w:r>
    </w:p>
    <w:p w14:paraId="29559074" w14:textId="47E73FFE" w:rsidR="000E3C80" w:rsidRPr="00C05886" w:rsidRDefault="000E3C80" w:rsidP="00C64930">
      <w:pPr>
        <w:pStyle w:val="Heading4"/>
      </w:pPr>
      <w:r w:rsidRPr="00C05886">
        <w:t xml:space="preserve">Perceived </w:t>
      </w:r>
      <w:r w:rsidR="00B25DD5">
        <w:t>building density</w:t>
      </w:r>
      <w:r w:rsidRPr="00C05886">
        <w:t xml:space="preserve"> and well-being</w:t>
      </w:r>
    </w:p>
    <w:p w14:paraId="529376D9" w14:textId="35E63550" w:rsidR="000E3C80" w:rsidRPr="00C05886" w:rsidRDefault="000E3C80" w:rsidP="008C7E8F">
      <w:r w:rsidRPr="00C05886">
        <w:t xml:space="preserve">In the built condition, the perceived level of </w:t>
      </w:r>
      <w:r w:rsidR="00B25DD5">
        <w:t>building density</w:t>
      </w:r>
      <w:r w:rsidRPr="00C05886">
        <w:t xml:space="preserve"> was negatively associated with well-being (Table </w:t>
      </w:r>
      <w:r w:rsidR="005A39F7">
        <w:t>4</w:t>
      </w:r>
      <w:r w:rsidRPr="00C05886">
        <w:t xml:space="preserve">). As shown in Figure </w:t>
      </w:r>
      <w:r w:rsidR="005A39F7">
        <w:t>6</w:t>
      </w:r>
      <w:r w:rsidRPr="00C05886">
        <w:t xml:space="preserve">, as the perceived </w:t>
      </w:r>
      <w:r w:rsidR="00B25DD5">
        <w:t>building density</w:t>
      </w:r>
      <w:r w:rsidRPr="00C05886">
        <w:t xml:space="preserve"> grew, the probability of reporting high well-being was reduced. As noted above, some of the photos of the built environment </w:t>
      </w:r>
      <w:r w:rsidRPr="00C05886">
        <w:lastRenderedPageBreak/>
        <w:t xml:space="preserve">included </w:t>
      </w:r>
      <w:r w:rsidR="00A76BBB">
        <w:t>species richness</w:t>
      </w:r>
      <w:r w:rsidRPr="00C05886">
        <w:t xml:space="preserve">. The </w:t>
      </w:r>
      <w:r w:rsidR="00A76BBB">
        <w:t>species richness</w:t>
      </w:r>
      <w:r w:rsidRPr="00C05886">
        <w:t xml:space="preserve"> found in these pictures showed a positive relationship with well-being (Table </w:t>
      </w:r>
      <w:r w:rsidR="005A39F7">
        <w:t>4</w:t>
      </w:r>
      <w:r w:rsidRPr="00C05886">
        <w:t xml:space="preserve">, model 5). Both perceived </w:t>
      </w:r>
      <w:r w:rsidR="00B25DD5">
        <w:t>building density</w:t>
      </w:r>
      <w:r w:rsidRPr="00C05886">
        <w:t xml:space="preserve"> and actual </w:t>
      </w:r>
      <w:r w:rsidR="00A76BBB">
        <w:t>species richness</w:t>
      </w:r>
      <w:r w:rsidRPr="00C05886">
        <w:t xml:space="preserve"> remained significant predictors of well-being when modelled together (model 6).</w:t>
      </w:r>
    </w:p>
    <w:p w14:paraId="7E435252" w14:textId="418FF7BF" w:rsidR="000E3C80" w:rsidRPr="00C05886" w:rsidRDefault="000E3C80" w:rsidP="00745EAA">
      <w:pPr>
        <w:pStyle w:val="Caption"/>
        <w:keepNext/>
      </w:pPr>
      <w:r w:rsidRPr="00C05886">
        <w:t xml:space="preserve">Table </w:t>
      </w:r>
      <w:r w:rsidR="005A39F7">
        <w:t>4</w:t>
      </w:r>
      <w:r w:rsidRPr="00C05886">
        <w:t xml:space="preserve">. Summary table of the regression models predicting Well-being in the built condition. Model 4: demographics and perceived </w:t>
      </w:r>
      <w:r w:rsidR="00B25DD5">
        <w:t>building density</w:t>
      </w:r>
      <w:r w:rsidRPr="00C05886">
        <w:t xml:space="preserve">; Model 5: demographics and actual </w:t>
      </w:r>
      <w:r w:rsidR="00A76BBB">
        <w:t>species richness</w:t>
      </w:r>
      <w:r w:rsidRPr="00C05886">
        <w:t xml:space="preserve">; Model 6: demographics and both </w:t>
      </w:r>
      <w:r w:rsidR="00A76BBB">
        <w:t>species richness</w:t>
      </w:r>
      <w:r w:rsidRPr="00C05886">
        <w:t xml:space="preserve"> and </w:t>
      </w:r>
      <w:r w:rsidR="00B25DD5">
        <w:t>building density</w:t>
      </w:r>
      <w:r w:rsidRPr="00C05886">
        <w:t>.</w:t>
      </w:r>
    </w:p>
    <w:tbl>
      <w:tblPr>
        <w:tblStyle w:val="GridTable6Colourful"/>
        <w:tblW w:w="9583" w:type="dxa"/>
        <w:tblLook w:val="04A0" w:firstRow="1" w:lastRow="0" w:firstColumn="1" w:lastColumn="0" w:noHBand="0" w:noVBand="1"/>
      </w:tblPr>
      <w:tblGrid>
        <w:gridCol w:w="2263"/>
        <w:gridCol w:w="1364"/>
        <w:gridCol w:w="1051"/>
        <w:gridCol w:w="1361"/>
        <w:gridCol w:w="1149"/>
        <w:gridCol w:w="1459"/>
        <w:gridCol w:w="936"/>
      </w:tblGrid>
      <w:tr w:rsidR="000E3C80" w:rsidRPr="00C05886" w14:paraId="3815B24B" w14:textId="77777777" w:rsidTr="006B6FF3">
        <w:trPr>
          <w:cnfStyle w:val="100000000000" w:firstRow="1" w:lastRow="0" w:firstColumn="0" w:lastColumn="0" w:oddVBand="0" w:evenVBand="0" w:oddHBand="0"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2263" w:type="dxa"/>
            <w:tcBorders>
              <w:top w:val="nil"/>
              <w:left w:val="nil"/>
            </w:tcBorders>
          </w:tcPr>
          <w:p w14:paraId="77BA1EC7" w14:textId="77777777" w:rsidR="000E3C80" w:rsidRPr="00C05886" w:rsidRDefault="000E3C80" w:rsidP="00C64930">
            <w:pPr>
              <w:spacing w:line="240" w:lineRule="auto"/>
              <w:rPr>
                <w:sz w:val="22"/>
              </w:rPr>
            </w:pPr>
          </w:p>
        </w:tc>
        <w:tc>
          <w:tcPr>
            <w:tcW w:w="2415" w:type="dxa"/>
            <w:gridSpan w:val="2"/>
          </w:tcPr>
          <w:p w14:paraId="3A3BB666" w14:textId="42AA046C" w:rsidR="000E3C80" w:rsidRPr="00C05886" w:rsidRDefault="000E3C80" w:rsidP="00C64930">
            <w:pPr>
              <w:spacing w:line="240" w:lineRule="auto"/>
              <w:jc w:val="center"/>
              <w:cnfStyle w:val="100000000000" w:firstRow="1" w:lastRow="0" w:firstColumn="0" w:lastColumn="0" w:oddVBand="0" w:evenVBand="0" w:oddHBand="0" w:evenHBand="0" w:firstRowFirstColumn="0" w:firstRowLastColumn="0" w:lastRowFirstColumn="0" w:lastRowLastColumn="0"/>
              <w:rPr>
                <w:sz w:val="22"/>
              </w:rPr>
            </w:pPr>
            <w:r w:rsidRPr="00C05886">
              <w:rPr>
                <w:sz w:val="22"/>
              </w:rPr>
              <w:t>Model 4</w:t>
            </w:r>
            <w:r w:rsidR="00C06012">
              <w:rPr>
                <w:sz w:val="22"/>
              </w:rPr>
              <w:t xml:space="preserve"> (N= 370)</w:t>
            </w:r>
          </w:p>
        </w:tc>
        <w:tc>
          <w:tcPr>
            <w:tcW w:w="2510" w:type="dxa"/>
            <w:gridSpan w:val="2"/>
          </w:tcPr>
          <w:p w14:paraId="1FD13582" w14:textId="7AC342B0" w:rsidR="000E3C80" w:rsidRPr="00C05886" w:rsidRDefault="000E3C80" w:rsidP="00C64930">
            <w:pPr>
              <w:spacing w:line="240" w:lineRule="auto"/>
              <w:jc w:val="center"/>
              <w:cnfStyle w:val="100000000000" w:firstRow="1" w:lastRow="0" w:firstColumn="0" w:lastColumn="0" w:oddVBand="0" w:evenVBand="0" w:oddHBand="0" w:evenHBand="0" w:firstRowFirstColumn="0" w:firstRowLastColumn="0" w:lastRowFirstColumn="0" w:lastRowLastColumn="0"/>
              <w:rPr>
                <w:sz w:val="22"/>
              </w:rPr>
            </w:pPr>
            <w:r w:rsidRPr="00C05886">
              <w:rPr>
                <w:sz w:val="22"/>
              </w:rPr>
              <w:t>Model 5</w:t>
            </w:r>
            <w:r w:rsidR="00C06012">
              <w:rPr>
                <w:sz w:val="22"/>
              </w:rPr>
              <w:t xml:space="preserve"> (N= 370)</w:t>
            </w:r>
          </w:p>
        </w:tc>
        <w:tc>
          <w:tcPr>
            <w:tcW w:w="2395" w:type="dxa"/>
            <w:gridSpan w:val="2"/>
          </w:tcPr>
          <w:p w14:paraId="37FE7686" w14:textId="6B6E9CCC" w:rsidR="000E3C80" w:rsidRPr="00C05886" w:rsidRDefault="000E3C80" w:rsidP="00C64930">
            <w:pPr>
              <w:spacing w:line="240" w:lineRule="auto"/>
              <w:jc w:val="center"/>
              <w:cnfStyle w:val="100000000000" w:firstRow="1" w:lastRow="0" w:firstColumn="0" w:lastColumn="0" w:oddVBand="0" w:evenVBand="0" w:oddHBand="0" w:evenHBand="0" w:firstRowFirstColumn="0" w:firstRowLastColumn="0" w:lastRowFirstColumn="0" w:lastRowLastColumn="0"/>
              <w:rPr>
                <w:sz w:val="22"/>
              </w:rPr>
            </w:pPr>
            <w:r w:rsidRPr="00C05886">
              <w:rPr>
                <w:sz w:val="22"/>
              </w:rPr>
              <w:t>Model 6</w:t>
            </w:r>
            <w:r w:rsidR="00C06012">
              <w:rPr>
                <w:sz w:val="22"/>
              </w:rPr>
              <w:t xml:space="preserve"> (N= 370)</w:t>
            </w:r>
          </w:p>
        </w:tc>
      </w:tr>
      <w:tr w:rsidR="000E3C80" w:rsidRPr="00C05886" w14:paraId="7E8B6ED3" w14:textId="77777777" w:rsidTr="006B6FF3">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2263" w:type="dxa"/>
          </w:tcPr>
          <w:p w14:paraId="3365C941" w14:textId="77777777" w:rsidR="000E3C80" w:rsidRPr="00C05886" w:rsidRDefault="000E3C80" w:rsidP="00C64930">
            <w:pPr>
              <w:spacing w:line="240" w:lineRule="auto"/>
              <w:rPr>
                <w:sz w:val="22"/>
              </w:rPr>
            </w:pPr>
            <w:r w:rsidRPr="00C05886">
              <w:rPr>
                <w:sz w:val="22"/>
              </w:rPr>
              <w:t>Predictor</w:t>
            </w:r>
          </w:p>
        </w:tc>
        <w:tc>
          <w:tcPr>
            <w:tcW w:w="1364" w:type="dxa"/>
            <w:tcBorders>
              <w:right w:val="nil"/>
            </w:tcBorders>
          </w:tcPr>
          <w:p w14:paraId="62E68C91" w14:textId="77777777" w:rsidR="000E3C80" w:rsidRPr="00C05886" w:rsidRDefault="000E3C80" w:rsidP="00C64930">
            <w:pPr>
              <w:spacing w:line="240" w:lineRule="auto"/>
              <w:jc w:val="center"/>
              <w:cnfStyle w:val="000000100000" w:firstRow="0" w:lastRow="0" w:firstColumn="0" w:lastColumn="0" w:oddVBand="0" w:evenVBand="0" w:oddHBand="1" w:evenHBand="0" w:firstRowFirstColumn="0" w:firstRowLastColumn="0" w:lastRowFirstColumn="0" w:lastRowLastColumn="0"/>
              <w:rPr>
                <w:b/>
                <w:bCs/>
                <w:sz w:val="22"/>
              </w:rPr>
            </w:pPr>
            <w:r w:rsidRPr="00C05886">
              <w:rPr>
                <w:rFonts w:cstheme="minorHAnsi"/>
                <w:b/>
                <w:bCs/>
                <w:sz w:val="22"/>
              </w:rPr>
              <w:t>β</w:t>
            </w:r>
            <w:r w:rsidRPr="00C05886">
              <w:rPr>
                <w:b/>
                <w:bCs/>
                <w:sz w:val="22"/>
              </w:rPr>
              <w:t xml:space="preserve"> (S.E)</w:t>
            </w:r>
          </w:p>
        </w:tc>
        <w:tc>
          <w:tcPr>
            <w:tcW w:w="1051" w:type="dxa"/>
            <w:tcBorders>
              <w:left w:val="nil"/>
            </w:tcBorders>
          </w:tcPr>
          <w:p w14:paraId="41AB7B3B" w14:textId="77777777" w:rsidR="000E3C80" w:rsidRPr="00C05886" w:rsidRDefault="000E3C80" w:rsidP="00C64930">
            <w:pPr>
              <w:spacing w:line="240" w:lineRule="auto"/>
              <w:jc w:val="center"/>
              <w:cnfStyle w:val="000000100000" w:firstRow="0" w:lastRow="0" w:firstColumn="0" w:lastColumn="0" w:oddVBand="0" w:evenVBand="0" w:oddHBand="1" w:evenHBand="0" w:firstRowFirstColumn="0" w:firstRowLastColumn="0" w:lastRowFirstColumn="0" w:lastRowLastColumn="0"/>
              <w:rPr>
                <w:b/>
                <w:bCs/>
                <w:sz w:val="22"/>
              </w:rPr>
            </w:pPr>
            <w:r w:rsidRPr="00C05886">
              <w:rPr>
                <w:b/>
                <w:bCs/>
                <w:sz w:val="22"/>
              </w:rPr>
              <w:t>p-value</w:t>
            </w:r>
          </w:p>
        </w:tc>
        <w:tc>
          <w:tcPr>
            <w:tcW w:w="1361" w:type="dxa"/>
            <w:tcBorders>
              <w:right w:val="nil"/>
            </w:tcBorders>
          </w:tcPr>
          <w:p w14:paraId="6AA35721" w14:textId="77777777" w:rsidR="000E3C80" w:rsidRPr="00C05886" w:rsidRDefault="000E3C80" w:rsidP="00C64930">
            <w:pPr>
              <w:spacing w:line="240" w:lineRule="auto"/>
              <w:jc w:val="center"/>
              <w:cnfStyle w:val="000000100000" w:firstRow="0" w:lastRow="0" w:firstColumn="0" w:lastColumn="0" w:oddVBand="0" w:evenVBand="0" w:oddHBand="1" w:evenHBand="0" w:firstRowFirstColumn="0" w:firstRowLastColumn="0" w:lastRowFirstColumn="0" w:lastRowLastColumn="0"/>
              <w:rPr>
                <w:b/>
                <w:bCs/>
                <w:sz w:val="22"/>
              </w:rPr>
            </w:pPr>
            <w:r w:rsidRPr="00C05886">
              <w:rPr>
                <w:rFonts w:cstheme="minorHAnsi"/>
                <w:b/>
                <w:bCs/>
                <w:sz w:val="22"/>
              </w:rPr>
              <w:t>β</w:t>
            </w:r>
            <w:r w:rsidRPr="00C05886">
              <w:rPr>
                <w:b/>
                <w:bCs/>
                <w:sz w:val="22"/>
              </w:rPr>
              <w:t xml:space="preserve"> (S.E)</w:t>
            </w:r>
          </w:p>
        </w:tc>
        <w:tc>
          <w:tcPr>
            <w:tcW w:w="1149" w:type="dxa"/>
            <w:tcBorders>
              <w:left w:val="nil"/>
            </w:tcBorders>
          </w:tcPr>
          <w:p w14:paraId="17527EE2" w14:textId="77777777" w:rsidR="000E3C80" w:rsidRPr="00C05886" w:rsidRDefault="000E3C80" w:rsidP="00C64930">
            <w:pPr>
              <w:spacing w:line="240" w:lineRule="auto"/>
              <w:jc w:val="center"/>
              <w:cnfStyle w:val="000000100000" w:firstRow="0" w:lastRow="0" w:firstColumn="0" w:lastColumn="0" w:oddVBand="0" w:evenVBand="0" w:oddHBand="1" w:evenHBand="0" w:firstRowFirstColumn="0" w:firstRowLastColumn="0" w:lastRowFirstColumn="0" w:lastRowLastColumn="0"/>
              <w:rPr>
                <w:b/>
                <w:bCs/>
                <w:sz w:val="22"/>
              </w:rPr>
            </w:pPr>
            <w:r w:rsidRPr="00C05886">
              <w:rPr>
                <w:b/>
                <w:bCs/>
                <w:sz w:val="22"/>
              </w:rPr>
              <w:t>p-value</w:t>
            </w:r>
          </w:p>
        </w:tc>
        <w:tc>
          <w:tcPr>
            <w:tcW w:w="1459" w:type="dxa"/>
            <w:tcBorders>
              <w:right w:val="nil"/>
            </w:tcBorders>
          </w:tcPr>
          <w:p w14:paraId="52DA5B2C" w14:textId="77777777" w:rsidR="000E3C80" w:rsidRPr="00C05886" w:rsidRDefault="000E3C80" w:rsidP="00C64930">
            <w:pPr>
              <w:spacing w:line="240" w:lineRule="auto"/>
              <w:jc w:val="center"/>
              <w:cnfStyle w:val="000000100000" w:firstRow="0" w:lastRow="0" w:firstColumn="0" w:lastColumn="0" w:oddVBand="0" w:evenVBand="0" w:oddHBand="1" w:evenHBand="0" w:firstRowFirstColumn="0" w:firstRowLastColumn="0" w:lastRowFirstColumn="0" w:lastRowLastColumn="0"/>
              <w:rPr>
                <w:b/>
                <w:bCs/>
                <w:sz w:val="22"/>
              </w:rPr>
            </w:pPr>
            <w:r w:rsidRPr="00C05886">
              <w:rPr>
                <w:rFonts w:cstheme="minorHAnsi"/>
                <w:b/>
                <w:bCs/>
                <w:sz w:val="22"/>
              </w:rPr>
              <w:t>β</w:t>
            </w:r>
            <w:r w:rsidRPr="00C05886">
              <w:rPr>
                <w:b/>
                <w:bCs/>
                <w:sz w:val="22"/>
              </w:rPr>
              <w:t xml:space="preserve"> (S.E)</w:t>
            </w:r>
          </w:p>
        </w:tc>
        <w:tc>
          <w:tcPr>
            <w:tcW w:w="936" w:type="dxa"/>
            <w:tcBorders>
              <w:left w:val="nil"/>
            </w:tcBorders>
          </w:tcPr>
          <w:p w14:paraId="1DE8943B" w14:textId="77777777" w:rsidR="000E3C80" w:rsidRPr="00C05886" w:rsidRDefault="000E3C80" w:rsidP="00C64930">
            <w:pPr>
              <w:spacing w:line="240" w:lineRule="auto"/>
              <w:jc w:val="center"/>
              <w:cnfStyle w:val="000000100000" w:firstRow="0" w:lastRow="0" w:firstColumn="0" w:lastColumn="0" w:oddVBand="0" w:evenVBand="0" w:oddHBand="1" w:evenHBand="0" w:firstRowFirstColumn="0" w:firstRowLastColumn="0" w:lastRowFirstColumn="0" w:lastRowLastColumn="0"/>
              <w:rPr>
                <w:b/>
                <w:bCs/>
                <w:sz w:val="22"/>
              </w:rPr>
            </w:pPr>
            <w:r w:rsidRPr="00C05886">
              <w:rPr>
                <w:b/>
                <w:bCs/>
                <w:sz w:val="22"/>
              </w:rPr>
              <w:t>p-value</w:t>
            </w:r>
          </w:p>
        </w:tc>
      </w:tr>
      <w:tr w:rsidR="000E3C80" w:rsidRPr="00C05886" w14:paraId="72BB2D30" w14:textId="77777777" w:rsidTr="006B6FF3">
        <w:trPr>
          <w:trHeight w:val="1111"/>
        </w:trPr>
        <w:tc>
          <w:tcPr>
            <w:cnfStyle w:val="001000000000" w:firstRow="0" w:lastRow="0" w:firstColumn="1" w:lastColumn="0" w:oddVBand="0" w:evenVBand="0" w:oddHBand="0" w:evenHBand="0" w:firstRowFirstColumn="0" w:firstRowLastColumn="0" w:lastRowFirstColumn="0" w:lastRowLastColumn="0"/>
            <w:tcW w:w="2263" w:type="dxa"/>
          </w:tcPr>
          <w:p w14:paraId="46279B39" w14:textId="4B202145" w:rsidR="000E3C80" w:rsidRPr="00C05886" w:rsidRDefault="000E3C80" w:rsidP="00C64930">
            <w:pPr>
              <w:spacing w:line="240" w:lineRule="auto"/>
              <w:rPr>
                <w:b w:val="0"/>
                <w:bCs w:val="0"/>
                <w:sz w:val="22"/>
              </w:rPr>
            </w:pPr>
            <w:r w:rsidRPr="00C05886">
              <w:rPr>
                <w:sz w:val="22"/>
              </w:rPr>
              <w:t xml:space="preserve">Per. </w:t>
            </w:r>
            <w:r w:rsidR="00B25DD5">
              <w:t>building density</w:t>
            </w:r>
          </w:p>
          <w:p w14:paraId="787ABC3C" w14:textId="77777777" w:rsidR="000E3C80" w:rsidRPr="00C05886" w:rsidRDefault="000E3C80" w:rsidP="00C64930">
            <w:pPr>
              <w:spacing w:line="240" w:lineRule="auto"/>
              <w:jc w:val="right"/>
              <w:rPr>
                <w:b w:val="0"/>
                <w:bCs w:val="0"/>
                <w:sz w:val="22"/>
              </w:rPr>
            </w:pPr>
            <w:r w:rsidRPr="00C05886">
              <w:rPr>
                <w:sz w:val="22"/>
              </w:rPr>
              <w:t>1</w:t>
            </w:r>
          </w:p>
          <w:p w14:paraId="17944488" w14:textId="77777777" w:rsidR="000E3C80" w:rsidRPr="00C05886" w:rsidRDefault="000E3C80" w:rsidP="00C64930">
            <w:pPr>
              <w:spacing w:line="240" w:lineRule="auto"/>
              <w:jc w:val="right"/>
              <w:rPr>
                <w:b w:val="0"/>
                <w:bCs w:val="0"/>
                <w:sz w:val="22"/>
              </w:rPr>
            </w:pPr>
            <w:r w:rsidRPr="00C05886">
              <w:rPr>
                <w:sz w:val="22"/>
              </w:rPr>
              <w:t>2</w:t>
            </w:r>
          </w:p>
          <w:p w14:paraId="2E15DD44" w14:textId="77777777" w:rsidR="000E3C80" w:rsidRPr="00C05886" w:rsidRDefault="000E3C80" w:rsidP="00C64930">
            <w:pPr>
              <w:spacing w:line="240" w:lineRule="auto"/>
              <w:jc w:val="right"/>
              <w:rPr>
                <w:sz w:val="22"/>
              </w:rPr>
            </w:pPr>
            <w:r w:rsidRPr="00C05886">
              <w:rPr>
                <w:sz w:val="22"/>
              </w:rPr>
              <w:t>3</w:t>
            </w:r>
          </w:p>
        </w:tc>
        <w:tc>
          <w:tcPr>
            <w:tcW w:w="1364" w:type="dxa"/>
            <w:tcBorders>
              <w:right w:val="nil"/>
            </w:tcBorders>
          </w:tcPr>
          <w:p w14:paraId="17D63499" w14:textId="77777777" w:rsidR="000E3C80" w:rsidRPr="00C05886" w:rsidRDefault="000E3C80" w:rsidP="00C64930">
            <w:pPr>
              <w:spacing w:line="240" w:lineRule="auto"/>
              <w:jc w:val="center"/>
              <w:cnfStyle w:val="000000000000" w:firstRow="0" w:lastRow="0" w:firstColumn="0" w:lastColumn="0" w:oddVBand="0" w:evenVBand="0" w:oddHBand="0" w:evenHBand="0" w:firstRowFirstColumn="0" w:firstRowLastColumn="0" w:lastRowFirstColumn="0" w:lastRowLastColumn="0"/>
              <w:rPr>
                <w:sz w:val="22"/>
              </w:rPr>
            </w:pPr>
          </w:p>
          <w:p w14:paraId="0FACA295" w14:textId="77777777" w:rsidR="000E3C80" w:rsidRPr="00C05886" w:rsidRDefault="000E3C80" w:rsidP="00C64930">
            <w:pPr>
              <w:spacing w:line="240" w:lineRule="auto"/>
              <w:jc w:val="center"/>
              <w:cnfStyle w:val="000000000000" w:firstRow="0" w:lastRow="0" w:firstColumn="0" w:lastColumn="0" w:oddVBand="0" w:evenVBand="0" w:oddHBand="0" w:evenHBand="0" w:firstRowFirstColumn="0" w:firstRowLastColumn="0" w:lastRowFirstColumn="0" w:lastRowLastColumn="0"/>
              <w:rPr>
                <w:sz w:val="22"/>
              </w:rPr>
            </w:pPr>
            <w:r w:rsidRPr="00C05886">
              <w:rPr>
                <w:sz w:val="22"/>
              </w:rPr>
              <w:t>-1.71 (0.73)</w:t>
            </w:r>
          </w:p>
          <w:p w14:paraId="6CE5EF2A" w14:textId="2AA92777" w:rsidR="000E3C80" w:rsidRPr="00C05886" w:rsidRDefault="000E3C80" w:rsidP="00C64930">
            <w:pPr>
              <w:spacing w:line="240" w:lineRule="auto"/>
              <w:jc w:val="center"/>
              <w:cnfStyle w:val="000000000000" w:firstRow="0" w:lastRow="0" w:firstColumn="0" w:lastColumn="0" w:oddVBand="0" w:evenVBand="0" w:oddHBand="0" w:evenHBand="0" w:firstRowFirstColumn="0" w:firstRowLastColumn="0" w:lastRowFirstColumn="0" w:lastRowLastColumn="0"/>
              <w:rPr>
                <w:sz w:val="22"/>
              </w:rPr>
            </w:pPr>
            <w:r w:rsidRPr="00C05886">
              <w:rPr>
                <w:sz w:val="22"/>
              </w:rPr>
              <w:t>-2.</w:t>
            </w:r>
            <w:r w:rsidR="009D6D04">
              <w:rPr>
                <w:sz w:val="22"/>
              </w:rPr>
              <w:t>19</w:t>
            </w:r>
            <w:r w:rsidR="009D6D04" w:rsidRPr="00C05886">
              <w:rPr>
                <w:sz w:val="22"/>
              </w:rPr>
              <w:t xml:space="preserve"> </w:t>
            </w:r>
            <w:r w:rsidRPr="00C05886">
              <w:rPr>
                <w:sz w:val="22"/>
              </w:rPr>
              <w:t>(0.66)</w:t>
            </w:r>
          </w:p>
          <w:p w14:paraId="4C151192" w14:textId="77777777" w:rsidR="000E3C80" w:rsidRPr="00C05886" w:rsidRDefault="000E3C80" w:rsidP="00C64930">
            <w:pPr>
              <w:spacing w:line="240" w:lineRule="auto"/>
              <w:jc w:val="center"/>
              <w:cnfStyle w:val="000000000000" w:firstRow="0" w:lastRow="0" w:firstColumn="0" w:lastColumn="0" w:oddVBand="0" w:evenVBand="0" w:oddHBand="0" w:evenHBand="0" w:firstRowFirstColumn="0" w:firstRowLastColumn="0" w:lastRowFirstColumn="0" w:lastRowLastColumn="0"/>
              <w:rPr>
                <w:sz w:val="22"/>
              </w:rPr>
            </w:pPr>
            <w:r w:rsidRPr="00C05886">
              <w:rPr>
                <w:sz w:val="22"/>
              </w:rPr>
              <w:t>-2.46 (0.69)</w:t>
            </w:r>
          </w:p>
        </w:tc>
        <w:tc>
          <w:tcPr>
            <w:tcW w:w="1051" w:type="dxa"/>
            <w:tcBorders>
              <w:left w:val="nil"/>
            </w:tcBorders>
          </w:tcPr>
          <w:p w14:paraId="5F4FFCDB" w14:textId="77777777" w:rsidR="000E3C80" w:rsidRPr="00C05886" w:rsidRDefault="000E3C80" w:rsidP="00C64930">
            <w:pPr>
              <w:spacing w:line="240" w:lineRule="auto"/>
              <w:jc w:val="center"/>
              <w:cnfStyle w:val="000000000000" w:firstRow="0" w:lastRow="0" w:firstColumn="0" w:lastColumn="0" w:oddVBand="0" w:evenVBand="0" w:oddHBand="0" w:evenHBand="0" w:firstRowFirstColumn="0" w:firstRowLastColumn="0" w:lastRowFirstColumn="0" w:lastRowLastColumn="0"/>
              <w:rPr>
                <w:sz w:val="22"/>
              </w:rPr>
            </w:pPr>
          </w:p>
          <w:p w14:paraId="1AA45034" w14:textId="365BBA13" w:rsidR="000E3C80" w:rsidRPr="00C05886" w:rsidRDefault="000E3C80" w:rsidP="00C64930">
            <w:pPr>
              <w:spacing w:line="240" w:lineRule="auto"/>
              <w:jc w:val="center"/>
              <w:cnfStyle w:val="000000000000" w:firstRow="0" w:lastRow="0" w:firstColumn="0" w:lastColumn="0" w:oddVBand="0" w:evenVBand="0" w:oddHBand="0" w:evenHBand="0" w:firstRowFirstColumn="0" w:firstRowLastColumn="0" w:lastRowFirstColumn="0" w:lastRowLastColumn="0"/>
              <w:rPr>
                <w:sz w:val="22"/>
              </w:rPr>
            </w:pPr>
            <w:r w:rsidRPr="00C05886">
              <w:rPr>
                <w:sz w:val="22"/>
              </w:rPr>
              <w:t>0.</w:t>
            </w:r>
            <w:r w:rsidR="009D6D04" w:rsidRPr="00C05886">
              <w:rPr>
                <w:sz w:val="22"/>
              </w:rPr>
              <w:t>0</w:t>
            </w:r>
            <w:r w:rsidR="009D6D04">
              <w:rPr>
                <w:sz w:val="22"/>
              </w:rPr>
              <w:t>18</w:t>
            </w:r>
          </w:p>
          <w:p w14:paraId="2CA58AEC" w14:textId="2D0D59AB" w:rsidR="000E3C80" w:rsidRPr="00C05886" w:rsidRDefault="009D6D04" w:rsidP="00C64930">
            <w:pPr>
              <w:spacing w:line="240" w:lineRule="auto"/>
              <w:jc w:val="center"/>
              <w:cnfStyle w:val="000000000000" w:firstRow="0" w:lastRow="0" w:firstColumn="0" w:lastColumn="0" w:oddVBand="0" w:evenVBand="0" w:oddHBand="0" w:evenHBand="0" w:firstRowFirstColumn="0" w:firstRowLastColumn="0" w:lastRowFirstColumn="0" w:lastRowLastColumn="0"/>
              <w:rPr>
                <w:sz w:val="22"/>
              </w:rPr>
            </w:pPr>
            <w:r w:rsidRPr="00C05886">
              <w:rPr>
                <w:sz w:val="22"/>
              </w:rPr>
              <w:t>&lt;</w:t>
            </w:r>
            <w:r w:rsidR="000E3C80" w:rsidRPr="00C05886">
              <w:rPr>
                <w:sz w:val="22"/>
              </w:rPr>
              <w:t>0.001</w:t>
            </w:r>
          </w:p>
          <w:p w14:paraId="65CF43C4" w14:textId="77777777" w:rsidR="000E3C80" w:rsidRPr="00C05886" w:rsidRDefault="000E3C80" w:rsidP="00C64930">
            <w:pPr>
              <w:spacing w:line="240" w:lineRule="auto"/>
              <w:jc w:val="center"/>
              <w:cnfStyle w:val="000000000000" w:firstRow="0" w:lastRow="0" w:firstColumn="0" w:lastColumn="0" w:oddVBand="0" w:evenVBand="0" w:oddHBand="0" w:evenHBand="0" w:firstRowFirstColumn="0" w:firstRowLastColumn="0" w:lastRowFirstColumn="0" w:lastRowLastColumn="0"/>
              <w:rPr>
                <w:sz w:val="22"/>
              </w:rPr>
            </w:pPr>
            <w:r w:rsidRPr="00C05886">
              <w:rPr>
                <w:sz w:val="22"/>
              </w:rPr>
              <w:t>&lt;0.001</w:t>
            </w:r>
          </w:p>
        </w:tc>
        <w:tc>
          <w:tcPr>
            <w:tcW w:w="1361" w:type="dxa"/>
            <w:tcBorders>
              <w:right w:val="nil"/>
            </w:tcBorders>
          </w:tcPr>
          <w:p w14:paraId="5B67B3B5" w14:textId="77777777" w:rsidR="000E3C80" w:rsidRPr="00C05886" w:rsidRDefault="000E3C80" w:rsidP="00C64930">
            <w:pPr>
              <w:spacing w:line="240" w:lineRule="auto"/>
              <w:jc w:val="center"/>
              <w:cnfStyle w:val="000000000000" w:firstRow="0" w:lastRow="0" w:firstColumn="0" w:lastColumn="0" w:oddVBand="0" w:evenVBand="0" w:oddHBand="0" w:evenHBand="0" w:firstRowFirstColumn="0" w:firstRowLastColumn="0" w:lastRowFirstColumn="0" w:lastRowLastColumn="0"/>
              <w:rPr>
                <w:sz w:val="22"/>
              </w:rPr>
            </w:pPr>
          </w:p>
          <w:p w14:paraId="34660A1C" w14:textId="77777777" w:rsidR="000E3C80" w:rsidRPr="00C05886" w:rsidRDefault="000E3C80" w:rsidP="00C64930">
            <w:pPr>
              <w:spacing w:line="240" w:lineRule="auto"/>
              <w:jc w:val="center"/>
              <w:cnfStyle w:val="000000000000" w:firstRow="0" w:lastRow="0" w:firstColumn="0" w:lastColumn="0" w:oddVBand="0" w:evenVBand="0" w:oddHBand="0" w:evenHBand="0" w:firstRowFirstColumn="0" w:firstRowLastColumn="0" w:lastRowFirstColumn="0" w:lastRowLastColumn="0"/>
              <w:rPr>
                <w:sz w:val="22"/>
              </w:rPr>
            </w:pPr>
            <w:r w:rsidRPr="00C05886">
              <w:rPr>
                <w:sz w:val="22"/>
              </w:rPr>
              <w:t>-</w:t>
            </w:r>
          </w:p>
          <w:p w14:paraId="499EA877" w14:textId="77777777" w:rsidR="000E3C80" w:rsidRPr="00C05886" w:rsidRDefault="000E3C80" w:rsidP="00C64930">
            <w:pPr>
              <w:spacing w:line="240" w:lineRule="auto"/>
              <w:jc w:val="center"/>
              <w:cnfStyle w:val="000000000000" w:firstRow="0" w:lastRow="0" w:firstColumn="0" w:lastColumn="0" w:oddVBand="0" w:evenVBand="0" w:oddHBand="0" w:evenHBand="0" w:firstRowFirstColumn="0" w:firstRowLastColumn="0" w:lastRowFirstColumn="0" w:lastRowLastColumn="0"/>
              <w:rPr>
                <w:sz w:val="22"/>
              </w:rPr>
            </w:pPr>
            <w:r w:rsidRPr="00C05886">
              <w:rPr>
                <w:sz w:val="22"/>
              </w:rPr>
              <w:t>-</w:t>
            </w:r>
          </w:p>
          <w:p w14:paraId="66B1C454" w14:textId="77777777" w:rsidR="000E3C80" w:rsidRPr="00C05886" w:rsidRDefault="000E3C80" w:rsidP="00C64930">
            <w:pPr>
              <w:spacing w:line="240" w:lineRule="auto"/>
              <w:jc w:val="center"/>
              <w:cnfStyle w:val="000000000000" w:firstRow="0" w:lastRow="0" w:firstColumn="0" w:lastColumn="0" w:oddVBand="0" w:evenVBand="0" w:oddHBand="0" w:evenHBand="0" w:firstRowFirstColumn="0" w:firstRowLastColumn="0" w:lastRowFirstColumn="0" w:lastRowLastColumn="0"/>
              <w:rPr>
                <w:sz w:val="22"/>
              </w:rPr>
            </w:pPr>
            <w:r w:rsidRPr="00C05886">
              <w:rPr>
                <w:sz w:val="22"/>
              </w:rPr>
              <w:t>-</w:t>
            </w:r>
          </w:p>
        </w:tc>
        <w:tc>
          <w:tcPr>
            <w:tcW w:w="1149" w:type="dxa"/>
            <w:tcBorders>
              <w:left w:val="nil"/>
            </w:tcBorders>
          </w:tcPr>
          <w:p w14:paraId="4CC5C852" w14:textId="77777777" w:rsidR="000E3C80" w:rsidRPr="00C05886" w:rsidRDefault="000E3C80" w:rsidP="00C64930">
            <w:pPr>
              <w:spacing w:line="240" w:lineRule="auto"/>
              <w:jc w:val="center"/>
              <w:cnfStyle w:val="000000000000" w:firstRow="0" w:lastRow="0" w:firstColumn="0" w:lastColumn="0" w:oddVBand="0" w:evenVBand="0" w:oddHBand="0" w:evenHBand="0" w:firstRowFirstColumn="0" w:firstRowLastColumn="0" w:lastRowFirstColumn="0" w:lastRowLastColumn="0"/>
              <w:rPr>
                <w:sz w:val="22"/>
              </w:rPr>
            </w:pPr>
          </w:p>
          <w:p w14:paraId="5AA2CAA7" w14:textId="77777777" w:rsidR="000E3C80" w:rsidRPr="00C05886" w:rsidRDefault="000E3C80" w:rsidP="00C64930">
            <w:pPr>
              <w:spacing w:line="240" w:lineRule="auto"/>
              <w:jc w:val="center"/>
              <w:cnfStyle w:val="000000000000" w:firstRow="0" w:lastRow="0" w:firstColumn="0" w:lastColumn="0" w:oddVBand="0" w:evenVBand="0" w:oddHBand="0" w:evenHBand="0" w:firstRowFirstColumn="0" w:firstRowLastColumn="0" w:lastRowFirstColumn="0" w:lastRowLastColumn="0"/>
              <w:rPr>
                <w:sz w:val="22"/>
              </w:rPr>
            </w:pPr>
            <w:r w:rsidRPr="00C05886">
              <w:rPr>
                <w:sz w:val="22"/>
              </w:rPr>
              <w:t>-</w:t>
            </w:r>
          </w:p>
          <w:p w14:paraId="324552D8" w14:textId="77777777" w:rsidR="000E3C80" w:rsidRPr="00C05886" w:rsidRDefault="000E3C80" w:rsidP="00C64930">
            <w:pPr>
              <w:spacing w:line="240" w:lineRule="auto"/>
              <w:jc w:val="center"/>
              <w:cnfStyle w:val="000000000000" w:firstRow="0" w:lastRow="0" w:firstColumn="0" w:lastColumn="0" w:oddVBand="0" w:evenVBand="0" w:oddHBand="0" w:evenHBand="0" w:firstRowFirstColumn="0" w:firstRowLastColumn="0" w:lastRowFirstColumn="0" w:lastRowLastColumn="0"/>
              <w:rPr>
                <w:sz w:val="22"/>
              </w:rPr>
            </w:pPr>
            <w:r w:rsidRPr="00C05886">
              <w:rPr>
                <w:sz w:val="22"/>
              </w:rPr>
              <w:t>-</w:t>
            </w:r>
          </w:p>
          <w:p w14:paraId="2887EAB5" w14:textId="77777777" w:rsidR="000E3C80" w:rsidRPr="00C05886" w:rsidRDefault="000E3C80" w:rsidP="00C64930">
            <w:pPr>
              <w:spacing w:line="240" w:lineRule="auto"/>
              <w:jc w:val="center"/>
              <w:cnfStyle w:val="000000000000" w:firstRow="0" w:lastRow="0" w:firstColumn="0" w:lastColumn="0" w:oddVBand="0" w:evenVBand="0" w:oddHBand="0" w:evenHBand="0" w:firstRowFirstColumn="0" w:firstRowLastColumn="0" w:lastRowFirstColumn="0" w:lastRowLastColumn="0"/>
              <w:rPr>
                <w:sz w:val="22"/>
              </w:rPr>
            </w:pPr>
            <w:r w:rsidRPr="00C05886">
              <w:rPr>
                <w:sz w:val="22"/>
              </w:rPr>
              <w:t>-</w:t>
            </w:r>
          </w:p>
        </w:tc>
        <w:tc>
          <w:tcPr>
            <w:tcW w:w="1459" w:type="dxa"/>
            <w:tcBorders>
              <w:right w:val="nil"/>
            </w:tcBorders>
          </w:tcPr>
          <w:p w14:paraId="0143EB1D" w14:textId="77777777" w:rsidR="000E3C80" w:rsidRPr="00C05886" w:rsidRDefault="000E3C80" w:rsidP="00C64930">
            <w:pPr>
              <w:spacing w:line="240" w:lineRule="auto"/>
              <w:jc w:val="center"/>
              <w:cnfStyle w:val="000000000000" w:firstRow="0" w:lastRow="0" w:firstColumn="0" w:lastColumn="0" w:oddVBand="0" w:evenVBand="0" w:oddHBand="0" w:evenHBand="0" w:firstRowFirstColumn="0" w:firstRowLastColumn="0" w:lastRowFirstColumn="0" w:lastRowLastColumn="0"/>
              <w:rPr>
                <w:sz w:val="22"/>
              </w:rPr>
            </w:pPr>
          </w:p>
          <w:p w14:paraId="259F6458" w14:textId="77777777" w:rsidR="000E3C80" w:rsidRPr="00C05886" w:rsidRDefault="000E3C80" w:rsidP="00C64930">
            <w:pPr>
              <w:spacing w:line="240" w:lineRule="auto"/>
              <w:jc w:val="center"/>
              <w:cnfStyle w:val="000000000000" w:firstRow="0" w:lastRow="0" w:firstColumn="0" w:lastColumn="0" w:oddVBand="0" w:evenVBand="0" w:oddHBand="0" w:evenHBand="0" w:firstRowFirstColumn="0" w:firstRowLastColumn="0" w:lastRowFirstColumn="0" w:lastRowLastColumn="0"/>
              <w:rPr>
                <w:sz w:val="22"/>
              </w:rPr>
            </w:pPr>
            <w:r w:rsidRPr="00C05886">
              <w:rPr>
                <w:sz w:val="22"/>
              </w:rPr>
              <w:t>-1.68 (0.73)</w:t>
            </w:r>
          </w:p>
          <w:p w14:paraId="6ED94F45" w14:textId="77777777" w:rsidR="000E3C80" w:rsidRPr="00C05886" w:rsidRDefault="000E3C80" w:rsidP="00C64930">
            <w:pPr>
              <w:spacing w:line="240" w:lineRule="auto"/>
              <w:jc w:val="center"/>
              <w:cnfStyle w:val="000000000000" w:firstRow="0" w:lastRow="0" w:firstColumn="0" w:lastColumn="0" w:oddVBand="0" w:evenVBand="0" w:oddHBand="0" w:evenHBand="0" w:firstRowFirstColumn="0" w:firstRowLastColumn="0" w:lastRowFirstColumn="0" w:lastRowLastColumn="0"/>
              <w:rPr>
                <w:sz w:val="22"/>
              </w:rPr>
            </w:pPr>
            <w:r w:rsidRPr="00C05886">
              <w:rPr>
                <w:sz w:val="22"/>
              </w:rPr>
              <w:t>-2.12 (0.66)</w:t>
            </w:r>
          </w:p>
          <w:p w14:paraId="21C30477" w14:textId="77FE4D6E" w:rsidR="000E3C80" w:rsidRPr="00C05886" w:rsidRDefault="000E3C80" w:rsidP="00C64930">
            <w:pPr>
              <w:spacing w:line="240" w:lineRule="auto"/>
              <w:jc w:val="center"/>
              <w:cnfStyle w:val="000000000000" w:firstRow="0" w:lastRow="0" w:firstColumn="0" w:lastColumn="0" w:oddVBand="0" w:evenVBand="0" w:oddHBand="0" w:evenHBand="0" w:firstRowFirstColumn="0" w:firstRowLastColumn="0" w:lastRowFirstColumn="0" w:lastRowLastColumn="0"/>
              <w:rPr>
                <w:sz w:val="22"/>
              </w:rPr>
            </w:pPr>
            <w:r w:rsidRPr="00C05886">
              <w:rPr>
                <w:sz w:val="22"/>
              </w:rPr>
              <w:t>-2.</w:t>
            </w:r>
            <w:r w:rsidR="002C6F5E">
              <w:rPr>
                <w:sz w:val="22"/>
              </w:rPr>
              <w:t>1</w:t>
            </w:r>
            <w:r w:rsidR="002C6F5E" w:rsidRPr="00C05886">
              <w:rPr>
                <w:sz w:val="22"/>
              </w:rPr>
              <w:t xml:space="preserve">3 </w:t>
            </w:r>
            <w:r w:rsidRPr="00C05886">
              <w:rPr>
                <w:sz w:val="22"/>
              </w:rPr>
              <w:t>(0.7)</w:t>
            </w:r>
          </w:p>
        </w:tc>
        <w:tc>
          <w:tcPr>
            <w:tcW w:w="936" w:type="dxa"/>
            <w:tcBorders>
              <w:left w:val="nil"/>
            </w:tcBorders>
          </w:tcPr>
          <w:p w14:paraId="518F04CC" w14:textId="77777777" w:rsidR="000E3C80" w:rsidRPr="00C05886" w:rsidRDefault="000E3C80" w:rsidP="00C64930">
            <w:pPr>
              <w:spacing w:line="240" w:lineRule="auto"/>
              <w:jc w:val="center"/>
              <w:cnfStyle w:val="000000000000" w:firstRow="0" w:lastRow="0" w:firstColumn="0" w:lastColumn="0" w:oddVBand="0" w:evenVBand="0" w:oddHBand="0" w:evenHBand="0" w:firstRowFirstColumn="0" w:firstRowLastColumn="0" w:lastRowFirstColumn="0" w:lastRowLastColumn="0"/>
              <w:rPr>
                <w:sz w:val="22"/>
              </w:rPr>
            </w:pPr>
          </w:p>
          <w:p w14:paraId="76B7EF75" w14:textId="77777777" w:rsidR="000E3C80" w:rsidRPr="00C05886" w:rsidRDefault="000E3C80" w:rsidP="00C64930">
            <w:pPr>
              <w:spacing w:line="240" w:lineRule="auto"/>
              <w:jc w:val="center"/>
              <w:cnfStyle w:val="000000000000" w:firstRow="0" w:lastRow="0" w:firstColumn="0" w:lastColumn="0" w:oddVBand="0" w:evenVBand="0" w:oddHBand="0" w:evenHBand="0" w:firstRowFirstColumn="0" w:firstRowLastColumn="0" w:lastRowFirstColumn="0" w:lastRowLastColumn="0"/>
              <w:rPr>
                <w:sz w:val="22"/>
              </w:rPr>
            </w:pPr>
            <w:r w:rsidRPr="00C05886">
              <w:rPr>
                <w:sz w:val="22"/>
              </w:rPr>
              <w:t>0.02</w:t>
            </w:r>
          </w:p>
          <w:p w14:paraId="096A442F" w14:textId="77777777" w:rsidR="000E3C80" w:rsidRPr="00C05886" w:rsidRDefault="000E3C80" w:rsidP="00C64930">
            <w:pPr>
              <w:spacing w:line="240" w:lineRule="auto"/>
              <w:jc w:val="center"/>
              <w:cnfStyle w:val="000000000000" w:firstRow="0" w:lastRow="0" w:firstColumn="0" w:lastColumn="0" w:oddVBand="0" w:evenVBand="0" w:oddHBand="0" w:evenHBand="0" w:firstRowFirstColumn="0" w:firstRowLastColumn="0" w:lastRowFirstColumn="0" w:lastRowLastColumn="0"/>
              <w:rPr>
                <w:sz w:val="22"/>
              </w:rPr>
            </w:pPr>
            <w:r w:rsidRPr="00C05886">
              <w:rPr>
                <w:sz w:val="22"/>
              </w:rPr>
              <w:t>0.001</w:t>
            </w:r>
          </w:p>
          <w:p w14:paraId="4CC6691C" w14:textId="71ED6FB1" w:rsidR="000E3C80" w:rsidRPr="00C05886" w:rsidRDefault="000E3C80" w:rsidP="00C64930">
            <w:pPr>
              <w:spacing w:line="240" w:lineRule="auto"/>
              <w:jc w:val="center"/>
              <w:cnfStyle w:val="000000000000" w:firstRow="0" w:lastRow="0" w:firstColumn="0" w:lastColumn="0" w:oddVBand="0" w:evenVBand="0" w:oddHBand="0" w:evenHBand="0" w:firstRowFirstColumn="0" w:firstRowLastColumn="0" w:lastRowFirstColumn="0" w:lastRowLastColumn="0"/>
              <w:rPr>
                <w:sz w:val="22"/>
              </w:rPr>
            </w:pPr>
            <w:r w:rsidRPr="00C05886">
              <w:rPr>
                <w:sz w:val="22"/>
              </w:rPr>
              <w:t>0.</w:t>
            </w:r>
            <w:r w:rsidR="002C6F5E" w:rsidRPr="00C05886">
              <w:rPr>
                <w:sz w:val="22"/>
              </w:rPr>
              <w:t>00</w:t>
            </w:r>
            <w:r w:rsidR="002C6F5E">
              <w:rPr>
                <w:sz w:val="22"/>
              </w:rPr>
              <w:t>2</w:t>
            </w:r>
          </w:p>
        </w:tc>
      </w:tr>
      <w:tr w:rsidR="000E3C80" w:rsidRPr="00C05886" w14:paraId="0EBD17C8" w14:textId="77777777" w:rsidTr="00017A81">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2263" w:type="dxa"/>
          </w:tcPr>
          <w:p w14:paraId="11C1785C" w14:textId="77777777" w:rsidR="000E3C80" w:rsidRPr="00C05886" w:rsidRDefault="000E3C80" w:rsidP="00C64930">
            <w:pPr>
              <w:spacing w:line="240" w:lineRule="auto"/>
              <w:rPr>
                <w:sz w:val="22"/>
              </w:rPr>
            </w:pPr>
            <w:r w:rsidRPr="00C05886">
              <w:rPr>
                <w:sz w:val="22"/>
              </w:rPr>
              <w:t>Species number</w:t>
            </w:r>
          </w:p>
        </w:tc>
        <w:tc>
          <w:tcPr>
            <w:tcW w:w="1364" w:type="dxa"/>
            <w:tcBorders>
              <w:right w:val="nil"/>
            </w:tcBorders>
          </w:tcPr>
          <w:p w14:paraId="463326E1" w14:textId="77777777" w:rsidR="000E3C80" w:rsidRPr="00C05886" w:rsidRDefault="000E3C80" w:rsidP="00C64930">
            <w:pPr>
              <w:spacing w:line="240" w:lineRule="auto"/>
              <w:jc w:val="center"/>
              <w:cnfStyle w:val="000000100000" w:firstRow="0" w:lastRow="0" w:firstColumn="0" w:lastColumn="0" w:oddVBand="0" w:evenVBand="0" w:oddHBand="1" w:evenHBand="0" w:firstRowFirstColumn="0" w:firstRowLastColumn="0" w:lastRowFirstColumn="0" w:lastRowLastColumn="0"/>
              <w:rPr>
                <w:sz w:val="22"/>
              </w:rPr>
            </w:pPr>
            <w:r w:rsidRPr="00C05886">
              <w:rPr>
                <w:sz w:val="22"/>
              </w:rPr>
              <w:t>-</w:t>
            </w:r>
          </w:p>
        </w:tc>
        <w:tc>
          <w:tcPr>
            <w:tcW w:w="1051" w:type="dxa"/>
            <w:tcBorders>
              <w:left w:val="nil"/>
            </w:tcBorders>
          </w:tcPr>
          <w:p w14:paraId="33676E30" w14:textId="77777777" w:rsidR="000E3C80" w:rsidRPr="00C05886" w:rsidRDefault="000E3C80" w:rsidP="00C64930">
            <w:pPr>
              <w:spacing w:line="240" w:lineRule="auto"/>
              <w:jc w:val="center"/>
              <w:cnfStyle w:val="000000100000" w:firstRow="0" w:lastRow="0" w:firstColumn="0" w:lastColumn="0" w:oddVBand="0" w:evenVBand="0" w:oddHBand="1" w:evenHBand="0" w:firstRowFirstColumn="0" w:firstRowLastColumn="0" w:lastRowFirstColumn="0" w:lastRowLastColumn="0"/>
              <w:rPr>
                <w:sz w:val="22"/>
              </w:rPr>
            </w:pPr>
            <w:r w:rsidRPr="00C05886">
              <w:rPr>
                <w:sz w:val="22"/>
              </w:rPr>
              <w:t>-</w:t>
            </w:r>
          </w:p>
        </w:tc>
        <w:tc>
          <w:tcPr>
            <w:tcW w:w="1361" w:type="dxa"/>
            <w:tcBorders>
              <w:right w:val="nil"/>
            </w:tcBorders>
          </w:tcPr>
          <w:p w14:paraId="21FB0939" w14:textId="3CE2C785" w:rsidR="000E3C80" w:rsidRPr="00C05886" w:rsidRDefault="000E3C80" w:rsidP="00C64930">
            <w:pPr>
              <w:spacing w:line="240" w:lineRule="auto"/>
              <w:jc w:val="center"/>
              <w:cnfStyle w:val="000000100000" w:firstRow="0" w:lastRow="0" w:firstColumn="0" w:lastColumn="0" w:oddVBand="0" w:evenVBand="0" w:oddHBand="1" w:evenHBand="0" w:firstRowFirstColumn="0" w:firstRowLastColumn="0" w:lastRowFirstColumn="0" w:lastRowLastColumn="0"/>
              <w:rPr>
                <w:sz w:val="22"/>
              </w:rPr>
            </w:pPr>
            <w:r w:rsidRPr="00C05886">
              <w:rPr>
                <w:sz w:val="22"/>
              </w:rPr>
              <w:t>0.</w:t>
            </w:r>
            <w:r w:rsidR="00CB672E" w:rsidRPr="00C05886">
              <w:rPr>
                <w:sz w:val="22"/>
              </w:rPr>
              <w:t>1</w:t>
            </w:r>
            <w:r w:rsidR="00CB672E">
              <w:rPr>
                <w:sz w:val="22"/>
              </w:rPr>
              <w:t>2</w:t>
            </w:r>
            <w:r w:rsidR="00CB672E" w:rsidRPr="00C05886">
              <w:rPr>
                <w:sz w:val="22"/>
              </w:rPr>
              <w:t xml:space="preserve"> </w:t>
            </w:r>
            <w:r w:rsidRPr="00C05886">
              <w:rPr>
                <w:sz w:val="22"/>
              </w:rPr>
              <w:t>(0.05)</w:t>
            </w:r>
          </w:p>
        </w:tc>
        <w:tc>
          <w:tcPr>
            <w:tcW w:w="1149" w:type="dxa"/>
            <w:tcBorders>
              <w:left w:val="nil"/>
            </w:tcBorders>
          </w:tcPr>
          <w:p w14:paraId="369D84C2" w14:textId="630D1AA5" w:rsidR="000E3C80" w:rsidRPr="00C05886" w:rsidRDefault="000E3C80" w:rsidP="00C64930">
            <w:pPr>
              <w:spacing w:line="240" w:lineRule="auto"/>
              <w:jc w:val="center"/>
              <w:cnfStyle w:val="000000100000" w:firstRow="0" w:lastRow="0" w:firstColumn="0" w:lastColumn="0" w:oddVBand="0" w:evenVBand="0" w:oddHBand="1" w:evenHBand="0" w:firstRowFirstColumn="0" w:firstRowLastColumn="0" w:lastRowFirstColumn="0" w:lastRowLastColumn="0"/>
              <w:rPr>
                <w:sz w:val="22"/>
              </w:rPr>
            </w:pPr>
            <w:r w:rsidRPr="00C05886">
              <w:rPr>
                <w:sz w:val="22"/>
              </w:rPr>
              <w:t>0.</w:t>
            </w:r>
            <w:r w:rsidR="00CB672E" w:rsidRPr="00C05886">
              <w:rPr>
                <w:sz w:val="22"/>
              </w:rPr>
              <w:t>00</w:t>
            </w:r>
            <w:r w:rsidR="00CB672E">
              <w:rPr>
                <w:sz w:val="22"/>
              </w:rPr>
              <w:t>8</w:t>
            </w:r>
          </w:p>
        </w:tc>
        <w:tc>
          <w:tcPr>
            <w:tcW w:w="1459" w:type="dxa"/>
            <w:tcBorders>
              <w:right w:val="nil"/>
            </w:tcBorders>
          </w:tcPr>
          <w:p w14:paraId="53FAD108" w14:textId="77777777" w:rsidR="000E3C80" w:rsidRPr="00C05886" w:rsidRDefault="000E3C80" w:rsidP="00C64930">
            <w:pPr>
              <w:spacing w:line="240" w:lineRule="auto"/>
              <w:jc w:val="center"/>
              <w:cnfStyle w:val="000000100000" w:firstRow="0" w:lastRow="0" w:firstColumn="0" w:lastColumn="0" w:oddVBand="0" w:evenVBand="0" w:oddHBand="1" w:evenHBand="0" w:firstRowFirstColumn="0" w:firstRowLastColumn="0" w:lastRowFirstColumn="0" w:lastRowLastColumn="0"/>
              <w:rPr>
                <w:sz w:val="22"/>
              </w:rPr>
            </w:pPr>
            <w:r w:rsidRPr="00C05886">
              <w:rPr>
                <w:rFonts w:ascii="Calibri" w:hAnsi="Calibri" w:cs="Calibri"/>
                <w:color w:val="000000"/>
                <w:sz w:val="22"/>
              </w:rPr>
              <w:t>0.1 (0.05)</w:t>
            </w:r>
          </w:p>
        </w:tc>
        <w:tc>
          <w:tcPr>
            <w:tcW w:w="936" w:type="dxa"/>
            <w:tcBorders>
              <w:left w:val="nil"/>
            </w:tcBorders>
          </w:tcPr>
          <w:p w14:paraId="5831EF7B" w14:textId="08C42A46" w:rsidR="000E3C80" w:rsidRPr="00C05886" w:rsidRDefault="000E3C80" w:rsidP="00C64930">
            <w:pPr>
              <w:spacing w:line="240" w:lineRule="auto"/>
              <w:jc w:val="center"/>
              <w:cnfStyle w:val="000000100000" w:firstRow="0" w:lastRow="0" w:firstColumn="0" w:lastColumn="0" w:oddVBand="0" w:evenVBand="0" w:oddHBand="1" w:evenHBand="0" w:firstRowFirstColumn="0" w:firstRowLastColumn="0" w:lastRowFirstColumn="0" w:lastRowLastColumn="0"/>
              <w:rPr>
                <w:sz w:val="22"/>
              </w:rPr>
            </w:pPr>
            <w:r w:rsidRPr="00C05886">
              <w:rPr>
                <w:rFonts w:ascii="Calibri" w:hAnsi="Calibri" w:cs="Calibri"/>
                <w:color w:val="000000"/>
                <w:sz w:val="22"/>
              </w:rPr>
              <w:t>0.</w:t>
            </w:r>
            <w:r w:rsidR="002C6F5E" w:rsidRPr="00C05886">
              <w:rPr>
                <w:rFonts w:ascii="Calibri" w:hAnsi="Calibri" w:cs="Calibri"/>
                <w:color w:val="000000"/>
                <w:sz w:val="22"/>
              </w:rPr>
              <w:t>0</w:t>
            </w:r>
            <w:r w:rsidR="002C6F5E">
              <w:rPr>
                <w:rFonts w:ascii="Calibri" w:hAnsi="Calibri" w:cs="Calibri"/>
                <w:color w:val="000000"/>
                <w:sz w:val="22"/>
              </w:rPr>
              <w:t>3</w:t>
            </w:r>
          </w:p>
        </w:tc>
      </w:tr>
      <w:tr w:rsidR="000E3C80" w:rsidRPr="00C05886" w14:paraId="4BA621AD" w14:textId="77777777" w:rsidTr="006B6FF3">
        <w:trPr>
          <w:trHeight w:val="270"/>
        </w:trPr>
        <w:tc>
          <w:tcPr>
            <w:cnfStyle w:val="001000000000" w:firstRow="0" w:lastRow="0" w:firstColumn="1" w:lastColumn="0" w:oddVBand="0" w:evenVBand="0" w:oddHBand="0" w:evenHBand="0" w:firstRowFirstColumn="0" w:firstRowLastColumn="0" w:lastRowFirstColumn="0" w:lastRowLastColumn="0"/>
            <w:tcW w:w="2263" w:type="dxa"/>
            <w:tcBorders>
              <w:bottom w:val="single" w:sz="4" w:space="0" w:color="auto"/>
            </w:tcBorders>
          </w:tcPr>
          <w:p w14:paraId="0745FBD2" w14:textId="77777777" w:rsidR="000E3C80" w:rsidRPr="00C05886" w:rsidRDefault="000E3C80" w:rsidP="00C64930">
            <w:pPr>
              <w:spacing w:line="240" w:lineRule="auto"/>
              <w:rPr>
                <w:sz w:val="22"/>
              </w:rPr>
            </w:pPr>
            <w:r w:rsidRPr="00C05886">
              <w:rPr>
                <w:sz w:val="22"/>
              </w:rPr>
              <w:t>Age</w:t>
            </w:r>
          </w:p>
        </w:tc>
        <w:tc>
          <w:tcPr>
            <w:tcW w:w="1364" w:type="dxa"/>
            <w:tcBorders>
              <w:bottom w:val="single" w:sz="4" w:space="0" w:color="auto"/>
              <w:right w:val="nil"/>
            </w:tcBorders>
          </w:tcPr>
          <w:p w14:paraId="22DA688E" w14:textId="77777777" w:rsidR="000E3C80" w:rsidRPr="00C05886" w:rsidRDefault="000E3C80" w:rsidP="00C64930">
            <w:pPr>
              <w:spacing w:line="240" w:lineRule="auto"/>
              <w:jc w:val="center"/>
              <w:cnfStyle w:val="000000000000" w:firstRow="0" w:lastRow="0" w:firstColumn="0" w:lastColumn="0" w:oddVBand="0" w:evenVBand="0" w:oddHBand="0" w:evenHBand="0" w:firstRowFirstColumn="0" w:firstRowLastColumn="0" w:lastRowFirstColumn="0" w:lastRowLastColumn="0"/>
              <w:rPr>
                <w:sz w:val="22"/>
              </w:rPr>
            </w:pPr>
            <w:r w:rsidRPr="00C05886">
              <w:rPr>
                <w:sz w:val="22"/>
              </w:rPr>
              <w:t>-0.01 (0.01)</w:t>
            </w:r>
          </w:p>
        </w:tc>
        <w:tc>
          <w:tcPr>
            <w:tcW w:w="1051" w:type="dxa"/>
            <w:tcBorders>
              <w:left w:val="nil"/>
              <w:bottom w:val="single" w:sz="4" w:space="0" w:color="auto"/>
            </w:tcBorders>
          </w:tcPr>
          <w:p w14:paraId="2FE9CB15" w14:textId="68967C58" w:rsidR="000E3C80" w:rsidRPr="00C05886" w:rsidRDefault="000E3C80" w:rsidP="00C64930">
            <w:pPr>
              <w:spacing w:line="240" w:lineRule="auto"/>
              <w:jc w:val="center"/>
              <w:cnfStyle w:val="000000000000" w:firstRow="0" w:lastRow="0" w:firstColumn="0" w:lastColumn="0" w:oddVBand="0" w:evenVBand="0" w:oddHBand="0" w:evenHBand="0" w:firstRowFirstColumn="0" w:firstRowLastColumn="0" w:lastRowFirstColumn="0" w:lastRowLastColumn="0"/>
              <w:rPr>
                <w:sz w:val="22"/>
              </w:rPr>
            </w:pPr>
            <w:r w:rsidRPr="00C05886">
              <w:rPr>
                <w:sz w:val="22"/>
              </w:rPr>
              <w:t>0.</w:t>
            </w:r>
            <w:r w:rsidR="009D6D04">
              <w:rPr>
                <w:sz w:val="22"/>
              </w:rPr>
              <w:t>37</w:t>
            </w:r>
          </w:p>
        </w:tc>
        <w:tc>
          <w:tcPr>
            <w:tcW w:w="1361" w:type="dxa"/>
            <w:tcBorders>
              <w:bottom w:val="single" w:sz="4" w:space="0" w:color="auto"/>
              <w:right w:val="nil"/>
            </w:tcBorders>
          </w:tcPr>
          <w:p w14:paraId="3720A0A6" w14:textId="77777777" w:rsidR="000E3C80" w:rsidRPr="00C05886" w:rsidRDefault="000E3C80" w:rsidP="00C64930">
            <w:pPr>
              <w:spacing w:line="240" w:lineRule="auto"/>
              <w:jc w:val="center"/>
              <w:cnfStyle w:val="000000000000" w:firstRow="0" w:lastRow="0" w:firstColumn="0" w:lastColumn="0" w:oddVBand="0" w:evenVBand="0" w:oddHBand="0" w:evenHBand="0" w:firstRowFirstColumn="0" w:firstRowLastColumn="0" w:lastRowFirstColumn="0" w:lastRowLastColumn="0"/>
              <w:rPr>
                <w:sz w:val="22"/>
              </w:rPr>
            </w:pPr>
            <w:r w:rsidRPr="00C05886">
              <w:rPr>
                <w:sz w:val="22"/>
              </w:rPr>
              <w:t>-0.01 (0.01)</w:t>
            </w:r>
          </w:p>
        </w:tc>
        <w:tc>
          <w:tcPr>
            <w:tcW w:w="1149" w:type="dxa"/>
            <w:tcBorders>
              <w:left w:val="nil"/>
              <w:bottom w:val="single" w:sz="4" w:space="0" w:color="auto"/>
            </w:tcBorders>
          </w:tcPr>
          <w:p w14:paraId="79BFC6BC" w14:textId="702D2FA8" w:rsidR="000E3C80" w:rsidRPr="00C05886" w:rsidRDefault="000E3C80" w:rsidP="00C64930">
            <w:pPr>
              <w:spacing w:line="240" w:lineRule="auto"/>
              <w:jc w:val="center"/>
              <w:cnfStyle w:val="000000000000" w:firstRow="0" w:lastRow="0" w:firstColumn="0" w:lastColumn="0" w:oddVBand="0" w:evenVBand="0" w:oddHBand="0" w:evenHBand="0" w:firstRowFirstColumn="0" w:firstRowLastColumn="0" w:lastRowFirstColumn="0" w:lastRowLastColumn="0"/>
              <w:rPr>
                <w:sz w:val="22"/>
              </w:rPr>
            </w:pPr>
            <w:r w:rsidRPr="00C05886">
              <w:rPr>
                <w:sz w:val="22"/>
              </w:rPr>
              <w:t>0.</w:t>
            </w:r>
            <w:r w:rsidR="00CB672E">
              <w:rPr>
                <w:sz w:val="22"/>
              </w:rPr>
              <w:t>42</w:t>
            </w:r>
          </w:p>
        </w:tc>
        <w:tc>
          <w:tcPr>
            <w:tcW w:w="1459" w:type="dxa"/>
            <w:tcBorders>
              <w:bottom w:val="single" w:sz="4" w:space="0" w:color="auto"/>
              <w:right w:val="nil"/>
            </w:tcBorders>
          </w:tcPr>
          <w:p w14:paraId="4D38109C" w14:textId="77777777" w:rsidR="000E3C80" w:rsidRPr="00C05886" w:rsidRDefault="000E3C80" w:rsidP="00C64930">
            <w:pPr>
              <w:spacing w:line="240" w:lineRule="auto"/>
              <w:jc w:val="center"/>
              <w:cnfStyle w:val="000000000000" w:firstRow="0" w:lastRow="0" w:firstColumn="0" w:lastColumn="0" w:oddVBand="0" w:evenVBand="0" w:oddHBand="0" w:evenHBand="0" w:firstRowFirstColumn="0" w:firstRowLastColumn="0" w:lastRowFirstColumn="0" w:lastRowLastColumn="0"/>
              <w:rPr>
                <w:sz w:val="22"/>
              </w:rPr>
            </w:pPr>
            <w:r w:rsidRPr="00C05886">
              <w:rPr>
                <w:sz w:val="22"/>
              </w:rPr>
              <w:t>-0.01 (0.01)</w:t>
            </w:r>
          </w:p>
        </w:tc>
        <w:tc>
          <w:tcPr>
            <w:tcW w:w="936" w:type="dxa"/>
            <w:tcBorders>
              <w:left w:val="nil"/>
              <w:bottom w:val="single" w:sz="4" w:space="0" w:color="auto"/>
            </w:tcBorders>
          </w:tcPr>
          <w:p w14:paraId="7AE20351" w14:textId="108A2B42" w:rsidR="000E3C80" w:rsidRPr="00C05886" w:rsidRDefault="000E3C80" w:rsidP="00C64930">
            <w:pPr>
              <w:spacing w:line="240" w:lineRule="auto"/>
              <w:jc w:val="center"/>
              <w:cnfStyle w:val="000000000000" w:firstRow="0" w:lastRow="0" w:firstColumn="0" w:lastColumn="0" w:oddVBand="0" w:evenVBand="0" w:oddHBand="0" w:evenHBand="0" w:firstRowFirstColumn="0" w:firstRowLastColumn="0" w:lastRowFirstColumn="0" w:lastRowLastColumn="0"/>
              <w:rPr>
                <w:sz w:val="22"/>
              </w:rPr>
            </w:pPr>
            <w:r w:rsidRPr="00C05886">
              <w:rPr>
                <w:sz w:val="22"/>
              </w:rPr>
              <w:t>0.</w:t>
            </w:r>
            <w:r w:rsidR="002C6F5E">
              <w:rPr>
                <w:sz w:val="22"/>
              </w:rPr>
              <w:t>3</w:t>
            </w:r>
          </w:p>
        </w:tc>
      </w:tr>
      <w:tr w:rsidR="000E3C80" w:rsidRPr="00C05886" w14:paraId="094EEADA" w14:textId="77777777" w:rsidTr="006B6FF3">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2263" w:type="dxa"/>
            <w:tcBorders>
              <w:bottom w:val="single" w:sz="4" w:space="0" w:color="auto"/>
            </w:tcBorders>
          </w:tcPr>
          <w:p w14:paraId="22381EBE" w14:textId="77777777" w:rsidR="000E3C80" w:rsidRDefault="000E3C80" w:rsidP="00C64930">
            <w:pPr>
              <w:spacing w:line="240" w:lineRule="auto"/>
              <w:rPr>
                <w:b w:val="0"/>
                <w:bCs w:val="0"/>
                <w:sz w:val="22"/>
              </w:rPr>
            </w:pPr>
            <w:r w:rsidRPr="00C05886">
              <w:rPr>
                <w:sz w:val="22"/>
              </w:rPr>
              <w:t>Childhood outdoors</w:t>
            </w:r>
          </w:p>
          <w:p w14:paraId="1FAB44A0" w14:textId="77777777" w:rsidR="00CB672E" w:rsidRDefault="00CB672E" w:rsidP="005D7515">
            <w:pPr>
              <w:spacing w:line="240" w:lineRule="auto"/>
              <w:jc w:val="right"/>
              <w:rPr>
                <w:b w:val="0"/>
                <w:bCs w:val="0"/>
                <w:sz w:val="22"/>
              </w:rPr>
            </w:pPr>
            <w:r>
              <w:rPr>
                <w:sz w:val="22"/>
              </w:rPr>
              <w:t>2</w:t>
            </w:r>
          </w:p>
          <w:p w14:paraId="5F99A423" w14:textId="77777777" w:rsidR="00CB672E" w:rsidRDefault="00CB672E" w:rsidP="005D7515">
            <w:pPr>
              <w:spacing w:line="240" w:lineRule="auto"/>
              <w:jc w:val="right"/>
              <w:rPr>
                <w:b w:val="0"/>
                <w:bCs w:val="0"/>
                <w:sz w:val="22"/>
              </w:rPr>
            </w:pPr>
            <w:r>
              <w:rPr>
                <w:sz w:val="22"/>
              </w:rPr>
              <w:t>3</w:t>
            </w:r>
          </w:p>
          <w:p w14:paraId="3F66CF60" w14:textId="3C9412F7" w:rsidR="00CB672E" w:rsidRPr="00C05886" w:rsidRDefault="00CB672E" w:rsidP="005D7515">
            <w:pPr>
              <w:spacing w:line="240" w:lineRule="auto"/>
              <w:jc w:val="right"/>
              <w:rPr>
                <w:sz w:val="22"/>
              </w:rPr>
            </w:pPr>
            <w:r>
              <w:rPr>
                <w:sz w:val="22"/>
              </w:rPr>
              <w:t>4</w:t>
            </w:r>
          </w:p>
        </w:tc>
        <w:tc>
          <w:tcPr>
            <w:tcW w:w="1364" w:type="dxa"/>
            <w:tcBorders>
              <w:bottom w:val="single" w:sz="4" w:space="0" w:color="auto"/>
              <w:right w:val="nil"/>
            </w:tcBorders>
          </w:tcPr>
          <w:p w14:paraId="27B777A1" w14:textId="77777777" w:rsidR="00CB672E" w:rsidRDefault="00CB672E" w:rsidP="00C64930">
            <w:pPr>
              <w:spacing w:line="240" w:lineRule="auto"/>
              <w:jc w:val="center"/>
              <w:cnfStyle w:val="000000100000" w:firstRow="0" w:lastRow="0" w:firstColumn="0" w:lastColumn="0" w:oddVBand="0" w:evenVBand="0" w:oddHBand="1" w:evenHBand="0" w:firstRowFirstColumn="0" w:firstRowLastColumn="0" w:lastRowFirstColumn="0" w:lastRowLastColumn="0"/>
              <w:rPr>
                <w:sz w:val="22"/>
              </w:rPr>
            </w:pPr>
          </w:p>
          <w:p w14:paraId="20F52E5E" w14:textId="5F905677" w:rsidR="000E3C80" w:rsidRDefault="009D6D04" w:rsidP="00C64930">
            <w:pPr>
              <w:spacing w:line="240" w:lineRule="auto"/>
              <w:jc w:val="center"/>
              <w:cnfStyle w:val="000000100000" w:firstRow="0" w:lastRow="0" w:firstColumn="0" w:lastColumn="0" w:oddVBand="0" w:evenVBand="0" w:oddHBand="1" w:evenHBand="0" w:firstRowFirstColumn="0" w:firstRowLastColumn="0" w:lastRowFirstColumn="0" w:lastRowLastColumn="0"/>
              <w:rPr>
                <w:sz w:val="22"/>
              </w:rPr>
            </w:pPr>
            <w:r>
              <w:rPr>
                <w:sz w:val="22"/>
              </w:rPr>
              <w:t>-1.44</w:t>
            </w:r>
            <w:r w:rsidR="000E3C80" w:rsidRPr="00C05886">
              <w:rPr>
                <w:sz w:val="22"/>
              </w:rPr>
              <w:t xml:space="preserve"> (0.</w:t>
            </w:r>
            <w:r>
              <w:rPr>
                <w:sz w:val="22"/>
              </w:rPr>
              <w:t>99</w:t>
            </w:r>
            <w:r w:rsidR="000E3C80" w:rsidRPr="00C05886">
              <w:rPr>
                <w:sz w:val="22"/>
              </w:rPr>
              <w:t>)</w:t>
            </w:r>
          </w:p>
          <w:p w14:paraId="57291171" w14:textId="1F64C230" w:rsidR="009D6D04" w:rsidRDefault="009D6D04" w:rsidP="00C64930">
            <w:pPr>
              <w:spacing w:line="240" w:lineRule="auto"/>
              <w:jc w:val="center"/>
              <w:cnfStyle w:val="000000100000" w:firstRow="0" w:lastRow="0" w:firstColumn="0" w:lastColumn="0" w:oddVBand="0" w:evenVBand="0" w:oddHBand="1" w:evenHBand="0" w:firstRowFirstColumn="0" w:firstRowLastColumn="0" w:lastRowFirstColumn="0" w:lastRowLastColumn="0"/>
              <w:rPr>
                <w:sz w:val="22"/>
              </w:rPr>
            </w:pPr>
            <w:r>
              <w:rPr>
                <w:sz w:val="22"/>
              </w:rPr>
              <w:t>-0.003</w:t>
            </w:r>
            <w:r w:rsidRPr="00C05886">
              <w:rPr>
                <w:sz w:val="22"/>
              </w:rPr>
              <w:t xml:space="preserve"> (0.</w:t>
            </w:r>
            <w:r>
              <w:rPr>
                <w:sz w:val="22"/>
              </w:rPr>
              <w:t>89</w:t>
            </w:r>
            <w:r w:rsidRPr="00C05886">
              <w:rPr>
                <w:sz w:val="22"/>
              </w:rPr>
              <w:t>)</w:t>
            </w:r>
          </w:p>
          <w:p w14:paraId="662E746F" w14:textId="73E612FF" w:rsidR="009D6D04" w:rsidRPr="00C05886" w:rsidRDefault="009D6D04" w:rsidP="00C64930">
            <w:pPr>
              <w:spacing w:line="240" w:lineRule="auto"/>
              <w:jc w:val="center"/>
              <w:cnfStyle w:val="000000100000" w:firstRow="0" w:lastRow="0" w:firstColumn="0" w:lastColumn="0" w:oddVBand="0" w:evenVBand="0" w:oddHBand="1" w:evenHBand="0" w:firstRowFirstColumn="0" w:firstRowLastColumn="0" w:lastRowFirstColumn="0" w:lastRowLastColumn="0"/>
              <w:rPr>
                <w:sz w:val="22"/>
              </w:rPr>
            </w:pPr>
            <w:r w:rsidRPr="00C05886">
              <w:rPr>
                <w:sz w:val="22"/>
              </w:rPr>
              <w:t>0.</w:t>
            </w:r>
            <w:r>
              <w:rPr>
                <w:sz w:val="22"/>
              </w:rPr>
              <w:t>35</w:t>
            </w:r>
            <w:r w:rsidRPr="00C05886">
              <w:rPr>
                <w:sz w:val="22"/>
              </w:rPr>
              <w:t xml:space="preserve"> (0.</w:t>
            </w:r>
            <w:r>
              <w:rPr>
                <w:sz w:val="22"/>
              </w:rPr>
              <w:t>91</w:t>
            </w:r>
            <w:r w:rsidRPr="00C05886">
              <w:rPr>
                <w:sz w:val="22"/>
              </w:rPr>
              <w:t>)</w:t>
            </w:r>
          </w:p>
        </w:tc>
        <w:tc>
          <w:tcPr>
            <w:tcW w:w="1051" w:type="dxa"/>
            <w:tcBorders>
              <w:left w:val="nil"/>
              <w:bottom w:val="single" w:sz="4" w:space="0" w:color="auto"/>
            </w:tcBorders>
          </w:tcPr>
          <w:p w14:paraId="7A719A0A" w14:textId="77777777" w:rsidR="00CB672E" w:rsidRDefault="00CB672E" w:rsidP="00C64930">
            <w:pPr>
              <w:spacing w:line="240" w:lineRule="auto"/>
              <w:jc w:val="center"/>
              <w:cnfStyle w:val="000000100000" w:firstRow="0" w:lastRow="0" w:firstColumn="0" w:lastColumn="0" w:oddVBand="0" w:evenVBand="0" w:oddHBand="1" w:evenHBand="0" w:firstRowFirstColumn="0" w:firstRowLastColumn="0" w:lastRowFirstColumn="0" w:lastRowLastColumn="0"/>
              <w:rPr>
                <w:sz w:val="22"/>
              </w:rPr>
            </w:pPr>
          </w:p>
          <w:p w14:paraId="4B1CA7E1" w14:textId="3F520DE3" w:rsidR="000E3C80" w:rsidRDefault="000E3C80" w:rsidP="00C64930">
            <w:pPr>
              <w:spacing w:line="240" w:lineRule="auto"/>
              <w:jc w:val="center"/>
              <w:cnfStyle w:val="000000100000" w:firstRow="0" w:lastRow="0" w:firstColumn="0" w:lastColumn="0" w:oddVBand="0" w:evenVBand="0" w:oddHBand="1" w:evenHBand="0" w:firstRowFirstColumn="0" w:firstRowLastColumn="0" w:lastRowFirstColumn="0" w:lastRowLastColumn="0"/>
              <w:rPr>
                <w:sz w:val="22"/>
              </w:rPr>
            </w:pPr>
            <w:r w:rsidRPr="00C05886">
              <w:rPr>
                <w:sz w:val="22"/>
              </w:rPr>
              <w:t>0.</w:t>
            </w:r>
            <w:r w:rsidR="009D6D04">
              <w:rPr>
                <w:sz w:val="22"/>
              </w:rPr>
              <w:t>15</w:t>
            </w:r>
          </w:p>
          <w:p w14:paraId="4F94BBD5" w14:textId="4B11CFFA" w:rsidR="009D6D04" w:rsidRDefault="009D6D04" w:rsidP="00C64930">
            <w:pPr>
              <w:spacing w:line="240" w:lineRule="auto"/>
              <w:jc w:val="center"/>
              <w:cnfStyle w:val="000000100000" w:firstRow="0" w:lastRow="0" w:firstColumn="0" w:lastColumn="0" w:oddVBand="0" w:evenVBand="0" w:oddHBand="1" w:evenHBand="0" w:firstRowFirstColumn="0" w:firstRowLastColumn="0" w:lastRowFirstColumn="0" w:lastRowLastColumn="0"/>
              <w:rPr>
                <w:sz w:val="22"/>
              </w:rPr>
            </w:pPr>
            <w:r w:rsidRPr="00C05886">
              <w:rPr>
                <w:sz w:val="22"/>
              </w:rPr>
              <w:t>0.</w:t>
            </w:r>
            <w:r>
              <w:rPr>
                <w:sz w:val="22"/>
              </w:rPr>
              <w:t>99</w:t>
            </w:r>
          </w:p>
          <w:p w14:paraId="1F35A902" w14:textId="28257EF1" w:rsidR="009D6D04" w:rsidRPr="00C05886" w:rsidRDefault="009D6D04" w:rsidP="00C64930">
            <w:pPr>
              <w:spacing w:line="240" w:lineRule="auto"/>
              <w:jc w:val="center"/>
              <w:cnfStyle w:val="000000100000" w:firstRow="0" w:lastRow="0" w:firstColumn="0" w:lastColumn="0" w:oddVBand="0" w:evenVBand="0" w:oddHBand="1" w:evenHBand="0" w:firstRowFirstColumn="0" w:firstRowLastColumn="0" w:lastRowFirstColumn="0" w:lastRowLastColumn="0"/>
              <w:rPr>
                <w:sz w:val="22"/>
              </w:rPr>
            </w:pPr>
            <w:r w:rsidRPr="00C05886">
              <w:rPr>
                <w:sz w:val="22"/>
              </w:rPr>
              <w:t>0.</w:t>
            </w:r>
            <w:r>
              <w:rPr>
                <w:sz w:val="22"/>
              </w:rPr>
              <w:t>7</w:t>
            </w:r>
          </w:p>
        </w:tc>
        <w:tc>
          <w:tcPr>
            <w:tcW w:w="1361" w:type="dxa"/>
            <w:tcBorders>
              <w:bottom w:val="single" w:sz="4" w:space="0" w:color="auto"/>
              <w:right w:val="nil"/>
            </w:tcBorders>
          </w:tcPr>
          <w:p w14:paraId="1C6C0F2A" w14:textId="77777777" w:rsidR="00CB672E" w:rsidRDefault="00CB672E" w:rsidP="00C64930">
            <w:pPr>
              <w:spacing w:line="240" w:lineRule="auto"/>
              <w:jc w:val="center"/>
              <w:cnfStyle w:val="000000100000" w:firstRow="0" w:lastRow="0" w:firstColumn="0" w:lastColumn="0" w:oddVBand="0" w:evenVBand="0" w:oddHBand="1" w:evenHBand="0" w:firstRowFirstColumn="0" w:firstRowLastColumn="0" w:lastRowFirstColumn="0" w:lastRowLastColumn="0"/>
              <w:rPr>
                <w:sz w:val="22"/>
              </w:rPr>
            </w:pPr>
          </w:p>
          <w:p w14:paraId="4B5E3053" w14:textId="7015261D" w:rsidR="000E3C80" w:rsidRDefault="00CB672E" w:rsidP="00C64930">
            <w:pPr>
              <w:spacing w:line="240" w:lineRule="auto"/>
              <w:jc w:val="center"/>
              <w:cnfStyle w:val="000000100000" w:firstRow="0" w:lastRow="0" w:firstColumn="0" w:lastColumn="0" w:oddVBand="0" w:evenVBand="0" w:oddHBand="1" w:evenHBand="0" w:firstRowFirstColumn="0" w:firstRowLastColumn="0" w:lastRowFirstColumn="0" w:lastRowLastColumn="0"/>
              <w:rPr>
                <w:sz w:val="22"/>
              </w:rPr>
            </w:pPr>
            <w:r>
              <w:rPr>
                <w:sz w:val="22"/>
              </w:rPr>
              <w:t>-1.4</w:t>
            </w:r>
            <w:r w:rsidR="000E3C80" w:rsidRPr="00C05886">
              <w:rPr>
                <w:sz w:val="22"/>
              </w:rPr>
              <w:t xml:space="preserve"> (0.</w:t>
            </w:r>
            <w:r>
              <w:rPr>
                <w:sz w:val="22"/>
              </w:rPr>
              <w:t>9</w:t>
            </w:r>
            <w:r w:rsidR="000E3C80" w:rsidRPr="00C05886">
              <w:rPr>
                <w:sz w:val="22"/>
              </w:rPr>
              <w:t>)</w:t>
            </w:r>
          </w:p>
          <w:p w14:paraId="2FCFC8FF" w14:textId="3E3553CC" w:rsidR="00CB672E" w:rsidRDefault="00CB672E" w:rsidP="00C64930">
            <w:pPr>
              <w:spacing w:line="240" w:lineRule="auto"/>
              <w:jc w:val="center"/>
              <w:cnfStyle w:val="000000100000" w:firstRow="0" w:lastRow="0" w:firstColumn="0" w:lastColumn="0" w:oddVBand="0" w:evenVBand="0" w:oddHBand="1" w:evenHBand="0" w:firstRowFirstColumn="0" w:firstRowLastColumn="0" w:lastRowFirstColumn="0" w:lastRowLastColumn="0"/>
              <w:rPr>
                <w:sz w:val="22"/>
              </w:rPr>
            </w:pPr>
            <w:r>
              <w:rPr>
                <w:sz w:val="22"/>
              </w:rPr>
              <w:t>-0.05 (0.8)</w:t>
            </w:r>
          </w:p>
          <w:p w14:paraId="68A16DAB" w14:textId="15A6FFEC" w:rsidR="00CB672E" w:rsidRPr="00C05886" w:rsidRDefault="00CB672E" w:rsidP="00C64930">
            <w:pPr>
              <w:spacing w:line="240" w:lineRule="auto"/>
              <w:jc w:val="center"/>
              <w:cnfStyle w:val="000000100000" w:firstRow="0" w:lastRow="0" w:firstColumn="0" w:lastColumn="0" w:oddVBand="0" w:evenVBand="0" w:oddHBand="1" w:evenHBand="0" w:firstRowFirstColumn="0" w:firstRowLastColumn="0" w:lastRowFirstColumn="0" w:lastRowLastColumn="0"/>
              <w:rPr>
                <w:sz w:val="22"/>
              </w:rPr>
            </w:pPr>
            <w:r>
              <w:rPr>
                <w:sz w:val="22"/>
              </w:rPr>
              <w:t>0.03 (0.8)</w:t>
            </w:r>
          </w:p>
        </w:tc>
        <w:tc>
          <w:tcPr>
            <w:tcW w:w="1149" w:type="dxa"/>
            <w:tcBorders>
              <w:left w:val="nil"/>
              <w:bottom w:val="single" w:sz="4" w:space="0" w:color="auto"/>
            </w:tcBorders>
          </w:tcPr>
          <w:p w14:paraId="34FEA834" w14:textId="77777777" w:rsidR="00CB672E" w:rsidRDefault="00CB672E" w:rsidP="00C64930">
            <w:pPr>
              <w:spacing w:line="240" w:lineRule="auto"/>
              <w:jc w:val="center"/>
              <w:cnfStyle w:val="000000100000" w:firstRow="0" w:lastRow="0" w:firstColumn="0" w:lastColumn="0" w:oddVBand="0" w:evenVBand="0" w:oddHBand="1" w:evenHBand="0" w:firstRowFirstColumn="0" w:firstRowLastColumn="0" w:lastRowFirstColumn="0" w:lastRowLastColumn="0"/>
              <w:rPr>
                <w:sz w:val="22"/>
              </w:rPr>
            </w:pPr>
          </w:p>
          <w:p w14:paraId="12305761" w14:textId="766425C3" w:rsidR="000E3C80" w:rsidRDefault="000E3C80" w:rsidP="00C64930">
            <w:pPr>
              <w:spacing w:line="240" w:lineRule="auto"/>
              <w:jc w:val="center"/>
              <w:cnfStyle w:val="000000100000" w:firstRow="0" w:lastRow="0" w:firstColumn="0" w:lastColumn="0" w:oddVBand="0" w:evenVBand="0" w:oddHBand="1" w:evenHBand="0" w:firstRowFirstColumn="0" w:firstRowLastColumn="0" w:lastRowFirstColumn="0" w:lastRowLastColumn="0"/>
              <w:rPr>
                <w:sz w:val="22"/>
              </w:rPr>
            </w:pPr>
            <w:r w:rsidRPr="00C05886">
              <w:rPr>
                <w:sz w:val="22"/>
              </w:rPr>
              <w:t>0.</w:t>
            </w:r>
            <w:r w:rsidR="00CB672E">
              <w:rPr>
                <w:sz w:val="22"/>
              </w:rPr>
              <w:t>12</w:t>
            </w:r>
          </w:p>
          <w:p w14:paraId="2ECF11EF" w14:textId="77777777" w:rsidR="00CB672E" w:rsidRDefault="00CB672E" w:rsidP="00C64930">
            <w:pPr>
              <w:spacing w:line="240" w:lineRule="auto"/>
              <w:jc w:val="center"/>
              <w:cnfStyle w:val="000000100000" w:firstRow="0" w:lastRow="0" w:firstColumn="0" w:lastColumn="0" w:oddVBand="0" w:evenVBand="0" w:oddHBand="1" w:evenHBand="0" w:firstRowFirstColumn="0" w:firstRowLastColumn="0" w:lastRowFirstColumn="0" w:lastRowLastColumn="0"/>
              <w:rPr>
                <w:sz w:val="22"/>
              </w:rPr>
            </w:pPr>
            <w:r>
              <w:rPr>
                <w:sz w:val="22"/>
              </w:rPr>
              <w:t>0.95</w:t>
            </w:r>
          </w:p>
          <w:p w14:paraId="13F91EF4" w14:textId="01AB4D60" w:rsidR="00CB672E" w:rsidRPr="00C05886" w:rsidRDefault="00CB672E" w:rsidP="00C64930">
            <w:pPr>
              <w:spacing w:line="240" w:lineRule="auto"/>
              <w:jc w:val="center"/>
              <w:cnfStyle w:val="000000100000" w:firstRow="0" w:lastRow="0" w:firstColumn="0" w:lastColumn="0" w:oddVBand="0" w:evenVBand="0" w:oddHBand="1" w:evenHBand="0" w:firstRowFirstColumn="0" w:firstRowLastColumn="0" w:lastRowFirstColumn="0" w:lastRowLastColumn="0"/>
              <w:rPr>
                <w:sz w:val="22"/>
              </w:rPr>
            </w:pPr>
            <w:r>
              <w:rPr>
                <w:sz w:val="22"/>
              </w:rPr>
              <w:t>0.71</w:t>
            </w:r>
          </w:p>
        </w:tc>
        <w:tc>
          <w:tcPr>
            <w:tcW w:w="1459" w:type="dxa"/>
            <w:tcBorders>
              <w:bottom w:val="single" w:sz="4" w:space="0" w:color="auto"/>
              <w:right w:val="nil"/>
            </w:tcBorders>
          </w:tcPr>
          <w:p w14:paraId="6E31BFB0" w14:textId="77777777" w:rsidR="00CB672E" w:rsidRDefault="00CB672E" w:rsidP="00C64930">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rPr>
            </w:pPr>
          </w:p>
          <w:p w14:paraId="27C79533" w14:textId="3985DF82" w:rsidR="000E3C80" w:rsidRDefault="002C6F5E" w:rsidP="00C64930">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rPr>
            </w:pPr>
            <w:r>
              <w:rPr>
                <w:rFonts w:ascii="Calibri" w:hAnsi="Calibri" w:cs="Calibri"/>
                <w:color w:val="000000"/>
                <w:sz w:val="22"/>
              </w:rPr>
              <w:t>-1.4</w:t>
            </w:r>
            <w:r w:rsidR="000E3C80" w:rsidRPr="00C05886">
              <w:rPr>
                <w:rFonts w:ascii="Calibri" w:hAnsi="Calibri" w:cs="Calibri"/>
                <w:color w:val="000000"/>
                <w:sz w:val="22"/>
              </w:rPr>
              <w:t xml:space="preserve"> (0.</w:t>
            </w:r>
            <w:r>
              <w:rPr>
                <w:rFonts w:ascii="Calibri" w:hAnsi="Calibri" w:cs="Calibri"/>
                <w:color w:val="000000"/>
                <w:sz w:val="22"/>
              </w:rPr>
              <w:t>97</w:t>
            </w:r>
            <w:r w:rsidR="000E3C80" w:rsidRPr="00C05886">
              <w:rPr>
                <w:rFonts w:ascii="Calibri" w:hAnsi="Calibri" w:cs="Calibri"/>
                <w:color w:val="000000"/>
                <w:sz w:val="22"/>
              </w:rPr>
              <w:t>)</w:t>
            </w:r>
          </w:p>
          <w:p w14:paraId="3E2FBE21" w14:textId="58EB2C42" w:rsidR="00CB672E" w:rsidRDefault="002C6F5E" w:rsidP="00C64930">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rPr>
            </w:pPr>
            <w:r>
              <w:rPr>
                <w:rFonts w:ascii="Calibri" w:hAnsi="Calibri" w:cs="Calibri"/>
                <w:color w:val="000000"/>
                <w:sz w:val="22"/>
              </w:rPr>
              <w:t>-</w:t>
            </w:r>
            <w:r w:rsidR="00CB672E" w:rsidRPr="00C05886">
              <w:rPr>
                <w:rFonts w:ascii="Calibri" w:hAnsi="Calibri" w:cs="Calibri"/>
                <w:color w:val="000000"/>
                <w:sz w:val="22"/>
              </w:rPr>
              <w:t>0.</w:t>
            </w:r>
            <w:r>
              <w:rPr>
                <w:rFonts w:ascii="Calibri" w:hAnsi="Calibri" w:cs="Calibri"/>
                <w:color w:val="000000"/>
                <w:sz w:val="22"/>
              </w:rPr>
              <w:t>03</w:t>
            </w:r>
            <w:r w:rsidR="00CB672E" w:rsidRPr="00C05886">
              <w:rPr>
                <w:rFonts w:ascii="Calibri" w:hAnsi="Calibri" w:cs="Calibri"/>
                <w:color w:val="000000"/>
                <w:sz w:val="22"/>
              </w:rPr>
              <w:t xml:space="preserve"> (0.</w:t>
            </w:r>
            <w:r>
              <w:rPr>
                <w:rFonts w:ascii="Calibri" w:hAnsi="Calibri" w:cs="Calibri"/>
                <w:color w:val="000000"/>
                <w:sz w:val="22"/>
              </w:rPr>
              <w:t>87</w:t>
            </w:r>
            <w:r w:rsidR="00CB672E" w:rsidRPr="00C05886">
              <w:rPr>
                <w:rFonts w:ascii="Calibri" w:hAnsi="Calibri" w:cs="Calibri"/>
                <w:color w:val="000000"/>
                <w:sz w:val="22"/>
              </w:rPr>
              <w:t>)</w:t>
            </w:r>
          </w:p>
          <w:p w14:paraId="57252459" w14:textId="6AB2011C" w:rsidR="00CB672E" w:rsidRPr="00C05886" w:rsidRDefault="00CB672E" w:rsidP="00C64930">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rPr>
            </w:pPr>
            <w:r w:rsidRPr="00C05886">
              <w:rPr>
                <w:rFonts w:ascii="Calibri" w:hAnsi="Calibri" w:cs="Calibri"/>
                <w:color w:val="000000"/>
                <w:sz w:val="22"/>
              </w:rPr>
              <w:t>0.</w:t>
            </w:r>
            <w:r w:rsidR="002C6F5E">
              <w:rPr>
                <w:rFonts w:ascii="Calibri" w:hAnsi="Calibri" w:cs="Calibri"/>
                <w:color w:val="000000"/>
                <w:sz w:val="22"/>
              </w:rPr>
              <w:t>35</w:t>
            </w:r>
            <w:r w:rsidRPr="00C05886">
              <w:rPr>
                <w:rFonts w:ascii="Calibri" w:hAnsi="Calibri" w:cs="Calibri"/>
                <w:color w:val="000000"/>
                <w:sz w:val="22"/>
              </w:rPr>
              <w:t xml:space="preserve"> (0.</w:t>
            </w:r>
            <w:r w:rsidR="002C6F5E">
              <w:rPr>
                <w:rFonts w:ascii="Calibri" w:hAnsi="Calibri" w:cs="Calibri"/>
                <w:color w:val="000000"/>
                <w:sz w:val="22"/>
              </w:rPr>
              <w:t>88</w:t>
            </w:r>
            <w:r w:rsidRPr="00C05886">
              <w:rPr>
                <w:rFonts w:ascii="Calibri" w:hAnsi="Calibri" w:cs="Calibri"/>
                <w:color w:val="000000"/>
                <w:sz w:val="22"/>
              </w:rPr>
              <w:t>)</w:t>
            </w:r>
          </w:p>
        </w:tc>
        <w:tc>
          <w:tcPr>
            <w:tcW w:w="936" w:type="dxa"/>
            <w:tcBorders>
              <w:left w:val="nil"/>
              <w:bottom w:val="single" w:sz="4" w:space="0" w:color="auto"/>
            </w:tcBorders>
          </w:tcPr>
          <w:p w14:paraId="0C2B83FF" w14:textId="77777777" w:rsidR="00CB672E" w:rsidRDefault="00CB672E" w:rsidP="00C64930">
            <w:pPr>
              <w:spacing w:line="240" w:lineRule="auto"/>
              <w:jc w:val="center"/>
              <w:cnfStyle w:val="000000100000" w:firstRow="0" w:lastRow="0" w:firstColumn="0" w:lastColumn="0" w:oddVBand="0" w:evenVBand="0" w:oddHBand="1" w:evenHBand="0" w:firstRowFirstColumn="0" w:firstRowLastColumn="0" w:lastRowFirstColumn="0" w:lastRowLastColumn="0"/>
              <w:rPr>
                <w:sz w:val="22"/>
              </w:rPr>
            </w:pPr>
          </w:p>
          <w:p w14:paraId="42E654F2" w14:textId="5FDC4662" w:rsidR="000E3C80" w:rsidRDefault="000E3C80" w:rsidP="00C64930">
            <w:pPr>
              <w:spacing w:line="240" w:lineRule="auto"/>
              <w:jc w:val="center"/>
              <w:cnfStyle w:val="000000100000" w:firstRow="0" w:lastRow="0" w:firstColumn="0" w:lastColumn="0" w:oddVBand="0" w:evenVBand="0" w:oddHBand="1" w:evenHBand="0" w:firstRowFirstColumn="0" w:firstRowLastColumn="0" w:lastRowFirstColumn="0" w:lastRowLastColumn="0"/>
              <w:rPr>
                <w:sz w:val="22"/>
              </w:rPr>
            </w:pPr>
            <w:r w:rsidRPr="00C05886">
              <w:rPr>
                <w:sz w:val="22"/>
              </w:rPr>
              <w:t>0.</w:t>
            </w:r>
            <w:r w:rsidR="002C6F5E">
              <w:rPr>
                <w:sz w:val="22"/>
              </w:rPr>
              <w:t>13</w:t>
            </w:r>
          </w:p>
          <w:p w14:paraId="6B395C8C" w14:textId="004F1067" w:rsidR="00CB672E" w:rsidRDefault="00CB672E" w:rsidP="00C64930">
            <w:pPr>
              <w:spacing w:line="240" w:lineRule="auto"/>
              <w:jc w:val="center"/>
              <w:cnfStyle w:val="000000100000" w:firstRow="0" w:lastRow="0" w:firstColumn="0" w:lastColumn="0" w:oddVBand="0" w:evenVBand="0" w:oddHBand="1" w:evenHBand="0" w:firstRowFirstColumn="0" w:firstRowLastColumn="0" w:lastRowFirstColumn="0" w:lastRowLastColumn="0"/>
              <w:rPr>
                <w:sz w:val="22"/>
              </w:rPr>
            </w:pPr>
            <w:r w:rsidRPr="00C05886">
              <w:rPr>
                <w:sz w:val="22"/>
              </w:rPr>
              <w:t>0.</w:t>
            </w:r>
            <w:r w:rsidR="002C6F5E">
              <w:rPr>
                <w:sz w:val="22"/>
              </w:rPr>
              <w:t>97</w:t>
            </w:r>
          </w:p>
          <w:p w14:paraId="46F03C87" w14:textId="116A121A" w:rsidR="00CB672E" w:rsidRPr="00C05886" w:rsidRDefault="00CB672E" w:rsidP="00C64930">
            <w:pPr>
              <w:spacing w:line="240" w:lineRule="auto"/>
              <w:jc w:val="center"/>
              <w:cnfStyle w:val="000000100000" w:firstRow="0" w:lastRow="0" w:firstColumn="0" w:lastColumn="0" w:oddVBand="0" w:evenVBand="0" w:oddHBand="1" w:evenHBand="0" w:firstRowFirstColumn="0" w:firstRowLastColumn="0" w:lastRowFirstColumn="0" w:lastRowLastColumn="0"/>
              <w:rPr>
                <w:sz w:val="22"/>
              </w:rPr>
            </w:pPr>
            <w:r w:rsidRPr="00C05886">
              <w:rPr>
                <w:sz w:val="22"/>
              </w:rPr>
              <w:t>0.</w:t>
            </w:r>
            <w:r w:rsidR="002C6F5E">
              <w:rPr>
                <w:sz w:val="22"/>
              </w:rPr>
              <w:t>69</w:t>
            </w:r>
          </w:p>
        </w:tc>
      </w:tr>
      <w:tr w:rsidR="000E3C80" w:rsidRPr="00C05886" w14:paraId="4E87D50F" w14:textId="77777777" w:rsidTr="006B6FF3">
        <w:trPr>
          <w:trHeight w:val="270"/>
        </w:trPr>
        <w:tc>
          <w:tcPr>
            <w:cnfStyle w:val="001000000000" w:firstRow="0" w:lastRow="0" w:firstColumn="1" w:lastColumn="0" w:oddVBand="0" w:evenVBand="0" w:oddHBand="0" w:evenHBand="0" w:firstRowFirstColumn="0" w:firstRowLastColumn="0" w:lastRowFirstColumn="0" w:lastRowLastColumn="0"/>
            <w:tcW w:w="2263" w:type="dxa"/>
            <w:tcBorders>
              <w:bottom w:val="single" w:sz="4" w:space="0" w:color="auto"/>
            </w:tcBorders>
          </w:tcPr>
          <w:p w14:paraId="33945E93" w14:textId="77777777" w:rsidR="000E3C80" w:rsidRPr="00C05886" w:rsidRDefault="000E3C80" w:rsidP="00C64930">
            <w:pPr>
              <w:spacing w:line="240" w:lineRule="auto"/>
              <w:rPr>
                <w:b w:val="0"/>
                <w:bCs w:val="0"/>
                <w:sz w:val="22"/>
              </w:rPr>
            </w:pPr>
            <w:r w:rsidRPr="00C05886">
              <w:rPr>
                <w:sz w:val="22"/>
              </w:rPr>
              <w:t>Past year outdoors</w:t>
            </w:r>
          </w:p>
          <w:p w14:paraId="5DFCFBC7" w14:textId="77777777" w:rsidR="000E3C80" w:rsidRPr="00C05886" w:rsidRDefault="000E3C80" w:rsidP="00C64930">
            <w:pPr>
              <w:spacing w:line="240" w:lineRule="auto"/>
              <w:jc w:val="right"/>
              <w:rPr>
                <w:b w:val="0"/>
                <w:bCs w:val="0"/>
                <w:sz w:val="22"/>
              </w:rPr>
            </w:pPr>
            <w:r w:rsidRPr="00C05886">
              <w:rPr>
                <w:sz w:val="22"/>
              </w:rPr>
              <w:t>2</w:t>
            </w:r>
          </w:p>
          <w:p w14:paraId="4D53DAFB" w14:textId="77777777" w:rsidR="000E3C80" w:rsidRPr="00C05886" w:rsidRDefault="000E3C80" w:rsidP="00C64930">
            <w:pPr>
              <w:spacing w:line="240" w:lineRule="auto"/>
              <w:jc w:val="right"/>
              <w:rPr>
                <w:b w:val="0"/>
                <w:bCs w:val="0"/>
                <w:sz w:val="22"/>
              </w:rPr>
            </w:pPr>
            <w:r w:rsidRPr="00C05886">
              <w:rPr>
                <w:sz w:val="22"/>
              </w:rPr>
              <w:t>3</w:t>
            </w:r>
          </w:p>
          <w:p w14:paraId="2504B949" w14:textId="77777777" w:rsidR="000E3C80" w:rsidRPr="00C05886" w:rsidRDefault="000E3C80" w:rsidP="00C64930">
            <w:pPr>
              <w:spacing w:line="240" w:lineRule="auto"/>
              <w:jc w:val="right"/>
              <w:rPr>
                <w:sz w:val="22"/>
              </w:rPr>
            </w:pPr>
            <w:r w:rsidRPr="00C05886">
              <w:rPr>
                <w:sz w:val="22"/>
              </w:rPr>
              <w:t>4</w:t>
            </w:r>
          </w:p>
        </w:tc>
        <w:tc>
          <w:tcPr>
            <w:tcW w:w="1364" w:type="dxa"/>
            <w:tcBorders>
              <w:bottom w:val="single" w:sz="4" w:space="0" w:color="auto"/>
              <w:right w:val="nil"/>
            </w:tcBorders>
          </w:tcPr>
          <w:p w14:paraId="4144E0CA" w14:textId="77777777" w:rsidR="000E3C80" w:rsidRPr="00C05886" w:rsidRDefault="000E3C80" w:rsidP="00C64930">
            <w:pPr>
              <w:spacing w:line="240" w:lineRule="auto"/>
              <w:jc w:val="center"/>
              <w:cnfStyle w:val="000000000000" w:firstRow="0" w:lastRow="0" w:firstColumn="0" w:lastColumn="0" w:oddVBand="0" w:evenVBand="0" w:oddHBand="0" w:evenHBand="0" w:firstRowFirstColumn="0" w:firstRowLastColumn="0" w:lastRowFirstColumn="0" w:lastRowLastColumn="0"/>
              <w:rPr>
                <w:sz w:val="22"/>
              </w:rPr>
            </w:pPr>
          </w:p>
          <w:p w14:paraId="0A7072DD" w14:textId="279FA107" w:rsidR="000E3C80" w:rsidRPr="00C05886" w:rsidRDefault="009D6D04" w:rsidP="00C64930">
            <w:pPr>
              <w:spacing w:line="240" w:lineRule="auto"/>
              <w:jc w:val="center"/>
              <w:cnfStyle w:val="000000000000" w:firstRow="0" w:lastRow="0" w:firstColumn="0" w:lastColumn="0" w:oddVBand="0" w:evenVBand="0" w:oddHBand="0" w:evenHBand="0" w:firstRowFirstColumn="0" w:firstRowLastColumn="0" w:lastRowFirstColumn="0" w:lastRowLastColumn="0"/>
              <w:rPr>
                <w:sz w:val="22"/>
              </w:rPr>
            </w:pPr>
            <w:r>
              <w:rPr>
                <w:sz w:val="22"/>
              </w:rPr>
              <w:t>-0.09</w:t>
            </w:r>
            <w:r w:rsidR="000E3C80" w:rsidRPr="00C05886">
              <w:rPr>
                <w:sz w:val="22"/>
              </w:rPr>
              <w:t xml:space="preserve"> (0.</w:t>
            </w:r>
            <w:r>
              <w:rPr>
                <w:sz w:val="22"/>
              </w:rPr>
              <w:t>53</w:t>
            </w:r>
            <w:r w:rsidR="000E3C80" w:rsidRPr="00C05886">
              <w:rPr>
                <w:sz w:val="22"/>
              </w:rPr>
              <w:t>)</w:t>
            </w:r>
          </w:p>
          <w:p w14:paraId="16F334B8" w14:textId="1100807F" w:rsidR="000E3C80" w:rsidRPr="00C05886" w:rsidRDefault="000E3C80" w:rsidP="00C64930">
            <w:pPr>
              <w:spacing w:line="240" w:lineRule="auto"/>
              <w:jc w:val="center"/>
              <w:cnfStyle w:val="000000000000" w:firstRow="0" w:lastRow="0" w:firstColumn="0" w:lastColumn="0" w:oddVBand="0" w:evenVBand="0" w:oddHBand="0" w:evenHBand="0" w:firstRowFirstColumn="0" w:firstRowLastColumn="0" w:lastRowFirstColumn="0" w:lastRowLastColumn="0"/>
              <w:rPr>
                <w:sz w:val="22"/>
              </w:rPr>
            </w:pPr>
            <w:r w:rsidRPr="00C05886">
              <w:rPr>
                <w:sz w:val="22"/>
              </w:rPr>
              <w:t>0.</w:t>
            </w:r>
            <w:r w:rsidR="009D6D04">
              <w:rPr>
                <w:sz w:val="22"/>
              </w:rPr>
              <w:t>49</w:t>
            </w:r>
            <w:r w:rsidR="009D6D04" w:rsidRPr="00C05886">
              <w:rPr>
                <w:sz w:val="22"/>
              </w:rPr>
              <w:t xml:space="preserve"> </w:t>
            </w:r>
            <w:r w:rsidRPr="00C05886">
              <w:rPr>
                <w:sz w:val="22"/>
              </w:rPr>
              <w:t>(0.</w:t>
            </w:r>
            <w:r w:rsidR="009D6D04">
              <w:rPr>
                <w:sz w:val="22"/>
              </w:rPr>
              <w:t>47</w:t>
            </w:r>
            <w:r w:rsidRPr="00C05886">
              <w:rPr>
                <w:sz w:val="22"/>
              </w:rPr>
              <w:t>)</w:t>
            </w:r>
          </w:p>
          <w:p w14:paraId="0B3A45AC" w14:textId="65994D74" w:rsidR="000E3C80" w:rsidRPr="00C05886" w:rsidRDefault="000E3C80" w:rsidP="00C64930">
            <w:pPr>
              <w:spacing w:line="240" w:lineRule="auto"/>
              <w:jc w:val="center"/>
              <w:cnfStyle w:val="000000000000" w:firstRow="0" w:lastRow="0" w:firstColumn="0" w:lastColumn="0" w:oddVBand="0" w:evenVBand="0" w:oddHBand="0" w:evenHBand="0" w:firstRowFirstColumn="0" w:firstRowLastColumn="0" w:lastRowFirstColumn="0" w:lastRowLastColumn="0"/>
              <w:rPr>
                <w:sz w:val="22"/>
              </w:rPr>
            </w:pPr>
            <w:r w:rsidRPr="00C05886">
              <w:rPr>
                <w:sz w:val="22"/>
              </w:rPr>
              <w:t>0.</w:t>
            </w:r>
            <w:r w:rsidR="009D6D04">
              <w:rPr>
                <w:sz w:val="22"/>
              </w:rPr>
              <w:t>68</w:t>
            </w:r>
            <w:r w:rsidR="009D6D04" w:rsidRPr="00C05886">
              <w:rPr>
                <w:sz w:val="22"/>
              </w:rPr>
              <w:t xml:space="preserve"> </w:t>
            </w:r>
            <w:r w:rsidRPr="00C05886">
              <w:rPr>
                <w:sz w:val="22"/>
              </w:rPr>
              <w:t>(0.</w:t>
            </w:r>
            <w:r w:rsidR="009D6D04" w:rsidRPr="00C05886">
              <w:rPr>
                <w:sz w:val="22"/>
              </w:rPr>
              <w:t>6</w:t>
            </w:r>
            <w:r w:rsidR="009D6D04">
              <w:rPr>
                <w:sz w:val="22"/>
              </w:rPr>
              <w:t>0</w:t>
            </w:r>
            <w:r w:rsidRPr="00C05886">
              <w:rPr>
                <w:sz w:val="22"/>
              </w:rPr>
              <w:t>)</w:t>
            </w:r>
          </w:p>
        </w:tc>
        <w:tc>
          <w:tcPr>
            <w:tcW w:w="1051" w:type="dxa"/>
            <w:tcBorders>
              <w:left w:val="nil"/>
              <w:bottom w:val="single" w:sz="4" w:space="0" w:color="auto"/>
            </w:tcBorders>
          </w:tcPr>
          <w:p w14:paraId="558F8E42" w14:textId="77777777" w:rsidR="000E3C80" w:rsidRPr="00C05886" w:rsidRDefault="000E3C80" w:rsidP="00C64930">
            <w:pPr>
              <w:spacing w:line="240" w:lineRule="auto"/>
              <w:jc w:val="center"/>
              <w:cnfStyle w:val="000000000000" w:firstRow="0" w:lastRow="0" w:firstColumn="0" w:lastColumn="0" w:oddVBand="0" w:evenVBand="0" w:oddHBand="0" w:evenHBand="0" w:firstRowFirstColumn="0" w:firstRowLastColumn="0" w:lastRowFirstColumn="0" w:lastRowLastColumn="0"/>
              <w:rPr>
                <w:sz w:val="22"/>
              </w:rPr>
            </w:pPr>
          </w:p>
          <w:p w14:paraId="7F514B58" w14:textId="453D3BF3" w:rsidR="000E3C80" w:rsidRPr="00C05886" w:rsidRDefault="000E3C80" w:rsidP="00C64930">
            <w:pPr>
              <w:spacing w:line="240" w:lineRule="auto"/>
              <w:jc w:val="center"/>
              <w:cnfStyle w:val="000000000000" w:firstRow="0" w:lastRow="0" w:firstColumn="0" w:lastColumn="0" w:oddVBand="0" w:evenVBand="0" w:oddHBand="0" w:evenHBand="0" w:firstRowFirstColumn="0" w:firstRowLastColumn="0" w:lastRowFirstColumn="0" w:lastRowLastColumn="0"/>
              <w:rPr>
                <w:sz w:val="22"/>
              </w:rPr>
            </w:pPr>
            <w:r w:rsidRPr="00C05886">
              <w:rPr>
                <w:sz w:val="22"/>
              </w:rPr>
              <w:t>0.</w:t>
            </w:r>
            <w:r w:rsidR="009D6D04">
              <w:rPr>
                <w:sz w:val="22"/>
              </w:rPr>
              <w:t>87</w:t>
            </w:r>
          </w:p>
          <w:p w14:paraId="6CC47936" w14:textId="5931A6D4" w:rsidR="000E3C80" w:rsidRPr="00C05886" w:rsidRDefault="000E3C80" w:rsidP="00C64930">
            <w:pPr>
              <w:spacing w:line="240" w:lineRule="auto"/>
              <w:jc w:val="center"/>
              <w:cnfStyle w:val="000000000000" w:firstRow="0" w:lastRow="0" w:firstColumn="0" w:lastColumn="0" w:oddVBand="0" w:evenVBand="0" w:oddHBand="0" w:evenHBand="0" w:firstRowFirstColumn="0" w:firstRowLastColumn="0" w:lastRowFirstColumn="0" w:lastRowLastColumn="0"/>
              <w:rPr>
                <w:sz w:val="22"/>
              </w:rPr>
            </w:pPr>
            <w:r w:rsidRPr="00C05886">
              <w:rPr>
                <w:sz w:val="22"/>
              </w:rPr>
              <w:t>0.</w:t>
            </w:r>
            <w:r w:rsidR="009D6D04">
              <w:rPr>
                <w:sz w:val="22"/>
              </w:rPr>
              <w:t>30</w:t>
            </w:r>
          </w:p>
          <w:p w14:paraId="486AEB67" w14:textId="60D9ECC7" w:rsidR="000E3C80" w:rsidRPr="00C05886" w:rsidRDefault="000E3C80" w:rsidP="00C64930">
            <w:pPr>
              <w:spacing w:line="240" w:lineRule="auto"/>
              <w:jc w:val="center"/>
              <w:cnfStyle w:val="000000000000" w:firstRow="0" w:lastRow="0" w:firstColumn="0" w:lastColumn="0" w:oddVBand="0" w:evenVBand="0" w:oddHBand="0" w:evenHBand="0" w:firstRowFirstColumn="0" w:firstRowLastColumn="0" w:lastRowFirstColumn="0" w:lastRowLastColumn="0"/>
              <w:rPr>
                <w:sz w:val="22"/>
              </w:rPr>
            </w:pPr>
            <w:r w:rsidRPr="00C05886">
              <w:rPr>
                <w:sz w:val="22"/>
              </w:rPr>
              <w:t>0.</w:t>
            </w:r>
            <w:r w:rsidR="009D6D04" w:rsidRPr="00C05886">
              <w:rPr>
                <w:sz w:val="22"/>
              </w:rPr>
              <w:t>2</w:t>
            </w:r>
            <w:r w:rsidR="009D6D04">
              <w:rPr>
                <w:sz w:val="22"/>
              </w:rPr>
              <w:t>6</w:t>
            </w:r>
          </w:p>
        </w:tc>
        <w:tc>
          <w:tcPr>
            <w:tcW w:w="1361" w:type="dxa"/>
            <w:tcBorders>
              <w:bottom w:val="single" w:sz="4" w:space="0" w:color="auto"/>
              <w:right w:val="nil"/>
            </w:tcBorders>
          </w:tcPr>
          <w:p w14:paraId="48D59FB7" w14:textId="77777777" w:rsidR="000E3C80" w:rsidRPr="00C05886" w:rsidRDefault="000E3C80" w:rsidP="00C64930">
            <w:pPr>
              <w:spacing w:line="240" w:lineRule="auto"/>
              <w:jc w:val="center"/>
              <w:cnfStyle w:val="000000000000" w:firstRow="0" w:lastRow="0" w:firstColumn="0" w:lastColumn="0" w:oddVBand="0" w:evenVBand="0" w:oddHBand="0" w:evenHBand="0" w:firstRowFirstColumn="0" w:firstRowLastColumn="0" w:lastRowFirstColumn="0" w:lastRowLastColumn="0"/>
              <w:rPr>
                <w:sz w:val="22"/>
              </w:rPr>
            </w:pPr>
          </w:p>
          <w:p w14:paraId="465D0C64" w14:textId="74AEA3AC" w:rsidR="000E3C80" w:rsidRPr="00C05886" w:rsidRDefault="00CB672E" w:rsidP="00C64930">
            <w:pPr>
              <w:spacing w:line="240" w:lineRule="auto"/>
              <w:jc w:val="center"/>
              <w:cnfStyle w:val="000000000000" w:firstRow="0" w:lastRow="0" w:firstColumn="0" w:lastColumn="0" w:oddVBand="0" w:evenVBand="0" w:oddHBand="0" w:evenHBand="0" w:firstRowFirstColumn="0" w:firstRowLastColumn="0" w:lastRowFirstColumn="0" w:lastRowLastColumn="0"/>
              <w:rPr>
                <w:sz w:val="22"/>
              </w:rPr>
            </w:pPr>
            <w:r>
              <w:rPr>
                <w:sz w:val="22"/>
              </w:rPr>
              <w:t>-0.01</w:t>
            </w:r>
            <w:r w:rsidRPr="00C05886">
              <w:rPr>
                <w:sz w:val="22"/>
              </w:rPr>
              <w:t xml:space="preserve"> </w:t>
            </w:r>
            <w:r w:rsidR="000E3C80" w:rsidRPr="00C05886">
              <w:rPr>
                <w:sz w:val="22"/>
              </w:rPr>
              <w:t>(0.</w:t>
            </w:r>
            <w:r>
              <w:rPr>
                <w:sz w:val="22"/>
              </w:rPr>
              <w:t>47</w:t>
            </w:r>
            <w:r w:rsidR="000E3C80" w:rsidRPr="00C05886">
              <w:rPr>
                <w:sz w:val="22"/>
              </w:rPr>
              <w:t>)</w:t>
            </w:r>
          </w:p>
          <w:p w14:paraId="7AB13B28" w14:textId="6080CCFE" w:rsidR="000E3C80" w:rsidRPr="00C05886" w:rsidRDefault="000E3C80" w:rsidP="00C64930">
            <w:pPr>
              <w:spacing w:line="240" w:lineRule="auto"/>
              <w:jc w:val="center"/>
              <w:cnfStyle w:val="000000000000" w:firstRow="0" w:lastRow="0" w:firstColumn="0" w:lastColumn="0" w:oddVBand="0" w:evenVBand="0" w:oddHBand="0" w:evenHBand="0" w:firstRowFirstColumn="0" w:firstRowLastColumn="0" w:lastRowFirstColumn="0" w:lastRowLastColumn="0"/>
              <w:rPr>
                <w:sz w:val="22"/>
              </w:rPr>
            </w:pPr>
            <w:r w:rsidRPr="00C05886">
              <w:rPr>
                <w:sz w:val="22"/>
              </w:rPr>
              <w:t>0.</w:t>
            </w:r>
            <w:r w:rsidR="00CB672E">
              <w:rPr>
                <w:sz w:val="22"/>
              </w:rPr>
              <w:t>54</w:t>
            </w:r>
            <w:r w:rsidR="00CB672E" w:rsidRPr="00C05886">
              <w:rPr>
                <w:sz w:val="22"/>
              </w:rPr>
              <w:t xml:space="preserve"> </w:t>
            </w:r>
            <w:r w:rsidRPr="00C05886">
              <w:rPr>
                <w:sz w:val="22"/>
              </w:rPr>
              <w:t>(0.</w:t>
            </w:r>
            <w:r w:rsidR="00CB672E" w:rsidRPr="00C05886">
              <w:rPr>
                <w:sz w:val="22"/>
              </w:rPr>
              <w:t>4</w:t>
            </w:r>
            <w:r w:rsidR="00CB672E">
              <w:rPr>
                <w:sz w:val="22"/>
              </w:rPr>
              <w:t>3</w:t>
            </w:r>
            <w:r w:rsidRPr="00C05886">
              <w:rPr>
                <w:sz w:val="22"/>
              </w:rPr>
              <w:t xml:space="preserve">) </w:t>
            </w:r>
          </w:p>
          <w:p w14:paraId="7C375DC5" w14:textId="1DE8371A" w:rsidR="000E3C80" w:rsidRPr="00C05886" w:rsidRDefault="000E3C80" w:rsidP="00C64930">
            <w:pPr>
              <w:spacing w:line="240" w:lineRule="auto"/>
              <w:jc w:val="center"/>
              <w:cnfStyle w:val="000000000000" w:firstRow="0" w:lastRow="0" w:firstColumn="0" w:lastColumn="0" w:oddVBand="0" w:evenVBand="0" w:oddHBand="0" w:evenHBand="0" w:firstRowFirstColumn="0" w:firstRowLastColumn="0" w:lastRowFirstColumn="0" w:lastRowLastColumn="0"/>
              <w:rPr>
                <w:sz w:val="22"/>
              </w:rPr>
            </w:pPr>
            <w:r w:rsidRPr="00C05886">
              <w:rPr>
                <w:sz w:val="22"/>
              </w:rPr>
              <w:t>0.</w:t>
            </w:r>
            <w:r w:rsidR="00CB672E">
              <w:rPr>
                <w:sz w:val="22"/>
              </w:rPr>
              <w:t>74</w:t>
            </w:r>
            <w:r w:rsidR="00CB672E" w:rsidRPr="00C05886">
              <w:rPr>
                <w:sz w:val="22"/>
              </w:rPr>
              <w:t xml:space="preserve"> </w:t>
            </w:r>
            <w:r w:rsidRPr="00C05886">
              <w:rPr>
                <w:sz w:val="22"/>
              </w:rPr>
              <w:t>(0.</w:t>
            </w:r>
            <w:r w:rsidR="00CB672E" w:rsidRPr="00C05886">
              <w:rPr>
                <w:sz w:val="22"/>
              </w:rPr>
              <w:t>5</w:t>
            </w:r>
            <w:r w:rsidR="00CB672E">
              <w:rPr>
                <w:sz w:val="22"/>
              </w:rPr>
              <w:t>5</w:t>
            </w:r>
            <w:r w:rsidRPr="00C05886">
              <w:rPr>
                <w:sz w:val="22"/>
              </w:rPr>
              <w:t>)</w:t>
            </w:r>
          </w:p>
        </w:tc>
        <w:tc>
          <w:tcPr>
            <w:tcW w:w="1149" w:type="dxa"/>
            <w:tcBorders>
              <w:left w:val="nil"/>
              <w:bottom w:val="single" w:sz="4" w:space="0" w:color="auto"/>
            </w:tcBorders>
          </w:tcPr>
          <w:p w14:paraId="731552AA" w14:textId="77777777" w:rsidR="000E3C80" w:rsidRPr="00C05886" w:rsidRDefault="000E3C80" w:rsidP="00C64930">
            <w:pPr>
              <w:spacing w:line="240" w:lineRule="auto"/>
              <w:jc w:val="center"/>
              <w:cnfStyle w:val="000000000000" w:firstRow="0" w:lastRow="0" w:firstColumn="0" w:lastColumn="0" w:oddVBand="0" w:evenVBand="0" w:oddHBand="0" w:evenHBand="0" w:firstRowFirstColumn="0" w:firstRowLastColumn="0" w:lastRowFirstColumn="0" w:lastRowLastColumn="0"/>
              <w:rPr>
                <w:sz w:val="22"/>
              </w:rPr>
            </w:pPr>
          </w:p>
          <w:p w14:paraId="14112697" w14:textId="7096A6A7" w:rsidR="000E3C80" w:rsidRPr="00C05886" w:rsidRDefault="000E3C80" w:rsidP="00C64930">
            <w:pPr>
              <w:spacing w:line="240" w:lineRule="auto"/>
              <w:jc w:val="center"/>
              <w:cnfStyle w:val="000000000000" w:firstRow="0" w:lastRow="0" w:firstColumn="0" w:lastColumn="0" w:oddVBand="0" w:evenVBand="0" w:oddHBand="0" w:evenHBand="0" w:firstRowFirstColumn="0" w:firstRowLastColumn="0" w:lastRowFirstColumn="0" w:lastRowLastColumn="0"/>
              <w:rPr>
                <w:sz w:val="22"/>
              </w:rPr>
            </w:pPr>
            <w:r w:rsidRPr="00C05886">
              <w:rPr>
                <w:sz w:val="22"/>
              </w:rPr>
              <w:t>0.</w:t>
            </w:r>
            <w:r w:rsidR="00CB672E">
              <w:rPr>
                <w:sz w:val="22"/>
              </w:rPr>
              <w:t>97</w:t>
            </w:r>
          </w:p>
          <w:p w14:paraId="710238CF" w14:textId="5E843613" w:rsidR="000E3C80" w:rsidRPr="00C05886" w:rsidRDefault="000E3C80" w:rsidP="00C64930">
            <w:pPr>
              <w:spacing w:line="240" w:lineRule="auto"/>
              <w:jc w:val="center"/>
              <w:cnfStyle w:val="000000000000" w:firstRow="0" w:lastRow="0" w:firstColumn="0" w:lastColumn="0" w:oddVBand="0" w:evenVBand="0" w:oddHBand="0" w:evenHBand="0" w:firstRowFirstColumn="0" w:firstRowLastColumn="0" w:lastRowFirstColumn="0" w:lastRowLastColumn="0"/>
              <w:rPr>
                <w:sz w:val="22"/>
              </w:rPr>
            </w:pPr>
            <w:r w:rsidRPr="00C05886">
              <w:rPr>
                <w:sz w:val="22"/>
              </w:rPr>
              <w:t>0.</w:t>
            </w:r>
            <w:r w:rsidR="00CB672E">
              <w:rPr>
                <w:sz w:val="22"/>
              </w:rPr>
              <w:t>21</w:t>
            </w:r>
          </w:p>
          <w:p w14:paraId="7D4A41C0" w14:textId="111B55D7" w:rsidR="000E3C80" w:rsidRPr="00C05886" w:rsidRDefault="000E3C80" w:rsidP="00C64930">
            <w:pPr>
              <w:spacing w:line="240" w:lineRule="auto"/>
              <w:jc w:val="center"/>
              <w:cnfStyle w:val="000000000000" w:firstRow="0" w:lastRow="0" w:firstColumn="0" w:lastColumn="0" w:oddVBand="0" w:evenVBand="0" w:oddHBand="0" w:evenHBand="0" w:firstRowFirstColumn="0" w:firstRowLastColumn="0" w:lastRowFirstColumn="0" w:lastRowLastColumn="0"/>
              <w:rPr>
                <w:sz w:val="22"/>
              </w:rPr>
            </w:pPr>
            <w:r w:rsidRPr="00C05886">
              <w:rPr>
                <w:sz w:val="22"/>
              </w:rPr>
              <w:t>0.</w:t>
            </w:r>
            <w:r w:rsidR="00CB672E" w:rsidRPr="00C05886">
              <w:rPr>
                <w:sz w:val="22"/>
              </w:rPr>
              <w:t>1</w:t>
            </w:r>
            <w:r w:rsidR="00CB672E">
              <w:rPr>
                <w:sz w:val="22"/>
              </w:rPr>
              <w:t>8</w:t>
            </w:r>
          </w:p>
        </w:tc>
        <w:tc>
          <w:tcPr>
            <w:tcW w:w="1459" w:type="dxa"/>
            <w:tcBorders>
              <w:bottom w:val="single" w:sz="4" w:space="0" w:color="auto"/>
              <w:right w:val="nil"/>
            </w:tcBorders>
          </w:tcPr>
          <w:p w14:paraId="24C959F7" w14:textId="77777777" w:rsidR="000E3C80" w:rsidRPr="00C05886" w:rsidRDefault="000E3C80" w:rsidP="00C64930">
            <w:pPr>
              <w:spacing w:line="240" w:lineRule="auto"/>
              <w:jc w:val="center"/>
              <w:cnfStyle w:val="000000000000" w:firstRow="0" w:lastRow="0" w:firstColumn="0" w:lastColumn="0" w:oddVBand="0" w:evenVBand="0" w:oddHBand="0" w:evenHBand="0" w:firstRowFirstColumn="0" w:firstRowLastColumn="0" w:lastRowFirstColumn="0" w:lastRowLastColumn="0"/>
              <w:rPr>
                <w:sz w:val="22"/>
              </w:rPr>
            </w:pPr>
          </w:p>
          <w:p w14:paraId="5B8D0BE8" w14:textId="2D59589F" w:rsidR="000E3C80" w:rsidRPr="00C05886" w:rsidRDefault="002C6F5E" w:rsidP="00C64930">
            <w:pPr>
              <w:spacing w:line="240" w:lineRule="auto"/>
              <w:jc w:val="center"/>
              <w:cnfStyle w:val="000000000000" w:firstRow="0" w:lastRow="0" w:firstColumn="0" w:lastColumn="0" w:oddVBand="0" w:evenVBand="0" w:oddHBand="0" w:evenHBand="0" w:firstRowFirstColumn="0" w:firstRowLastColumn="0" w:lastRowFirstColumn="0" w:lastRowLastColumn="0"/>
              <w:rPr>
                <w:sz w:val="22"/>
              </w:rPr>
            </w:pPr>
            <w:r>
              <w:rPr>
                <w:sz w:val="22"/>
              </w:rPr>
              <w:t>-</w:t>
            </w:r>
            <w:r w:rsidR="000E3C80" w:rsidRPr="00C05886">
              <w:rPr>
                <w:sz w:val="22"/>
              </w:rPr>
              <w:t>0.</w:t>
            </w:r>
            <w:r w:rsidRPr="00C05886">
              <w:rPr>
                <w:sz w:val="22"/>
              </w:rPr>
              <w:t>1</w:t>
            </w:r>
            <w:r>
              <w:rPr>
                <w:sz w:val="22"/>
              </w:rPr>
              <w:t>2</w:t>
            </w:r>
            <w:r w:rsidRPr="00C05886">
              <w:rPr>
                <w:sz w:val="22"/>
              </w:rPr>
              <w:t xml:space="preserve"> </w:t>
            </w:r>
            <w:r w:rsidR="000E3C80" w:rsidRPr="00C05886">
              <w:rPr>
                <w:sz w:val="22"/>
              </w:rPr>
              <w:t>(0.</w:t>
            </w:r>
            <w:r w:rsidRPr="00C05886">
              <w:rPr>
                <w:sz w:val="22"/>
              </w:rPr>
              <w:t>5</w:t>
            </w:r>
            <w:r>
              <w:rPr>
                <w:sz w:val="22"/>
              </w:rPr>
              <w:t>2</w:t>
            </w:r>
            <w:r w:rsidR="000E3C80" w:rsidRPr="00C05886">
              <w:rPr>
                <w:sz w:val="22"/>
              </w:rPr>
              <w:t>)</w:t>
            </w:r>
          </w:p>
          <w:p w14:paraId="4D0E9F71" w14:textId="1E96E0E9" w:rsidR="000E3C80" w:rsidRPr="00C05886" w:rsidRDefault="000E3C80" w:rsidP="00C64930">
            <w:pPr>
              <w:spacing w:line="240" w:lineRule="auto"/>
              <w:jc w:val="center"/>
              <w:cnfStyle w:val="000000000000" w:firstRow="0" w:lastRow="0" w:firstColumn="0" w:lastColumn="0" w:oddVBand="0" w:evenVBand="0" w:oddHBand="0" w:evenHBand="0" w:firstRowFirstColumn="0" w:firstRowLastColumn="0" w:lastRowFirstColumn="0" w:lastRowLastColumn="0"/>
              <w:rPr>
                <w:sz w:val="22"/>
              </w:rPr>
            </w:pPr>
            <w:r w:rsidRPr="00C05886">
              <w:rPr>
                <w:sz w:val="22"/>
              </w:rPr>
              <w:t>0.</w:t>
            </w:r>
            <w:r w:rsidR="002C6F5E">
              <w:rPr>
                <w:sz w:val="22"/>
              </w:rPr>
              <w:t>51</w:t>
            </w:r>
            <w:r w:rsidR="002C6F5E" w:rsidRPr="00C05886">
              <w:rPr>
                <w:sz w:val="22"/>
              </w:rPr>
              <w:t xml:space="preserve"> </w:t>
            </w:r>
            <w:r w:rsidRPr="00C05886">
              <w:rPr>
                <w:sz w:val="22"/>
              </w:rPr>
              <w:t>(0.</w:t>
            </w:r>
            <w:r w:rsidR="002C6F5E">
              <w:rPr>
                <w:sz w:val="22"/>
              </w:rPr>
              <w:t>46</w:t>
            </w:r>
            <w:r w:rsidRPr="00C05886">
              <w:rPr>
                <w:sz w:val="22"/>
              </w:rPr>
              <w:t>)</w:t>
            </w:r>
          </w:p>
          <w:p w14:paraId="45079BED" w14:textId="1551554E" w:rsidR="000E3C80" w:rsidRPr="00C05886" w:rsidRDefault="000E3C80" w:rsidP="00C64930">
            <w:pPr>
              <w:spacing w:line="240" w:lineRule="auto"/>
              <w:jc w:val="center"/>
              <w:cnfStyle w:val="000000000000" w:firstRow="0" w:lastRow="0" w:firstColumn="0" w:lastColumn="0" w:oddVBand="0" w:evenVBand="0" w:oddHBand="0" w:evenHBand="0" w:firstRowFirstColumn="0" w:firstRowLastColumn="0" w:lastRowFirstColumn="0" w:lastRowLastColumn="0"/>
              <w:rPr>
                <w:sz w:val="22"/>
              </w:rPr>
            </w:pPr>
            <w:r w:rsidRPr="00C05886">
              <w:rPr>
                <w:sz w:val="22"/>
              </w:rPr>
              <w:t>0.</w:t>
            </w:r>
            <w:r w:rsidR="002C6F5E">
              <w:rPr>
                <w:sz w:val="22"/>
              </w:rPr>
              <w:t>66</w:t>
            </w:r>
            <w:r w:rsidR="002C6F5E" w:rsidRPr="00C05886">
              <w:rPr>
                <w:sz w:val="22"/>
              </w:rPr>
              <w:t xml:space="preserve"> </w:t>
            </w:r>
            <w:r w:rsidRPr="00C05886">
              <w:rPr>
                <w:sz w:val="22"/>
              </w:rPr>
              <w:t>(0.6)</w:t>
            </w:r>
          </w:p>
        </w:tc>
        <w:tc>
          <w:tcPr>
            <w:tcW w:w="936" w:type="dxa"/>
            <w:tcBorders>
              <w:left w:val="nil"/>
              <w:bottom w:val="single" w:sz="4" w:space="0" w:color="auto"/>
            </w:tcBorders>
          </w:tcPr>
          <w:p w14:paraId="4FF59FD3" w14:textId="77777777" w:rsidR="000E3C80" w:rsidRPr="00C05886" w:rsidRDefault="000E3C80" w:rsidP="00C64930">
            <w:pPr>
              <w:spacing w:line="240" w:lineRule="auto"/>
              <w:jc w:val="center"/>
              <w:cnfStyle w:val="000000000000" w:firstRow="0" w:lastRow="0" w:firstColumn="0" w:lastColumn="0" w:oddVBand="0" w:evenVBand="0" w:oddHBand="0" w:evenHBand="0" w:firstRowFirstColumn="0" w:firstRowLastColumn="0" w:lastRowFirstColumn="0" w:lastRowLastColumn="0"/>
              <w:rPr>
                <w:sz w:val="22"/>
              </w:rPr>
            </w:pPr>
          </w:p>
          <w:p w14:paraId="1D013B7E" w14:textId="77777777" w:rsidR="000E3C80" w:rsidRPr="00C05886" w:rsidRDefault="000E3C80" w:rsidP="00C64930">
            <w:pPr>
              <w:spacing w:line="240" w:lineRule="auto"/>
              <w:jc w:val="center"/>
              <w:cnfStyle w:val="000000000000" w:firstRow="0" w:lastRow="0" w:firstColumn="0" w:lastColumn="0" w:oddVBand="0" w:evenVBand="0" w:oddHBand="0" w:evenHBand="0" w:firstRowFirstColumn="0" w:firstRowLastColumn="0" w:lastRowFirstColumn="0" w:lastRowLastColumn="0"/>
              <w:rPr>
                <w:sz w:val="22"/>
              </w:rPr>
            </w:pPr>
            <w:r w:rsidRPr="00C05886">
              <w:rPr>
                <w:sz w:val="22"/>
              </w:rPr>
              <w:t>0.81</w:t>
            </w:r>
          </w:p>
          <w:p w14:paraId="53542272" w14:textId="6C425DC3" w:rsidR="000E3C80" w:rsidRPr="00C05886" w:rsidRDefault="000E3C80" w:rsidP="00C64930">
            <w:pPr>
              <w:spacing w:line="240" w:lineRule="auto"/>
              <w:jc w:val="center"/>
              <w:cnfStyle w:val="000000000000" w:firstRow="0" w:lastRow="0" w:firstColumn="0" w:lastColumn="0" w:oddVBand="0" w:evenVBand="0" w:oddHBand="0" w:evenHBand="0" w:firstRowFirstColumn="0" w:firstRowLastColumn="0" w:lastRowFirstColumn="0" w:lastRowLastColumn="0"/>
              <w:rPr>
                <w:sz w:val="22"/>
              </w:rPr>
            </w:pPr>
            <w:r w:rsidRPr="00C05886">
              <w:rPr>
                <w:sz w:val="22"/>
              </w:rPr>
              <w:t>0.</w:t>
            </w:r>
            <w:r w:rsidR="002C6F5E" w:rsidRPr="00C05886">
              <w:rPr>
                <w:sz w:val="22"/>
              </w:rPr>
              <w:t>2</w:t>
            </w:r>
            <w:r w:rsidR="002C6F5E">
              <w:rPr>
                <w:sz w:val="22"/>
              </w:rPr>
              <w:t>7</w:t>
            </w:r>
          </w:p>
          <w:p w14:paraId="5DBA48CD" w14:textId="4913E62B" w:rsidR="000E3C80" w:rsidRPr="00C05886" w:rsidRDefault="000E3C80" w:rsidP="00C64930">
            <w:pPr>
              <w:spacing w:line="240" w:lineRule="auto"/>
              <w:jc w:val="center"/>
              <w:cnfStyle w:val="000000000000" w:firstRow="0" w:lastRow="0" w:firstColumn="0" w:lastColumn="0" w:oddVBand="0" w:evenVBand="0" w:oddHBand="0" w:evenHBand="0" w:firstRowFirstColumn="0" w:firstRowLastColumn="0" w:lastRowFirstColumn="0" w:lastRowLastColumn="0"/>
              <w:rPr>
                <w:sz w:val="22"/>
              </w:rPr>
            </w:pPr>
            <w:r w:rsidRPr="00C05886">
              <w:rPr>
                <w:sz w:val="22"/>
              </w:rPr>
              <w:t>0.</w:t>
            </w:r>
            <w:r w:rsidR="002C6F5E" w:rsidRPr="00C05886">
              <w:rPr>
                <w:sz w:val="22"/>
              </w:rPr>
              <w:t>2</w:t>
            </w:r>
            <w:r w:rsidR="002C6F5E">
              <w:rPr>
                <w:sz w:val="22"/>
              </w:rPr>
              <w:t>7</w:t>
            </w:r>
          </w:p>
        </w:tc>
      </w:tr>
      <w:tr w:rsidR="000E3C80" w:rsidRPr="00C05886" w14:paraId="45F6E690" w14:textId="77777777" w:rsidTr="006B6FF3">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2263" w:type="dxa"/>
            <w:tcBorders>
              <w:bottom w:val="single" w:sz="4" w:space="0" w:color="auto"/>
            </w:tcBorders>
          </w:tcPr>
          <w:p w14:paraId="4C059291" w14:textId="77777777" w:rsidR="000E3C80" w:rsidRPr="00C05886" w:rsidRDefault="000E3C80" w:rsidP="00C64930">
            <w:pPr>
              <w:spacing w:line="240" w:lineRule="auto"/>
              <w:rPr>
                <w:sz w:val="22"/>
              </w:rPr>
            </w:pPr>
            <w:r w:rsidRPr="00C05886">
              <w:rPr>
                <w:sz w:val="22"/>
              </w:rPr>
              <w:t>Inclusion of Nature</w:t>
            </w:r>
          </w:p>
        </w:tc>
        <w:tc>
          <w:tcPr>
            <w:tcW w:w="1364" w:type="dxa"/>
            <w:tcBorders>
              <w:bottom w:val="single" w:sz="4" w:space="0" w:color="auto"/>
              <w:right w:val="nil"/>
            </w:tcBorders>
          </w:tcPr>
          <w:p w14:paraId="0CD490A8" w14:textId="1B71E1DB" w:rsidR="000E3C80" w:rsidRPr="00C05886" w:rsidRDefault="000E3C80" w:rsidP="00C64930">
            <w:pPr>
              <w:spacing w:line="240" w:lineRule="auto"/>
              <w:jc w:val="center"/>
              <w:cnfStyle w:val="000000100000" w:firstRow="0" w:lastRow="0" w:firstColumn="0" w:lastColumn="0" w:oddVBand="0" w:evenVBand="0" w:oddHBand="1" w:evenHBand="0" w:firstRowFirstColumn="0" w:firstRowLastColumn="0" w:lastRowFirstColumn="0" w:lastRowLastColumn="0"/>
              <w:rPr>
                <w:sz w:val="22"/>
              </w:rPr>
            </w:pPr>
            <w:r w:rsidRPr="00C05886">
              <w:rPr>
                <w:sz w:val="22"/>
              </w:rPr>
              <w:t>0.</w:t>
            </w:r>
            <w:r w:rsidR="009D6D04" w:rsidRPr="00C05886">
              <w:rPr>
                <w:sz w:val="22"/>
              </w:rPr>
              <w:t>0</w:t>
            </w:r>
            <w:r w:rsidR="009D6D04">
              <w:rPr>
                <w:sz w:val="22"/>
              </w:rPr>
              <w:t>06</w:t>
            </w:r>
            <w:r w:rsidR="009D6D04" w:rsidRPr="00C05886">
              <w:rPr>
                <w:sz w:val="22"/>
              </w:rPr>
              <w:t xml:space="preserve"> </w:t>
            </w:r>
            <w:r w:rsidRPr="00C05886">
              <w:rPr>
                <w:sz w:val="22"/>
              </w:rPr>
              <w:t>(0.01)</w:t>
            </w:r>
          </w:p>
        </w:tc>
        <w:tc>
          <w:tcPr>
            <w:tcW w:w="1051" w:type="dxa"/>
            <w:tcBorders>
              <w:left w:val="nil"/>
              <w:bottom w:val="single" w:sz="4" w:space="0" w:color="auto"/>
            </w:tcBorders>
          </w:tcPr>
          <w:p w14:paraId="51BE378D" w14:textId="7AF2470D" w:rsidR="000E3C80" w:rsidRPr="00C05886" w:rsidRDefault="000E3C80" w:rsidP="00C64930">
            <w:pPr>
              <w:spacing w:line="240" w:lineRule="auto"/>
              <w:jc w:val="center"/>
              <w:cnfStyle w:val="000000100000" w:firstRow="0" w:lastRow="0" w:firstColumn="0" w:lastColumn="0" w:oddVBand="0" w:evenVBand="0" w:oddHBand="1" w:evenHBand="0" w:firstRowFirstColumn="0" w:firstRowLastColumn="0" w:lastRowFirstColumn="0" w:lastRowLastColumn="0"/>
              <w:rPr>
                <w:sz w:val="22"/>
              </w:rPr>
            </w:pPr>
            <w:r w:rsidRPr="00C05886">
              <w:rPr>
                <w:sz w:val="22"/>
              </w:rPr>
              <w:t>0.</w:t>
            </w:r>
            <w:r w:rsidR="009D6D04">
              <w:rPr>
                <w:sz w:val="22"/>
              </w:rPr>
              <w:t>5</w:t>
            </w:r>
          </w:p>
        </w:tc>
        <w:tc>
          <w:tcPr>
            <w:tcW w:w="1361" w:type="dxa"/>
            <w:tcBorders>
              <w:bottom w:val="single" w:sz="4" w:space="0" w:color="auto"/>
              <w:right w:val="nil"/>
            </w:tcBorders>
          </w:tcPr>
          <w:p w14:paraId="0965F0BF" w14:textId="77777777" w:rsidR="000E3C80" w:rsidRPr="00C05886" w:rsidRDefault="000E3C80" w:rsidP="00C64930">
            <w:pPr>
              <w:spacing w:line="240" w:lineRule="auto"/>
              <w:jc w:val="center"/>
              <w:cnfStyle w:val="000000100000" w:firstRow="0" w:lastRow="0" w:firstColumn="0" w:lastColumn="0" w:oddVBand="0" w:evenVBand="0" w:oddHBand="1" w:evenHBand="0" w:firstRowFirstColumn="0" w:firstRowLastColumn="0" w:lastRowFirstColumn="0" w:lastRowLastColumn="0"/>
              <w:rPr>
                <w:sz w:val="22"/>
              </w:rPr>
            </w:pPr>
            <w:r w:rsidRPr="00C05886">
              <w:rPr>
                <w:sz w:val="22"/>
              </w:rPr>
              <w:t>0.01 (0.01)</w:t>
            </w:r>
          </w:p>
        </w:tc>
        <w:tc>
          <w:tcPr>
            <w:tcW w:w="1149" w:type="dxa"/>
            <w:tcBorders>
              <w:left w:val="nil"/>
              <w:bottom w:val="single" w:sz="4" w:space="0" w:color="auto"/>
            </w:tcBorders>
          </w:tcPr>
          <w:p w14:paraId="26D17EAB" w14:textId="77777777" w:rsidR="000E3C80" w:rsidRPr="00C05886" w:rsidRDefault="000E3C80" w:rsidP="00C64930">
            <w:pPr>
              <w:spacing w:line="240" w:lineRule="auto"/>
              <w:jc w:val="center"/>
              <w:cnfStyle w:val="000000100000" w:firstRow="0" w:lastRow="0" w:firstColumn="0" w:lastColumn="0" w:oddVBand="0" w:evenVBand="0" w:oddHBand="1" w:evenHBand="0" w:firstRowFirstColumn="0" w:firstRowLastColumn="0" w:lastRowFirstColumn="0" w:lastRowLastColumn="0"/>
              <w:rPr>
                <w:sz w:val="22"/>
              </w:rPr>
            </w:pPr>
            <w:r w:rsidRPr="00C05886">
              <w:rPr>
                <w:sz w:val="22"/>
              </w:rPr>
              <w:t>0.26</w:t>
            </w:r>
          </w:p>
        </w:tc>
        <w:tc>
          <w:tcPr>
            <w:tcW w:w="1459" w:type="dxa"/>
            <w:tcBorders>
              <w:bottom w:val="single" w:sz="4" w:space="0" w:color="auto"/>
              <w:right w:val="nil"/>
            </w:tcBorders>
          </w:tcPr>
          <w:p w14:paraId="4DF53133" w14:textId="77777777" w:rsidR="000E3C80" w:rsidRPr="00C05886" w:rsidRDefault="000E3C80" w:rsidP="00C64930">
            <w:pPr>
              <w:spacing w:line="240" w:lineRule="auto"/>
              <w:jc w:val="center"/>
              <w:cnfStyle w:val="000000100000" w:firstRow="0" w:lastRow="0" w:firstColumn="0" w:lastColumn="0" w:oddVBand="0" w:evenVBand="0" w:oddHBand="1" w:evenHBand="0" w:firstRowFirstColumn="0" w:firstRowLastColumn="0" w:lastRowFirstColumn="0" w:lastRowLastColumn="0"/>
              <w:rPr>
                <w:sz w:val="22"/>
              </w:rPr>
            </w:pPr>
            <w:r w:rsidRPr="00C05886">
              <w:rPr>
                <w:sz w:val="22"/>
              </w:rPr>
              <w:t>0.01 (0.01)</w:t>
            </w:r>
          </w:p>
        </w:tc>
        <w:tc>
          <w:tcPr>
            <w:tcW w:w="936" w:type="dxa"/>
            <w:tcBorders>
              <w:left w:val="nil"/>
              <w:bottom w:val="single" w:sz="4" w:space="0" w:color="auto"/>
            </w:tcBorders>
          </w:tcPr>
          <w:p w14:paraId="526D4B84" w14:textId="3B9CBC47" w:rsidR="000E3C80" w:rsidRPr="00C05886" w:rsidRDefault="000E3C80" w:rsidP="00C64930">
            <w:pPr>
              <w:spacing w:line="240" w:lineRule="auto"/>
              <w:jc w:val="center"/>
              <w:cnfStyle w:val="000000100000" w:firstRow="0" w:lastRow="0" w:firstColumn="0" w:lastColumn="0" w:oddVBand="0" w:evenVBand="0" w:oddHBand="1" w:evenHBand="0" w:firstRowFirstColumn="0" w:firstRowLastColumn="0" w:lastRowFirstColumn="0" w:lastRowLastColumn="0"/>
              <w:rPr>
                <w:sz w:val="22"/>
              </w:rPr>
            </w:pPr>
            <w:r w:rsidRPr="00C05886">
              <w:rPr>
                <w:sz w:val="22"/>
              </w:rPr>
              <w:t>0.</w:t>
            </w:r>
            <w:r w:rsidR="002C6F5E" w:rsidRPr="00C05886">
              <w:rPr>
                <w:sz w:val="22"/>
              </w:rPr>
              <w:t>4</w:t>
            </w:r>
            <w:r w:rsidR="002C6F5E">
              <w:rPr>
                <w:sz w:val="22"/>
              </w:rPr>
              <w:t>4</w:t>
            </w:r>
          </w:p>
        </w:tc>
      </w:tr>
      <w:tr w:rsidR="000E3C80" w:rsidRPr="00C05886" w14:paraId="4B7D8A86" w14:textId="77777777" w:rsidTr="006B6FF3">
        <w:trPr>
          <w:trHeight w:val="282"/>
        </w:trPr>
        <w:tc>
          <w:tcPr>
            <w:cnfStyle w:val="001000000000" w:firstRow="0" w:lastRow="0" w:firstColumn="1" w:lastColumn="0" w:oddVBand="0" w:evenVBand="0" w:oddHBand="0" w:evenHBand="0" w:firstRowFirstColumn="0" w:firstRowLastColumn="0" w:lastRowFirstColumn="0" w:lastRowLastColumn="0"/>
            <w:tcW w:w="2263" w:type="dxa"/>
            <w:tcBorders>
              <w:top w:val="single" w:sz="4" w:space="0" w:color="auto"/>
              <w:bottom w:val="single" w:sz="18" w:space="0" w:color="auto"/>
            </w:tcBorders>
          </w:tcPr>
          <w:p w14:paraId="2BF7F376" w14:textId="77777777" w:rsidR="000E3C80" w:rsidRPr="00C05886" w:rsidRDefault="000E3C80" w:rsidP="00C64930">
            <w:pPr>
              <w:spacing w:line="240" w:lineRule="auto"/>
              <w:rPr>
                <w:sz w:val="22"/>
              </w:rPr>
            </w:pPr>
            <w:r w:rsidRPr="00C05886">
              <w:rPr>
                <w:sz w:val="22"/>
              </w:rPr>
              <w:t>Nature Relatedness</w:t>
            </w:r>
          </w:p>
        </w:tc>
        <w:tc>
          <w:tcPr>
            <w:tcW w:w="1364" w:type="dxa"/>
            <w:tcBorders>
              <w:top w:val="single" w:sz="4" w:space="0" w:color="auto"/>
              <w:bottom w:val="single" w:sz="18" w:space="0" w:color="auto"/>
              <w:right w:val="nil"/>
            </w:tcBorders>
          </w:tcPr>
          <w:p w14:paraId="6243C4D7" w14:textId="36E66B3C" w:rsidR="000E3C80" w:rsidRPr="00C05886" w:rsidRDefault="000E3C80" w:rsidP="00C64930">
            <w:pPr>
              <w:spacing w:line="240" w:lineRule="auto"/>
              <w:jc w:val="center"/>
              <w:cnfStyle w:val="000000000000" w:firstRow="0" w:lastRow="0" w:firstColumn="0" w:lastColumn="0" w:oddVBand="0" w:evenVBand="0" w:oddHBand="0" w:evenHBand="0" w:firstRowFirstColumn="0" w:firstRowLastColumn="0" w:lastRowFirstColumn="0" w:lastRowLastColumn="0"/>
              <w:rPr>
                <w:sz w:val="22"/>
              </w:rPr>
            </w:pPr>
            <w:r w:rsidRPr="00C05886">
              <w:rPr>
                <w:sz w:val="22"/>
              </w:rPr>
              <w:t>-0.</w:t>
            </w:r>
            <w:r w:rsidR="009D6D04">
              <w:rPr>
                <w:sz w:val="22"/>
              </w:rPr>
              <w:t>2</w:t>
            </w:r>
            <w:r w:rsidR="009D6D04" w:rsidRPr="00C05886">
              <w:rPr>
                <w:sz w:val="22"/>
              </w:rPr>
              <w:t xml:space="preserve"> </w:t>
            </w:r>
            <w:r w:rsidRPr="00C05886">
              <w:rPr>
                <w:sz w:val="22"/>
              </w:rPr>
              <w:t>(0.</w:t>
            </w:r>
            <w:r w:rsidR="009D6D04">
              <w:rPr>
                <w:sz w:val="22"/>
              </w:rPr>
              <w:t>28</w:t>
            </w:r>
            <w:r w:rsidRPr="00C05886">
              <w:rPr>
                <w:sz w:val="22"/>
              </w:rPr>
              <w:t>)</w:t>
            </w:r>
          </w:p>
        </w:tc>
        <w:tc>
          <w:tcPr>
            <w:tcW w:w="1051" w:type="dxa"/>
            <w:tcBorders>
              <w:top w:val="single" w:sz="4" w:space="0" w:color="auto"/>
              <w:left w:val="nil"/>
              <w:bottom w:val="single" w:sz="18" w:space="0" w:color="auto"/>
            </w:tcBorders>
          </w:tcPr>
          <w:p w14:paraId="5CE3572D" w14:textId="40AC9EA9" w:rsidR="000E3C80" w:rsidRPr="00C05886" w:rsidRDefault="000E3C80" w:rsidP="00C64930">
            <w:pPr>
              <w:spacing w:line="240" w:lineRule="auto"/>
              <w:jc w:val="center"/>
              <w:cnfStyle w:val="000000000000" w:firstRow="0" w:lastRow="0" w:firstColumn="0" w:lastColumn="0" w:oddVBand="0" w:evenVBand="0" w:oddHBand="0" w:evenHBand="0" w:firstRowFirstColumn="0" w:firstRowLastColumn="0" w:lastRowFirstColumn="0" w:lastRowLastColumn="0"/>
              <w:rPr>
                <w:sz w:val="22"/>
              </w:rPr>
            </w:pPr>
            <w:r w:rsidRPr="00C05886">
              <w:rPr>
                <w:sz w:val="22"/>
              </w:rPr>
              <w:t>0.</w:t>
            </w:r>
            <w:r w:rsidR="009D6D04">
              <w:rPr>
                <w:sz w:val="22"/>
              </w:rPr>
              <w:t>47</w:t>
            </w:r>
          </w:p>
        </w:tc>
        <w:tc>
          <w:tcPr>
            <w:tcW w:w="1361" w:type="dxa"/>
            <w:tcBorders>
              <w:top w:val="single" w:sz="4" w:space="0" w:color="auto"/>
              <w:bottom w:val="single" w:sz="18" w:space="0" w:color="auto"/>
              <w:right w:val="nil"/>
            </w:tcBorders>
          </w:tcPr>
          <w:p w14:paraId="189448D8" w14:textId="3ADEECD8" w:rsidR="000E3C80" w:rsidRPr="00C05886" w:rsidRDefault="000E3C80" w:rsidP="00C64930">
            <w:pPr>
              <w:spacing w:line="240" w:lineRule="auto"/>
              <w:jc w:val="center"/>
              <w:cnfStyle w:val="000000000000" w:firstRow="0" w:lastRow="0" w:firstColumn="0" w:lastColumn="0" w:oddVBand="0" w:evenVBand="0" w:oddHBand="0" w:evenHBand="0" w:firstRowFirstColumn="0" w:firstRowLastColumn="0" w:lastRowFirstColumn="0" w:lastRowLastColumn="0"/>
              <w:rPr>
                <w:sz w:val="22"/>
              </w:rPr>
            </w:pPr>
            <w:r w:rsidRPr="00C05886">
              <w:rPr>
                <w:sz w:val="22"/>
              </w:rPr>
              <w:t>-0.</w:t>
            </w:r>
            <w:r w:rsidR="00CB672E">
              <w:rPr>
                <w:sz w:val="22"/>
              </w:rPr>
              <w:t>2</w:t>
            </w:r>
            <w:r w:rsidR="00CB672E" w:rsidRPr="00C05886">
              <w:rPr>
                <w:sz w:val="22"/>
              </w:rPr>
              <w:t xml:space="preserve">8 </w:t>
            </w:r>
            <w:r w:rsidRPr="00C05886">
              <w:rPr>
                <w:sz w:val="22"/>
              </w:rPr>
              <w:t>(0.</w:t>
            </w:r>
            <w:r w:rsidR="00CB672E" w:rsidRPr="00C05886">
              <w:rPr>
                <w:sz w:val="22"/>
              </w:rPr>
              <w:t>2</w:t>
            </w:r>
            <w:r w:rsidR="00CB672E">
              <w:rPr>
                <w:sz w:val="22"/>
              </w:rPr>
              <w:t>6</w:t>
            </w:r>
            <w:r w:rsidRPr="00C05886">
              <w:rPr>
                <w:sz w:val="22"/>
              </w:rPr>
              <w:t>)</w:t>
            </w:r>
          </w:p>
        </w:tc>
        <w:tc>
          <w:tcPr>
            <w:tcW w:w="1149" w:type="dxa"/>
            <w:tcBorders>
              <w:top w:val="single" w:sz="4" w:space="0" w:color="auto"/>
              <w:left w:val="nil"/>
              <w:bottom w:val="single" w:sz="18" w:space="0" w:color="auto"/>
            </w:tcBorders>
          </w:tcPr>
          <w:p w14:paraId="0BBB44BD" w14:textId="1530E3E7" w:rsidR="000E3C80" w:rsidRPr="00C05886" w:rsidRDefault="000E3C80" w:rsidP="00C64930">
            <w:pPr>
              <w:spacing w:line="240" w:lineRule="auto"/>
              <w:jc w:val="center"/>
              <w:cnfStyle w:val="000000000000" w:firstRow="0" w:lastRow="0" w:firstColumn="0" w:lastColumn="0" w:oddVBand="0" w:evenVBand="0" w:oddHBand="0" w:evenHBand="0" w:firstRowFirstColumn="0" w:firstRowLastColumn="0" w:lastRowFirstColumn="0" w:lastRowLastColumn="0"/>
              <w:rPr>
                <w:sz w:val="22"/>
              </w:rPr>
            </w:pPr>
            <w:r w:rsidRPr="00C05886">
              <w:rPr>
                <w:sz w:val="22"/>
              </w:rPr>
              <w:t>0.</w:t>
            </w:r>
            <w:r w:rsidR="00CB672E">
              <w:rPr>
                <w:sz w:val="22"/>
              </w:rPr>
              <w:t>27</w:t>
            </w:r>
          </w:p>
        </w:tc>
        <w:tc>
          <w:tcPr>
            <w:tcW w:w="1459" w:type="dxa"/>
            <w:tcBorders>
              <w:top w:val="single" w:sz="4" w:space="0" w:color="auto"/>
              <w:bottom w:val="single" w:sz="18" w:space="0" w:color="auto"/>
              <w:right w:val="nil"/>
            </w:tcBorders>
          </w:tcPr>
          <w:p w14:paraId="2A48B7F7" w14:textId="19571BD9" w:rsidR="000E3C80" w:rsidRPr="00C05886" w:rsidRDefault="000E3C80" w:rsidP="00C64930">
            <w:pPr>
              <w:spacing w:line="240" w:lineRule="auto"/>
              <w:jc w:val="center"/>
              <w:cnfStyle w:val="000000000000" w:firstRow="0" w:lastRow="0" w:firstColumn="0" w:lastColumn="0" w:oddVBand="0" w:evenVBand="0" w:oddHBand="0" w:evenHBand="0" w:firstRowFirstColumn="0" w:firstRowLastColumn="0" w:lastRowFirstColumn="0" w:lastRowLastColumn="0"/>
              <w:rPr>
                <w:sz w:val="22"/>
              </w:rPr>
            </w:pPr>
            <w:r w:rsidRPr="00C05886">
              <w:rPr>
                <w:sz w:val="22"/>
              </w:rPr>
              <w:t>-0.</w:t>
            </w:r>
            <w:r w:rsidR="0079306E">
              <w:rPr>
                <w:sz w:val="22"/>
              </w:rPr>
              <w:t>24</w:t>
            </w:r>
            <w:r w:rsidR="0079306E" w:rsidRPr="00C05886">
              <w:rPr>
                <w:sz w:val="22"/>
              </w:rPr>
              <w:t xml:space="preserve"> </w:t>
            </w:r>
            <w:r w:rsidRPr="00C05886">
              <w:rPr>
                <w:sz w:val="22"/>
              </w:rPr>
              <w:t>(0.</w:t>
            </w:r>
            <w:r w:rsidR="002C6F5E" w:rsidRPr="00C05886">
              <w:rPr>
                <w:sz w:val="22"/>
              </w:rPr>
              <w:t>2</w:t>
            </w:r>
            <w:r w:rsidR="002C6F5E">
              <w:rPr>
                <w:sz w:val="22"/>
              </w:rPr>
              <w:t>7</w:t>
            </w:r>
            <w:r w:rsidRPr="00C05886">
              <w:rPr>
                <w:sz w:val="22"/>
              </w:rPr>
              <w:t>)</w:t>
            </w:r>
          </w:p>
        </w:tc>
        <w:tc>
          <w:tcPr>
            <w:tcW w:w="936" w:type="dxa"/>
            <w:tcBorders>
              <w:top w:val="single" w:sz="4" w:space="0" w:color="auto"/>
              <w:left w:val="nil"/>
              <w:bottom w:val="single" w:sz="18" w:space="0" w:color="auto"/>
            </w:tcBorders>
          </w:tcPr>
          <w:p w14:paraId="42C64623" w14:textId="3DD41CBD" w:rsidR="000E3C80" w:rsidRPr="00C05886" w:rsidRDefault="000E3C80" w:rsidP="00C64930">
            <w:pPr>
              <w:spacing w:line="240" w:lineRule="auto"/>
              <w:jc w:val="center"/>
              <w:cnfStyle w:val="000000000000" w:firstRow="0" w:lastRow="0" w:firstColumn="0" w:lastColumn="0" w:oddVBand="0" w:evenVBand="0" w:oddHBand="0" w:evenHBand="0" w:firstRowFirstColumn="0" w:firstRowLastColumn="0" w:lastRowFirstColumn="0" w:lastRowLastColumn="0"/>
              <w:rPr>
                <w:sz w:val="22"/>
              </w:rPr>
            </w:pPr>
            <w:r w:rsidRPr="00C05886">
              <w:rPr>
                <w:sz w:val="22"/>
              </w:rPr>
              <w:t>0.</w:t>
            </w:r>
            <w:r w:rsidR="002C6F5E">
              <w:rPr>
                <w:sz w:val="22"/>
              </w:rPr>
              <w:t>37</w:t>
            </w:r>
          </w:p>
        </w:tc>
      </w:tr>
      <w:tr w:rsidR="000E3C80" w:rsidRPr="00C05886" w14:paraId="6F11A881" w14:textId="77777777" w:rsidTr="006B6FF3">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2263" w:type="dxa"/>
            <w:tcBorders>
              <w:top w:val="single" w:sz="18" w:space="0" w:color="auto"/>
              <w:bottom w:val="single" w:sz="18" w:space="0" w:color="auto"/>
            </w:tcBorders>
          </w:tcPr>
          <w:p w14:paraId="2A382068" w14:textId="77777777" w:rsidR="000E3C80" w:rsidRPr="00C05886" w:rsidRDefault="000E3C80" w:rsidP="00C64930">
            <w:pPr>
              <w:spacing w:line="240" w:lineRule="auto"/>
              <w:rPr>
                <w:sz w:val="22"/>
              </w:rPr>
            </w:pPr>
            <w:r w:rsidRPr="00C05886">
              <w:rPr>
                <w:sz w:val="22"/>
              </w:rPr>
              <w:t>Residual ICC</w:t>
            </w:r>
          </w:p>
        </w:tc>
        <w:tc>
          <w:tcPr>
            <w:tcW w:w="2415" w:type="dxa"/>
            <w:gridSpan w:val="2"/>
            <w:tcBorders>
              <w:top w:val="single" w:sz="18" w:space="0" w:color="auto"/>
              <w:bottom w:val="single" w:sz="18" w:space="0" w:color="auto"/>
            </w:tcBorders>
          </w:tcPr>
          <w:p w14:paraId="463FF492" w14:textId="1C4EE9A2" w:rsidR="000E3C80" w:rsidRPr="00C05886" w:rsidRDefault="000E3C80" w:rsidP="00C64930">
            <w:pPr>
              <w:spacing w:line="240" w:lineRule="auto"/>
              <w:jc w:val="center"/>
              <w:cnfStyle w:val="000000100000" w:firstRow="0" w:lastRow="0" w:firstColumn="0" w:lastColumn="0" w:oddVBand="0" w:evenVBand="0" w:oddHBand="1" w:evenHBand="0" w:firstRowFirstColumn="0" w:firstRowLastColumn="0" w:lastRowFirstColumn="0" w:lastRowLastColumn="0"/>
              <w:rPr>
                <w:sz w:val="22"/>
              </w:rPr>
            </w:pPr>
            <w:r w:rsidRPr="00C05886">
              <w:rPr>
                <w:sz w:val="22"/>
              </w:rPr>
              <w:t>0.</w:t>
            </w:r>
            <w:r w:rsidR="009D6D04" w:rsidRPr="00C05886">
              <w:rPr>
                <w:sz w:val="22"/>
              </w:rPr>
              <w:t>1</w:t>
            </w:r>
            <w:r w:rsidR="009D6D04">
              <w:rPr>
                <w:sz w:val="22"/>
              </w:rPr>
              <w:t>5</w:t>
            </w:r>
            <w:r w:rsidR="009D6D04" w:rsidRPr="00C05886">
              <w:rPr>
                <w:sz w:val="22"/>
              </w:rPr>
              <w:t xml:space="preserve"> </w:t>
            </w:r>
            <w:r w:rsidRPr="00C05886">
              <w:rPr>
                <w:sz w:val="22"/>
              </w:rPr>
              <w:t>(0.</w:t>
            </w:r>
            <w:r w:rsidR="009D6D04" w:rsidRPr="00C05886">
              <w:rPr>
                <w:sz w:val="22"/>
              </w:rPr>
              <w:t>6</w:t>
            </w:r>
            <w:r w:rsidR="009D6D04">
              <w:rPr>
                <w:sz w:val="22"/>
              </w:rPr>
              <w:t>2</w:t>
            </w:r>
            <w:r w:rsidRPr="00C05886">
              <w:rPr>
                <w:sz w:val="22"/>
              </w:rPr>
              <w:t>)</w:t>
            </w:r>
          </w:p>
        </w:tc>
        <w:tc>
          <w:tcPr>
            <w:tcW w:w="2510" w:type="dxa"/>
            <w:gridSpan w:val="2"/>
            <w:tcBorders>
              <w:top w:val="single" w:sz="18" w:space="0" w:color="auto"/>
              <w:bottom w:val="single" w:sz="18" w:space="0" w:color="auto"/>
            </w:tcBorders>
          </w:tcPr>
          <w:p w14:paraId="1E96671F" w14:textId="4A6FAABA" w:rsidR="000E3C80" w:rsidRPr="00C05886" w:rsidRDefault="000E3C80" w:rsidP="00C64930">
            <w:pPr>
              <w:spacing w:line="240" w:lineRule="auto"/>
              <w:jc w:val="center"/>
              <w:cnfStyle w:val="000000100000" w:firstRow="0" w:lastRow="0" w:firstColumn="0" w:lastColumn="0" w:oddVBand="0" w:evenVBand="0" w:oddHBand="1" w:evenHBand="0" w:firstRowFirstColumn="0" w:firstRowLastColumn="0" w:lastRowFirstColumn="0" w:lastRowLastColumn="0"/>
              <w:rPr>
                <w:sz w:val="22"/>
              </w:rPr>
            </w:pPr>
            <w:r w:rsidRPr="00C05886">
              <w:rPr>
                <w:sz w:val="22"/>
              </w:rPr>
              <w:t>0.</w:t>
            </w:r>
            <w:r w:rsidR="00CB672E" w:rsidRPr="00C05886">
              <w:rPr>
                <w:sz w:val="22"/>
              </w:rPr>
              <w:t>1</w:t>
            </w:r>
            <w:r w:rsidR="00CB672E">
              <w:rPr>
                <w:sz w:val="22"/>
              </w:rPr>
              <w:t>1</w:t>
            </w:r>
            <w:r w:rsidR="00CB672E" w:rsidRPr="00C05886">
              <w:rPr>
                <w:sz w:val="22"/>
              </w:rPr>
              <w:t xml:space="preserve"> </w:t>
            </w:r>
            <w:r w:rsidRPr="00C05886">
              <w:rPr>
                <w:sz w:val="22"/>
              </w:rPr>
              <w:t>(0.</w:t>
            </w:r>
            <w:r w:rsidR="00CB672E" w:rsidRPr="00C05886">
              <w:rPr>
                <w:sz w:val="22"/>
              </w:rPr>
              <w:t>0</w:t>
            </w:r>
            <w:r w:rsidR="00CB672E">
              <w:rPr>
                <w:sz w:val="22"/>
              </w:rPr>
              <w:t>5</w:t>
            </w:r>
            <w:r w:rsidRPr="00C05886">
              <w:rPr>
                <w:sz w:val="22"/>
              </w:rPr>
              <w:t>)</w:t>
            </w:r>
          </w:p>
        </w:tc>
        <w:tc>
          <w:tcPr>
            <w:tcW w:w="2395" w:type="dxa"/>
            <w:gridSpan w:val="2"/>
            <w:tcBorders>
              <w:top w:val="single" w:sz="18" w:space="0" w:color="auto"/>
              <w:bottom w:val="single" w:sz="18" w:space="0" w:color="auto"/>
            </w:tcBorders>
          </w:tcPr>
          <w:p w14:paraId="0AFEE130" w14:textId="38F57C62" w:rsidR="000E3C80" w:rsidRPr="00C05886" w:rsidRDefault="000E3C80" w:rsidP="00C64930">
            <w:pPr>
              <w:spacing w:line="240" w:lineRule="auto"/>
              <w:jc w:val="center"/>
              <w:cnfStyle w:val="000000100000" w:firstRow="0" w:lastRow="0" w:firstColumn="0" w:lastColumn="0" w:oddVBand="0" w:evenVBand="0" w:oddHBand="1" w:evenHBand="0" w:firstRowFirstColumn="0" w:firstRowLastColumn="0" w:lastRowFirstColumn="0" w:lastRowLastColumn="0"/>
              <w:rPr>
                <w:sz w:val="22"/>
              </w:rPr>
            </w:pPr>
            <w:r w:rsidRPr="00C05886">
              <w:rPr>
                <w:sz w:val="22"/>
              </w:rPr>
              <w:t>0.</w:t>
            </w:r>
            <w:r w:rsidR="0079306E" w:rsidRPr="00C05886">
              <w:rPr>
                <w:sz w:val="22"/>
              </w:rPr>
              <w:t>1</w:t>
            </w:r>
            <w:r w:rsidR="0079306E">
              <w:rPr>
                <w:sz w:val="22"/>
              </w:rPr>
              <w:t>4</w:t>
            </w:r>
            <w:r w:rsidR="0079306E" w:rsidRPr="00C05886">
              <w:rPr>
                <w:sz w:val="22"/>
              </w:rPr>
              <w:t xml:space="preserve"> </w:t>
            </w:r>
            <w:r w:rsidRPr="00C05886">
              <w:rPr>
                <w:sz w:val="22"/>
              </w:rPr>
              <w:t>(0.04)</w:t>
            </w:r>
          </w:p>
        </w:tc>
      </w:tr>
      <w:tr w:rsidR="000E3C80" w:rsidRPr="00C05886" w14:paraId="046252D0" w14:textId="77777777" w:rsidTr="006B6FF3">
        <w:trPr>
          <w:trHeight w:val="270"/>
        </w:trPr>
        <w:tc>
          <w:tcPr>
            <w:cnfStyle w:val="001000000000" w:firstRow="0" w:lastRow="0" w:firstColumn="1" w:lastColumn="0" w:oddVBand="0" w:evenVBand="0" w:oddHBand="0" w:evenHBand="0" w:firstRowFirstColumn="0" w:firstRowLastColumn="0" w:lastRowFirstColumn="0" w:lastRowLastColumn="0"/>
            <w:tcW w:w="2263" w:type="dxa"/>
            <w:tcBorders>
              <w:top w:val="single" w:sz="18" w:space="0" w:color="auto"/>
            </w:tcBorders>
          </w:tcPr>
          <w:p w14:paraId="137A544D" w14:textId="77777777" w:rsidR="000E3C80" w:rsidRPr="00C05886" w:rsidRDefault="000E3C80" w:rsidP="00C64930">
            <w:pPr>
              <w:spacing w:line="240" w:lineRule="auto"/>
              <w:rPr>
                <w:sz w:val="22"/>
              </w:rPr>
            </w:pPr>
            <w:r w:rsidRPr="00C05886">
              <w:rPr>
                <w:sz w:val="22"/>
              </w:rPr>
              <w:t>AIC</w:t>
            </w:r>
          </w:p>
        </w:tc>
        <w:tc>
          <w:tcPr>
            <w:tcW w:w="2415" w:type="dxa"/>
            <w:gridSpan w:val="2"/>
            <w:tcBorders>
              <w:top w:val="single" w:sz="18" w:space="0" w:color="auto"/>
            </w:tcBorders>
          </w:tcPr>
          <w:p w14:paraId="5700D621" w14:textId="049957E6" w:rsidR="000E3C80" w:rsidRPr="00C05886" w:rsidRDefault="009D6D04" w:rsidP="00C64930">
            <w:pPr>
              <w:spacing w:line="240" w:lineRule="auto"/>
              <w:jc w:val="center"/>
              <w:cnfStyle w:val="000000000000" w:firstRow="0" w:lastRow="0" w:firstColumn="0" w:lastColumn="0" w:oddVBand="0" w:evenVBand="0" w:oddHBand="0" w:evenHBand="0" w:firstRowFirstColumn="0" w:firstRowLastColumn="0" w:lastRowFirstColumn="0" w:lastRowLastColumn="0"/>
              <w:rPr>
                <w:sz w:val="22"/>
              </w:rPr>
            </w:pPr>
            <w:r w:rsidRPr="00C05886">
              <w:rPr>
                <w:sz w:val="22"/>
              </w:rPr>
              <w:t>74</w:t>
            </w:r>
            <w:r>
              <w:rPr>
                <w:sz w:val="22"/>
              </w:rPr>
              <w:t>1</w:t>
            </w:r>
            <w:r w:rsidR="000E3C80" w:rsidRPr="00C05886">
              <w:rPr>
                <w:sz w:val="22"/>
              </w:rPr>
              <w:t>.</w:t>
            </w:r>
            <w:r>
              <w:rPr>
                <w:sz w:val="22"/>
              </w:rPr>
              <w:t>4</w:t>
            </w:r>
          </w:p>
        </w:tc>
        <w:tc>
          <w:tcPr>
            <w:tcW w:w="2510" w:type="dxa"/>
            <w:gridSpan w:val="2"/>
            <w:tcBorders>
              <w:top w:val="single" w:sz="18" w:space="0" w:color="auto"/>
            </w:tcBorders>
          </w:tcPr>
          <w:p w14:paraId="562386C1" w14:textId="35303E38" w:rsidR="000E3C80" w:rsidRPr="00C05886" w:rsidRDefault="00CB672E" w:rsidP="00C64930">
            <w:pPr>
              <w:spacing w:line="240" w:lineRule="auto"/>
              <w:jc w:val="center"/>
              <w:cnfStyle w:val="000000000000" w:firstRow="0" w:lastRow="0" w:firstColumn="0" w:lastColumn="0" w:oddVBand="0" w:evenVBand="0" w:oddHBand="0" w:evenHBand="0" w:firstRowFirstColumn="0" w:firstRowLastColumn="0" w:lastRowFirstColumn="0" w:lastRowLastColumn="0"/>
              <w:rPr>
                <w:sz w:val="22"/>
              </w:rPr>
            </w:pPr>
            <w:r w:rsidRPr="00C05886">
              <w:rPr>
                <w:sz w:val="22"/>
              </w:rPr>
              <w:t>74</w:t>
            </w:r>
            <w:r>
              <w:rPr>
                <w:sz w:val="22"/>
              </w:rPr>
              <w:t>5</w:t>
            </w:r>
            <w:r w:rsidR="000E3C80" w:rsidRPr="00C05886">
              <w:rPr>
                <w:sz w:val="22"/>
              </w:rPr>
              <w:t>.</w:t>
            </w:r>
            <w:r>
              <w:rPr>
                <w:sz w:val="22"/>
              </w:rPr>
              <w:t>8</w:t>
            </w:r>
          </w:p>
        </w:tc>
        <w:tc>
          <w:tcPr>
            <w:tcW w:w="2395" w:type="dxa"/>
            <w:gridSpan w:val="2"/>
            <w:tcBorders>
              <w:top w:val="single" w:sz="18" w:space="0" w:color="auto"/>
            </w:tcBorders>
          </w:tcPr>
          <w:p w14:paraId="2BF580FE" w14:textId="39AC2782" w:rsidR="000E3C80" w:rsidRPr="00C05886" w:rsidRDefault="0079306E" w:rsidP="00C64930">
            <w:pPr>
              <w:spacing w:line="240" w:lineRule="auto"/>
              <w:jc w:val="center"/>
              <w:cnfStyle w:val="000000000000" w:firstRow="0" w:lastRow="0" w:firstColumn="0" w:lastColumn="0" w:oddVBand="0" w:evenVBand="0" w:oddHBand="0" w:evenHBand="0" w:firstRowFirstColumn="0" w:firstRowLastColumn="0" w:lastRowFirstColumn="0" w:lastRowLastColumn="0"/>
              <w:rPr>
                <w:sz w:val="22"/>
              </w:rPr>
            </w:pPr>
            <w:r w:rsidRPr="00C05886">
              <w:rPr>
                <w:sz w:val="22"/>
              </w:rPr>
              <w:t>7</w:t>
            </w:r>
            <w:r>
              <w:rPr>
                <w:sz w:val="22"/>
              </w:rPr>
              <w:t>38</w:t>
            </w:r>
            <w:r w:rsidR="000E3C80" w:rsidRPr="00C05886">
              <w:rPr>
                <w:sz w:val="22"/>
              </w:rPr>
              <w:t>.</w:t>
            </w:r>
            <w:r>
              <w:rPr>
                <w:sz w:val="22"/>
              </w:rPr>
              <w:t>93</w:t>
            </w:r>
          </w:p>
        </w:tc>
      </w:tr>
    </w:tbl>
    <w:p w14:paraId="4B0FB46D" w14:textId="77777777" w:rsidR="000E3C80" w:rsidRPr="00C05886" w:rsidRDefault="000E3C80" w:rsidP="008C7E8F"/>
    <w:p w14:paraId="3489A2A6" w14:textId="77777777" w:rsidR="000E3C80" w:rsidRPr="00C05886" w:rsidRDefault="000E3C80" w:rsidP="00745EAA">
      <w:pPr>
        <w:keepNext/>
      </w:pPr>
      <w:r w:rsidRPr="00134B49">
        <w:rPr>
          <w:noProof/>
        </w:rPr>
        <w:lastRenderedPageBreak/>
        <w:drawing>
          <wp:inline distT="0" distB="0" distL="0" distR="0" wp14:anchorId="4C1771AA" wp14:editId="348C1A0A">
            <wp:extent cx="4548215" cy="3312000"/>
            <wp:effectExtent l="0" t="0" r="5080" b="3175"/>
            <wp:docPr id="204736703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7367033" name="Picture 2"/>
                    <pic:cNvPicPr>
                      <a:picLocks noChangeAspect="1" noChangeArrowheads="1"/>
                    </pic:cNvPicPr>
                  </pic:nvPicPr>
                  <pic:blipFill>
                    <a:blip r:embed="rId17">
                      <a:extLst>
                        <a:ext uri="{28A0092B-C50C-407E-A947-70E740481C1C}">
                          <a14:useLocalDpi xmlns:a14="http://schemas.microsoft.com/office/drawing/2010/main" val="0"/>
                        </a:ext>
                      </a:extLst>
                    </a:blip>
                    <a:stretch>
                      <a:fillRect/>
                    </a:stretch>
                  </pic:blipFill>
                  <pic:spPr bwMode="auto">
                    <a:xfrm>
                      <a:off x="0" y="0"/>
                      <a:ext cx="4548215" cy="3312000"/>
                    </a:xfrm>
                    <a:prstGeom prst="rect">
                      <a:avLst/>
                    </a:prstGeom>
                    <a:noFill/>
                    <a:ln>
                      <a:noFill/>
                    </a:ln>
                  </pic:spPr>
                </pic:pic>
              </a:graphicData>
            </a:graphic>
          </wp:inline>
        </w:drawing>
      </w:r>
    </w:p>
    <w:p w14:paraId="1F31871C" w14:textId="3BC6A4D5" w:rsidR="000E3C80" w:rsidRPr="00C05886" w:rsidRDefault="000E3C80" w:rsidP="00E33B0E">
      <w:pPr>
        <w:pStyle w:val="Caption"/>
      </w:pPr>
      <w:r w:rsidRPr="00C05886">
        <w:t xml:space="preserve">Figure </w:t>
      </w:r>
      <w:r w:rsidR="007526D3">
        <w:t>6</w:t>
      </w:r>
      <w:r w:rsidRPr="00C05886">
        <w:t xml:space="preserve">. Probabilities of reporting low, medium and high well-being predicted by perceived </w:t>
      </w:r>
      <w:r w:rsidR="00B25DD5">
        <w:t>building density</w:t>
      </w:r>
      <w:r w:rsidRPr="00C05886">
        <w:t>.</w:t>
      </w:r>
    </w:p>
    <w:p w14:paraId="4A18F79E" w14:textId="77777777" w:rsidR="000E3C80" w:rsidRPr="00C05886" w:rsidRDefault="000E3C80" w:rsidP="00C64930">
      <w:pPr>
        <w:pStyle w:val="Heading4"/>
      </w:pPr>
      <w:r w:rsidRPr="00C05886">
        <w:t>Urban elements and well-being</w:t>
      </w:r>
    </w:p>
    <w:p w14:paraId="3AE035F3" w14:textId="77AA45A6" w:rsidR="000E3C80" w:rsidRPr="00C05886" w:rsidRDefault="000E3C80" w:rsidP="003937E4">
      <w:r w:rsidRPr="00C05886">
        <w:t xml:space="preserve">Table </w:t>
      </w:r>
      <w:r w:rsidR="007526D3">
        <w:t>5</w:t>
      </w:r>
      <w:r w:rsidR="007526D3" w:rsidRPr="00C05886">
        <w:t xml:space="preserve"> </w:t>
      </w:r>
      <w:r w:rsidRPr="00C05886">
        <w:t xml:space="preserve">reports the elements from the nature condition (model 7) and the built condition (model 8) which significantly predicted well-being. Both models controlled for the participants’ perceptions of </w:t>
      </w:r>
      <w:r w:rsidR="00A76BBB">
        <w:t>species richness</w:t>
      </w:r>
      <w:r w:rsidRPr="00C05886">
        <w:t xml:space="preserve"> and </w:t>
      </w:r>
      <w:r w:rsidR="00B25DD5">
        <w:t>building density</w:t>
      </w:r>
      <w:r w:rsidRPr="00C05886">
        <w:t>, respectively.</w:t>
      </w:r>
    </w:p>
    <w:p w14:paraId="4682850B" w14:textId="0F3573F5" w:rsidR="000E3C80" w:rsidRPr="00C05886" w:rsidRDefault="000E3C80" w:rsidP="003937E4">
      <w:pPr>
        <w:pStyle w:val="Caption"/>
        <w:keepNext/>
      </w:pPr>
      <w:r w:rsidRPr="00C05886">
        <w:t xml:space="preserve">Table </w:t>
      </w:r>
      <w:r w:rsidR="005A39F7">
        <w:t>5</w:t>
      </w:r>
      <w:r w:rsidRPr="00C05886">
        <w:t xml:space="preserve">. Summary table of the regression models predicting Well-being. Model 7: urban nature, controlling for perceived </w:t>
      </w:r>
      <w:r w:rsidR="00A76BBB">
        <w:t>species richness</w:t>
      </w:r>
      <w:r w:rsidRPr="00C05886">
        <w:t xml:space="preserve">; Model 8: built environment, controlling for perceived </w:t>
      </w:r>
      <w:r w:rsidR="00B25DD5">
        <w:t>building density</w:t>
      </w:r>
      <w:r w:rsidRPr="00C05886">
        <w:t>.</w:t>
      </w:r>
    </w:p>
    <w:tbl>
      <w:tblPr>
        <w:tblStyle w:val="GridTable6Colourful"/>
        <w:tblW w:w="9619" w:type="dxa"/>
        <w:tblLook w:val="04A0" w:firstRow="1" w:lastRow="0" w:firstColumn="1" w:lastColumn="0" w:noHBand="0" w:noVBand="1"/>
      </w:tblPr>
      <w:tblGrid>
        <w:gridCol w:w="2263"/>
        <w:gridCol w:w="1593"/>
        <w:gridCol w:w="1921"/>
        <w:gridCol w:w="1921"/>
        <w:gridCol w:w="1921"/>
      </w:tblGrid>
      <w:tr w:rsidR="000E3C80" w:rsidRPr="00C05886" w14:paraId="309136D3" w14:textId="77777777" w:rsidTr="005D7515">
        <w:trPr>
          <w:cnfStyle w:val="100000000000" w:firstRow="1" w:lastRow="0" w:firstColumn="0" w:lastColumn="0" w:oddVBand="0" w:evenVBand="0" w:oddHBand="0"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2263" w:type="dxa"/>
          </w:tcPr>
          <w:p w14:paraId="1836C1B4" w14:textId="77777777" w:rsidR="000E3C80" w:rsidRPr="00C05886" w:rsidRDefault="000E3C80" w:rsidP="00C64930">
            <w:pPr>
              <w:spacing w:line="240" w:lineRule="auto"/>
              <w:rPr>
                <w:rFonts w:cstheme="minorHAnsi"/>
                <w:sz w:val="22"/>
              </w:rPr>
            </w:pPr>
          </w:p>
        </w:tc>
        <w:tc>
          <w:tcPr>
            <w:tcW w:w="3514" w:type="dxa"/>
            <w:gridSpan w:val="2"/>
            <w:tcBorders>
              <w:bottom w:val="single" w:sz="4" w:space="0" w:color="666666" w:themeColor="text1" w:themeTint="99"/>
            </w:tcBorders>
          </w:tcPr>
          <w:p w14:paraId="07B1CD8B" w14:textId="71214D15" w:rsidR="000E3C80" w:rsidRPr="00C05886" w:rsidRDefault="000E3C80" w:rsidP="00C64930">
            <w:pPr>
              <w:spacing w:line="240" w:lineRule="auto"/>
              <w:jc w:val="center"/>
              <w:cnfStyle w:val="100000000000" w:firstRow="1" w:lastRow="0" w:firstColumn="0" w:lastColumn="0" w:oddVBand="0" w:evenVBand="0" w:oddHBand="0" w:evenHBand="0" w:firstRowFirstColumn="0" w:firstRowLastColumn="0" w:lastRowFirstColumn="0" w:lastRowLastColumn="0"/>
              <w:rPr>
                <w:rFonts w:cstheme="minorHAnsi"/>
                <w:sz w:val="22"/>
              </w:rPr>
            </w:pPr>
            <w:r w:rsidRPr="00C05886">
              <w:rPr>
                <w:rFonts w:cstheme="minorHAnsi"/>
                <w:sz w:val="22"/>
              </w:rPr>
              <w:t>Model 7</w:t>
            </w:r>
            <w:r w:rsidR="00C06012">
              <w:rPr>
                <w:rFonts w:cstheme="minorHAnsi"/>
                <w:sz w:val="22"/>
              </w:rPr>
              <w:t xml:space="preserve"> </w:t>
            </w:r>
            <w:r w:rsidR="00C06012">
              <w:rPr>
                <w:sz w:val="22"/>
              </w:rPr>
              <w:t>(N= 585)</w:t>
            </w:r>
          </w:p>
        </w:tc>
        <w:tc>
          <w:tcPr>
            <w:tcW w:w="3842" w:type="dxa"/>
            <w:gridSpan w:val="2"/>
            <w:tcBorders>
              <w:bottom w:val="single" w:sz="4" w:space="0" w:color="666666" w:themeColor="text1" w:themeTint="99"/>
            </w:tcBorders>
          </w:tcPr>
          <w:p w14:paraId="4B26F4FC" w14:textId="2A769C4E" w:rsidR="000E3C80" w:rsidRPr="00C05886" w:rsidRDefault="000E3C80" w:rsidP="00C64930">
            <w:pPr>
              <w:spacing w:line="240" w:lineRule="auto"/>
              <w:jc w:val="center"/>
              <w:cnfStyle w:val="100000000000" w:firstRow="1" w:lastRow="0" w:firstColumn="0" w:lastColumn="0" w:oddVBand="0" w:evenVBand="0" w:oddHBand="0" w:evenHBand="0" w:firstRowFirstColumn="0" w:firstRowLastColumn="0" w:lastRowFirstColumn="0" w:lastRowLastColumn="0"/>
              <w:rPr>
                <w:rFonts w:cstheme="minorHAnsi"/>
                <w:sz w:val="22"/>
              </w:rPr>
            </w:pPr>
            <w:r w:rsidRPr="00C05886">
              <w:rPr>
                <w:rFonts w:cstheme="minorHAnsi"/>
                <w:sz w:val="22"/>
              </w:rPr>
              <w:t>Model 8</w:t>
            </w:r>
            <w:r w:rsidR="00C06012">
              <w:rPr>
                <w:rFonts w:cstheme="minorHAnsi"/>
                <w:sz w:val="22"/>
              </w:rPr>
              <w:t xml:space="preserve"> </w:t>
            </w:r>
            <w:r w:rsidR="00C06012">
              <w:rPr>
                <w:sz w:val="22"/>
              </w:rPr>
              <w:t>(N= 370)</w:t>
            </w:r>
          </w:p>
        </w:tc>
      </w:tr>
      <w:tr w:rsidR="000E3C80" w:rsidRPr="00C05886" w14:paraId="0129C4E1" w14:textId="77777777" w:rsidTr="005D7515">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2263" w:type="dxa"/>
          </w:tcPr>
          <w:p w14:paraId="4DF0F6DF" w14:textId="77777777" w:rsidR="000E3C80" w:rsidRPr="00C05886" w:rsidRDefault="000E3C80" w:rsidP="00C64930">
            <w:pPr>
              <w:spacing w:line="240" w:lineRule="auto"/>
              <w:rPr>
                <w:rFonts w:cstheme="minorHAnsi"/>
                <w:sz w:val="22"/>
              </w:rPr>
            </w:pPr>
            <w:r w:rsidRPr="00C05886">
              <w:rPr>
                <w:rFonts w:cstheme="minorHAnsi"/>
                <w:sz w:val="22"/>
              </w:rPr>
              <w:t>Predictor</w:t>
            </w:r>
          </w:p>
        </w:tc>
        <w:tc>
          <w:tcPr>
            <w:tcW w:w="1593" w:type="dxa"/>
            <w:tcBorders>
              <w:bottom w:val="single" w:sz="4" w:space="0" w:color="666666" w:themeColor="text1" w:themeTint="99"/>
              <w:right w:val="nil"/>
            </w:tcBorders>
          </w:tcPr>
          <w:p w14:paraId="303BA806" w14:textId="77777777" w:rsidR="000E3C80" w:rsidRPr="00C05886" w:rsidRDefault="000E3C80" w:rsidP="00C64930">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22"/>
              </w:rPr>
            </w:pPr>
            <w:r w:rsidRPr="00C05886">
              <w:rPr>
                <w:rFonts w:cstheme="minorHAnsi"/>
                <w:b/>
                <w:bCs/>
                <w:sz w:val="22"/>
              </w:rPr>
              <w:t>β (S.E)</w:t>
            </w:r>
          </w:p>
        </w:tc>
        <w:tc>
          <w:tcPr>
            <w:tcW w:w="1921" w:type="dxa"/>
            <w:tcBorders>
              <w:left w:val="nil"/>
              <w:bottom w:val="single" w:sz="4" w:space="0" w:color="666666" w:themeColor="text1" w:themeTint="99"/>
            </w:tcBorders>
          </w:tcPr>
          <w:p w14:paraId="7BA9ADF1" w14:textId="77777777" w:rsidR="000E3C80" w:rsidRPr="00C05886" w:rsidRDefault="000E3C80" w:rsidP="00C64930">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22"/>
              </w:rPr>
            </w:pPr>
            <w:r w:rsidRPr="00C05886">
              <w:rPr>
                <w:rFonts w:cstheme="minorHAnsi"/>
                <w:b/>
                <w:bCs/>
                <w:sz w:val="22"/>
              </w:rPr>
              <w:t>p-value</w:t>
            </w:r>
          </w:p>
        </w:tc>
        <w:tc>
          <w:tcPr>
            <w:tcW w:w="1921" w:type="dxa"/>
            <w:tcBorders>
              <w:bottom w:val="single" w:sz="4" w:space="0" w:color="666666" w:themeColor="text1" w:themeTint="99"/>
              <w:right w:val="nil"/>
            </w:tcBorders>
          </w:tcPr>
          <w:p w14:paraId="3782E67F" w14:textId="77777777" w:rsidR="000E3C80" w:rsidRPr="00C05886" w:rsidRDefault="000E3C80" w:rsidP="00C64930">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22"/>
              </w:rPr>
            </w:pPr>
            <w:r w:rsidRPr="00C05886">
              <w:rPr>
                <w:rFonts w:cstheme="minorHAnsi"/>
                <w:b/>
                <w:bCs/>
                <w:sz w:val="22"/>
              </w:rPr>
              <w:t>β (S.E)</w:t>
            </w:r>
          </w:p>
        </w:tc>
        <w:tc>
          <w:tcPr>
            <w:tcW w:w="1921" w:type="dxa"/>
            <w:tcBorders>
              <w:left w:val="nil"/>
              <w:bottom w:val="single" w:sz="4" w:space="0" w:color="666666" w:themeColor="text1" w:themeTint="99"/>
            </w:tcBorders>
          </w:tcPr>
          <w:p w14:paraId="33D15800" w14:textId="77777777" w:rsidR="000E3C80" w:rsidRPr="00C05886" w:rsidRDefault="000E3C80" w:rsidP="00C64930">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22"/>
              </w:rPr>
            </w:pPr>
            <w:r w:rsidRPr="00C05886">
              <w:rPr>
                <w:rFonts w:cstheme="minorHAnsi"/>
                <w:b/>
                <w:bCs/>
                <w:sz w:val="22"/>
              </w:rPr>
              <w:t>p-value</w:t>
            </w:r>
          </w:p>
        </w:tc>
      </w:tr>
      <w:tr w:rsidR="000E3C80" w:rsidRPr="00C05886" w14:paraId="32096418" w14:textId="77777777" w:rsidTr="005D7515">
        <w:trPr>
          <w:trHeight w:val="1108"/>
        </w:trPr>
        <w:tc>
          <w:tcPr>
            <w:cnfStyle w:val="001000000000" w:firstRow="0" w:lastRow="0" w:firstColumn="1" w:lastColumn="0" w:oddVBand="0" w:evenVBand="0" w:oddHBand="0" w:evenHBand="0" w:firstRowFirstColumn="0" w:firstRowLastColumn="0" w:lastRowFirstColumn="0" w:lastRowLastColumn="0"/>
            <w:tcW w:w="2263" w:type="dxa"/>
          </w:tcPr>
          <w:p w14:paraId="3A72AD27" w14:textId="10AE2E09" w:rsidR="000E3C80" w:rsidRPr="00C05886" w:rsidRDefault="000E3C80" w:rsidP="00C64930">
            <w:pPr>
              <w:spacing w:line="240" w:lineRule="auto"/>
              <w:rPr>
                <w:rFonts w:cstheme="minorHAnsi"/>
                <w:b w:val="0"/>
                <w:bCs w:val="0"/>
                <w:sz w:val="22"/>
              </w:rPr>
            </w:pPr>
            <w:r w:rsidRPr="00C05886">
              <w:rPr>
                <w:rFonts w:cstheme="minorHAnsi"/>
                <w:sz w:val="22"/>
              </w:rPr>
              <w:t xml:space="preserve">Per. </w:t>
            </w:r>
            <w:r w:rsidR="00A76BBB">
              <w:t>species richness</w:t>
            </w:r>
          </w:p>
          <w:p w14:paraId="5C697A99" w14:textId="77777777" w:rsidR="000E3C80" w:rsidRPr="00C05886" w:rsidRDefault="000E3C80" w:rsidP="00C64930">
            <w:pPr>
              <w:spacing w:line="240" w:lineRule="auto"/>
              <w:jc w:val="right"/>
              <w:rPr>
                <w:rFonts w:cstheme="minorHAnsi"/>
                <w:b w:val="0"/>
                <w:bCs w:val="0"/>
                <w:sz w:val="22"/>
              </w:rPr>
            </w:pPr>
            <w:r w:rsidRPr="00C05886">
              <w:rPr>
                <w:rFonts w:cstheme="minorHAnsi"/>
                <w:sz w:val="22"/>
              </w:rPr>
              <w:t>1</w:t>
            </w:r>
          </w:p>
          <w:p w14:paraId="5591252F" w14:textId="77777777" w:rsidR="000E3C80" w:rsidRPr="00C05886" w:rsidRDefault="000E3C80" w:rsidP="00C64930">
            <w:pPr>
              <w:spacing w:line="240" w:lineRule="auto"/>
              <w:jc w:val="right"/>
              <w:rPr>
                <w:rFonts w:cstheme="minorHAnsi"/>
                <w:b w:val="0"/>
                <w:bCs w:val="0"/>
                <w:sz w:val="22"/>
              </w:rPr>
            </w:pPr>
            <w:r w:rsidRPr="00C05886">
              <w:rPr>
                <w:rFonts w:cstheme="minorHAnsi"/>
                <w:sz w:val="22"/>
              </w:rPr>
              <w:t>2</w:t>
            </w:r>
          </w:p>
          <w:p w14:paraId="3C4C619A" w14:textId="77777777" w:rsidR="000E3C80" w:rsidRPr="00C05886" w:rsidRDefault="000E3C80" w:rsidP="00C64930">
            <w:pPr>
              <w:spacing w:line="240" w:lineRule="auto"/>
              <w:jc w:val="right"/>
              <w:rPr>
                <w:rFonts w:cstheme="minorHAnsi"/>
                <w:sz w:val="22"/>
              </w:rPr>
            </w:pPr>
            <w:r w:rsidRPr="00C05886">
              <w:rPr>
                <w:rFonts w:cstheme="minorHAnsi"/>
                <w:sz w:val="22"/>
              </w:rPr>
              <w:t>3</w:t>
            </w:r>
          </w:p>
        </w:tc>
        <w:tc>
          <w:tcPr>
            <w:tcW w:w="1593" w:type="dxa"/>
            <w:tcBorders>
              <w:right w:val="nil"/>
            </w:tcBorders>
          </w:tcPr>
          <w:p w14:paraId="59492F81" w14:textId="77777777" w:rsidR="000E3C80" w:rsidRPr="00C05886" w:rsidRDefault="000E3C80" w:rsidP="00C64930">
            <w:pPr>
              <w:spacing w:line="240" w:lineRule="auto"/>
              <w:jc w:val="center"/>
              <w:cnfStyle w:val="000000000000" w:firstRow="0" w:lastRow="0" w:firstColumn="0" w:lastColumn="0" w:oddVBand="0" w:evenVBand="0" w:oddHBand="0" w:evenHBand="0" w:firstRowFirstColumn="0" w:firstRowLastColumn="0" w:lastRowFirstColumn="0" w:lastRowLastColumn="0"/>
              <w:rPr>
                <w:rFonts w:cstheme="minorHAnsi"/>
                <w:sz w:val="22"/>
              </w:rPr>
            </w:pPr>
          </w:p>
          <w:p w14:paraId="67B04A8B" w14:textId="77777777" w:rsidR="000E3C80" w:rsidRPr="00C05886" w:rsidRDefault="000E3C80" w:rsidP="00C64930">
            <w:pPr>
              <w:spacing w:line="240" w:lineRule="auto"/>
              <w:jc w:val="center"/>
              <w:cnfStyle w:val="000000000000" w:firstRow="0" w:lastRow="0" w:firstColumn="0" w:lastColumn="0" w:oddVBand="0" w:evenVBand="0" w:oddHBand="0" w:evenHBand="0" w:firstRowFirstColumn="0" w:firstRowLastColumn="0" w:lastRowFirstColumn="0" w:lastRowLastColumn="0"/>
              <w:rPr>
                <w:rFonts w:cstheme="minorHAnsi"/>
                <w:sz w:val="22"/>
              </w:rPr>
            </w:pPr>
            <w:r w:rsidRPr="00C05886">
              <w:rPr>
                <w:rFonts w:cstheme="minorHAnsi"/>
                <w:sz w:val="22"/>
              </w:rPr>
              <w:t>1.37 (0.61)</w:t>
            </w:r>
          </w:p>
          <w:p w14:paraId="712898CD" w14:textId="77777777" w:rsidR="000E3C80" w:rsidRPr="00C05886" w:rsidRDefault="000E3C80" w:rsidP="00C64930">
            <w:pPr>
              <w:spacing w:line="240" w:lineRule="auto"/>
              <w:jc w:val="center"/>
              <w:cnfStyle w:val="000000000000" w:firstRow="0" w:lastRow="0" w:firstColumn="0" w:lastColumn="0" w:oddVBand="0" w:evenVBand="0" w:oddHBand="0" w:evenHBand="0" w:firstRowFirstColumn="0" w:firstRowLastColumn="0" w:lastRowFirstColumn="0" w:lastRowLastColumn="0"/>
              <w:rPr>
                <w:rFonts w:cstheme="minorHAnsi"/>
                <w:sz w:val="22"/>
              </w:rPr>
            </w:pPr>
            <w:r w:rsidRPr="00C05886">
              <w:rPr>
                <w:rFonts w:cstheme="minorHAnsi"/>
                <w:sz w:val="22"/>
              </w:rPr>
              <w:t>2.37 (0.63)</w:t>
            </w:r>
          </w:p>
          <w:p w14:paraId="3D7AD64D" w14:textId="77777777" w:rsidR="000E3C80" w:rsidRPr="00C05886" w:rsidRDefault="000E3C80" w:rsidP="00C64930">
            <w:pPr>
              <w:spacing w:line="240" w:lineRule="auto"/>
              <w:jc w:val="center"/>
              <w:cnfStyle w:val="000000000000" w:firstRow="0" w:lastRow="0" w:firstColumn="0" w:lastColumn="0" w:oddVBand="0" w:evenVBand="0" w:oddHBand="0" w:evenHBand="0" w:firstRowFirstColumn="0" w:firstRowLastColumn="0" w:lastRowFirstColumn="0" w:lastRowLastColumn="0"/>
              <w:rPr>
                <w:rFonts w:cstheme="minorHAnsi"/>
                <w:sz w:val="22"/>
              </w:rPr>
            </w:pPr>
            <w:r w:rsidRPr="00C05886">
              <w:rPr>
                <w:rFonts w:cstheme="minorHAnsi"/>
                <w:sz w:val="22"/>
              </w:rPr>
              <w:t>4.51 (0.65)</w:t>
            </w:r>
          </w:p>
        </w:tc>
        <w:tc>
          <w:tcPr>
            <w:tcW w:w="1921" w:type="dxa"/>
            <w:tcBorders>
              <w:left w:val="nil"/>
            </w:tcBorders>
          </w:tcPr>
          <w:p w14:paraId="2C7C1C1E" w14:textId="77777777" w:rsidR="000E3C80" w:rsidRPr="00C05886" w:rsidRDefault="000E3C80" w:rsidP="00C64930">
            <w:pPr>
              <w:spacing w:line="240" w:lineRule="auto"/>
              <w:jc w:val="center"/>
              <w:cnfStyle w:val="000000000000" w:firstRow="0" w:lastRow="0" w:firstColumn="0" w:lastColumn="0" w:oddVBand="0" w:evenVBand="0" w:oddHBand="0" w:evenHBand="0" w:firstRowFirstColumn="0" w:firstRowLastColumn="0" w:lastRowFirstColumn="0" w:lastRowLastColumn="0"/>
              <w:rPr>
                <w:rFonts w:cstheme="minorHAnsi"/>
                <w:sz w:val="22"/>
              </w:rPr>
            </w:pPr>
          </w:p>
          <w:p w14:paraId="304F8410" w14:textId="77777777" w:rsidR="000E3C80" w:rsidRPr="00C05886" w:rsidRDefault="000E3C80" w:rsidP="00C64930">
            <w:pPr>
              <w:spacing w:line="240" w:lineRule="auto"/>
              <w:jc w:val="center"/>
              <w:cnfStyle w:val="000000000000" w:firstRow="0" w:lastRow="0" w:firstColumn="0" w:lastColumn="0" w:oddVBand="0" w:evenVBand="0" w:oddHBand="0" w:evenHBand="0" w:firstRowFirstColumn="0" w:firstRowLastColumn="0" w:lastRowFirstColumn="0" w:lastRowLastColumn="0"/>
              <w:rPr>
                <w:rFonts w:cstheme="minorHAnsi"/>
                <w:sz w:val="22"/>
              </w:rPr>
            </w:pPr>
            <w:r w:rsidRPr="00C05886">
              <w:rPr>
                <w:rFonts w:cstheme="minorHAnsi"/>
                <w:sz w:val="22"/>
              </w:rPr>
              <w:t>0.025</w:t>
            </w:r>
          </w:p>
          <w:p w14:paraId="758A397E" w14:textId="77777777" w:rsidR="000E3C80" w:rsidRPr="00C05886" w:rsidRDefault="000E3C80" w:rsidP="00C64930">
            <w:pPr>
              <w:spacing w:line="240" w:lineRule="auto"/>
              <w:jc w:val="center"/>
              <w:cnfStyle w:val="000000000000" w:firstRow="0" w:lastRow="0" w:firstColumn="0" w:lastColumn="0" w:oddVBand="0" w:evenVBand="0" w:oddHBand="0" w:evenHBand="0" w:firstRowFirstColumn="0" w:firstRowLastColumn="0" w:lastRowFirstColumn="0" w:lastRowLastColumn="0"/>
              <w:rPr>
                <w:rFonts w:cstheme="minorHAnsi"/>
                <w:sz w:val="22"/>
              </w:rPr>
            </w:pPr>
            <w:r w:rsidRPr="00C05886">
              <w:rPr>
                <w:rFonts w:cstheme="minorHAnsi"/>
                <w:sz w:val="22"/>
              </w:rPr>
              <w:t>&lt;0.000</w:t>
            </w:r>
          </w:p>
          <w:p w14:paraId="52CC9540" w14:textId="77777777" w:rsidR="000E3C80" w:rsidRPr="00C05886" w:rsidRDefault="000E3C80" w:rsidP="00C64930">
            <w:pPr>
              <w:spacing w:line="240" w:lineRule="auto"/>
              <w:jc w:val="center"/>
              <w:cnfStyle w:val="000000000000" w:firstRow="0" w:lastRow="0" w:firstColumn="0" w:lastColumn="0" w:oddVBand="0" w:evenVBand="0" w:oddHBand="0" w:evenHBand="0" w:firstRowFirstColumn="0" w:firstRowLastColumn="0" w:lastRowFirstColumn="0" w:lastRowLastColumn="0"/>
              <w:rPr>
                <w:rFonts w:cstheme="minorHAnsi"/>
                <w:sz w:val="22"/>
              </w:rPr>
            </w:pPr>
            <w:r w:rsidRPr="00C05886">
              <w:rPr>
                <w:rFonts w:cstheme="minorHAnsi"/>
                <w:sz w:val="22"/>
              </w:rPr>
              <w:t>&lt;0.000</w:t>
            </w:r>
          </w:p>
        </w:tc>
        <w:tc>
          <w:tcPr>
            <w:tcW w:w="1921" w:type="dxa"/>
            <w:tcBorders>
              <w:right w:val="nil"/>
            </w:tcBorders>
          </w:tcPr>
          <w:p w14:paraId="0D86A978" w14:textId="77777777" w:rsidR="000E3C80" w:rsidRPr="00C05886" w:rsidRDefault="000E3C80" w:rsidP="00C64930">
            <w:pPr>
              <w:spacing w:line="240" w:lineRule="auto"/>
              <w:jc w:val="center"/>
              <w:cnfStyle w:val="000000000000" w:firstRow="0" w:lastRow="0" w:firstColumn="0" w:lastColumn="0" w:oddVBand="0" w:evenVBand="0" w:oddHBand="0" w:evenHBand="0" w:firstRowFirstColumn="0" w:firstRowLastColumn="0" w:lastRowFirstColumn="0" w:lastRowLastColumn="0"/>
              <w:rPr>
                <w:rFonts w:cstheme="minorHAnsi"/>
                <w:sz w:val="22"/>
              </w:rPr>
            </w:pPr>
          </w:p>
          <w:p w14:paraId="022025AF" w14:textId="77777777" w:rsidR="000E3C80" w:rsidRPr="00C05886" w:rsidRDefault="000E3C80" w:rsidP="00C64930">
            <w:pPr>
              <w:spacing w:line="240" w:lineRule="auto"/>
              <w:jc w:val="center"/>
              <w:cnfStyle w:val="000000000000" w:firstRow="0" w:lastRow="0" w:firstColumn="0" w:lastColumn="0" w:oddVBand="0" w:evenVBand="0" w:oddHBand="0" w:evenHBand="0" w:firstRowFirstColumn="0" w:firstRowLastColumn="0" w:lastRowFirstColumn="0" w:lastRowLastColumn="0"/>
              <w:rPr>
                <w:rFonts w:cstheme="minorHAnsi"/>
                <w:sz w:val="22"/>
              </w:rPr>
            </w:pPr>
            <w:r w:rsidRPr="00C05886">
              <w:rPr>
                <w:rFonts w:cstheme="minorHAnsi"/>
                <w:sz w:val="22"/>
              </w:rPr>
              <w:t>-</w:t>
            </w:r>
          </w:p>
          <w:p w14:paraId="265249D2" w14:textId="77777777" w:rsidR="000E3C80" w:rsidRPr="00C05886" w:rsidRDefault="000E3C80" w:rsidP="00C64930">
            <w:pPr>
              <w:spacing w:line="240" w:lineRule="auto"/>
              <w:jc w:val="center"/>
              <w:cnfStyle w:val="000000000000" w:firstRow="0" w:lastRow="0" w:firstColumn="0" w:lastColumn="0" w:oddVBand="0" w:evenVBand="0" w:oddHBand="0" w:evenHBand="0" w:firstRowFirstColumn="0" w:firstRowLastColumn="0" w:lastRowFirstColumn="0" w:lastRowLastColumn="0"/>
              <w:rPr>
                <w:rFonts w:cstheme="minorHAnsi"/>
                <w:sz w:val="22"/>
              </w:rPr>
            </w:pPr>
            <w:r w:rsidRPr="00C05886">
              <w:rPr>
                <w:rFonts w:cstheme="minorHAnsi"/>
                <w:sz w:val="22"/>
              </w:rPr>
              <w:t>-</w:t>
            </w:r>
          </w:p>
          <w:p w14:paraId="3DE6CD51" w14:textId="77777777" w:rsidR="000E3C80" w:rsidRPr="00C05886" w:rsidRDefault="000E3C80" w:rsidP="00C64930">
            <w:pPr>
              <w:spacing w:line="240" w:lineRule="auto"/>
              <w:jc w:val="center"/>
              <w:cnfStyle w:val="000000000000" w:firstRow="0" w:lastRow="0" w:firstColumn="0" w:lastColumn="0" w:oddVBand="0" w:evenVBand="0" w:oddHBand="0" w:evenHBand="0" w:firstRowFirstColumn="0" w:firstRowLastColumn="0" w:lastRowFirstColumn="0" w:lastRowLastColumn="0"/>
              <w:rPr>
                <w:rFonts w:cstheme="minorHAnsi"/>
                <w:sz w:val="22"/>
              </w:rPr>
            </w:pPr>
            <w:r w:rsidRPr="00C05886">
              <w:rPr>
                <w:rFonts w:cstheme="minorHAnsi"/>
                <w:sz w:val="22"/>
              </w:rPr>
              <w:t>-</w:t>
            </w:r>
          </w:p>
        </w:tc>
        <w:tc>
          <w:tcPr>
            <w:tcW w:w="1921" w:type="dxa"/>
            <w:tcBorders>
              <w:left w:val="nil"/>
            </w:tcBorders>
          </w:tcPr>
          <w:p w14:paraId="5A5F669A" w14:textId="77777777" w:rsidR="000E3C80" w:rsidRPr="00C05886" w:rsidRDefault="000E3C80" w:rsidP="00C64930">
            <w:pPr>
              <w:spacing w:line="240" w:lineRule="auto"/>
              <w:jc w:val="center"/>
              <w:cnfStyle w:val="000000000000" w:firstRow="0" w:lastRow="0" w:firstColumn="0" w:lastColumn="0" w:oddVBand="0" w:evenVBand="0" w:oddHBand="0" w:evenHBand="0" w:firstRowFirstColumn="0" w:firstRowLastColumn="0" w:lastRowFirstColumn="0" w:lastRowLastColumn="0"/>
              <w:rPr>
                <w:rFonts w:cstheme="minorHAnsi"/>
                <w:sz w:val="22"/>
              </w:rPr>
            </w:pPr>
          </w:p>
          <w:p w14:paraId="18F01B68" w14:textId="77777777" w:rsidR="000E3C80" w:rsidRPr="00C05886" w:rsidRDefault="000E3C80" w:rsidP="00C64930">
            <w:pPr>
              <w:spacing w:line="240" w:lineRule="auto"/>
              <w:jc w:val="center"/>
              <w:cnfStyle w:val="000000000000" w:firstRow="0" w:lastRow="0" w:firstColumn="0" w:lastColumn="0" w:oddVBand="0" w:evenVBand="0" w:oddHBand="0" w:evenHBand="0" w:firstRowFirstColumn="0" w:firstRowLastColumn="0" w:lastRowFirstColumn="0" w:lastRowLastColumn="0"/>
              <w:rPr>
                <w:rFonts w:cstheme="minorHAnsi"/>
                <w:sz w:val="22"/>
              </w:rPr>
            </w:pPr>
            <w:r w:rsidRPr="00C05886">
              <w:rPr>
                <w:rFonts w:cstheme="minorHAnsi"/>
                <w:sz w:val="22"/>
              </w:rPr>
              <w:t>-</w:t>
            </w:r>
          </w:p>
          <w:p w14:paraId="4E58291E" w14:textId="77777777" w:rsidR="000E3C80" w:rsidRPr="00C05886" w:rsidRDefault="000E3C80" w:rsidP="00C64930">
            <w:pPr>
              <w:spacing w:line="240" w:lineRule="auto"/>
              <w:jc w:val="center"/>
              <w:cnfStyle w:val="000000000000" w:firstRow="0" w:lastRow="0" w:firstColumn="0" w:lastColumn="0" w:oddVBand="0" w:evenVBand="0" w:oddHBand="0" w:evenHBand="0" w:firstRowFirstColumn="0" w:firstRowLastColumn="0" w:lastRowFirstColumn="0" w:lastRowLastColumn="0"/>
              <w:rPr>
                <w:rFonts w:cstheme="minorHAnsi"/>
                <w:sz w:val="22"/>
              </w:rPr>
            </w:pPr>
            <w:r w:rsidRPr="00C05886">
              <w:rPr>
                <w:rFonts w:cstheme="minorHAnsi"/>
                <w:sz w:val="22"/>
              </w:rPr>
              <w:t>-</w:t>
            </w:r>
          </w:p>
          <w:p w14:paraId="272E308D" w14:textId="77777777" w:rsidR="000E3C80" w:rsidRPr="00C05886" w:rsidRDefault="000E3C80" w:rsidP="00C64930">
            <w:pPr>
              <w:spacing w:line="240" w:lineRule="auto"/>
              <w:jc w:val="center"/>
              <w:cnfStyle w:val="000000000000" w:firstRow="0" w:lastRow="0" w:firstColumn="0" w:lastColumn="0" w:oddVBand="0" w:evenVBand="0" w:oddHBand="0" w:evenHBand="0" w:firstRowFirstColumn="0" w:firstRowLastColumn="0" w:lastRowFirstColumn="0" w:lastRowLastColumn="0"/>
              <w:rPr>
                <w:rFonts w:cstheme="minorHAnsi"/>
                <w:sz w:val="22"/>
              </w:rPr>
            </w:pPr>
            <w:r w:rsidRPr="00C05886">
              <w:rPr>
                <w:rFonts w:cstheme="minorHAnsi"/>
                <w:sz w:val="22"/>
              </w:rPr>
              <w:t>-</w:t>
            </w:r>
          </w:p>
        </w:tc>
      </w:tr>
      <w:tr w:rsidR="000E3C80" w:rsidRPr="00C05886" w14:paraId="5E876E2F" w14:textId="77777777" w:rsidTr="005D7515">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2263" w:type="dxa"/>
          </w:tcPr>
          <w:p w14:paraId="2D51C283" w14:textId="77777777" w:rsidR="000E3C80" w:rsidRPr="00C05886" w:rsidRDefault="000E3C80" w:rsidP="00C64930">
            <w:pPr>
              <w:spacing w:line="240" w:lineRule="auto"/>
              <w:rPr>
                <w:rFonts w:cstheme="minorHAnsi"/>
                <w:sz w:val="22"/>
              </w:rPr>
            </w:pPr>
            <w:r w:rsidRPr="00C05886">
              <w:rPr>
                <w:rFonts w:cstheme="minorHAnsi"/>
                <w:sz w:val="22"/>
              </w:rPr>
              <w:t>Domestic garden</w:t>
            </w:r>
          </w:p>
        </w:tc>
        <w:tc>
          <w:tcPr>
            <w:tcW w:w="1593" w:type="dxa"/>
            <w:tcBorders>
              <w:right w:val="nil"/>
            </w:tcBorders>
          </w:tcPr>
          <w:p w14:paraId="349FF49B" w14:textId="77777777" w:rsidR="000E3C80" w:rsidRPr="00C05886" w:rsidRDefault="000E3C80" w:rsidP="00C64930">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22"/>
              </w:rPr>
            </w:pPr>
            <w:r w:rsidRPr="00C05886">
              <w:rPr>
                <w:rFonts w:cstheme="minorHAnsi"/>
                <w:sz w:val="22"/>
              </w:rPr>
              <w:t>1.35 (0.53)</w:t>
            </w:r>
          </w:p>
        </w:tc>
        <w:tc>
          <w:tcPr>
            <w:tcW w:w="1921" w:type="dxa"/>
            <w:tcBorders>
              <w:left w:val="nil"/>
            </w:tcBorders>
          </w:tcPr>
          <w:p w14:paraId="7777B00D" w14:textId="77777777" w:rsidR="000E3C80" w:rsidRPr="00C05886" w:rsidRDefault="000E3C80" w:rsidP="00C64930">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22"/>
              </w:rPr>
            </w:pPr>
            <w:r w:rsidRPr="00C05886">
              <w:rPr>
                <w:rFonts w:cstheme="minorHAnsi"/>
                <w:sz w:val="22"/>
              </w:rPr>
              <w:t>0.011</w:t>
            </w:r>
          </w:p>
        </w:tc>
        <w:tc>
          <w:tcPr>
            <w:tcW w:w="1921" w:type="dxa"/>
            <w:tcBorders>
              <w:right w:val="nil"/>
            </w:tcBorders>
          </w:tcPr>
          <w:p w14:paraId="45A9E972" w14:textId="77777777" w:rsidR="000E3C80" w:rsidRPr="00C05886" w:rsidRDefault="000E3C80" w:rsidP="00C64930">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22"/>
              </w:rPr>
            </w:pPr>
            <w:r w:rsidRPr="00C05886">
              <w:rPr>
                <w:rFonts w:cstheme="minorHAnsi"/>
                <w:sz w:val="22"/>
              </w:rPr>
              <w:t>-</w:t>
            </w:r>
          </w:p>
        </w:tc>
        <w:tc>
          <w:tcPr>
            <w:tcW w:w="1921" w:type="dxa"/>
            <w:tcBorders>
              <w:left w:val="nil"/>
            </w:tcBorders>
          </w:tcPr>
          <w:p w14:paraId="226D84AC" w14:textId="77777777" w:rsidR="000E3C80" w:rsidRPr="00C05886" w:rsidRDefault="000E3C80" w:rsidP="00C64930">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22"/>
              </w:rPr>
            </w:pPr>
            <w:r w:rsidRPr="00C05886">
              <w:rPr>
                <w:rFonts w:cstheme="minorHAnsi"/>
                <w:sz w:val="22"/>
              </w:rPr>
              <w:t>-</w:t>
            </w:r>
          </w:p>
        </w:tc>
      </w:tr>
      <w:tr w:rsidR="000E3C80" w:rsidRPr="00C05886" w14:paraId="0A70E5BC" w14:textId="77777777" w:rsidTr="005D7515">
        <w:trPr>
          <w:trHeight w:val="270"/>
        </w:trPr>
        <w:tc>
          <w:tcPr>
            <w:cnfStyle w:val="001000000000" w:firstRow="0" w:lastRow="0" w:firstColumn="1" w:lastColumn="0" w:oddVBand="0" w:evenVBand="0" w:oddHBand="0" w:evenHBand="0" w:firstRowFirstColumn="0" w:firstRowLastColumn="0" w:lastRowFirstColumn="0" w:lastRowLastColumn="0"/>
            <w:tcW w:w="2263" w:type="dxa"/>
            <w:tcBorders>
              <w:bottom w:val="single" w:sz="4" w:space="0" w:color="auto"/>
            </w:tcBorders>
          </w:tcPr>
          <w:p w14:paraId="0C9AE7A8" w14:textId="77777777" w:rsidR="000E3C80" w:rsidRPr="00C05886" w:rsidRDefault="000E3C80" w:rsidP="00C64930">
            <w:pPr>
              <w:spacing w:line="240" w:lineRule="auto"/>
              <w:rPr>
                <w:rFonts w:cstheme="minorHAnsi"/>
                <w:sz w:val="22"/>
              </w:rPr>
            </w:pPr>
            <w:r w:rsidRPr="00C05886">
              <w:rPr>
                <w:rFonts w:cstheme="minorHAnsi"/>
                <w:sz w:val="22"/>
              </w:rPr>
              <w:t>Trees</w:t>
            </w:r>
          </w:p>
        </w:tc>
        <w:tc>
          <w:tcPr>
            <w:tcW w:w="1593" w:type="dxa"/>
            <w:tcBorders>
              <w:bottom w:val="single" w:sz="4" w:space="0" w:color="auto"/>
              <w:right w:val="nil"/>
            </w:tcBorders>
          </w:tcPr>
          <w:p w14:paraId="2DB5BEB2" w14:textId="77777777" w:rsidR="000E3C80" w:rsidRPr="00C05886" w:rsidRDefault="000E3C80" w:rsidP="00C64930">
            <w:pPr>
              <w:spacing w:line="240" w:lineRule="auto"/>
              <w:jc w:val="center"/>
              <w:cnfStyle w:val="000000000000" w:firstRow="0" w:lastRow="0" w:firstColumn="0" w:lastColumn="0" w:oddVBand="0" w:evenVBand="0" w:oddHBand="0" w:evenHBand="0" w:firstRowFirstColumn="0" w:firstRowLastColumn="0" w:lastRowFirstColumn="0" w:lastRowLastColumn="0"/>
              <w:rPr>
                <w:rFonts w:cstheme="minorHAnsi"/>
                <w:sz w:val="22"/>
              </w:rPr>
            </w:pPr>
            <w:r w:rsidRPr="00C05886">
              <w:rPr>
                <w:rFonts w:cstheme="minorHAnsi"/>
                <w:sz w:val="22"/>
              </w:rPr>
              <w:t>-0.51 (0,20)</w:t>
            </w:r>
          </w:p>
        </w:tc>
        <w:tc>
          <w:tcPr>
            <w:tcW w:w="1921" w:type="dxa"/>
            <w:tcBorders>
              <w:left w:val="nil"/>
              <w:bottom w:val="single" w:sz="4" w:space="0" w:color="auto"/>
            </w:tcBorders>
          </w:tcPr>
          <w:p w14:paraId="30618204" w14:textId="77777777" w:rsidR="000E3C80" w:rsidRPr="00C05886" w:rsidRDefault="000E3C80" w:rsidP="00C64930">
            <w:pPr>
              <w:spacing w:line="240" w:lineRule="auto"/>
              <w:jc w:val="center"/>
              <w:cnfStyle w:val="000000000000" w:firstRow="0" w:lastRow="0" w:firstColumn="0" w:lastColumn="0" w:oddVBand="0" w:evenVBand="0" w:oddHBand="0" w:evenHBand="0" w:firstRowFirstColumn="0" w:firstRowLastColumn="0" w:lastRowFirstColumn="0" w:lastRowLastColumn="0"/>
              <w:rPr>
                <w:rFonts w:cstheme="minorHAnsi"/>
                <w:sz w:val="22"/>
              </w:rPr>
            </w:pPr>
            <w:r w:rsidRPr="00C05886">
              <w:rPr>
                <w:rFonts w:cstheme="minorHAnsi"/>
                <w:sz w:val="22"/>
              </w:rPr>
              <w:t>0.010</w:t>
            </w:r>
          </w:p>
        </w:tc>
        <w:tc>
          <w:tcPr>
            <w:tcW w:w="1921" w:type="dxa"/>
            <w:tcBorders>
              <w:bottom w:val="single" w:sz="4" w:space="0" w:color="auto"/>
              <w:right w:val="nil"/>
            </w:tcBorders>
          </w:tcPr>
          <w:p w14:paraId="27C594A4" w14:textId="77777777" w:rsidR="000E3C80" w:rsidRPr="00C05886" w:rsidRDefault="000E3C80" w:rsidP="00C64930">
            <w:pPr>
              <w:spacing w:line="240" w:lineRule="auto"/>
              <w:jc w:val="center"/>
              <w:cnfStyle w:val="000000000000" w:firstRow="0" w:lastRow="0" w:firstColumn="0" w:lastColumn="0" w:oddVBand="0" w:evenVBand="0" w:oddHBand="0" w:evenHBand="0" w:firstRowFirstColumn="0" w:firstRowLastColumn="0" w:lastRowFirstColumn="0" w:lastRowLastColumn="0"/>
              <w:rPr>
                <w:rFonts w:cstheme="minorHAnsi"/>
                <w:sz w:val="22"/>
              </w:rPr>
            </w:pPr>
            <w:r w:rsidRPr="00C05886">
              <w:rPr>
                <w:rFonts w:cstheme="minorHAnsi"/>
                <w:sz w:val="22"/>
              </w:rPr>
              <w:t>-</w:t>
            </w:r>
          </w:p>
        </w:tc>
        <w:tc>
          <w:tcPr>
            <w:tcW w:w="1921" w:type="dxa"/>
            <w:tcBorders>
              <w:left w:val="nil"/>
              <w:bottom w:val="single" w:sz="4" w:space="0" w:color="auto"/>
            </w:tcBorders>
          </w:tcPr>
          <w:p w14:paraId="61E43277" w14:textId="77777777" w:rsidR="000E3C80" w:rsidRPr="00C05886" w:rsidRDefault="000E3C80" w:rsidP="00C64930">
            <w:pPr>
              <w:spacing w:line="240" w:lineRule="auto"/>
              <w:jc w:val="center"/>
              <w:cnfStyle w:val="000000000000" w:firstRow="0" w:lastRow="0" w:firstColumn="0" w:lastColumn="0" w:oddVBand="0" w:evenVBand="0" w:oddHBand="0" w:evenHBand="0" w:firstRowFirstColumn="0" w:firstRowLastColumn="0" w:lastRowFirstColumn="0" w:lastRowLastColumn="0"/>
              <w:rPr>
                <w:rFonts w:cstheme="minorHAnsi"/>
                <w:sz w:val="22"/>
              </w:rPr>
            </w:pPr>
            <w:r w:rsidRPr="00C05886">
              <w:rPr>
                <w:rFonts w:cstheme="minorHAnsi"/>
                <w:sz w:val="22"/>
              </w:rPr>
              <w:t>-</w:t>
            </w:r>
          </w:p>
        </w:tc>
      </w:tr>
      <w:tr w:rsidR="00FD000F" w:rsidRPr="00C05886" w14:paraId="14935347" w14:textId="77777777" w:rsidTr="00A76BBB">
        <w:trPr>
          <w:cnfStyle w:val="000000100000" w:firstRow="0" w:lastRow="0" w:firstColumn="0" w:lastColumn="0" w:oddVBand="0" w:evenVBand="0" w:oddHBand="1" w:evenHBand="0" w:firstRowFirstColumn="0" w:firstRowLastColumn="0" w:lastRowFirstColumn="0" w:lastRowLastColumn="0"/>
          <w:trHeight w:val="282"/>
        </w:trPr>
        <w:tc>
          <w:tcPr>
            <w:cnfStyle w:val="001000000000" w:firstRow="0" w:lastRow="0" w:firstColumn="1" w:lastColumn="0" w:oddVBand="0" w:evenVBand="0" w:oddHBand="0" w:evenHBand="0" w:firstRowFirstColumn="0" w:firstRowLastColumn="0" w:lastRowFirstColumn="0" w:lastRowLastColumn="0"/>
            <w:tcW w:w="2263" w:type="dxa"/>
            <w:tcBorders>
              <w:top w:val="single" w:sz="2" w:space="0" w:color="auto"/>
              <w:left w:val="single" w:sz="2" w:space="0" w:color="auto"/>
              <w:bottom w:val="nil"/>
              <w:right w:val="single" w:sz="2" w:space="0" w:color="auto"/>
            </w:tcBorders>
          </w:tcPr>
          <w:p w14:paraId="03D40218" w14:textId="0A3F2E7B" w:rsidR="000E3C80" w:rsidRPr="00C05886" w:rsidRDefault="000E3C80" w:rsidP="00C64930">
            <w:pPr>
              <w:spacing w:line="240" w:lineRule="auto"/>
              <w:rPr>
                <w:rFonts w:cstheme="minorHAnsi"/>
                <w:b w:val="0"/>
                <w:bCs w:val="0"/>
                <w:sz w:val="22"/>
              </w:rPr>
            </w:pPr>
            <w:r w:rsidRPr="00C05886">
              <w:rPr>
                <w:rFonts w:cstheme="minorHAnsi"/>
                <w:sz w:val="22"/>
              </w:rPr>
              <w:t>Per.</w:t>
            </w:r>
            <w:r w:rsidR="00B25DD5">
              <w:rPr>
                <w:rFonts w:cstheme="minorHAnsi"/>
                <w:sz w:val="22"/>
              </w:rPr>
              <w:t xml:space="preserve"> </w:t>
            </w:r>
            <w:r w:rsidR="00B25DD5">
              <w:t>building density</w:t>
            </w:r>
          </w:p>
          <w:p w14:paraId="776103F2" w14:textId="77777777" w:rsidR="000E3C80" w:rsidRPr="00C05886" w:rsidRDefault="000E3C80" w:rsidP="00C64930">
            <w:pPr>
              <w:spacing w:line="240" w:lineRule="auto"/>
              <w:jc w:val="right"/>
              <w:rPr>
                <w:rFonts w:cstheme="minorHAnsi"/>
                <w:b w:val="0"/>
                <w:bCs w:val="0"/>
                <w:sz w:val="22"/>
              </w:rPr>
            </w:pPr>
            <w:r w:rsidRPr="00C05886">
              <w:rPr>
                <w:rFonts w:cstheme="minorHAnsi"/>
                <w:sz w:val="22"/>
              </w:rPr>
              <w:t>1</w:t>
            </w:r>
          </w:p>
          <w:p w14:paraId="5FE141B7" w14:textId="77777777" w:rsidR="000E3C80" w:rsidRPr="00C05886" w:rsidRDefault="000E3C80" w:rsidP="00C64930">
            <w:pPr>
              <w:spacing w:line="240" w:lineRule="auto"/>
              <w:jc w:val="right"/>
              <w:rPr>
                <w:rFonts w:cstheme="minorHAnsi"/>
                <w:b w:val="0"/>
                <w:bCs w:val="0"/>
                <w:sz w:val="22"/>
              </w:rPr>
            </w:pPr>
            <w:r w:rsidRPr="00C05886">
              <w:rPr>
                <w:rFonts w:cstheme="minorHAnsi"/>
                <w:sz w:val="22"/>
              </w:rPr>
              <w:t>2</w:t>
            </w:r>
          </w:p>
          <w:p w14:paraId="5FA2EB69" w14:textId="77777777" w:rsidR="000E3C80" w:rsidRPr="00C05886" w:rsidRDefault="000E3C80" w:rsidP="00C64930">
            <w:pPr>
              <w:spacing w:line="240" w:lineRule="auto"/>
              <w:jc w:val="right"/>
              <w:rPr>
                <w:rFonts w:cstheme="minorHAnsi"/>
                <w:sz w:val="22"/>
              </w:rPr>
            </w:pPr>
            <w:r w:rsidRPr="00C05886">
              <w:rPr>
                <w:rFonts w:cstheme="minorHAnsi"/>
                <w:sz w:val="22"/>
              </w:rPr>
              <w:t>3</w:t>
            </w:r>
          </w:p>
        </w:tc>
        <w:tc>
          <w:tcPr>
            <w:tcW w:w="1593" w:type="dxa"/>
            <w:tcBorders>
              <w:top w:val="single" w:sz="2" w:space="0" w:color="auto"/>
              <w:left w:val="single" w:sz="2" w:space="0" w:color="auto"/>
              <w:bottom w:val="nil"/>
              <w:right w:val="nil"/>
            </w:tcBorders>
          </w:tcPr>
          <w:p w14:paraId="082E047F" w14:textId="77777777" w:rsidR="000E3C80" w:rsidRPr="00C05886" w:rsidRDefault="000E3C80" w:rsidP="00C64930">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22"/>
              </w:rPr>
            </w:pPr>
          </w:p>
          <w:p w14:paraId="686F3E72" w14:textId="77777777" w:rsidR="000E3C80" w:rsidRPr="00C05886" w:rsidRDefault="000E3C80" w:rsidP="00C64930">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22"/>
              </w:rPr>
            </w:pPr>
            <w:r w:rsidRPr="00C05886">
              <w:rPr>
                <w:rFonts w:cstheme="minorHAnsi"/>
                <w:sz w:val="22"/>
              </w:rPr>
              <w:t>-</w:t>
            </w:r>
          </w:p>
          <w:p w14:paraId="0EBB921B" w14:textId="77777777" w:rsidR="000E3C80" w:rsidRPr="00C05886" w:rsidRDefault="000E3C80" w:rsidP="00C64930">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22"/>
              </w:rPr>
            </w:pPr>
            <w:r w:rsidRPr="00C05886">
              <w:rPr>
                <w:rFonts w:cstheme="minorHAnsi"/>
                <w:sz w:val="22"/>
              </w:rPr>
              <w:t>-</w:t>
            </w:r>
          </w:p>
          <w:p w14:paraId="4CE0BE7F" w14:textId="77777777" w:rsidR="000E3C80" w:rsidRPr="00C05886" w:rsidRDefault="000E3C80" w:rsidP="00C64930">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22"/>
              </w:rPr>
            </w:pPr>
            <w:r w:rsidRPr="00C05886">
              <w:rPr>
                <w:rFonts w:cstheme="minorHAnsi"/>
                <w:sz w:val="22"/>
              </w:rPr>
              <w:t>-</w:t>
            </w:r>
          </w:p>
        </w:tc>
        <w:tc>
          <w:tcPr>
            <w:tcW w:w="1921" w:type="dxa"/>
            <w:tcBorders>
              <w:top w:val="single" w:sz="2" w:space="0" w:color="auto"/>
              <w:left w:val="nil"/>
              <w:bottom w:val="nil"/>
              <w:right w:val="single" w:sz="2" w:space="0" w:color="auto"/>
            </w:tcBorders>
          </w:tcPr>
          <w:p w14:paraId="64F8D9D0" w14:textId="77777777" w:rsidR="000E3C80" w:rsidRPr="00C05886" w:rsidRDefault="000E3C80" w:rsidP="00C64930">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22"/>
              </w:rPr>
            </w:pPr>
          </w:p>
          <w:p w14:paraId="39C8EBEF" w14:textId="77777777" w:rsidR="000E3C80" w:rsidRPr="00C05886" w:rsidRDefault="000E3C80" w:rsidP="00C64930">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22"/>
              </w:rPr>
            </w:pPr>
            <w:r w:rsidRPr="00C05886">
              <w:rPr>
                <w:rFonts w:cstheme="minorHAnsi"/>
                <w:sz w:val="22"/>
              </w:rPr>
              <w:t>-</w:t>
            </w:r>
          </w:p>
          <w:p w14:paraId="6C1014D3" w14:textId="77777777" w:rsidR="000E3C80" w:rsidRPr="00C05886" w:rsidRDefault="000E3C80" w:rsidP="00C64930">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22"/>
              </w:rPr>
            </w:pPr>
            <w:r w:rsidRPr="00C05886">
              <w:rPr>
                <w:rFonts w:cstheme="minorHAnsi"/>
                <w:sz w:val="22"/>
              </w:rPr>
              <w:t>-</w:t>
            </w:r>
          </w:p>
          <w:p w14:paraId="3FFBDD29" w14:textId="77777777" w:rsidR="000E3C80" w:rsidRPr="00C05886" w:rsidRDefault="000E3C80" w:rsidP="00C64930">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22"/>
              </w:rPr>
            </w:pPr>
            <w:r w:rsidRPr="00C05886">
              <w:rPr>
                <w:rFonts w:cstheme="minorHAnsi"/>
                <w:sz w:val="22"/>
              </w:rPr>
              <w:t>-</w:t>
            </w:r>
          </w:p>
        </w:tc>
        <w:tc>
          <w:tcPr>
            <w:tcW w:w="1921" w:type="dxa"/>
            <w:tcBorders>
              <w:top w:val="single" w:sz="2" w:space="0" w:color="auto"/>
              <w:left w:val="single" w:sz="2" w:space="0" w:color="auto"/>
              <w:bottom w:val="nil"/>
              <w:right w:val="nil"/>
            </w:tcBorders>
          </w:tcPr>
          <w:p w14:paraId="3C604722" w14:textId="77777777" w:rsidR="000E3C80" w:rsidRPr="00C05886" w:rsidRDefault="000E3C80" w:rsidP="00C64930">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22"/>
              </w:rPr>
            </w:pPr>
          </w:p>
          <w:p w14:paraId="5495CA01" w14:textId="77777777" w:rsidR="000E3C80" w:rsidRPr="00C05886" w:rsidRDefault="000E3C80" w:rsidP="00C64930">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22"/>
              </w:rPr>
            </w:pPr>
            <w:r w:rsidRPr="00C05886">
              <w:rPr>
                <w:rFonts w:cstheme="minorHAnsi"/>
                <w:sz w:val="22"/>
              </w:rPr>
              <w:t>-1.79 0.74)</w:t>
            </w:r>
          </w:p>
          <w:p w14:paraId="11735C5C" w14:textId="77777777" w:rsidR="000E3C80" w:rsidRPr="00C05886" w:rsidRDefault="000E3C80" w:rsidP="00C64930">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22"/>
              </w:rPr>
            </w:pPr>
            <w:r w:rsidRPr="00C05886">
              <w:rPr>
                <w:rFonts w:cstheme="minorHAnsi"/>
                <w:sz w:val="22"/>
              </w:rPr>
              <w:t xml:space="preserve">-2.37 (0.67) </w:t>
            </w:r>
          </w:p>
          <w:p w14:paraId="11AB00A7" w14:textId="77777777" w:rsidR="000E3C80" w:rsidRPr="00C05886" w:rsidRDefault="000E3C80" w:rsidP="00C64930">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22"/>
              </w:rPr>
            </w:pPr>
            <w:r w:rsidRPr="00C05886">
              <w:rPr>
                <w:rFonts w:cstheme="minorHAnsi"/>
                <w:sz w:val="22"/>
              </w:rPr>
              <w:t>-2.45 (0.70)</w:t>
            </w:r>
          </w:p>
        </w:tc>
        <w:tc>
          <w:tcPr>
            <w:tcW w:w="1921" w:type="dxa"/>
            <w:tcBorders>
              <w:top w:val="single" w:sz="2" w:space="0" w:color="auto"/>
              <w:left w:val="nil"/>
              <w:bottom w:val="nil"/>
              <w:right w:val="single" w:sz="2" w:space="0" w:color="auto"/>
            </w:tcBorders>
          </w:tcPr>
          <w:p w14:paraId="6844C83A" w14:textId="77777777" w:rsidR="000E3C80" w:rsidRPr="00C05886" w:rsidRDefault="000E3C80" w:rsidP="00C64930">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22"/>
              </w:rPr>
            </w:pPr>
          </w:p>
          <w:p w14:paraId="31C256CD" w14:textId="77777777" w:rsidR="000E3C80" w:rsidRPr="00C05886" w:rsidRDefault="000E3C80" w:rsidP="00C64930">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22"/>
              </w:rPr>
            </w:pPr>
            <w:r w:rsidRPr="00C05886">
              <w:rPr>
                <w:rFonts w:cstheme="minorHAnsi"/>
                <w:sz w:val="22"/>
              </w:rPr>
              <w:t>0.016</w:t>
            </w:r>
          </w:p>
          <w:p w14:paraId="0788C860" w14:textId="77777777" w:rsidR="000E3C80" w:rsidRPr="00C05886" w:rsidRDefault="000E3C80" w:rsidP="00C64930">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22"/>
              </w:rPr>
            </w:pPr>
            <w:r w:rsidRPr="00C05886">
              <w:rPr>
                <w:rFonts w:cstheme="minorHAnsi"/>
                <w:sz w:val="22"/>
              </w:rPr>
              <w:t>&lt;0.000</w:t>
            </w:r>
          </w:p>
          <w:p w14:paraId="257BAC72" w14:textId="77777777" w:rsidR="000E3C80" w:rsidRPr="00C05886" w:rsidRDefault="000E3C80" w:rsidP="00C64930">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22"/>
              </w:rPr>
            </w:pPr>
            <w:r w:rsidRPr="00C05886">
              <w:rPr>
                <w:rFonts w:cstheme="minorHAnsi"/>
                <w:sz w:val="22"/>
              </w:rPr>
              <w:t>0.001</w:t>
            </w:r>
          </w:p>
        </w:tc>
      </w:tr>
      <w:tr w:rsidR="00FD000F" w:rsidRPr="00C05886" w14:paraId="237E705F" w14:textId="77777777" w:rsidTr="00A76BBB">
        <w:trPr>
          <w:trHeight w:val="282"/>
        </w:trPr>
        <w:tc>
          <w:tcPr>
            <w:cnfStyle w:val="001000000000" w:firstRow="0" w:lastRow="0" w:firstColumn="1" w:lastColumn="0" w:oddVBand="0" w:evenVBand="0" w:oddHBand="0" w:evenHBand="0" w:firstRowFirstColumn="0" w:firstRowLastColumn="0" w:lastRowFirstColumn="0" w:lastRowLastColumn="0"/>
            <w:tcW w:w="2263" w:type="dxa"/>
            <w:tcBorders>
              <w:top w:val="nil"/>
              <w:left w:val="single" w:sz="2" w:space="0" w:color="auto"/>
              <w:bottom w:val="nil"/>
              <w:right w:val="single" w:sz="2" w:space="0" w:color="auto"/>
            </w:tcBorders>
          </w:tcPr>
          <w:p w14:paraId="72EE97AB" w14:textId="77777777" w:rsidR="000E3C80" w:rsidRPr="00C05886" w:rsidRDefault="000E3C80" w:rsidP="00C64930">
            <w:pPr>
              <w:spacing w:line="240" w:lineRule="auto"/>
              <w:rPr>
                <w:rFonts w:cstheme="minorHAnsi"/>
                <w:sz w:val="22"/>
              </w:rPr>
            </w:pPr>
            <w:r w:rsidRPr="00C05886">
              <w:rPr>
                <w:rFonts w:cstheme="minorHAnsi"/>
                <w:sz w:val="22"/>
              </w:rPr>
              <w:t>Buildings</w:t>
            </w:r>
          </w:p>
        </w:tc>
        <w:tc>
          <w:tcPr>
            <w:tcW w:w="1593" w:type="dxa"/>
            <w:tcBorders>
              <w:top w:val="nil"/>
              <w:left w:val="single" w:sz="2" w:space="0" w:color="auto"/>
              <w:bottom w:val="nil"/>
              <w:right w:val="nil"/>
            </w:tcBorders>
          </w:tcPr>
          <w:p w14:paraId="463D62E6" w14:textId="77777777" w:rsidR="000E3C80" w:rsidRPr="00C05886" w:rsidRDefault="000E3C80" w:rsidP="00C64930">
            <w:pPr>
              <w:spacing w:line="240" w:lineRule="auto"/>
              <w:jc w:val="center"/>
              <w:cnfStyle w:val="000000000000" w:firstRow="0" w:lastRow="0" w:firstColumn="0" w:lastColumn="0" w:oddVBand="0" w:evenVBand="0" w:oddHBand="0" w:evenHBand="0" w:firstRowFirstColumn="0" w:firstRowLastColumn="0" w:lastRowFirstColumn="0" w:lastRowLastColumn="0"/>
              <w:rPr>
                <w:rFonts w:cstheme="minorHAnsi"/>
                <w:sz w:val="22"/>
              </w:rPr>
            </w:pPr>
            <w:r w:rsidRPr="00C05886">
              <w:rPr>
                <w:rFonts w:cstheme="minorHAnsi"/>
                <w:sz w:val="22"/>
              </w:rPr>
              <w:t>-</w:t>
            </w:r>
          </w:p>
        </w:tc>
        <w:tc>
          <w:tcPr>
            <w:tcW w:w="1921" w:type="dxa"/>
            <w:tcBorders>
              <w:top w:val="nil"/>
              <w:left w:val="nil"/>
              <w:bottom w:val="nil"/>
              <w:right w:val="single" w:sz="2" w:space="0" w:color="auto"/>
            </w:tcBorders>
          </w:tcPr>
          <w:p w14:paraId="3C07DB0F" w14:textId="77777777" w:rsidR="000E3C80" w:rsidRPr="00C05886" w:rsidRDefault="000E3C80" w:rsidP="00C64930">
            <w:pPr>
              <w:spacing w:line="240" w:lineRule="auto"/>
              <w:jc w:val="center"/>
              <w:cnfStyle w:val="000000000000" w:firstRow="0" w:lastRow="0" w:firstColumn="0" w:lastColumn="0" w:oddVBand="0" w:evenVBand="0" w:oddHBand="0" w:evenHBand="0" w:firstRowFirstColumn="0" w:firstRowLastColumn="0" w:lastRowFirstColumn="0" w:lastRowLastColumn="0"/>
              <w:rPr>
                <w:rFonts w:cstheme="minorHAnsi"/>
                <w:sz w:val="22"/>
              </w:rPr>
            </w:pPr>
            <w:r w:rsidRPr="00C05886">
              <w:rPr>
                <w:rFonts w:cstheme="minorHAnsi"/>
                <w:sz w:val="22"/>
              </w:rPr>
              <w:t>-</w:t>
            </w:r>
          </w:p>
        </w:tc>
        <w:tc>
          <w:tcPr>
            <w:tcW w:w="1921" w:type="dxa"/>
            <w:tcBorders>
              <w:top w:val="nil"/>
              <w:left w:val="single" w:sz="2" w:space="0" w:color="auto"/>
              <w:bottom w:val="nil"/>
              <w:right w:val="nil"/>
            </w:tcBorders>
          </w:tcPr>
          <w:p w14:paraId="146BAF8F" w14:textId="77777777" w:rsidR="000E3C80" w:rsidRPr="00C05886" w:rsidRDefault="000E3C80" w:rsidP="00C64930">
            <w:pPr>
              <w:spacing w:line="240" w:lineRule="auto"/>
              <w:jc w:val="center"/>
              <w:cnfStyle w:val="000000000000" w:firstRow="0" w:lastRow="0" w:firstColumn="0" w:lastColumn="0" w:oddVBand="0" w:evenVBand="0" w:oddHBand="0" w:evenHBand="0" w:firstRowFirstColumn="0" w:firstRowLastColumn="0" w:lastRowFirstColumn="0" w:lastRowLastColumn="0"/>
              <w:rPr>
                <w:rFonts w:cstheme="minorHAnsi"/>
                <w:sz w:val="22"/>
              </w:rPr>
            </w:pPr>
            <w:r w:rsidRPr="00C05886">
              <w:rPr>
                <w:rFonts w:cstheme="minorHAnsi"/>
                <w:sz w:val="22"/>
              </w:rPr>
              <w:t>-0.56 (0.24)</w:t>
            </w:r>
          </w:p>
        </w:tc>
        <w:tc>
          <w:tcPr>
            <w:tcW w:w="1921" w:type="dxa"/>
            <w:tcBorders>
              <w:top w:val="nil"/>
              <w:left w:val="nil"/>
              <w:bottom w:val="nil"/>
              <w:right w:val="single" w:sz="2" w:space="0" w:color="auto"/>
            </w:tcBorders>
          </w:tcPr>
          <w:p w14:paraId="023AC404" w14:textId="77777777" w:rsidR="000E3C80" w:rsidRPr="00C05886" w:rsidRDefault="000E3C80" w:rsidP="00C64930">
            <w:pPr>
              <w:spacing w:line="240" w:lineRule="auto"/>
              <w:jc w:val="center"/>
              <w:cnfStyle w:val="000000000000" w:firstRow="0" w:lastRow="0" w:firstColumn="0" w:lastColumn="0" w:oddVBand="0" w:evenVBand="0" w:oddHBand="0" w:evenHBand="0" w:firstRowFirstColumn="0" w:firstRowLastColumn="0" w:lastRowFirstColumn="0" w:lastRowLastColumn="0"/>
              <w:rPr>
                <w:rFonts w:cstheme="minorHAnsi"/>
                <w:sz w:val="22"/>
              </w:rPr>
            </w:pPr>
            <w:r w:rsidRPr="00C05886">
              <w:rPr>
                <w:rFonts w:cstheme="minorHAnsi"/>
                <w:sz w:val="22"/>
              </w:rPr>
              <w:t>0.017</w:t>
            </w:r>
          </w:p>
        </w:tc>
      </w:tr>
      <w:tr w:rsidR="00FD000F" w:rsidRPr="00C05886" w14:paraId="41904395" w14:textId="77777777" w:rsidTr="00A76BBB">
        <w:trPr>
          <w:cnfStyle w:val="000000100000" w:firstRow="0" w:lastRow="0" w:firstColumn="0" w:lastColumn="0" w:oddVBand="0" w:evenVBand="0" w:oddHBand="1" w:evenHBand="0" w:firstRowFirstColumn="0" w:firstRowLastColumn="0" w:lastRowFirstColumn="0" w:lastRowLastColumn="0"/>
          <w:trHeight w:val="282"/>
        </w:trPr>
        <w:tc>
          <w:tcPr>
            <w:cnfStyle w:val="001000000000" w:firstRow="0" w:lastRow="0" w:firstColumn="1" w:lastColumn="0" w:oddVBand="0" w:evenVBand="0" w:oddHBand="0" w:evenHBand="0" w:firstRowFirstColumn="0" w:firstRowLastColumn="0" w:lastRowFirstColumn="0" w:lastRowLastColumn="0"/>
            <w:tcW w:w="2263" w:type="dxa"/>
            <w:tcBorders>
              <w:top w:val="nil"/>
              <w:left w:val="single" w:sz="2" w:space="0" w:color="auto"/>
              <w:bottom w:val="nil"/>
              <w:right w:val="single" w:sz="2" w:space="0" w:color="auto"/>
            </w:tcBorders>
          </w:tcPr>
          <w:p w14:paraId="44A9B8B7" w14:textId="77777777" w:rsidR="000E3C80" w:rsidRPr="00C05886" w:rsidRDefault="000E3C80" w:rsidP="00C64930">
            <w:pPr>
              <w:spacing w:line="240" w:lineRule="auto"/>
              <w:rPr>
                <w:rFonts w:cstheme="minorHAnsi"/>
                <w:sz w:val="22"/>
              </w:rPr>
            </w:pPr>
            <w:r w:rsidRPr="00C05886">
              <w:rPr>
                <w:rFonts w:cstheme="minorHAnsi"/>
                <w:sz w:val="22"/>
              </w:rPr>
              <w:t>Hedges</w:t>
            </w:r>
          </w:p>
        </w:tc>
        <w:tc>
          <w:tcPr>
            <w:tcW w:w="1593" w:type="dxa"/>
            <w:tcBorders>
              <w:top w:val="nil"/>
              <w:left w:val="single" w:sz="2" w:space="0" w:color="auto"/>
              <w:bottom w:val="nil"/>
              <w:right w:val="nil"/>
            </w:tcBorders>
          </w:tcPr>
          <w:p w14:paraId="3E202AE8" w14:textId="77777777" w:rsidR="000E3C80" w:rsidRPr="00C05886" w:rsidRDefault="000E3C80" w:rsidP="00C64930">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22"/>
              </w:rPr>
            </w:pPr>
            <w:r w:rsidRPr="00C05886">
              <w:rPr>
                <w:rFonts w:cstheme="minorHAnsi"/>
                <w:sz w:val="22"/>
              </w:rPr>
              <w:t>-</w:t>
            </w:r>
          </w:p>
        </w:tc>
        <w:tc>
          <w:tcPr>
            <w:tcW w:w="1921" w:type="dxa"/>
            <w:tcBorders>
              <w:top w:val="nil"/>
              <w:left w:val="nil"/>
              <w:bottom w:val="nil"/>
              <w:right w:val="single" w:sz="2" w:space="0" w:color="auto"/>
            </w:tcBorders>
          </w:tcPr>
          <w:p w14:paraId="731AEBBB" w14:textId="77777777" w:rsidR="000E3C80" w:rsidRPr="00C05886" w:rsidRDefault="000E3C80" w:rsidP="00C64930">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22"/>
              </w:rPr>
            </w:pPr>
            <w:r w:rsidRPr="00C05886">
              <w:rPr>
                <w:rFonts w:cstheme="minorHAnsi"/>
                <w:sz w:val="22"/>
              </w:rPr>
              <w:t>-</w:t>
            </w:r>
          </w:p>
        </w:tc>
        <w:tc>
          <w:tcPr>
            <w:tcW w:w="1921" w:type="dxa"/>
            <w:tcBorders>
              <w:top w:val="nil"/>
              <w:left w:val="single" w:sz="2" w:space="0" w:color="auto"/>
              <w:bottom w:val="nil"/>
              <w:right w:val="nil"/>
            </w:tcBorders>
          </w:tcPr>
          <w:p w14:paraId="6AD262E3" w14:textId="77777777" w:rsidR="000E3C80" w:rsidRPr="00C05886" w:rsidRDefault="000E3C80" w:rsidP="00C64930">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22"/>
              </w:rPr>
            </w:pPr>
            <w:r w:rsidRPr="00C05886">
              <w:rPr>
                <w:rFonts w:cstheme="minorHAnsi"/>
                <w:sz w:val="22"/>
              </w:rPr>
              <w:t>-1.33 (0.58)</w:t>
            </w:r>
          </w:p>
        </w:tc>
        <w:tc>
          <w:tcPr>
            <w:tcW w:w="1921" w:type="dxa"/>
            <w:tcBorders>
              <w:top w:val="nil"/>
              <w:left w:val="nil"/>
              <w:bottom w:val="nil"/>
              <w:right w:val="single" w:sz="2" w:space="0" w:color="auto"/>
            </w:tcBorders>
          </w:tcPr>
          <w:p w14:paraId="24288558" w14:textId="77777777" w:rsidR="000E3C80" w:rsidRPr="00C05886" w:rsidRDefault="000E3C80" w:rsidP="00C64930">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22"/>
              </w:rPr>
            </w:pPr>
            <w:r w:rsidRPr="00C05886">
              <w:rPr>
                <w:rFonts w:cstheme="minorHAnsi"/>
                <w:sz w:val="22"/>
              </w:rPr>
              <w:t>0.023</w:t>
            </w:r>
          </w:p>
        </w:tc>
      </w:tr>
      <w:tr w:rsidR="00FD000F" w:rsidRPr="00C05886" w14:paraId="73214672" w14:textId="77777777" w:rsidTr="00A76BBB">
        <w:trPr>
          <w:trHeight w:val="282"/>
        </w:trPr>
        <w:tc>
          <w:tcPr>
            <w:cnfStyle w:val="001000000000" w:firstRow="0" w:lastRow="0" w:firstColumn="1" w:lastColumn="0" w:oddVBand="0" w:evenVBand="0" w:oddHBand="0" w:evenHBand="0" w:firstRowFirstColumn="0" w:firstRowLastColumn="0" w:lastRowFirstColumn="0" w:lastRowLastColumn="0"/>
            <w:tcW w:w="2263" w:type="dxa"/>
            <w:tcBorders>
              <w:top w:val="nil"/>
              <w:left w:val="single" w:sz="2" w:space="0" w:color="auto"/>
              <w:bottom w:val="nil"/>
              <w:right w:val="single" w:sz="2" w:space="0" w:color="auto"/>
            </w:tcBorders>
          </w:tcPr>
          <w:p w14:paraId="567D70F6" w14:textId="77777777" w:rsidR="000E3C80" w:rsidRPr="00C05886" w:rsidRDefault="000E3C80" w:rsidP="00C64930">
            <w:pPr>
              <w:spacing w:line="240" w:lineRule="auto"/>
              <w:rPr>
                <w:rFonts w:cstheme="minorHAnsi"/>
                <w:sz w:val="22"/>
              </w:rPr>
            </w:pPr>
            <w:r w:rsidRPr="00C05886">
              <w:rPr>
                <w:rFonts w:cstheme="minorHAnsi"/>
                <w:sz w:val="22"/>
              </w:rPr>
              <w:t>View from window</w:t>
            </w:r>
          </w:p>
        </w:tc>
        <w:tc>
          <w:tcPr>
            <w:tcW w:w="1593" w:type="dxa"/>
            <w:tcBorders>
              <w:top w:val="nil"/>
              <w:left w:val="single" w:sz="2" w:space="0" w:color="auto"/>
              <w:bottom w:val="nil"/>
              <w:right w:val="nil"/>
            </w:tcBorders>
          </w:tcPr>
          <w:p w14:paraId="2563724C" w14:textId="77777777" w:rsidR="000E3C80" w:rsidRPr="00C05886" w:rsidRDefault="000E3C80" w:rsidP="00C64930">
            <w:pPr>
              <w:spacing w:line="240" w:lineRule="auto"/>
              <w:jc w:val="center"/>
              <w:cnfStyle w:val="000000000000" w:firstRow="0" w:lastRow="0" w:firstColumn="0" w:lastColumn="0" w:oddVBand="0" w:evenVBand="0" w:oddHBand="0" w:evenHBand="0" w:firstRowFirstColumn="0" w:firstRowLastColumn="0" w:lastRowFirstColumn="0" w:lastRowLastColumn="0"/>
              <w:rPr>
                <w:rFonts w:cstheme="minorHAnsi"/>
                <w:sz w:val="22"/>
              </w:rPr>
            </w:pPr>
            <w:r w:rsidRPr="00C05886">
              <w:rPr>
                <w:rFonts w:cstheme="minorHAnsi"/>
                <w:sz w:val="22"/>
              </w:rPr>
              <w:t>-</w:t>
            </w:r>
          </w:p>
        </w:tc>
        <w:tc>
          <w:tcPr>
            <w:tcW w:w="1921" w:type="dxa"/>
            <w:tcBorders>
              <w:top w:val="nil"/>
              <w:left w:val="nil"/>
              <w:bottom w:val="nil"/>
              <w:right w:val="single" w:sz="2" w:space="0" w:color="auto"/>
            </w:tcBorders>
          </w:tcPr>
          <w:p w14:paraId="73249AC8" w14:textId="77777777" w:rsidR="000E3C80" w:rsidRPr="00C05886" w:rsidRDefault="000E3C80" w:rsidP="00C64930">
            <w:pPr>
              <w:spacing w:line="240" w:lineRule="auto"/>
              <w:jc w:val="center"/>
              <w:cnfStyle w:val="000000000000" w:firstRow="0" w:lastRow="0" w:firstColumn="0" w:lastColumn="0" w:oddVBand="0" w:evenVBand="0" w:oddHBand="0" w:evenHBand="0" w:firstRowFirstColumn="0" w:firstRowLastColumn="0" w:lastRowFirstColumn="0" w:lastRowLastColumn="0"/>
              <w:rPr>
                <w:rFonts w:cstheme="minorHAnsi"/>
                <w:sz w:val="22"/>
              </w:rPr>
            </w:pPr>
            <w:r w:rsidRPr="00C05886">
              <w:rPr>
                <w:rFonts w:cstheme="minorHAnsi"/>
                <w:sz w:val="22"/>
              </w:rPr>
              <w:t>-</w:t>
            </w:r>
          </w:p>
        </w:tc>
        <w:tc>
          <w:tcPr>
            <w:tcW w:w="1921" w:type="dxa"/>
            <w:tcBorders>
              <w:top w:val="nil"/>
              <w:left w:val="single" w:sz="2" w:space="0" w:color="auto"/>
              <w:bottom w:val="nil"/>
              <w:right w:val="nil"/>
            </w:tcBorders>
          </w:tcPr>
          <w:p w14:paraId="5E52EE4E" w14:textId="77777777" w:rsidR="000E3C80" w:rsidRPr="00C05886" w:rsidRDefault="000E3C80" w:rsidP="00C64930">
            <w:pPr>
              <w:spacing w:line="240" w:lineRule="auto"/>
              <w:jc w:val="center"/>
              <w:cnfStyle w:val="000000000000" w:firstRow="0" w:lastRow="0" w:firstColumn="0" w:lastColumn="0" w:oddVBand="0" w:evenVBand="0" w:oddHBand="0" w:evenHBand="0" w:firstRowFirstColumn="0" w:firstRowLastColumn="0" w:lastRowFirstColumn="0" w:lastRowLastColumn="0"/>
              <w:rPr>
                <w:rFonts w:cstheme="minorHAnsi"/>
                <w:sz w:val="22"/>
              </w:rPr>
            </w:pPr>
            <w:r w:rsidRPr="00C05886">
              <w:rPr>
                <w:rFonts w:cstheme="minorHAnsi"/>
                <w:sz w:val="22"/>
              </w:rPr>
              <w:t>-1.86 (0.68)</w:t>
            </w:r>
          </w:p>
        </w:tc>
        <w:tc>
          <w:tcPr>
            <w:tcW w:w="1921" w:type="dxa"/>
            <w:tcBorders>
              <w:top w:val="nil"/>
              <w:left w:val="nil"/>
              <w:bottom w:val="nil"/>
              <w:right w:val="single" w:sz="2" w:space="0" w:color="auto"/>
            </w:tcBorders>
          </w:tcPr>
          <w:p w14:paraId="2E8D05B9" w14:textId="77777777" w:rsidR="000E3C80" w:rsidRPr="00C05886" w:rsidRDefault="000E3C80" w:rsidP="00C64930">
            <w:pPr>
              <w:spacing w:line="240" w:lineRule="auto"/>
              <w:jc w:val="center"/>
              <w:cnfStyle w:val="000000000000" w:firstRow="0" w:lastRow="0" w:firstColumn="0" w:lastColumn="0" w:oddVBand="0" w:evenVBand="0" w:oddHBand="0" w:evenHBand="0" w:firstRowFirstColumn="0" w:firstRowLastColumn="0" w:lastRowFirstColumn="0" w:lastRowLastColumn="0"/>
              <w:rPr>
                <w:rFonts w:cstheme="minorHAnsi"/>
                <w:sz w:val="22"/>
              </w:rPr>
            </w:pPr>
            <w:r w:rsidRPr="00C05886">
              <w:rPr>
                <w:rFonts w:cstheme="minorHAnsi"/>
                <w:sz w:val="22"/>
              </w:rPr>
              <w:t>0.006</w:t>
            </w:r>
          </w:p>
        </w:tc>
      </w:tr>
      <w:tr w:rsidR="00FD000F" w:rsidRPr="00C05886" w14:paraId="3337E7C7" w14:textId="77777777" w:rsidTr="00A76BBB">
        <w:trPr>
          <w:cnfStyle w:val="000000100000" w:firstRow="0" w:lastRow="0" w:firstColumn="0" w:lastColumn="0" w:oddVBand="0" w:evenVBand="0" w:oddHBand="1" w:evenHBand="0" w:firstRowFirstColumn="0" w:firstRowLastColumn="0" w:lastRowFirstColumn="0" w:lastRowLastColumn="0"/>
          <w:trHeight w:val="282"/>
        </w:trPr>
        <w:tc>
          <w:tcPr>
            <w:cnfStyle w:val="001000000000" w:firstRow="0" w:lastRow="0" w:firstColumn="1" w:lastColumn="0" w:oddVBand="0" w:evenVBand="0" w:oddHBand="0" w:evenHBand="0" w:firstRowFirstColumn="0" w:firstRowLastColumn="0" w:lastRowFirstColumn="0" w:lastRowLastColumn="0"/>
            <w:tcW w:w="2263" w:type="dxa"/>
            <w:tcBorders>
              <w:top w:val="nil"/>
              <w:left w:val="single" w:sz="2" w:space="0" w:color="auto"/>
              <w:bottom w:val="single" w:sz="2" w:space="0" w:color="auto"/>
              <w:right w:val="single" w:sz="2" w:space="0" w:color="auto"/>
            </w:tcBorders>
          </w:tcPr>
          <w:p w14:paraId="5E98851D" w14:textId="77777777" w:rsidR="000E3C80" w:rsidRPr="00C05886" w:rsidRDefault="000E3C80" w:rsidP="00C64930">
            <w:pPr>
              <w:spacing w:line="240" w:lineRule="auto"/>
              <w:rPr>
                <w:rFonts w:cstheme="minorHAnsi"/>
                <w:sz w:val="22"/>
              </w:rPr>
            </w:pPr>
            <w:r w:rsidRPr="00C05886">
              <w:rPr>
                <w:rFonts w:cstheme="minorHAnsi"/>
                <w:sz w:val="22"/>
              </w:rPr>
              <w:t>Water bodies</w:t>
            </w:r>
          </w:p>
        </w:tc>
        <w:tc>
          <w:tcPr>
            <w:tcW w:w="1593" w:type="dxa"/>
            <w:tcBorders>
              <w:top w:val="nil"/>
              <w:left w:val="single" w:sz="2" w:space="0" w:color="auto"/>
              <w:bottom w:val="single" w:sz="2" w:space="0" w:color="auto"/>
              <w:right w:val="nil"/>
            </w:tcBorders>
          </w:tcPr>
          <w:p w14:paraId="1C379390" w14:textId="77777777" w:rsidR="000E3C80" w:rsidRPr="00C05886" w:rsidRDefault="000E3C80" w:rsidP="00C64930">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22"/>
              </w:rPr>
            </w:pPr>
            <w:r w:rsidRPr="00C05886">
              <w:rPr>
                <w:rFonts w:cstheme="minorHAnsi"/>
                <w:sz w:val="22"/>
              </w:rPr>
              <w:t>-</w:t>
            </w:r>
          </w:p>
        </w:tc>
        <w:tc>
          <w:tcPr>
            <w:tcW w:w="1921" w:type="dxa"/>
            <w:tcBorders>
              <w:top w:val="nil"/>
              <w:left w:val="nil"/>
              <w:bottom w:val="single" w:sz="2" w:space="0" w:color="auto"/>
              <w:right w:val="single" w:sz="2" w:space="0" w:color="auto"/>
            </w:tcBorders>
          </w:tcPr>
          <w:p w14:paraId="1B24AF9D" w14:textId="77777777" w:rsidR="000E3C80" w:rsidRPr="00C05886" w:rsidRDefault="000E3C80" w:rsidP="00C64930">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22"/>
              </w:rPr>
            </w:pPr>
            <w:r w:rsidRPr="00C05886">
              <w:rPr>
                <w:rFonts w:cstheme="minorHAnsi"/>
                <w:sz w:val="22"/>
              </w:rPr>
              <w:t>-</w:t>
            </w:r>
          </w:p>
        </w:tc>
        <w:tc>
          <w:tcPr>
            <w:tcW w:w="1921" w:type="dxa"/>
            <w:tcBorders>
              <w:top w:val="nil"/>
              <w:left w:val="single" w:sz="2" w:space="0" w:color="auto"/>
              <w:bottom w:val="single" w:sz="2" w:space="0" w:color="auto"/>
              <w:right w:val="nil"/>
            </w:tcBorders>
          </w:tcPr>
          <w:p w14:paraId="6971EBA1" w14:textId="77777777" w:rsidR="000E3C80" w:rsidRPr="00C05886" w:rsidRDefault="000E3C80" w:rsidP="00C64930">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22"/>
              </w:rPr>
            </w:pPr>
            <w:r w:rsidRPr="00C05886">
              <w:rPr>
                <w:rFonts w:cstheme="minorHAnsi"/>
                <w:sz w:val="22"/>
              </w:rPr>
              <w:t>1.20 (0.48)</w:t>
            </w:r>
          </w:p>
        </w:tc>
        <w:tc>
          <w:tcPr>
            <w:tcW w:w="1921" w:type="dxa"/>
            <w:tcBorders>
              <w:top w:val="nil"/>
              <w:left w:val="nil"/>
              <w:bottom w:val="single" w:sz="2" w:space="0" w:color="auto"/>
              <w:right w:val="single" w:sz="2" w:space="0" w:color="auto"/>
            </w:tcBorders>
          </w:tcPr>
          <w:p w14:paraId="52697846" w14:textId="77777777" w:rsidR="000E3C80" w:rsidRPr="00C05886" w:rsidRDefault="000E3C80" w:rsidP="00C64930">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22"/>
              </w:rPr>
            </w:pPr>
            <w:r w:rsidRPr="00C05886">
              <w:rPr>
                <w:rFonts w:cstheme="minorHAnsi"/>
                <w:sz w:val="22"/>
              </w:rPr>
              <w:t>0.012</w:t>
            </w:r>
          </w:p>
        </w:tc>
      </w:tr>
      <w:tr w:rsidR="000E3C80" w:rsidRPr="00C05886" w14:paraId="5E8F5F22" w14:textId="77777777" w:rsidTr="005D7515">
        <w:trPr>
          <w:trHeight w:val="270"/>
        </w:trPr>
        <w:tc>
          <w:tcPr>
            <w:cnfStyle w:val="001000000000" w:firstRow="0" w:lastRow="0" w:firstColumn="1" w:lastColumn="0" w:oddVBand="0" w:evenVBand="0" w:oddHBand="0" w:evenHBand="0" w:firstRowFirstColumn="0" w:firstRowLastColumn="0" w:lastRowFirstColumn="0" w:lastRowLastColumn="0"/>
            <w:tcW w:w="2263" w:type="dxa"/>
            <w:tcBorders>
              <w:top w:val="single" w:sz="18" w:space="0" w:color="auto"/>
              <w:bottom w:val="single" w:sz="18" w:space="0" w:color="auto"/>
            </w:tcBorders>
          </w:tcPr>
          <w:p w14:paraId="02C388AD" w14:textId="77777777" w:rsidR="000E3C80" w:rsidRPr="00C05886" w:rsidRDefault="000E3C80" w:rsidP="00C64930">
            <w:pPr>
              <w:spacing w:line="240" w:lineRule="auto"/>
              <w:rPr>
                <w:rFonts w:cstheme="minorHAnsi"/>
                <w:sz w:val="22"/>
              </w:rPr>
            </w:pPr>
            <w:r w:rsidRPr="00C05886">
              <w:rPr>
                <w:rFonts w:cstheme="minorHAnsi"/>
                <w:sz w:val="22"/>
              </w:rPr>
              <w:t>Residual ICC</w:t>
            </w:r>
          </w:p>
        </w:tc>
        <w:tc>
          <w:tcPr>
            <w:tcW w:w="3514" w:type="dxa"/>
            <w:gridSpan w:val="2"/>
            <w:tcBorders>
              <w:top w:val="single" w:sz="18" w:space="0" w:color="auto"/>
              <w:bottom w:val="single" w:sz="18" w:space="0" w:color="auto"/>
            </w:tcBorders>
          </w:tcPr>
          <w:p w14:paraId="225EFDFC" w14:textId="77777777" w:rsidR="000E3C80" w:rsidRPr="00C05886" w:rsidRDefault="000E3C80" w:rsidP="00C64930">
            <w:pPr>
              <w:spacing w:line="240" w:lineRule="auto"/>
              <w:jc w:val="center"/>
              <w:cnfStyle w:val="000000000000" w:firstRow="0" w:lastRow="0" w:firstColumn="0" w:lastColumn="0" w:oddVBand="0" w:evenVBand="0" w:oddHBand="0" w:evenHBand="0" w:firstRowFirstColumn="0" w:firstRowLastColumn="0" w:lastRowFirstColumn="0" w:lastRowLastColumn="0"/>
              <w:rPr>
                <w:rFonts w:cstheme="minorHAnsi"/>
                <w:sz w:val="22"/>
              </w:rPr>
            </w:pPr>
            <w:r w:rsidRPr="00C05886">
              <w:rPr>
                <w:rFonts w:cstheme="minorHAnsi"/>
                <w:sz w:val="22"/>
              </w:rPr>
              <w:t>0.099 (0.43)</w:t>
            </w:r>
          </w:p>
        </w:tc>
        <w:tc>
          <w:tcPr>
            <w:tcW w:w="3842" w:type="dxa"/>
            <w:gridSpan w:val="2"/>
            <w:tcBorders>
              <w:top w:val="single" w:sz="18" w:space="0" w:color="auto"/>
              <w:bottom w:val="single" w:sz="18" w:space="0" w:color="auto"/>
            </w:tcBorders>
          </w:tcPr>
          <w:p w14:paraId="31427BAD" w14:textId="77777777" w:rsidR="000E3C80" w:rsidRPr="00C05886" w:rsidRDefault="000E3C80" w:rsidP="00C64930">
            <w:pPr>
              <w:spacing w:line="240" w:lineRule="auto"/>
              <w:jc w:val="center"/>
              <w:cnfStyle w:val="000000000000" w:firstRow="0" w:lastRow="0" w:firstColumn="0" w:lastColumn="0" w:oddVBand="0" w:evenVBand="0" w:oddHBand="0" w:evenHBand="0" w:firstRowFirstColumn="0" w:firstRowLastColumn="0" w:lastRowFirstColumn="0" w:lastRowLastColumn="0"/>
              <w:rPr>
                <w:rFonts w:cstheme="minorHAnsi"/>
                <w:sz w:val="22"/>
              </w:rPr>
            </w:pPr>
            <w:r w:rsidRPr="00C05886">
              <w:rPr>
                <w:rFonts w:cstheme="minorHAnsi"/>
                <w:sz w:val="22"/>
              </w:rPr>
              <w:t>0.197 (0.67)</w:t>
            </w:r>
          </w:p>
        </w:tc>
      </w:tr>
      <w:tr w:rsidR="000E3C80" w:rsidRPr="00C05886" w14:paraId="4EAFF951" w14:textId="77777777" w:rsidTr="005D7515">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2263" w:type="dxa"/>
            <w:tcBorders>
              <w:top w:val="single" w:sz="18" w:space="0" w:color="auto"/>
            </w:tcBorders>
          </w:tcPr>
          <w:p w14:paraId="3D417989" w14:textId="77777777" w:rsidR="000E3C80" w:rsidRPr="00C05886" w:rsidRDefault="000E3C80" w:rsidP="00C64930">
            <w:pPr>
              <w:spacing w:line="240" w:lineRule="auto"/>
              <w:rPr>
                <w:rFonts w:cstheme="minorHAnsi"/>
                <w:sz w:val="22"/>
              </w:rPr>
            </w:pPr>
            <w:r w:rsidRPr="00C05886">
              <w:rPr>
                <w:rFonts w:cstheme="minorHAnsi"/>
                <w:sz w:val="22"/>
              </w:rPr>
              <w:t>AIC</w:t>
            </w:r>
          </w:p>
        </w:tc>
        <w:tc>
          <w:tcPr>
            <w:tcW w:w="3514" w:type="dxa"/>
            <w:gridSpan w:val="2"/>
            <w:tcBorders>
              <w:top w:val="single" w:sz="18" w:space="0" w:color="auto"/>
            </w:tcBorders>
          </w:tcPr>
          <w:p w14:paraId="13E062FA" w14:textId="77777777" w:rsidR="000E3C80" w:rsidRPr="00C05886" w:rsidRDefault="000E3C80" w:rsidP="00C64930">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22"/>
              </w:rPr>
            </w:pPr>
            <w:r w:rsidRPr="00C05886">
              <w:rPr>
                <w:sz w:val="22"/>
              </w:rPr>
              <w:t>988.8</w:t>
            </w:r>
          </w:p>
        </w:tc>
        <w:tc>
          <w:tcPr>
            <w:tcW w:w="3842" w:type="dxa"/>
            <w:gridSpan w:val="2"/>
            <w:tcBorders>
              <w:top w:val="single" w:sz="18" w:space="0" w:color="auto"/>
            </w:tcBorders>
          </w:tcPr>
          <w:p w14:paraId="2241BB02" w14:textId="77777777" w:rsidR="000E3C80" w:rsidRPr="00C05886" w:rsidRDefault="000E3C80" w:rsidP="00C64930">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22"/>
              </w:rPr>
            </w:pPr>
            <w:r w:rsidRPr="00C05886">
              <w:rPr>
                <w:sz w:val="22"/>
              </w:rPr>
              <w:t>720.5</w:t>
            </w:r>
          </w:p>
        </w:tc>
      </w:tr>
    </w:tbl>
    <w:p w14:paraId="4FFC7E1A" w14:textId="77777777" w:rsidR="000E3C80" w:rsidRPr="00C05886" w:rsidRDefault="000E3C80" w:rsidP="00F8567C"/>
    <w:p w14:paraId="247E97F2" w14:textId="70364626" w:rsidR="000E3C80" w:rsidRPr="005D7515" w:rsidRDefault="000E3C80" w:rsidP="000D7050">
      <w:pPr>
        <w:spacing w:after="120"/>
      </w:pPr>
      <w:r w:rsidRPr="00C05886">
        <w:lastRenderedPageBreak/>
        <w:t xml:space="preserve">In the nature condition, only the presence of trees and domestic gardens remained significant while controlling for the effect of perceived </w:t>
      </w:r>
      <w:r w:rsidR="00A76BBB">
        <w:t>species richness</w:t>
      </w:r>
      <w:r w:rsidRPr="00C05886">
        <w:t xml:space="preserve">. Reporting high well-being was less probable if the photo contained trees (Figure </w:t>
      </w:r>
      <w:r w:rsidR="007526D3">
        <w:t>7</w:t>
      </w:r>
      <w:r w:rsidRPr="00C05886">
        <w:t xml:space="preserve">, left) and more probable if the picture showed a domestic garden (Figure </w:t>
      </w:r>
      <w:r w:rsidR="007526D3">
        <w:t>7</w:t>
      </w:r>
      <w:r w:rsidRPr="00C05886">
        <w:t>, right)</w:t>
      </w:r>
      <w:r w:rsidRPr="005D7515">
        <w:t xml:space="preserve">. </w:t>
      </w:r>
    </w:p>
    <w:p w14:paraId="2797D2FE" w14:textId="77777777" w:rsidR="000E3C80" w:rsidRPr="00C05886" w:rsidRDefault="000E3C80" w:rsidP="00E33B0E">
      <w:pPr>
        <w:keepNext/>
        <w:spacing w:after="120"/>
      </w:pPr>
      <w:r w:rsidRPr="00134B49">
        <w:rPr>
          <w:noProof/>
        </w:rPr>
        <w:drawing>
          <wp:inline distT="0" distB="0" distL="0" distR="0" wp14:anchorId="04E31780" wp14:editId="17092B72">
            <wp:extent cx="3024000" cy="2199273"/>
            <wp:effectExtent l="0" t="0" r="5080" b="0"/>
            <wp:docPr id="69824700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024000" cy="2199273"/>
                    </a:xfrm>
                    <a:prstGeom prst="rect">
                      <a:avLst/>
                    </a:prstGeom>
                    <a:noFill/>
                    <a:ln>
                      <a:noFill/>
                    </a:ln>
                  </pic:spPr>
                </pic:pic>
              </a:graphicData>
            </a:graphic>
          </wp:inline>
        </w:drawing>
      </w:r>
      <w:r w:rsidRPr="00C05886">
        <w:t xml:space="preserve"> </w:t>
      </w:r>
      <w:r w:rsidRPr="00134B49">
        <w:rPr>
          <w:noProof/>
        </w:rPr>
        <w:drawing>
          <wp:inline distT="0" distB="0" distL="0" distR="0" wp14:anchorId="55D472C1" wp14:editId="524334BF">
            <wp:extent cx="3024000" cy="2199273"/>
            <wp:effectExtent l="0" t="0" r="5080" b="0"/>
            <wp:docPr id="743406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024000" cy="2199273"/>
                    </a:xfrm>
                    <a:prstGeom prst="rect">
                      <a:avLst/>
                    </a:prstGeom>
                    <a:noFill/>
                    <a:ln>
                      <a:noFill/>
                    </a:ln>
                  </pic:spPr>
                </pic:pic>
              </a:graphicData>
            </a:graphic>
          </wp:inline>
        </w:drawing>
      </w:r>
    </w:p>
    <w:p w14:paraId="068616F8" w14:textId="6D2E1F08" w:rsidR="000E3C80" w:rsidRPr="00C05886" w:rsidRDefault="000E3C80" w:rsidP="00E33B0E">
      <w:pPr>
        <w:pStyle w:val="Caption"/>
      </w:pPr>
      <w:r w:rsidRPr="00C05886">
        <w:t xml:space="preserve">Figure </w:t>
      </w:r>
      <w:r w:rsidR="007526D3">
        <w:t>7</w:t>
      </w:r>
      <w:r w:rsidRPr="00C05886">
        <w:t>. Probabilities of reporting low, medium and high well-being predicted by presence of trees (left) and domestic gardens (right).</w:t>
      </w:r>
    </w:p>
    <w:p w14:paraId="612BE083" w14:textId="77777777" w:rsidR="000E3C80" w:rsidRPr="00C05886" w:rsidRDefault="000E3C80" w:rsidP="00583750">
      <w:r w:rsidRPr="00C05886">
        <w:t>In the built condition, three elements showed a negative relationship with well-being. The presence of buildings or hedges was associated with a reduced probability of reporting high well-being (Figure 7).</w:t>
      </w:r>
    </w:p>
    <w:p w14:paraId="6B50F92C" w14:textId="77777777" w:rsidR="000E3C80" w:rsidRPr="00C05886" w:rsidRDefault="000E3C80" w:rsidP="008175C7">
      <w:pPr>
        <w:keepNext/>
      </w:pPr>
      <w:r w:rsidRPr="00134B49">
        <w:rPr>
          <w:noProof/>
        </w:rPr>
        <w:drawing>
          <wp:inline distT="0" distB="0" distL="0" distR="0" wp14:anchorId="774B6D08" wp14:editId="23A2D075">
            <wp:extent cx="3024000" cy="2199273"/>
            <wp:effectExtent l="0" t="0" r="5080" b="0"/>
            <wp:docPr id="16912463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024000" cy="2199273"/>
                    </a:xfrm>
                    <a:prstGeom prst="rect">
                      <a:avLst/>
                    </a:prstGeom>
                    <a:noFill/>
                    <a:ln>
                      <a:noFill/>
                    </a:ln>
                  </pic:spPr>
                </pic:pic>
              </a:graphicData>
            </a:graphic>
          </wp:inline>
        </w:drawing>
      </w:r>
      <w:r w:rsidRPr="00C05886">
        <w:t xml:space="preserve"> </w:t>
      </w:r>
      <w:r w:rsidRPr="00134B49">
        <w:rPr>
          <w:noProof/>
        </w:rPr>
        <w:drawing>
          <wp:inline distT="0" distB="0" distL="0" distR="0" wp14:anchorId="3823D86B" wp14:editId="52325863">
            <wp:extent cx="3024000" cy="2199273"/>
            <wp:effectExtent l="0" t="0" r="5080" b="0"/>
            <wp:docPr id="134176084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024000" cy="2199273"/>
                    </a:xfrm>
                    <a:prstGeom prst="rect">
                      <a:avLst/>
                    </a:prstGeom>
                    <a:noFill/>
                    <a:ln>
                      <a:noFill/>
                    </a:ln>
                  </pic:spPr>
                </pic:pic>
              </a:graphicData>
            </a:graphic>
          </wp:inline>
        </w:drawing>
      </w:r>
    </w:p>
    <w:p w14:paraId="1C74094B" w14:textId="1D69603B" w:rsidR="000E3C80" w:rsidRPr="00C05886" w:rsidRDefault="000E3C80" w:rsidP="008175C7">
      <w:pPr>
        <w:pStyle w:val="Caption"/>
      </w:pPr>
      <w:r w:rsidRPr="00C05886">
        <w:t xml:space="preserve">Figure </w:t>
      </w:r>
      <w:r w:rsidR="007526D3">
        <w:t>8</w:t>
      </w:r>
      <w:r w:rsidRPr="00C05886">
        <w:t>. Probabilities of reporting low, medium and high well-being predicted by presence of buildings (left) and hedges (right)</w:t>
      </w:r>
    </w:p>
    <w:p w14:paraId="2A9542E9" w14:textId="2C6B0CA8" w:rsidR="000E3C80" w:rsidRPr="00C05886" w:rsidRDefault="000E3C80" w:rsidP="00583750">
      <w:r w:rsidRPr="00C05886">
        <w:t xml:space="preserve">If a photo featured a vista from an indoor space (e.g.) a balcony, the probability of reporting high well-being was greatly reduced (Figure </w:t>
      </w:r>
      <w:r w:rsidR="007526D3">
        <w:t>9</w:t>
      </w:r>
      <w:r w:rsidRPr="00C05886">
        <w:t xml:space="preserve">, left). The only positive predictor for the built condition was the presence of water bodies (e.g. rivers, ponds), which increased the probability of reporting high well-being (Figure </w:t>
      </w:r>
      <w:r w:rsidR="007526D3">
        <w:t>9</w:t>
      </w:r>
      <w:r w:rsidRPr="00C05886">
        <w:t>, right).</w:t>
      </w:r>
    </w:p>
    <w:p w14:paraId="3B34B51E" w14:textId="77777777" w:rsidR="000E3C80" w:rsidRPr="00C05886" w:rsidRDefault="000E3C80" w:rsidP="008175C7">
      <w:pPr>
        <w:keepNext/>
      </w:pPr>
      <w:r w:rsidRPr="00134B49">
        <w:rPr>
          <w:noProof/>
        </w:rPr>
        <w:lastRenderedPageBreak/>
        <w:drawing>
          <wp:inline distT="0" distB="0" distL="0" distR="0" wp14:anchorId="7075ADCC" wp14:editId="6D995129">
            <wp:extent cx="3024000" cy="2199273"/>
            <wp:effectExtent l="0" t="0" r="5080" b="0"/>
            <wp:docPr id="151381267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024000" cy="2199273"/>
                    </a:xfrm>
                    <a:prstGeom prst="rect">
                      <a:avLst/>
                    </a:prstGeom>
                    <a:noFill/>
                    <a:ln>
                      <a:noFill/>
                    </a:ln>
                  </pic:spPr>
                </pic:pic>
              </a:graphicData>
            </a:graphic>
          </wp:inline>
        </w:drawing>
      </w:r>
      <w:r w:rsidRPr="00134B49">
        <w:rPr>
          <w:noProof/>
        </w:rPr>
        <w:drawing>
          <wp:inline distT="0" distB="0" distL="0" distR="0" wp14:anchorId="2DCB7B05" wp14:editId="723B42A9">
            <wp:extent cx="3024000" cy="2199273"/>
            <wp:effectExtent l="0" t="0" r="5080" b="0"/>
            <wp:docPr id="134757132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024000" cy="2199273"/>
                    </a:xfrm>
                    <a:prstGeom prst="rect">
                      <a:avLst/>
                    </a:prstGeom>
                    <a:noFill/>
                    <a:ln>
                      <a:noFill/>
                    </a:ln>
                  </pic:spPr>
                </pic:pic>
              </a:graphicData>
            </a:graphic>
          </wp:inline>
        </w:drawing>
      </w:r>
    </w:p>
    <w:p w14:paraId="70151CE2" w14:textId="21D158FB" w:rsidR="000E3C80" w:rsidRPr="00C05886" w:rsidRDefault="000E3C80" w:rsidP="008175C7">
      <w:pPr>
        <w:pStyle w:val="Caption"/>
      </w:pPr>
      <w:r w:rsidRPr="00C05886">
        <w:t xml:space="preserve">Figure </w:t>
      </w:r>
      <w:r w:rsidR="007526D3">
        <w:t>9</w:t>
      </w:r>
      <w:r w:rsidRPr="00C05886">
        <w:t>. Probabilities of reporting low, medium and high well-being predicted by pictures taken from indoors (left) and water bodies (right).</w:t>
      </w:r>
    </w:p>
    <w:p w14:paraId="7501F3E6" w14:textId="77777777" w:rsidR="000E3C80" w:rsidRPr="00C05886" w:rsidRDefault="000E3C80" w:rsidP="00C64930">
      <w:pPr>
        <w:pStyle w:val="Heading2"/>
      </w:pPr>
      <w:bookmarkStart w:id="75" w:name="_Toc179962327"/>
      <w:r w:rsidRPr="00C05886">
        <w:t>Discussion</w:t>
      </w:r>
      <w:bookmarkEnd w:id="75"/>
    </w:p>
    <w:p w14:paraId="66F6AAAD" w14:textId="774F67C0" w:rsidR="000E3C80" w:rsidRPr="00C05886" w:rsidRDefault="008B5758" w:rsidP="00C64930">
      <w:pPr>
        <w:pStyle w:val="Heading3"/>
      </w:pPr>
      <w:bookmarkStart w:id="76" w:name="_Toc179962328"/>
      <w:r w:rsidRPr="00C05886">
        <w:t>Urban</w:t>
      </w:r>
      <w:r w:rsidR="000E3C80" w:rsidRPr="00C05886">
        <w:t xml:space="preserve"> </w:t>
      </w:r>
      <w:r w:rsidR="00A76BBB">
        <w:t>species richness</w:t>
      </w:r>
      <w:r w:rsidR="000E3C80" w:rsidRPr="00C05886">
        <w:t xml:space="preserve"> and well-being</w:t>
      </w:r>
      <w:bookmarkEnd w:id="76"/>
    </w:p>
    <w:p w14:paraId="036F925F" w14:textId="39A73D1C" w:rsidR="000E3C80" w:rsidRPr="00C05886" w:rsidRDefault="003F5D35" w:rsidP="00732930">
      <w:r>
        <w:t>T</w:t>
      </w:r>
      <w:r w:rsidR="000E3C80" w:rsidRPr="00C05886">
        <w:t xml:space="preserve">he perceived </w:t>
      </w:r>
      <w:r w:rsidR="00A76BBB">
        <w:t>species richness</w:t>
      </w:r>
      <w:r w:rsidR="000E3C80" w:rsidRPr="00C05886">
        <w:t xml:space="preserve"> was the strongest predictor of </w:t>
      </w:r>
      <w:r w:rsidR="00C1508A" w:rsidRPr="00C05886">
        <w:t xml:space="preserve">self-reported </w:t>
      </w:r>
      <w:r w:rsidR="000E3C80" w:rsidRPr="00C05886">
        <w:t xml:space="preserve">well-being. The </w:t>
      </w:r>
      <w:r w:rsidR="00D3197D">
        <w:t xml:space="preserve">regression </w:t>
      </w:r>
      <w:r w:rsidR="000E3C80" w:rsidRPr="00C05886">
        <w:t xml:space="preserve">analysis showed that as the perceived </w:t>
      </w:r>
      <w:r w:rsidR="00A76BBB">
        <w:t>species richness</w:t>
      </w:r>
      <w:r w:rsidR="000E3C80" w:rsidRPr="00C05886">
        <w:t xml:space="preserve"> increased so did the probability that the participant reported the maximum well-being. The </w:t>
      </w:r>
      <w:r>
        <w:t>photo’s species richness</w:t>
      </w:r>
      <w:r w:rsidR="000E3C80" w:rsidRPr="00C05886">
        <w:t xml:space="preserve"> was also positively associated with well-being, but only when not controlling for the perceived </w:t>
      </w:r>
      <w:r w:rsidR="00A76BBB">
        <w:t>species richness</w:t>
      </w:r>
      <w:r w:rsidR="000E3C80" w:rsidRPr="00C05886">
        <w:t xml:space="preserve">. This finding is in line with previous studies that observed that the perceived </w:t>
      </w:r>
      <w:proofErr w:type="spellStart"/>
      <w:r w:rsidR="000E3C80" w:rsidRPr="00C05886">
        <w:t>restorativeness</w:t>
      </w:r>
      <w:proofErr w:type="spellEnd"/>
      <w:r w:rsidR="000E3C80" w:rsidRPr="00C05886">
        <w:t xml:space="preserve"> increased along with perceived </w:t>
      </w:r>
      <w:r w:rsidR="00A76BBB">
        <w:t>species richness</w:t>
      </w:r>
      <w:r w:rsidR="000E3C80" w:rsidRPr="00C05886">
        <w:t xml:space="preserve">, irrespective of the actual </w:t>
      </w:r>
      <w:r w:rsidR="00A76BBB">
        <w:t>species richness</w:t>
      </w:r>
      <w:r w:rsidR="000E3C80" w:rsidRPr="00C05886">
        <w:t xml:space="preserve"> </w:t>
      </w:r>
      <w:r w:rsidR="000E3C80" w:rsidRPr="00C05886">
        <w:fldChar w:fldCharType="begin"/>
      </w:r>
      <w:r w:rsidR="000E3C80" w:rsidRPr="00C05886">
        <w:instrText xml:space="preserve"> ADDIN ZOTERO_ITEM CSL_CITATION {"citationID":"MIZ1IHcC","properties":{"formattedCitation":"(Dallimer {\\i{}et al.}, 2012; Gon\\uc0\\u231{}alves {\\i{}et al.}, 2021)","plainCitation":"(Dallimer et al., 2012; Gonçalves et al., 2021)","noteIndex":0},"citationItems":[{"id":5841,"uris":["http://zotero.org/users/10951124/items/KQUVK8G6"],"itemData":{"id":5841,"type":"article-journal","abstract":"Over half of the world's human population lives in cities, and for many, urban greenspaces are the only places where they encounter biodiversity. This is of particular concern because there is growing evidence that human well-being is enhanced by exposure to nature. However, the specific qualities of greenspaces that offer the greatest benefits remain poorly understood. One possibility is that humans respond positively to increased levels of biodiversity. Here, we demonstrate the lack of a consistent relationship between actual plant, butterfly, and bird species richness and the psychological well-being of urban greenspace visitors. Instead, well-being shows a positive relationship with the richness that the greenspace users perceived to be present. One plausible explanation for this discrepancy, which we investigate, is that people generally have poor biodiversity-identification skills. The apparent importance of perceived species richness and the mismatch between reality and perception pose a serious challenge for aligning conservation and human well-being agendas.","container-title":"BioScience","DOI":"10.1525/bio.2012.62.1.9","ISSN":"00063568","issue":"1","page":"47-55","title":"Biodiversity and the Feel-Good Factor: Understanding Associations between Self-Reported Human Well-being and Species Richness","volume":"62","author":[{"family":"Dallimer","given":"Martin"},{"family":"Irvine","given":"Katherine N."},{"family":"Skinner","given":"Andrew M.J. J"},{"family":"Davies","given":"Zoe G."},{"family":"Rouquette","given":"James R."},{"family":"Maltby","given":"Lorraine L."},{"family":"Warren","given":"Philip H."},{"family":"Armsworth","given":"Paul R."},{"family":"Gaston","given":"Kevin J."}],"issued":{"date-parts":[["2012"]]}}},{"id":9234,"uris":["http://zotero.org/users/10951124/items/7WC2F9AD"],"itemData":{"id":9234,"type":"article-journal","abstract":"Understanding the mechanisms underlying the positive influence of urban biodiversity on dwellers’ well-being is critical to inform sustainable management of urban greenspaces, but studies published to date on the role of biodiversity in mental restoration have provided contradictory results. Both urban greenspace biophysical characteristics and the emotional connection with the place may play a role in mental restoration. Using urban greenspace landscape and biodiversity metrics, and on-site observations and questionnaires to assess site quality and visitors’ perceptions, we explore the influence of biodiversity (perceived and measured at different levels), urban greenspace characteristics, and visitors profiles in mental restoration. Our statistical analysis demonstrates that perception of biodiversity, along with satisfaction and connection to place, were the most important predictors of mental restoration. The proportion of broadleaf and evergreen tree species also had a positive influence on biodiversity perception and mental restoration. People perceive existing biodiversity through visual cues as the diversity of leaf forms in broadleaf species, with this process being almost completely mediated by the perception of tree diversity. These findings have direct translation into planning and management practices by acknowledging the importance of biodiversity and, above all, specific traits, namely of evergreen broadleaf species, in promoting restorativeness of urban parks for users. Our results highlight the importance of using standard ecological methods when assessing biodiversity in urban greenspaces and their influence on human well-being.","container-title":"Ecology and Society","DOI":"10.5751/ES-12598-260325","issue":"3","journalAbbreviation":"Ecology and Society","note":"publisher: The Resilience Alliance","title":"What’s biodiversity got to do with it? Perceptions of biodiversity and restorativeness in urban parks","URL":"https://www.ecologyandsociety.org/vol26/iss3/art25/","volume":"26","author":[{"family":"Gonçalves","given":"Paula"},{"family":"Grilo","given":"Filipa"},{"family":"Mendes","given":"Raquel C."},{"family":"Vierikko","given":"Kati"},{"family":"Elands","given":"Birgit"},{"family":"Marques","given":"Tiago A."},{"family":"Santos-Reis","given":"Margarida"}],"issued":{"date-parts":[["2021"]]}}}],"schema":"https://github.com/citation-style-language/schema/raw/master/csl-citation.json"} </w:instrText>
      </w:r>
      <w:r w:rsidR="000E3C80" w:rsidRPr="00C05886">
        <w:fldChar w:fldCharType="separate"/>
      </w:r>
      <w:r w:rsidR="000E3C80" w:rsidRPr="00C05886">
        <w:rPr>
          <w:rFonts w:ascii="Calibri" w:hAnsi="Calibri" w:cs="Calibri"/>
          <w:szCs w:val="24"/>
        </w:rPr>
        <w:t xml:space="preserve">(Dallimer </w:t>
      </w:r>
      <w:r w:rsidR="000E3C80" w:rsidRPr="00C05886">
        <w:rPr>
          <w:rFonts w:ascii="Calibri" w:hAnsi="Calibri" w:cs="Calibri"/>
          <w:i/>
          <w:iCs/>
          <w:szCs w:val="24"/>
        </w:rPr>
        <w:t>et al.</w:t>
      </w:r>
      <w:r w:rsidR="000E3C80" w:rsidRPr="00C05886">
        <w:rPr>
          <w:rFonts w:ascii="Calibri" w:hAnsi="Calibri" w:cs="Calibri"/>
          <w:szCs w:val="24"/>
        </w:rPr>
        <w:t xml:space="preserve">, 2012; Gonçalves </w:t>
      </w:r>
      <w:r w:rsidR="000E3C80" w:rsidRPr="00C05886">
        <w:rPr>
          <w:rFonts w:ascii="Calibri" w:hAnsi="Calibri" w:cs="Calibri"/>
          <w:i/>
          <w:iCs/>
          <w:szCs w:val="24"/>
        </w:rPr>
        <w:t>et al.</w:t>
      </w:r>
      <w:r w:rsidR="000E3C80" w:rsidRPr="00C05886">
        <w:rPr>
          <w:rFonts w:ascii="Calibri" w:hAnsi="Calibri" w:cs="Calibri"/>
          <w:szCs w:val="24"/>
        </w:rPr>
        <w:t>, 2021)</w:t>
      </w:r>
      <w:r w:rsidR="000E3C80" w:rsidRPr="00C05886">
        <w:fldChar w:fldCharType="end"/>
      </w:r>
      <w:r w:rsidR="000E3C80" w:rsidRPr="00C05886">
        <w:t xml:space="preserve">. In their analysis of parks in Lisbon, </w:t>
      </w:r>
      <w:r w:rsidR="000E3C80" w:rsidRPr="00C05886">
        <w:rPr>
          <w:rFonts w:ascii="Calibri" w:hAnsi="Calibri" w:cs="Calibri"/>
          <w:szCs w:val="24"/>
        </w:rPr>
        <w:t xml:space="preserve">Gonçalves </w:t>
      </w:r>
      <w:r w:rsidR="000E3C80" w:rsidRPr="00C05886">
        <w:rPr>
          <w:rFonts w:ascii="Calibri" w:hAnsi="Calibri" w:cs="Calibri"/>
          <w:i/>
          <w:iCs/>
          <w:szCs w:val="24"/>
        </w:rPr>
        <w:t xml:space="preserve">et al. </w:t>
      </w:r>
      <w:r w:rsidR="000E3C80" w:rsidRPr="00C05886">
        <w:rPr>
          <w:rFonts w:ascii="Calibri" w:hAnsi="Calibri" w:cs="Calibri"/>
          <w:szCs w:val="24"/>
        </w:rPr>
        <w:t>(2021)</w:t>
      </w:r>
      <w:r w:rsidR="000E3C80" w:rsidRPr="00C05886">
        <w:rPr>
          <w:rFonts w:ascii="Calibri" w:hAnsi="Calibri" w:cs="Calibri"/>
          <w:i/>
          <w:iCs/>
          <w:szCs w:val="24"/>
        </w:rPr>
        <w:t xml:space="preserve"> </w:t>
      </w:r>
      <w:r w:rsidR="000E3C80" w:rsidRPr="00C05886">
        <w:rPr>
          <w:rFonts w:ascii="Calibri" w:hAnsi="Calibri" w:cs="Calibri"/>
          <w:szCs w:val="24"/>
        </w:rPr>
        <w:t xml:space="preserve">also highlighted that the perceptions of </w:t>
      </w:r>
      <w:r w:rsidR="00A76BBB">
        <w:t>species richness</w:t>
      </w:r>
      <w:r w:rsidR="000E3C80" w:rsidRPr="00C05886">
        <w:rPr>
          <w:rFonts w:ascii="Calibri" w:hAnsi="Calibri" w:cs="Calibri"/>
          <w:szCs w:val="24"/>
        </w:rPr>
        <w:t xml:space="preserve"> were only partially determined by the actual </w:t>
      </w:r>
      <w:r w:rsidR="00A76BBB">
        <w:t>species richness</w:t>
      </w:r>
      <w:r w:rsidR="000E3C80" w:rsidRPr="00C05886">
        <w:rPr>
          <w:rFonts w:ascii="Calibri" w:hAnsi="Calibri" w:cs="Calibri"/>
          <w:szCs w:val="24"/>
        </w:rPr>
        <w:t xml:space="preserve"> measures. In Canada, high life satisfaction was related to high bird diversity, but the diversity and abundance of birds were seldom acknowledged by residents </w:t>
      </w:r>
      <w:r w:rsidR="000E3C80" w:rsidRPr="00C05886">
        <w:rPr>
          <w:rFonts w:ascii="Calibri" w:hAnsi="Calibri" w:cs="Calibri"/>
          <w:szCs w:val="24"/>
        </w:rPr>
        <w:fldChar w:fldCharType="begin"/>
      </w:r>
      <w:r w:rsidR="000E3C80" w:rsidRPr="00C05886">
        <w:rPr>
          <w:rFonts w:ascii="Calibri" w:hAnsi="Calibri" w:cs="Calibri"/>
          <w:szCs w:val="24"/>
        </w:rPr>
        <w:instrText xml:space="preserve"> ADDIN ZOTERO_ITEM CSL_CITATION {"citationID":"nloaB9pk","properties":{"formattedCitation":"(Hepburn {\\i{}et al.}, 2021)","plainCitation":"(Hepburn et al., 2021)","noteIndex":0},"citationItems":[{"id":10857,"uris":["http://zotero.org/users/10951124/items/RJZ4WJYV"],"itemData":{"id":10857,"type":"article-journal","abstract":"There is growing evidence that exposure to nature increases human well-being, including in urban areas. However, relatively few studies have linked subjective satisfaction to objective features of the environment. In this study we explore the links among objective environmental features (tree cover, water, and bird diversity) and subjective judgements of satisfaction. We surveyed residents of Ottawa, Canada (n = 1035) about their satisfaction with their local neighbourhoods. We then compared the survey responses to measures of nature near their homes, including bird diversity (number of bird species), tree canopy cover, and distance to water. After controlling for effects of income and subjective happiness, residents’ neighbourhood satisfaction was positively related to the number of bird species nearby, even before participants were prompted to consider nature. Residents’ appreciation of their local neigbourhood relative to others also increased with tree canopy cover and nearness to water. Unsolicited comments from participants following the survey indicated that while residents consciously appreciate trees and water, the relationship between bird diversity and neighbourhood satisfaction appears to be unconscious; very few of the participants mentioned birds. Based on these results, we speculate that a diverse local bird community may provoke feelings of satisfaction through their presence, activity, and songs. Our results create a compelling argument for city planners and individual residents to maintain bird-friendly spaces in urban areas.","container-title":"Land","DOI":"10.3390/land10020153","ISSN":"2073-445X","issue":"2","journalAbbreviation":"Land","language":"en","page":"153","source":"DOI.org (Crossref)","title":"Bird Diversity Unconsciously Increases People’s Satisfaction with Where They Live","volume":"10","author":[{"family":"Hepburn","given":"Lauren"},{"family":"Smith","given":"Adam C."},{"family":"Zelenski","given":"John"},{"family":"Fahrig","given":"Lenore"}],"issued":{"date-parts":[["2021",2,3]]}}}],"schema":"https://github.com/citation-style-language/schema/raw/master/csl-citation.json"} </w:instrText>
      </w:r>
      <w:r w:rsidR="000E3C80" w:rsidRPr="00C05886">
        <w:rPr>
          <w:rFonts w:ascii="Calibri" w:hAnsi="Calibri" w:cs="Calibri"/>
          <w:szCs w:val="24"/>
        </w:rPr>
        <w:fldChar w:fldCharType="separate"/>
      </w:r>
      <w:r w:rsidR="000E3C80" w:rsidRPr="00C05886">
        <w:rPr>
          <w:rFonts w:ascii="Calibri" w:hAnsi="Calibri" w:cs="Calibri"/>
          <w:szCs w:val="24"/>
        </w:rPr>
        <w:t xml:space="preserve">(Hepburn </w:t>
      </w:r>
      <w:r w:rsidR="000E3C80" w:rsidRPr="00C05886">
        <w:rPr>
          <w:rFonts w:ascii="Calibri" w:hAnsi="Calibri" w:cs="Calibri"/>
          <w:i/>
          <w:iCs/>
          <w:szCs w:val="24"/>
        </w:rPr>
        <w:t>et al.</w:t>
      </w:r>
      <w:r w:rsidR="000E3C80" w:rsidRPr="00C05886">
        <w:rPr>
          <w:rFonts w:ascii="Calibri" w:hAnsi="Calibri" w:cs="Calibri"/>
          <w:szCs w:val="24"/>
        </w:rPr>
        <w:t>, 2021)</w:t>
      </w:r>
      <w:r w:rsidR="000E3C80" w:rsidRPr="00C05886">
        <w:rPr>
          <w:rFonts w:ascii="Calibri" w:hAnsi="Calibri" w:cs="Calibri"/>
          <w:szCs w:val="24"/>
        </w:rPr>
        <w:fldChar w:fldCharType="end"/>
      </w:r>
      <w:r w:rsidR="000E3C80" w:rsidRPr="00C05886">
        <w:rPr>
          <w:rFonts w:ascii="Calibri" w:hAnsi="Calibri" w:cs="Calibri"/>
          <w:szCs w:val="24"/>
        </w:rPr>
        <w:t xml:space="preserve">. This led the researchers to speculate that the relationship between biodiversity and well-being could be unconscious. </w:t>
      </w:r>
    </w:p>
    <w:p w14:paraId="6A4EF8F0" w14:textId="5A2C7BCE" w:rsidR="000E3C80" w:rsidRPr="00C05886" w:rsidRDefault="00A77D13" w:rsidP="00732930">
      <w:r>
        <w:t>Howe</w:t>
      </w:r>
      <w:r w:rsidRPr="00A77D13">
        <w:t>ver</w:t>
      </w:r>
      <w:r w:rsidR="000E3C80" w:rsidRPr="00A77D13">
        <w:t>,</w:t>
      </w:r>
      <w:r>
        <w:t xml:space="preserve"> in this study, it is difficult to say how</w:t>
      </w:r>
      <w:r w:rsidR="000E3C80" w:rsidRPr="00A77D13">
        <w:t xml:space="preserve"> the photo’s </w:t>
      </w:r>
      <w:r>
        <w:t>species richness</w:t>
      </w:r>
      <w:r w:rsidR="000E3C80" w:rsidRPr="00A77D13">
        <w:t xml:space="preserve"> </w:t>
      </w:r>
      <w:r>
        <w:t>relates to</w:t>
      </w:r>
      <w:r w:rsidR="000E3C80" w:rsidRPr="00A77D13">
        <w:t xml:space="preserve"> the participants’ perceived </w:t>
      </w:r>
      <w:r w:rsidR="00A76BBB">
        <w:t>species richness</w:t>
      </w:r>
      <w:r>
        <w:t xml:space="preserve">, since the scale used to measure the perceived number of species was not associated </w:t>
      </w:r>
      <w:r w:rsidR="000A3C27">
        <w:t>with</w:t>
      </w:r>
      <w:r>
        <w:t xml:space="preserve"> numerical categories. </w:t>
      </w:r>
      <w:r w:rsidR="001663B1">
        <w:t>Indeed,</w:t>
      </w:r>
      <w:r>
        <w:t xml:space="preserve"> it does not seem possible to understand how each participant interpreted </w:t>
      </w:r>
      <w:r w:rsidR="001663B1">
        <w:t xml:space="preserve">the categories presented by the app. </w:t>
      </w:r>
      <w:r w:rsidR="00B14E3D">
        <w:t xml:space="preserve">Looking at </w:t>
      </w:r>
      <w:r w:rsidR="009C653A">
        <w:t>a crosstabulation of the frequencies of the perceived species richness and the species count (</w:t>
      </w:r>
      <w:r w:rsidR="000A3C27">
        <w:t xml:space="preserve">Chapter 4 </w:t>
      </w:r>
      <w:r w:rsidR="009C653A">
        <w:t xml:space="preserve">Supporting Information, </w:t>
      </w:r>
      <w:r w:rsidR="000A3C27">
        <w:t>Table</w:t>
      </w:r>
      <w:r w:rsidR="009C653A">
        <w:t xml:space="preserve"> S.5), the perceptions and the species count do not seem well-matched. For instance, out of the 186 photographs reportedly taken in spaces with “Lots” of species, </w:t>
      </w:r>
      <w:r w:rsidR="009C653A">
        <w:lastRenderedPageBreak/>
        <w:t xml:space="preserve">only </w:t>
      </w:r>
      <w:r w:rsidR="00A40274">
        <w:t>five</w:t>
      </w:r>
      <w:r w:rsidR="009C653A">
        <w:t xml:space="preserve"> </w:t>
      </w:r>
      <w:r w:rsidR="000A3C27">
        <w:t>showed</w:t>
      </w:r>
      <w:r w:rsidR="009C653A">
        <w:t xml:space="preserve"> more than 10 species. Again, these</w:t>
      </w:r>
      <w:r w:rsidR="001663B1" w:rsidRPr="001663B1">
        <w:t xml:space="preserve"> discrepancies between actual and perceived </w:t>
      </w:r>
      <w:r w:rsidR="009C653A">
        <w:t>species richness</w:t>
      </w:r>
      <w:r w:rsidR="001663B1" w:rsidRPr="001663B1">
        <w:t xml:space="preserve"> could be semantic (</w:t>
      </w:r>
      <w:proofErr w:type="spellStart"/>
      <w:r w:rsidR="001663B1" w:rsidRPr="001663B1">
        <w:t>Gyllin</w:t>
      </w:r>
      <w:proofErr w:type="spellEnd"/>
      <w:r w:rsidR="001663B1" w:rsidRPr="001663B1">
        <w:t xml:space="preserve"> and Grahn, 2005), as the participant had to broadly categorise the </w:t>
      </w:r>
      <w:r w:rsidR="00A76BBB">
        <w:t>species richness</w:t>
      </w:r>
      <w:r w:rsidR="001663B1" w:rsidRPr="001663B1">
        <w:t xml:space="preserve"> – e.g. estimating if there were “a lot of species” or less. </w:t>
      </w:r>
      <w:r w:rsidR="009C653A">
        <w:t>A</w:t>
      </w:r>
      <w:r w:rsidR="001663B1" w:rsidRPr="001663B1">
        <w:t>nother possible explanation is that the researchers could only count the species shown in the photos, while many other species could have been observed by the participant.</w:t>
      </w:r>
      <w:r w:rsidR="009C653A">
        <w:t xml:space="preserve"> Although difficult to confirm, this result </w:t>
      </w:r>
      <w:r w:rsidR="000E3C80" w:rsidRPr="00C05886">
        <w:t xml:space="preserve">contrasts with another Sheffield-based study </w:t>
      </w:r>
      <w:r w:rsidR="000E3C80" w:rsidRPr="00C05886">
        <w:fldChar w:fldCharType="begin"/>
      </w:r>
      <w:r w:rsidR="00001725" w:rsidRPr="00C05886">
        <w:instrText xml:space="preserve"> ADDIN ZOTERO_ITEM CSL_CITATION {"citationID":"iR6ddCpb","properties":{"formattedCitation":"(Cameron {\\i{}et al.}, 2020)","plainCitation":"(Cameron et al., 2020)","noteIndex":0},"citationItems":[{"id":5002,"uris":["http://zotero.org/users/10951124/items/CAJX7VIQ"],"itemData":{"id":5002,"type":"article-journal","abstract":"Urban green space can help mitigate the negative impacts of urban living and provide positive effects on citizens’ mood, health and well-being. Questions remain, however, as to whether all types of green space are equally beneficial, and if not, what landscape forms or key features optimise the desired benefits. For example, it has been cited that urban landscapes rich in wildlife (high biodiversity) may promote more positive emotions and enhance well-being. This research utilised a mobile phone App, employed to assess people’s emotions when they entered any one of 945 green spaces within the city of Sheffield, UK. Emotional responses were correlated to key traits of the individual green spaces, including levels of biodiversity the participant perceived around them. For a subsample of these green spaces, actual levels of biodiversity were assessed through avian and habitat surveys. Results demonstrated strong correlations between levels of avian biodiversity within a green space and human emotional response to that space. Respondents reported being happier in sites with greater avian biodiversity (p &lt; 0.01, r = 0.78) and a greater variety of habitats (p &lt; 0.02, r = 0.72). Relationships were strengthened when emotions were linked to perceptions of overall biodiversity (p &lt; 0.001, r = 0.89). So, when participants thought the site was wildlife rich, they reported more positive emotions, even when actual avian biodiversity levels were not necessarily enhanced. The data strengthens the arguments that nature enhances well-being through positive affect, and that increased ‘engagement with nature’ may help support human health within urban environments. The results have strong implications for city planning with respect to the design, management and use of city green spaces.","container-title":"Urban Ecosystems","DOI":"10.1007/s11252-020-00929-z","ISSN":"15731642","note":"publisher: Urban Ecosystems","title":"Where the wild things are! Do urban green spaces with greater avian biodiversity promote more positive emotions in humans?","author":[{"family":"Cameron","given":"Ross W.F."},{"family":"Brindley","given":"Paul"},{"family":"Mears","given":"Meghann"},{"family":"McEwan","given":"Kirsten"},{"family":"Ferguson","given":"Fiona"},{"family":"Sheffield","given":"David"},{"family":"Jorgensen","given":"Anna"},{"family":"Riley","given":"Julie"},{"family":"Goodrick","given":"Jon"},{"family":"Ballard","given":"Liz"},{"family":"Richardson","given":"Miles"}],"issued":{"date-parts":[["2020"]]}}}],"schema":"https://github.com/citation-style-language/schema/raw/master/csl-citation.json"} </w:instrText>
      </w:r>
      <w:r w:rsidR="000E3C80" w:rsidRPr="00C05886">
        <w:fldChar w:fldCharType="separate"/>
      </w:r>
      <w:r w:rsidR="00001725" w:rsidRPr="00C05886">
        <w:rPr>
          <w:rFonts w:ascii="Calibri" w:hAnsi="Calibri" w:cs="Calibri"/>
          <w:szCs w:val="24"/>
        </w:rPr>
        <w:t xml:space="preserve">(Cameron </w:t>
      </w:r>
      <w:r w:rsidR="00001725" w:rsidRPr="00C05886">
        <w:rPr>
          <w:rFonts w:ascii="Calibri" w:hAnsi="Calibri" w:cs="Calibri"/>
          <w:i/>
          <w:iCs/>
          <w:szCs w:val="24"/>
        </w:rPr>
        <w:t>et al.</w:t>
      </w:r>
      <w:r w:rsidR="00001725" w:rsidRPr="00C05886">
        <w:rPr>
          <w:rFonts w:ascii="Calibri" w:hAnsi="Calibri" w:cs="Calibri"/>
          <w:szCs w:val="24"/>
        </w:rPr>
        <w:t>, 2020)</w:t>
      </w:r>
      <w:r w:rsidR="000E3C80" w:rsidRPr="00C05886">
        <w:fldChar w:fldCharType="end"/>
      </w:r>
      <w:r w:rsidR="000E3C80" w:rsidRPr="00C05886">
        <w:t xml:space="preserve"> which found that actual and perceived bird diversity correlated well with each other and with well-being. However, </w:t>
      </w:r>
      <w:r w:rsidR="009C653A">
        <w:t>cases of</w:t>
      </w:r>
      <w:r w:rsidR="009C653A" w:rsidRPr="00C05886">
        <w:t xml:space="preserve"> </w:t>
      </w:r>
      <w:r w:rsidR="000E3C80" w:rsidRPr="00C05886">
        <w:t xml:space="preserve">overestimation of </w:t>
      </w:r>
      <w:r w:rsidR="00A76BBB">
        <w:t>species richness</w:t>
      </w:r>
      <w:r w:rsidR="000E3C80" w:rsidRPr="00C05886">
        <w:t xml:space="preserve"> by the public </w:t>
      </w:r>
      <w:r w:rsidR="000A3C27">
        <w:t>have</w:t>
      </w:r>
      <w:r w:rsidR="00982452" w:rsidRPr="00C05886">
        <w:t xml:space="preserve"> </w:t>
      </w:r>
      <w:r w:rsidR="000E3C80" w:rsidRPr="00C05886">
        <w:t xml:space="preserve">been found in other studies </w:t>
      </w:r>
      <w:r w:rsidR="000E3C80" w:rsidRPr="00C05886">
        <w:fldChar w:fldCharType="begin"/>
      </w:r>
      <w:r w:rsidR="00DC0B4B" w:rsidRPr="00C05886">
        <w:instrText xml:space="preserve"> ADDIN ZOTERO_ITEM CSL_CITATION {"citationID":"Maaz8hlT","properties":{"formattedCitation":"(Lindemann-Matthies and Bose, 2008; Dallimer {\\i{}et al.}, 2012; Assaf Shwartz {\\i{}et al.}, 2014)","plainCitation":"(Lindemann-Matthies and Bose, 2008; Dallimer et al., 2012; Assaf Shwartz et al., 2014)","noteIndex":0},"citationItems":[{"id":8229,"uris":["http://zotero.org/users/10951124/items/ZNFYF3FU"],"itemData":{"id":8229,"type":"article-journal","abstract":"This paper presents the results of interviews and a questionnaire study on public knowledge of the concept of biodiversity and of plant species richness in Switzerland. Despite its extensive use in science and policy making, the concept of biodiversity is not widely recognized or known to people in Switzerland. Overall, 60% of all study participants (161 grammar school pupils, 110 non-graduates, and 96 graduates in the Canton of Zurich) had never heard the term biodiversity, while the others had come across it primarily in the media. Few study participants considered their school education a relevant source of information about biodiversity. Study participants most frequently referred to the diversity of plants and animals when defining biodiversity, but also quite often believed that biodiversity had something to do with ecological concepts such as the equilibrium between all components of nature. Both young people and adults held widely inaccurate ideas of the plant species richness of communities. Particularly for Switzerland, plant species richness was strongly overestimated.","container-title":"Human Ecology","DOI":"10.1007/s10745-008-9194-1","ISSN":"1572-9915","issue":"5","page":"731-742","title":"How Many Species Are There? Public Understanding and Awareness of Biodiversity in Switzerland","volume":"36","author":[{"family":"Lindemann-Matthies","given":"Petra"},{"family":"Bose","given":"Elisabeth"}],"issued":{"date-parts":[["2008"]]}}},{"id":5841,"uris":["http://zotero.org/users/10951124/items/KQUVK8G6"],"itemData":{"id":5841,"type":"article-journal","abstract":"Over half of the world's human population lives in cities, and for many, urban greenspaces are the only places where they encounter biodiversity. This is of particular concern because there is growing evidence that human well-being is enhanced by exposure to nature. However, the specific qualities of greenspaces that offer the greatest benefits remain poorly understood. One possibility is that humans respond positively to increased levels of biodiversity. Here, we demonstrate the lack of a consistent relationship between actual plant, butterfly, and bird species richness and the psychological well-being of urban greenspace visitors. Instead, well-being shows a positive relationship with the richness that the greenspace users perceived to be present. One plausible explanation for this discrepancy, which we investigate, is that people generally have poor biodiversity-identification skills. The apparent importance of perceived species richness and the mismatch between reality and perception pose a serious challenge for aligning conservation and human well-being agendas.","container-title":"BioScience","DOI":"10.1525/bio.2012.62.1.9","ISSN":"00063568","issue":"1","page":"47-55","title":"Biodiversity and the Feel-Good Factor: Understanding Associations between Self-Reported Human Well-being and Species Richness","volume":"62","author":[{"family":"Dallimer","given":"Martin"},{"family":"Irvine","given":"Katherine N."},{"family":"Skinner","given":"Andrew M.J. J"},{"family":"Davies","given":"Zoe G."},{"family":"Rouquette","given":"James R."},{"family":"Maltby","given":"Lorraine L."},{"family":"Warren","given":"Philip H."},{"family":"Armsworth","given":"Paul R."},{"family":"Gaston","given":"Kevin J."}],"issued":{"date-parts":[["2012"]]}}},{"id":6245,"uris":["http://zotero.org/users/10951124/items/ER322ZT3"],"itemData":{"id":6245,"type":"article-journal","abstract":"&lt;p&gt;Urbanization is presenting a growing problem for biodiversity conservation, notably by increasingly isolating over half of the world’s population from the experience of nature. This separation of people from nature is an important environmental issue, as it could fundamentally influence the way people value nature and their willingness to conserve it. Here we provide the first experimental study that jointly explores how urban biodiversity can be enhanced and how these changes may influence some aspects of people–biodiversity interactions.&lt;/p&gt; &lt;p&gt;We significantly increased the diversity of flowers, birds and pollinators in small public gardens (Paris, France) by providing additional resources (i.e., planting flower-meadows and placing nesting-boxes). Semi-structured interviews were conducted &lt;/p&gt; &lt;p&gt; with 1116 regular garden users before and after the manipulation. Close-ended questionnaires were completed exploring the respondents’ biodiversity perception and their sensitivity to the changes in biodiversity. Our results highlight a people–biodiversity paradox between people’s perceptions and biodiversity awareness. Respondents expressed a strong preference for a rich diversity of species (excluding insects) and related this diversity to their well-being in the gardens. However, they did not notice the diversity of species. Respondents underestimated species richness and only noticed the changes in native flower richness in those gardens where advertisement and public involvement were organized. More experimental interdisciplinary studies are needed to further explore the people–biodiversity interactions. This would help expose the role that urban biodiversity plays in people’s daily life and the importance of this interaction for raising public support for general conservation policies.&lt;/p&gt;","container-title":"Biological Conservation","DOI":"10.1016/j.biocon.2014.01.009","ISSN":"0006-3207","page":"82-90","title":"Enhancing urban biodiversity and its influence on city-dwellers: An experiment","volume":"171","author":[{"family":"Shwartz","given":"Assaf"},{"family":"Turbé","given":"Anne"},{"family":"Simon","given":"Laurent"},{"family":"Julliard","given":"Romain"}],"issued":{"date-parts":[["2014"]]}}}],"schema":"https://github.com/citation-style-language/schema/raw/master/csl-citation.json"} </w:instrText>
      </w:r>
      <w:r w:rsidR="000E3C80" w:rsidRPr="00C05886">
        <w:fldChar w:fldCharType="separate"/>
      </w:r>
      <w:r w:rsidR="00DC0B4B" w:rsidRPr="00C05886">
        <w:rPr>
          <w:rFonts w:ascii="Calibri" w:hAnsi="Calibri" w:cs="Calibri"/>
          <w:szCs w:val="24"/>
        </w:rPr>
        <w:t xml:space="preserve">(Lindemann-Matthies and Bose, 2008; Dallimer </w:t>
      </w:r>
      <w:r w:rsidR="00DC0B4B" w:rsidRPr="00C05886">
        <w:rPr>
          <w:rFonts w:ascii="Calibri" w:hAnsi="Calibri" w:cs="Calibri"/>
          <w:i/>
          <w:iCs/>
          <w:szCs w:val="24"/>
        </w:rPr>
        <w:t>et al.</w:t>
      </w:r>
      <w:r w:rsidR="00DC0B4B" w:rsidRPr="00C05886">
        <w:rPr>
          <w:rFonts w:ascii="Calibri" w:hAnsi="Calibri" w:cs="Calibri"/>
          <w:szCs w:val="24"/>
        </w:rPr>
        <w:t xml:space="preserve">, 2012; Assaf Shwartz </w:t>
      </w:r>
      <w:r w:rsidR="00DC0B4B" w:rsidRPr="00C05886">
        <w:rPr>
          <w:rFonts w:ascii="Calibri" w:hAnsi="Calibri" w:cs="Calibri"/>
          <w:i/>
          <w:iCs/>
          <w:szCs w:val="24"/>
        </w:rPr>
        <w:t>et al.</w:t>
      </w:r>
      <w:r w:rsidR="00DC0B4B" w:rsidRPr="00C05886">
        <w:rPr>
          <w:rFonts w:ascii="Calibri" w:hAnsi="Calibri" w:cs="Calibri"/>
          <w:szCs w:val="24"/>
        </w:rPr>
        <w:t>, 2014)</w:t>
      </w:r>
      <w:r w:rsidR="000E3C80" w:rsidRPr="00C05886">
        <w:fldChar w:fldCharType="end"/>
      </w:r>
      <w:r w:rsidR="00982452">
        <w:t>.</w:t>
      </w:r>
    </w:p>
    <w:p w14:paraId="72B0F264" w14:textId="623E2BE5" w:rsidR="000E3C80" w:rsidRPr="00C05886" w:rsidRDefault="000E3C80" w:rsidP="00732930">
      <w:r w:rsidRPr="00C05886">
        <w:t xml:space="preserve">On a side note, perceptions of </w:t>
      </w:r>
      <w:r w:rsidR="00A76BBB">
        <w:t>species richness</w:t>
      </w:r>
      <w:r w:rsidRPr="00C05886">
        <w:t xml:space="preserve"> were a stronger predictor of well-being even when compared to other demographic characteristics. Overall, there was little difference in well-being due to age, gender or nature connectedness. </w:t>
      </w:r>
      <w:r w:rsidR="003F5D35">
        <w:t>The same applies to</w:t>
      </w:r>
      <w:r w:rsidR="003F5D35" w:rsidRPr="00C05886">
        <w:t xml:space="preserve"> </w:t>
      </w:r>
      <w:r w:rsidRPr="00C05886">
        <w:t>the effect of the time spent outdoors</w:t>
      </w:r>
      <w:r w:rsidR="003F5D35">
        <w:t>, both</w:t>
      </w:r>
      <w:r w:rsidRPr="00C05886">
        <w:t xml:space="preserve"> during childhood</w:t>
      </w:r>
      <w:r w:rsidR="003F5D35">
        <w:t xml:space="preserve"> and in the past year,</w:t>
      </w:r>
      <w:r w:rsidRPr="00C05886">
        <w:t xml:space="preserve"> </w:t>
      </w:r>
      <w:r w:rsidR="003F5D35">
        <w:t>which remained not significant</w:t>
      </w:r>
      <w:r w:rsidRPr="00C05886">
        <w:t xml:space="preserve">. </w:t>
      </w:r>
      <w:r w:rsidR="003F5D35">
        <w:t xml:space="preserve">This is surprising, since </w:t>
      </w:r>
      <w:r w:rsidRPr="00C05886">
        <w:t xml:space="preserve">Childhood experiences </w:t>
      </w:r>
      <w:r w:rsidR="003F5D35">
        <w:t>have been suggested to</w:t>
      </w:r>
      <w:r w:rsidR="003F5D35" w:rsidRPr="00C05886">
        <w:t xml:space="preserve"> </w:t>
      </w:r>
      <w:r w:rsidRPr="00C05886">
        <w:t xml:space="preserve">shape adult perceptions and connection with nature </w:t>
      </w:r>
      <w:r w:rsidR="00020123" w:rsidRPr="00C05886">
        <w:rPr>
          <w:rFonts w:ascii="Calibri" w:hAnsi="Calibri" w:cs="Calibri"/>
        </w:rPr>
        <w:fldChar w:fldCharType="begin"/>
      </w:r>
      <w:r w:rsidR="00134B49">
        <w:rPr>
          <w:rFonts w:ascii="Calibri" w:hAnsi="Calibri" w:cs="Calibri"/>
        </w:rPr>
        <w:instrText xml:space="preserve"> ADDIN ZOTERO_ITEM CSL_CITATION {"citationID":"DW2RNeDb","properties":{"formattedCitation":"(Schultz, 2002)","plainCitation":"(Schultz, 2002)","noteIndex":0},"citationItems":[{"id":11234,"uris":["http://zotero.org/users/10951124/items/AJCR4KHB","http://zotero.org/users/10951124/items/4XTSK9NH"],"itemData":{"id":11234,"type":"chapter","abstract":"Human survival is directly tied to our relationship with the natural environment. Achieving a sustainable lifestyle depends on establishing a balance between the consumption of individuals, and the capacity of the natural environment for renewal. Yet, we often act as ifwe are separate from nature — as if we can get along without nature. Indeed, built environments serve as barriers between individuals and the natural environments in which they live. Offices, schools, homes, cars, restaurants, shopping malls, and many other built environments segregate people from nature. This chapter examines the implicit connection that individuals make between self and nature, and the impact of built environments on these implicit cognitions. A psychological model for inclusion with nature is presented, containing cognitive (connectedness), affective (caring), and behavioral (commitment) components. Implicationsfor theory, design, and sustainability are discussed.","container-title":"Psychology of Sustainable Development","event-place":"Boston, MA","ISBN":"978-1-4615-0995-0","note":"DOI: 10.1007/978-1-4615-0995-0_4","page":"61-78","publisher":"Springer US","publisher-place":"Boston, MA","title":"Inclusion with Nature: The Psychology Of Human-Nature Relations","URL":"https://doi.org/10.1007/978-1-4615-0995-0_4","author":[{"family":"Schultz","given":"P. Wesley"}],"editor":[{"family":"Schmuck","given":"Peter"},{"family":"Schultz","given":"Wesley P."}],"issued":{"date-parts":[["2002"]]}}}],"schema":"https://github.com/citation-style-language/schema/raw/master/csl-citation.json"} </w:instrText>
      </w:r>
      <w:r w:rsidR="00020123" w:rsidRPr="00C05886">
        <w:rPr>
          <w:rFonts w:ascii="Calibri" w:hAnsi="Calibri" w:cs="Calibri"/>
        </w:rPr>
        <w:fldChar w:fldCharType="separate"/>
      </w:r>
      <w:r w:rsidR="00020123" w:rsidRPr="00C05886">
        <w:rPr>
          <w:rFonts w:ascii="Calibri" w:hAnsi="Calibri" w:cs="Calibri"/>
        </w:rPr>
        <w:t>(Schultz, 2002)</w:t>
      </w:r>
      <w:r w:rsidR="00020123" w:rsidRPr="00C05886">
        <w:rPr>
          <w:rFonts w:ascii="Calibri" w:hAnsi="Calibri" w:cs="Calibri"/>
        </w:rPr>
        <w:fldChar w:fldCharType="end"/>
      </w:r>
      <w:r w:rsidRPr="00C05886">
        <w:t xml:space="preserve">, which in turn could elicit more well-being in response to urban nature </w:t>
      </w:r>
      <w:r w:rsidRPr="00C05886">
        <w:fldChar w:fldCharType="begin"/>
      </w:r>
      <w:r w:rsidRPr="00C05886">
        <w:instrText xml:space="preserve"> ADDIN ZOTERO_ITEM CSL_CITATION {"citationID":"dNqcbeZW","properties":{"formattedCitation":"(Nisbet, Zelenski and Murphy, 2011)","plainCitation":"(Nisbet, Zelenski and Murphy, 2011)","noteIndex":0},"citationItems":[{"id":7660,"uris":["http://zotero.org/users/10951124/items/SH274D7E"],"itemData":{"id":7660,"type":"article-journal","container-title":"Journal of Happiness Studies","ISSN":"1389-4978","issue":"2","note":"publisher: Springer","page":"303-322","title":"Happiness is in our nature: Exploring nature relatedness as a contributor to subjective well-being","volume":"12","author":[{"family":"Nisbet","given":"Elizabeth K"},{"family":"Zelenski","given":"John M"},{"family":"Murphy","given":"Steven A"}],"issued":{"date-parts":[["2011"]]}}}],"schema":"https://github.com/citation-style-language/schema/raw/master/csl-citation.json"} </w:instrText>
      </w:r>
      <w:r w:rsidRPr="00C05886">
        <w:fldChar w:fldCharType="separate"/>
      </w:r>
      <w:r w:rsidRPr="00C05886">
        <w:rPr>
          <w:rFonts w:ascii="Calibri" w:hAnsi="Calibri" w:cs="Calibri"/>
        </w:rPr>
        <w:t>(Nisbet, Zelenski and Murphy, 2011)</w:t>
      </w:r>
      <w:r w:rsidRPr="00C05886">
        <w:fldChar w:fldCharType="end"/>
      </w:r>
      <w:r w:rsidRPr="00C05886">
        <w:t>.</w:t>
      </w:r>
    </w:p>
    <w:p w14:paraId="094FD30E" w14:textId="318B7953" w:rsidR="000E3C80" w:rsidRPr="00C05886" w:rsidRDefault="000E3C80" w:rsidP="00732930">
      <w:pPr>
        <w:pStyle w:val="Heading3"/>
      </w:pPr>
      <w:bookmarkStart w:id="77" w:name="_Toc179962329"/>
      <w:r w:rsidRPr="00C05886">
        <w:t>Built environment and well-being</w:t>
      </w:r>
      <w:bookmarkEnd w:id="77"/>
    </w:p>
    <w:p w14:paraId="566062C7" w14:textId="20AEBF16" w:rsidR="000E3C80" w:rsidRPr="00C05886" w:rsidRDefault="00A8479D" w:rsidP="00732930">
      <w:r>
        <w:t>The p</w:t>
      </w:r>
      <w:r w:rsidR="000E3C80" w:rsidRPr="00C05886">
        <w:t xml:space="preserve">erceptions of </w:t>
      </w:r>
      <w:r w:rsidR="0002322E">
        <w:t>building density</w:t>
      </w:r>
      <w:r w:rsidRPr="00C05886">
        <w:t xml:space="preserve"> </w:t>
      </w:r>
      <w:r w:rsidR="000E3C80" w:rsidRPr="00C05886">
        <w:t xml:space="preserve">showed a negative effect on well-being. </w:t>
      </w:r>
      <w:r>
        <w:t xml:space="preserve">As the </w:t>
      </w:r>
      <w:r w:rsidR="000E3C80" w:rsidRPr="00C05886">
        <w:t>level</w:t>
      </w:r>
      <w:r>
        <w:t xml:space="preserve"> of built-up</w:t>
      </w:r>
      <w:r w:rsidR="000E3C80" w:rsidRPr="00C05886">
        <w:t xml:space="preserve"> increased, the probability of reporting the highest level of well-being decreased. However, a closer look at the probability chart (Figure </w:t>
      </w:r>
      <w:r w:rsidR="007526D3">
        <w:t>6</w:t>
      </w:r>
      <w:r w:rsidR="000E3C80" w:rsidRPr="00C05886">
        <w:t xml:space="preserve">), shows that the probability of reporting average or higher well-being was high even when the environment was perceived as very </w:t>
      </w:r>
      <w:r w:rsidR="007526D3">
        <w:t>built-up</w:t>
      </w:r>
      <w:r w:rsidR="000E3C80" w:rsidRPr="00C05886">
        <w:t>. This suggests that the built environment, or views of it, may not increase well-being but neither seem to be too detrimental.</w:t>
      </w:r>
      <w:r w:rsidR="0002143E">
        <w:t xml:space="preserve"> This aligns with </w:t>
      </w:r>
      <w:r w:rsidR="0002143E">
        <w:fldChar w:fldCharType="begin"/>
      </w:r>
      <w:r w:rsidR="00C577A0">
        <w:instrText xml:space="preserve"> ADDIN ZOTERO_ITEM CSL_CITATION {"citationID":"hkWR68gL","properties":{"formattedCitation":"(Staats {\\i{}et al.}, 2016)","plainCitation":"(Staats et al., 2016)","dontUpdate":true,"noteIndex":0},"citationItems":[{"id":6585,"uris":["http://zotero.org/users/10951124/items/3X2U2TJB"],"itemData":{"id":6585,"type":"article-journal","abstract":"Objectives Given the need for knowledge on the restorative potential of urban settings, we sought to estimate the effects of personal and contextual factors on preferences and restoration likelihood assessments for different urban activities-in-environments. We also sought to study the generality of these effects across different countries. Methods We conducted a true experiment with convenience samples of university students in the Netherlands (n = 80), Sweden (n = 100), and the USA (n = 316). In each country, the experiment had a mixed design with activities-in-environments (sitting in a park, sitting in a cafe, walking in a shopping mall, walking along a busy street)manipulated within-subjects and the need for restoration (attentional fatigue, no attentional fatigue) and immediate social context (in company, alone)manipulated between-subjects. The manipulations relied on previously tested scenarios describing everyday situations that participants were instructed to remember and imagine themselves being in. For each imagined situation (activity-in-environment with antecedent fatigue condition and immediate social context), subjects provided two criterion measures: general preference and the likelihood of achieving psychological restoration. Results The settings received different preference and restoration likelihood ratings as expected, affirming that a busy street, often used in comparisons with natural settings, is not representative of the restorative potential of urban settings. Being with a close friend and attentional fatigue both moderated ratings for specific settings. Findings of additional moderation by country of residence caution against broad generalizations regarding preferences for and the expected restorative effects of different urban settings. Conclusions Preferences and restoration likelihood ratings for urban activity-environment combinations are subject to multiple personal and contextual determinants, including level of attentional fatigue, being alone versus in company, and broader aspects of the urban context that vary across cities and countries. Claims regarding a lack of restorative quality in urban environments are problematic.","container-title":"PLoS ONE","DOI":"10.1371/journal.pone.0146213","ISSN":"19326203","issue":"1","title":"Urban options for psychological restoration: Common strategies in everyday situations","volume":"11","author":[{"family":"Staats","given":"Henk"},{"family":"Jahncke","given":"Helena"},{"family":"Herzog","given":"Thomas R."},{"family":"Hartig","given":"Terry"}],"issued":{"date-parts":[["2016"]]}}}],"schema":"https://github.com/citation-style-language/schema/raw/master/csl-citation.json"} </w:instrText>
      </w:r>
      <w:r w:rsidR="0002143E">
        <w:fldChar w:fldCharType="separate"/>
      </w:r>
      <w:r w:rsidR="0002143E" w:rsidRPr="0002143E">
        <w:rPr>
          <w:rFonts w:ascii="Calibri" w:hAnsi="Calibri" w:cs="Calibri"/>
          <w:szCs w:val="24"/>
        </w:rPr>
        <w:t xml:space="preserve">Staats </w:t>
      </w:r>
      <w:r w:rsidR="0002143E" w:rsidRPr="0002143E">
        <w:rPr>
          <w:rFonts w:ascii="Calibri" w:hAnsi="Calibri" w:cs="Calibri"/>
          <w:i/>
          <w:iCs/>
          <w:szCs w:val="24"/>
        </w:rPr>
        <w:t>et al.</w:t>
      </w:r>
      <w:r w:rsidR="0002143E" w:rsidRPr="0002143E">
        <w:rPr>
          <w:rFonts w:ascii="Calibri" w:hAnsi="Calibri" w:cs="Calibri"/>
          <w:szCs w:val="24"/>
        </w:rPr>
        <w:t xml:space="preserve"> </w:t>
      </w:r>
      <w:r w:rsidR="0002143E">
        <w:rPr>
          <w:rFonts w:ascii="Calibri" w:hAnsi="Calibri" w:cs="Calibri"/>
          <w:szCs w:val="24"/>
        </w:rPr>
        <w:t>(</w:t>
      </w:r>
      <w:r w:rsidR="0002143E" w:rsidRPr="0002143E">
        <w:rPr>
          <w:rFonts w:ascii="Calibri" w:hAnsi="Calibri" w:cs="Calibri"/>
          <w:szCs w:val="24"/>
        </w:rPr>
        <w:t>2016)</w:t>
      </w:r>
      <w:r w:rsidR="0002143E">
        <w:fldChar w:fldCharType="end"/>
      </w:r>
      <w:r w:rsidR="0002143E">
        <w:t xml:space="preserve"> who found that the perceived </w:t>
      </w:r>
      <w:proofErr w:type="spellStart"/>
      <w:r w:rsidR="0002143E">
        <w:t>restorativeness</w:t>
      </w:r>
      <w:proofErr w:type="spellEnd"/>
      <w:r w:rsidR="0002143E">
        <w:t xml:space="preserve"> of built environments relied </w:t>
      </w:r>
      <w:r w:rsidR="0007426C">
        <w:t>upon</w:t>
      </w:r>
      <w:r w:rsidR="0002143E">
        <w:t xml:space="preserve"> factors, such as company and level of activity (e.g. traffic), other than the presence of green. It is possible</w:t>
      </w:r>
      <w:r w:rsidR="0007426C">
        <w:t>,</w:t>
      </w:r>
      <w:r w:rsidR="0002143E">
        <w:t xml:space="preserve"> however, that by its nature, the original study attracted more participants who may have preferred green spaces to </w:t>
      </w:r>
      <w:proofErr w:type="spellStart"/>
      <w:r w:rsidR="0002143E">
        <w:t>built</w:t>
      </w:r>
      <w:proofErr w:type="spellEnd"/>
      <w:r w:rsidR="0002143E">
        <w:t xml:space="preserve"> spaces. However, their average nature connectedness (Table 1</w:t>
      </w:r>
      <w:r w:rsidR="00076D5D">
        <w:t xml:space="preserve">) seems </w:t>
      </w:r>
      <w:r w:rsidR="0007426C">
        <w:t>to</w:t>
      </w:r>
      <w:r w:rsidR="007526D3">
        <w:t xml:space="preserve"> contrast with</w:t>
      </w:r>
      <w:r w:rsidR="00076D5D">
        <w:t xml:space="preserve"> this speculation.</w:t>
      </w:r>
    </w:p>
    <w:p w14:paraId="4ABA49F4" w14:textId="5E1E2D33" w:rsidR="000E3C80" w:rsidRPr="00C05886" w:rsidRDefault="000E3C80" w:rsidP="00976276">
      <w:r w:rsidRPr="00C05886">
        <w:t xml:space="preserve">Interestingly, even if participants in the built condition were </w:t>
      </w:r>
      <w:r w:rsidR="00AD387A">
        <w:t>expected to focus on artificial elements</w:t>
      </w:r>
      <w:r w:rsidRPr="00C05886">
        <w:t xml:space="preserve"> found in built environments, over half of the photos contained some </w:t>
      </w:r>
      <w:r w:rsidR="0002322E">
        <w:t>species or natural elements</w:t>
      </w:r>
      <w:r w:rsidRPr="00C05886">
        <w:t xml:space="preserve">. </w:t>
      </w:r>
      <w:r w:rsidR="0002322E">
        <w:t>The</w:t>
      </w:r>
      <w:r w:rsidR="0002322E" w:rsidRPr="00C05886">
        <w:t xml:space="preserve"> </w:t>
      </w:r>
      <w:r w:rsidR="0002322E">
        <w:t>photos’ species count</w:t>
      </w:r>
      <w:r w:rsidRPr="00C05886">
        <w:t xml:space="preserve"> showed a positive relationship with well-being even when controlling for </w:t>
      </w:r>
      <w:r w:rsidRPr="00C05886">
        <w:lastRenderedPageBreak/>
        <w:t xml:space="preserve">demographics and perceived </w:t>
      </w:r>
      <w:r w:rsidR="00B25DD5">
        <w:t>building density</w:t>
      </w:r>
      <w:r w:rsidRPr="00C05886">
        <w:t xml:space="preserve">. This seems to confirm that urban </w:t>
      </w:r>
      <w:r w:rsidR="00076D5D">
        <w:t>species richness may</w:t>
      </w:r>
      <w:r w:rsidR="00076D5D" w:rsidRPr="00C05886">
        <w:t xml:space="preserve"> </w:t>
      </w:r>
      <w:r w:rsidR="00076D5D">
        <w:t>have a</w:t>
      </w:r>
      <w:r w:rsidRPr="00C05886">
        <w:t xml:space="preserve"> positive influence on well-being, as discussed above.</w:t>
      </w:r>
    </w:p>
    <w:p w14:paraId="67B3F16D" w14:textId="4EBA36C0" w:rsidR="000E3C80" w:rsidRPr="00C05886" w:rsidRDefault="000E3C80" w:rsidP="00A93F69">
      <w:pPr>
        <w:pStyle w:val="Heading3"/>
      </w:pPr>
      <w:bookmarkStart w:id="78" w:name="_Toc179962330"/>
      <w:r w:rsidRPr="00C05886">
        <w:t>Urban elements and well-being</w:t>
      </w:r>
      <w:bookmarkEnd w:id="78"/>
    </w:p>
    <w:p w14:paraId="7D41CFFD" w14:textId="314B305E" w:rsidR="000E3C80" w:rsidRPr="00C05886" w:rsidRDefault="000E3C80" w:rsidP="00AE063E">
      <w:r w:rsidRPr="00C05886">
        <w:t xml:space="preserve">Although all the photos represented the same urban context (the city of Sheffield), the two groups of participants (i.e. built vs nature) noticed different things. Those in the built condition shared photographs characterised primarily by buildings and trees but also looked at the sky, the lawns, and street art like murals and statues. Three out of five of the most shared </w:t>
      </w:r>
      <w:r w:rsidR="00AD387A">
        <w:t>elements</w:t>
      </w:r>
      <w:r w:rsidRPr="00C05886">
        <w:t xml:space="preserve"> in the Built condition were nature-related – i.e. the trees, the lawns and the sky. This suggests that, even without any prompts about noticing nature, participants in the built condition</w:t>
      </w:r>
      <w:r w:rsidR="00AD387A">
        <w:t xml:space="preserve"> frequently</w:t>
      </w:r>
      <w:r w:rsidRPr="00C05886">
        <w:t xml:space="preserve"> associated </w:t>
      </w:r>
      <w:r w:rsidR="00AD387A">
        <w:t>the</w:t>
      </w:r>
      <w:r w:rsidR="00AD387A" w:rsidRPr="00C05886">
        <w:t xml:space="preserve"> </w:t>
      </w:r>
      <w:r w:rsidRPr="00C05886">
        <w:t xml:space="preserve">“urban environment” with natural features. This is not surprising, considering Sheffield’s reputation of being a green city with millions of trees </w:t>
      </w:r>
      <w:r w:rsidRPr="00C05886">
        <w:fldChar w:fldCharType="begin"/>
      </w:r>
      <w:r w:rsidRPr="00C05886">
        <w:instrText xml:space="preserve"> ADDIN ZOTERO_ITEM CSL_CITATION {"citationID":"Swgwk6xy","properties":{"formattedCitation":"(Heydon, 2020)","plainCitation":"(Heydon, 2020)","noteIndex":0},"citationItems":[{"id":10872,"uris":["http://zotero.org/users/10951124/items/F6LGSH34"],"itemData":{"id":10872,"type":"article-journal","abstract":"With around two million trees within its boundaries, the city of Sheffield, England, is known as the ‘greenest city in Europe’. Of these, 36,000 are ‘street trees’, defined as those planted on pavements and other public rights of way. As of 2012, however, a private contractor was awarded a £2.2 billion contract by Sheffield City Council to upgrade the city’s roads over a 25-year period. This required the felling of over 6000 street trees by the end of August 2017. By 2015, this had sparked such widespread public opposition that the felling programme missed its 2017 deadline. For protesters, the central point of contention was and continues to be the seemingly indiscriminate felling of healthy trees. This article examines the specific forms of harm precipitating local public involvement in such opposition. In doing so, it explains the substantive injustices associated with the felling of street trees before focusing on the underpinning forms of procedural environmental injustice that have allowed for their ongoing production. This contributes to wider green criminological literature by demonstrating how public participation in decision-making is crucial for the attainment of environmental justice.","container-title":"Social Sciences","DOI":"10.3390/socsci9060100","ISSN":"2076-0760","issue":"6","journalAbbreviation":"Social Sciences","language":"en","page":"100","source":"DOI.org (Crossref)","title":"Procedural Environmental Injustice in ‘Europe’s Greenest City’: A Case Study into the Felling of Sheffield’s Street Trees","title-short":"Procedural Environmental Injustice in ‘Europe’s Greenest City’","volume":"9","author":[{"family":"Heydon","given":"James"}],"issued":{"date-parts":[["2020",6,10]]}}}],"schema":"https://github.com/citation-style-language/schema/raw/master/csl-citation.json"} </w:instrText>
      </w:r>
      <w:r w:rsidRPr="00C05886">
        <w:fldChar w:fldCharType="separate"/>
      </w:r>
      <w:r w:rsidRPr="00C05886">
        <w:rPr>
          <w:rFonts w:ascii="Calibri" w:hAnsi="Calibri" w:cs="Calibri"/>
        </w:rPr>
        <w:t>(Heydon, 2020)</w:t>
      </w:r>
      <w:r w:rsidRPr="00C05886">
        <w:fldChar w:fldCharType="end"/>
      </w:r>
      <w:r w:rsidRPr="00C05886">
        <w:t xml:space="preserve">. The participants in the Nature condition, those prompted to </w:t>
      </w:r>
      <w:r w:rsidR="00AD387A">
        <w:t>share something about</w:t>
      </w:r>
      <w:r w:rsidRPr="00C05886">
        <w:t xml:space="preserve"> </w:t>
      </w:r>
      <w:r w:rsidR="00AD387A">
        <w:t>“</w:t>
      </w:r>
      <w:r w:rsidRPr="00C05886">
        <w:t xml:space="preserve">urban nature”, uploaded pictures dominated by vegetation, including trees and colourful flowers. Summarising, these results suggest that participants responded well to both prompts, actively engaging in noticing the </w:t>
      </w:r>
      <w:r w:rsidR="00AD387A">
        <w:t>elements</w:t>
      </w:r>
      <w:r w:rsidRPr="00C05886">
        <w:t xml:space="preserve"> the city had to offer.</w:t>
      </w:r>
    </w:p>
    <w:p w14:paraId="60D5249B" w14:textId="77777777" w:rsidR="000E3C80" w:rsidRPr="005D7515" w:rsidRDefault="000E3C80" w:rsidP="00AE063E">
      <w:r w:rsidRPr="00134B49">
        <w:rPr>
          <w:noProof/>
        </w:rPr>
        <w:drawing>
          <wp:inline distT="0" distB="0" distL="0" distR="0" wp14:anchorId="6679310C" wp14:editId="525B89AD">
            <wp:extent cx="2700000" cy="2700000"/>
            <wp:effectExtent l="0" t="0" r="5715" b="5715"/>
            <wp:docPr id="19" name="Picture 19" descr="A car parked in front of a building&#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car parked in front of a building&#10;&#10;Description automatically generated with low confidence"/>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700000" cy="2700000"/>
                    </a:xfrm>
                    <a:prstGeom prst="rect">
                      <a:avLst/>
                    </a:prstGeom>
                  </pic:spPr>
                </pic:pic>
              </a:graphicData>
            </a:graphic>
          </wp:inline>
        </w:drawing>
      </w:r>
      <w:r w:rsidRPr="005D7515">
        <w:t xml:space="preserve">          </w:t>
      </w:r>
      <w:r w:rsidRPr="00134B49">
        <w:rPr>
          <w:noProof/>
        </w:rPr>
        <w:drawing>
          <wp:inline distT="0" distB="0" distL="0" distR="0" wp14:anchorId="1CBD9667" wp14:editId="303FBE1E">
            <wp:extent cx="3061117" cy="2700000"/>
            <wp:effectExtent l="0" t="0" r="6350" b="5715"/>
            <wp:docPr id="20" name="Picture 20" descr="A picture containing grass, outdoor, tree, flow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picture containing grass, outdoor, tree, flower&#10;&#10;Description automatically generated"/>
                    <pic:cNvPicPr/>
                  </pic:nvPicPr>
                  <pic:blipFill rotWithShape="1">
                    <a:blip r:embed="rId25">
                      <a:extLst>
                        <a:ext uri="{28A0092B-C50C-407E-A947-70E740481C1C}">
                          <a14:useLocalDpi xmlns:a14="http://schemas.microsoft.com/office/drawing/2010/main" val="0"/>
                        </a:ext>
                      </a:extLst>
                    </a:blip>
                    <a:srcRect l="21444" r="14787"/>
                    <a:stretch/>
                  </pic:blipFill>
                  <pic:spPr bwMode="auto">
                    <a:xfrm>
                      <a:off x="0" y="0"/>
                      <a:ext cx="3061117" cy="2700000"/>
                    </a:xfrm>
                    <a:prstGeom prst="rect">
                      <a:avLst/>
                    </a:prstGeom>
                    <a:ln>
                      <a:noFill/>
                    </a:ln>
                    <a:extLst>
                      <a:ext uri="{53640926-AAD7-44D8-BBD7-CCE9431645EC}">
                        <a14:shadowObscured xmlns:a14="http://schemas.microsoft.com/office/drawing/2010/main"/>
                      </a:ext>
                    </a:extLst>
                  </pic:spPr>
                </pic:pic>
              </a:graphicData>
            </a:graphic>
          </wp:inline>
        </w:drawing>
      </w:r>
    </w:p>
    <w:p w14:paraId="6BEA2659" w14:textId="793EE678" w:rsidR="000E3C80" w:rsidRPr="00C05886" w:rsidRDefault="000E3C80" w:rsidP="00ED3038">
      <w:pPr>
        <w:pStyle w:val="Caption"/>
      </w:pPr>
      <w:r w:rsidRPr="00C05886">
        <w:t xml:space="preserve">Figure 9, Sample photos from the Nature condition. Left: Low perceived </w:t>
      </w:r>
      <w:r w:rsidR="00A76BBB">
        <w:t>species richness</w:t>
      </w:r>
      <w:r w:rsidRPr="00C05886">
        <w:t xml:space="preserve"> and low self-reported well-being. Right: High perceived </w:t>
      </w:r>
      <w:r w:rsidR="00A76BBB">
        <w:t>species richness</w:t>
      </w:r>
      <w:r w:rsidRPr="00C05886">
        <w:t xml:space="preserve"> and high self-reported well-being</w:t>
      </w:r>
    </w:p>
    <w:p w14:paraId="10CE0E95" w14:textId="338925D1" w:rsidR="000E3C80" w:rsidRPr="00C05886" w:rsidRDefault="000E3C80" w:rsidP="00157C21">
      <w:r w:rsidRPr="00C05886">
        <w:t xml:space="preserve">However, according to the regression models, the main predictors of well-being were the perceptions of </w:t>
      </w:r>
      <w:r w:rsidR="00A76BBB">
        <w:t>species richness</w:t>
      </w:r>
      <w:r w:rsidRPr="00C05886">
        <w:t xml:space="preserve"> or </w:t>
      </w:r>
      <w:r w:rsidR="00B25DD5">
        <w:t>building density</w:t>
      </w:r>
      <w:r w:rsidRPr="00C05886">
        <w:t xml:space="preserve">. Of the 33 codes that emerged from the content analysis, only six showed a statistically significant association with well-being. Four of these can be grouped as elements of urban nature (trees, water bodies, private gardens and hedges) while the other two (buildings and views from the window) represent the built environment. Surprisingly, not </w:t>
      </w:r>
      <w:r w:rsidRPr="00C05886">
        <w:lastRenderedPageBreak/>
        <w:t xml:space="preserve">all of these urban elements were among the most photographed, suggesting that their presence may elicit acute improvements/reductions </w:t>
      </w:r>
      <w:r w:rsidR="0007426C">
        <w:t>in</w:t>
      </w:r>
      <w:r w:rsidR="0007426C" w:rsidRPr="00C05886">
        <w:t xml:space="preserve"> </w:t>
      </w:r>
      <w:r w:rsidRPr="00C05886">
        <w:t>well-being. It is worth discussing each one briefly.</w:t>
      </w:r>
    </w:p>
    <w:p w14:paraId="4C12337C" w14:textId="5ECFF51E" w:rsidR="000E3C80" w:rsidRPr="00C05886" w:rsidRDefault="000E3C80" w:rsidP="00157C21">
      <w:r w:rsidRPr="00C05886">
        <w:t xml:space="preserve">Starting with the codes that were relevant in the nature condition, photos with domestic gardens (N = 21) were associated with increased well-being. While gardens are designed spaces, sometimes intensely </w:t>
      </w:r>
      <w:r w:rsidR="004B66DC">
        <w:t>managed</w:t>
      </w:r>
      <w:r w:rsidRPr="00C05886">
        <w:t xml:space="preserve">, they may represent a private piece of nature in the minds of the participants. </w:t>
      </w:r>
      <w:r w:rsidR="004B66DC">
        <w:t xml:space="preserve">Domestic gardens in Sheffield have been shown to provide significant support for biodiversity in terms of habitat </w:t>
      </w:r>
      <w:r w:rsidR="004B66DC">
        <w:fldChar w:fldCharType="begin"/>
      </w:r>
      <w:r w:rsidR="004B66DC">
        <w:instrText xml:space="preserve"> ADDIN ZOTERO_ITEM CSL_CITATION {"citationID":"toa2H56w","properties":{"formattedCitation":"(Gaston {\\i{}et al.}, 2005)","plainCitation":"(Gaston et al., 2005)","noteIndex":0},"citationItems":[{"id":11331,"uris":["http://zotero.org/users/10951124/items/CH8DBC5C"],"itemData":{"id":11331,"type":"article-journal","container-title":"Biodiversity and Conservation","DOI":"10.1007/s10531-004-9513-9","ISSN":"0960-3115, 1572-9710","issue":"14","journalAbbreviation":"Biodivers Conserv","language":"en","license":"http://www.springer.com/tdm","page":"3327-3349","source":"DOI.org (Crossref)","title":"Urban Domestic Gardens (IV): The Extent of the Resource and its Associated Features","title-short":"Urban Domestic Gardens (IV)","volume":"14","author":[{"family":"Gaston","given":"Kevin J."},{"family":"Warren","given":"Philip H."},{"family":"Thompson","given":"Ken"},{"family":"Smith","given":"Richard M."}],"issued":{"date-parts":[["2005",12]]}}}],"schema":"https://github.com/citation-style-language/schema/raw/master/csl-citation.json"} </w:instrText>
      </w:r>
      <w:r w:rsidR="004B66DC">
        <w:fldChar w:fldCharType="separate"/>
      </w:r>
      <w:r w:rsidR="004B66DC" w:rsidRPr="004B66DC">
        <w:rPr>
          <w:rFonts w:ascii="Calibri" w:hAnsi="Calibri" w:cs="Calibri"/>
          <w:szCs w:val="24"/>
        </w:rPr>
        <w:t xml:space="preserve">(Gaston </w:t>
      </w:r>
      <w:r w:rsidR="004B66DC" w:rsidRPr="004B66DC">
        <w:rPr>
          <w:rFonts w:ascii="Calibri" w:hAnsi="Calibri" w:cs="Calibri"/>
          <w:i/>
          <w:iCs/>
          <w:szCs w:val="24"/>
        </w:rPr>
        <w:t>et al.</w:t>
      </w:r>
      <w:r w:rsidR="004B66DC" w:rsidRPr="004B66DC">
        <w:rPr>
          <w:rFonts w:ascii="Calibri" w:hAnsi="Calibri" w:cs="Calibri"/>
          <w:szCs w:val="24"/>
        </w:rPr>
        <w:t>, 2005)</w:t>
      </w:r>
      <w:r w:rsidR="004B66DC">
        <w:fldChar w:fldCharType="end"/>
      </w:r>
      <w:r w:rsidR="004B66DC">
        <w:t xml:space="preserve">, due to the presence of ponds, bird boxes and tall trees. </w:t>
      </w:r>
      <w:r w:rsidRPr="00C05886">
        <w:t xml:space="preserve">Domestic gardens have been related to self-reported health </w:t>
      </w:r>
      <w:r w:rsidRPr="00C05886">
        <w:fldChar w:fldCharType="begin" w:fldLock="1"/>
      </w:r>
      <w:r w:rsidR="00A35208">
        <w:instrText xml:space="preserve"> ADDIN ZOTERO_ITEM CSL_CITATION {"citationID":"VjveFcSE","properties":{"formattedCitation":"(Brindley, Jorgensen and Maheswaran, 2018)","plainCitation":"(Brindley, Jorgensen and Maheswaran, 2018)","noteIndex":0},"citationItems":[{"id":"6pP8vKpK/huclq5U1","uris":["http://www.mendeley.com/documents/?uuid=239e7f00-bfa0-42fe-97d8-7e766d1bad73"],"itemData":{"DOI":"10.1186/s12942-018-0148-6","abstract":"According to the 2011 Census of Population 82.4% of England’s population live in urban areas. [...]the proportion of LSOA area consisting of garden (from GLUD) was used as a variable instead of the average garden size in case estimates were influenced by converting our garden metric to an average measurement. [...]the role of the ecology fallacy should be considered. The difficultly here is that data (such as GLUD) only provide aggregates (for example to LSOAs) and do not contain information for individual plots. [...]two LSOAs may have the same average garden size but may contain very different patterns of garden exposure across their populations.","author":[{"dropping-particle":"","family":"Brindley","given":"Paul","non-dropping-particle":"","parse-names":false,"suffix":""},{"dropping-particle":"","family":"Jorgensen","given":"Anna","non-dropping-particle":"","parse-names":false,"suffix":""},{"dropping-particle":"","family":"Maheswaran","given":"Ravi","non-dropping-particle":"","parse-names":false,"suffix":""}],"container-title":"International Journal of Health Geographics","id":"ITEM-1","issue":"1","issued":{"date-parts":[["2018"]]},"note":"Larger gardens and higher incomes are related with better health reports.","publisher-place":"London","title":"Domestic gardens and self-reported health: a national population study","type":"article-journal","volume":"17"}}],"schema":"https://github.com/citation-style-language/schema/raw/master/csl-citation.json"} </w:instrText>
      </w:r>
      <w:r w:rsidRPr="00C05886">
        <w:fldChar w:fldCharType="separate"/>
      </w:r>
      <w:r w:rsidRPr="00C05886">
        <w:rPr>
          <w:rFonts w:ascii="Calibri" w:hAnsi="Calibri" w:cs="Calibri"/>
        </w:rPr>
        <w:t>(Brindley, Jorgensen and Maheswaran, 2018)</w:t>
      </w:r>
      <w:r w:rsidRPr="00C05886">
        <w:fldChar w:fldCharType="end"/>
      </w:r>
      <w:r w:rsidRPr="00C05886">
        <w:t xml:space="preserve">; in particular, the size of the garden was positively associated with health. </w:t>
      </w:r>
      <w:r w:rsidR="00A22464">
        <w:t>L</w:t>
      </w:r>
      <w:r w:rsidRPr="00C05886">
        <w:t xml:space="preserve">arge-scale </w:t>
      </w:r>
      <w:r w:rsidR="00A22464" w:rsidRPr="00C05886">
        <w:t>stud</w:t>
      </w:r>
      <w:r w:rsidR="00A22464">
        <w:t xml:space="preserve">ies </w:t>
      </w:r>
      <w:r w:rsidRPr="00C05886">
        <w:t xml:space="preserve">from the UK </w:t>
      </w:r>
      <w:r w:rsidRPr="00C05886">
        <w:fldChar w:fldCharType="begin"/>
      </w:r>
      <w:r w:rsidR="00A22464">
        <w:instrText xml:space="preserve"> ADDIN ZOTERO_ITEM CSL_CITATION {"citationID":"J5Xx9wLX","properties":{"formattedCitation":"(De Bell {\\i{}et al.}, 2020; Chalmin-Pui {\\i{}et al.}, 2021)","plainCitation":"(De Bell et al., 2020; Chalmin-Pui et al., 2021)","noteIndex":0},"citationItems":[{"id":11333,"uris":["http://zotero.org/users/10951124/items/7D7T6H24"],"itemData":{"id":11333,"type":"article-journal","container-title":"Landscape and Urban Planning","DOI":"10.1016/j.landurbplan.2020.103836","ISSN":"01692046","journalAbbreviation":"Landscape and Urban Planning","language":"en","page":"103836","source":"DOI.org (Crossref)","title":"Spending time in the garden is positively associated with health and wellbeing: Results from a national survey in England","title-short":"Spending time in the garden is positively associated with health and wellbeing","volume":"200","author":[{"family":"De Bell","given":"Siân"},{"family":"White","given":"Mathew"},{"family":"Griffiths","given":"Alistair"},{"family":"Darlow","given":"Alison"},{"family":"Taylor","given":"Timothy"},{"family":"Wheeler","given":"Benedict"},{"family":"Lovell","given":"Rebecca"}],"issued":{"date-parts":[["2020",8]]}}},{"id":8559,"uris":["http://zotero.org/users/10951124/items/RJVLUEM8"],"itemData":{"id":8559,"type":"article-journal","abstract":"Domestic (home) gardens provide opportunities for psychological and physical health benefits, yet these environments have received less attention in terms of their therapeutic value compared to other urban green spaces. This is despite their ubiquity and the popularity of gardening as a pastime. This research explored why residents engaged with gardening and the extent to which they recognised any health benefits from the activity. A questionnaire was distributed electronically within the UK, with 5766 gardeners and 249 non-gardeners responding. Data were collated on factors including garden typology, frequency of gardening and individual perceptions of health and well-being. Significant associations were found between improvements in well-being, perceived stress and physical activity and more frequent gardening. Gardening on a frequent basis i.e. at least 2–3 times a week, corresponded with greatest perceived health benefits. Improving health, however, was not the prime motivator to garden, but rather the direct pleasure gardening brought to the participants. There was evidence that satisfaction with one's front garden and the time spent in it increased as the proportion of vegetation was enhanced. The data supports the notion that domestic gardens should be given greater prominence in urban planning debates, due to the role they play in providing health benefits.","container-title":"Cities","DOI":"https://doi.org/10.1016/j.cities.2021.103118","ISSN":"0264-2751","issue":"August 2020","note":"publisher: Elsevier Ltd","page":"103118","title":"Why garden? – Attitudes and the perceived health benefits of home gardening","volume":"112","author":[{"family":"Chalmin-Pui","given":"Lauriane Suyin"},{"family":"Griffiths","given":"Alistair"},{"family":"Roe","given":"Jenny"},{"family":"Heaton","given":"Timothy"},{"family":"Cameron","given":"Ross"}],"issued":{"date-parts":[["2021"]]}}}],"schema":"https://github.com/citation-style-language/schema/raw/master/csl-citation.json"} </w:instrText>
      </w:r>
      <w:r w:rsidRPr="00C05886">
        <w:fldChar w:fldCharType="separate"/>
      </w:r>
      <w:r w:rsidR="00A22464" w:rsidRPr="00A22464">
        <w:rPr>
          <w:rFonts w:ascii="Calibri" w:hAnsi="Calibri" w:cs="Calibri"/>
          <w:szCs w:val="24"/>
        </w:rPr>
        <w:t xml:space="preserve">(De Bell </w:t>
      </w:r>
      <w:r w:rsidR="00A22464" w:rsidRPr="00A22464">
        <w:rPr>
          <w:rFonts w:ascii="Calibri" w:hAnsi="Calibri" w:cs="Calibri"/>
          <w:i/>
          <w:iCs/>
          <w:szCs w:val="24"/>
        </w:rPr>
        <w:t>et al.</w:t>
      </w:r>
      <w:r w:rsidR="00A22464" w:rsidRPr="00A22464">
        <w:rPr>
          <w:rFonts w:ascii="Calibri" w:hAnsi="Calibri" w:cs="Calibri"/>
          <w:szCs w:val="24"/>
        </w:rPr>
        <w:t xml:space="preserve">, 2020; Chalmin-Pui </w:t>
      </w:r>
      <w:r w:rsidR="00A22464" w:rsidRPr="00A22464">
        <w:rPr>
          <w:rFonts w:ascii="Calibri" w:hAnsi="Calibri" w:cs="Calibri"/>
          <w:i/>
          <w:iCs/>
          <w:szCs w:val="24"/>
        </w:rPr>
        <w:t>et al.</w:t>
      </w:r>
      <w:r w:rsidR="00A22464" w:rsidRPr="00A22464">
        <w:rPr>
          <w:rFonts w:ascii="Calibri" w:hAnsi="Calibri" w:cs="Calibri"/>
          <w:szCs w:val="24"/>
        </w:rPr>
        <w:t>, 2021)</w:t>
      </w:r>
      <w:r w:rsidRPr="00C05886">
        <w:fldChar w:fldCharType="end"/>
      </w:r>
      <w:r w:rsidRPr="00C05886">
        <w:t xml:space="preserve"> </w:t>
      </w:r>
      <w:r w:rsidR="00A22464">
        <w:t>also supported the notion</w:t>
      </w:r>
      <w:r w:rsidR="00A22464" w:rsidRPr="00C05886">
        <w:t xml:space="preserve"> </w:t>
      </w:r>
      <w:r w:rsidRPr="00C05886">
        <w:t>that having a garden and spending time gardening were associated with increased well-being and physical health, as well as reduced stress.</w:t>
      </w:r>
    </w:p>
    <w:p w14:paraId="714DEF37" w14:textId="158B267E" w:rsidR="000E3C80" w:rsidRPr="00C05886" w:rsidRDefault="000E3C80" w:rsidP="00B066B8">
      <w:r w:rsidRPr="00C05886">
        <w:t xml:space="preserve">Surprisingly, the analysis showed that photos with trees were associated with decreased well-being. However, as previously argued for the perceptions of </w:t>
      </w:r>
      <w:r w:rsidR="00B25DD5">
        <w:t>building density</w:t>
      </w:r>
      <w:r w:rsidRPr="00C05886">
        <w:t xml:space="preserve">, the combined probability of reporting an average level of well-being or above (about 80%, see Figure 6), again suggests that the effect of trees may not be as detrimental as it seems. </w:t>
      </w:r>
      <w:r w:rsidR="00946E56">
        <w:t xml:space="preserve">The relationships between homeowners and residential trees can be complex and varied. For example, a US-based survey found that homeowners preferred fewer and smaller trees, possibly fruiting trees, around their houses </w:t>
      </w:r>
      <w:r w:rsidR="00946E56">
        <w:fldChar w:fldCharType="begin"/>
      </w:r>
      <w:r w:rsidR="00946E56">
        <w:instrText xml:space="preserve"> ADDIN ZOTERO_ITEM CSL_CITATION {"citationID":"OZpP5pNk","properties":{"formattedCitation":"(Dilley and Wolf, 2013)","plainCitation":"(Dilley and Wolf, 2013)","noteIndex":0},"citationItems":[{"id":11336,"uris":["http://zotero.org/users/10951124/items/9BAYV8YA"],"itemData":{"id":11336,"type":"article-journal","abstract":"Urban forests are a critical element in sustainable urban areas because of the many environmental, economic, and social benefits that city trees provide. In order to increase canopy cover in urban areas, residential homeowners, who collectively own the majority of the land in most cities, need to engage in planting and retaining trees on their properties. This collaborative research project surveyed homeowners in Seattle, Washington, U.S., to examine their behaviors and attitudes toward the trees on their property. Attitudes toward trees were mapped to examine geographic distribution, as Seattle has a legacy of neighborhood-based planning. Results show that homeowners planted trees during non-optimal times of the year, preferred trees that are small at maturity over trees that are large at maturity, and showed increased interest in fruit trees. Homeowners intend to plant fewer trees in the future than they have in the past. This research is a model for social science efforts that can be used to develop targeted public outreach programs at the neighborhood scale to increase the planting and retention of trees on residential property.","container-title":"Arboriculture &amp; Urban Forestry","DOI":"10.48044/jauf.2013.034","ISSN":"19355297, 21550778","issue":"6","journalAbbreviation":"AUF","source":"DOI.org (Crossref)","title":"Homeowner Interactions with Residential Trees in Urban Areas","URL":"https://auf.isa-arbor.com/lookup/doi/10.48044/jauf.2013.034","volume":"39","author":[{"family":"Dilley","given":"Jana"},{"family":"Wolf","given":"Kathleen"}],"accessed":{"date-parts":[["2024",9,20]]},"issued":{"date-parts":[["2013",11,1]]}}}],"schema":"https://github.com/citation-style-language/schema/raw/master/csl-citation.json"} </w:instrText>
      </w:r>
      <w:r w:rsidR="00946E56">
        <w:fldChar w:fldCharType="separate"/>
      </w:r>
      <w:r w:rsidR="00946E56" w:rsidRPr="00946E56">
        <w:rPr>
          <w:rFonts w:ascii="Calibri" w:hAnsi="Calibri" w:cs="Calibri"/>
        </w:rPr>
        <w:t>(Dilley and Wolf, 2013)</w:t>
      </w:r>
      <w:r w:rsidR="00946E56">
        <w:fldChar w:fldCharType="end"/>
      </w:r>
      <w:r w:rsidR="00946E56">
        <w:t>. A survey from Mexico found instead that homeowners preferred a higher density planting of taller, evergreen trees near their houses, provided these were not species prone to fall and cause damage</w:t>
      </w:r>
      <w:r w:rsidR="00886042">
        <w:t xml:space="preserve"> </w:t>
      </w:r>
      <w:r w:rsidR="00886042">
        <w:fldChar w:fldCharType="begin"/>
      </w:r>
      <w:r w:rsidR="00886042">
        <w:instrText xml:space="preserve"> ADDIN ZOTERO_ITEM CSL_CITATION {"citationID":"WqiyELOL","properties":{"formattedCitation":"(Camacho-Cervantes {\\i{}et al.}, 2014)","plainCitation":"(Camacho-Cervantes et al., 2014)","noteIndex":0},"citationItems":[{"id":11338,"uris":["http://zotero.org/users/10951124/items/GKBJUF43"],"itemData":{"id":11338,"type":"article-journal","container-title":"Urban Ecosystems","DOI":"10.1007/s11252-014-0343-6","ISSN":"1083-8155, 1573-1642","issue":"3","journalAbbreviation":"Urban Ecosyst","language":"en","license":"http://www.springer.com/tdm","page":"761-773","source":"DOI.org (Crossref)","title":"How do people perceive urban trees? Assessing likes and dislikes in relation to the trees of a city","title-short":"How do people perceive urban trees?","volume":"17","author":[{"family":"Camacho-Cervantes","given":"Morelia"},{"family":"Schondube","given":"Jorge E."},{"family":"Castillo","given":"Alicia"},{"family":"MacGregor-Fors","given":"Ian"}],"issued":{"date-parts":[["2014",9]]}}}],"schema":"https://github.com/citation-style-language/schema/raw/master/csl-citation.json"} </w:instrText>
      </w:r>
      <w:r w:rsidR="00886042">
        <w:fldChar w:fldCharType="separate"/>
      </w:r>
      <w:r w:rsidR="00886042" w:rsidRPr="00886042">
        <w:rPr>
          <w:rFonts w:ascii="Calibri" w:hAnsi="Calibri" w:cs="Calibri"/>
          <w:szCs w:val="24"/>
        </w:rPr>
        <w:t xml:space="preserve">(Camacho-Cervantes </w:t>
      </w:r>
      <w:r w:rsidR="00886042" w:rsidRPr="00886042">
        <w:rPr>
          <w:rFonts w:ascii="Calibri" w:hAnsi="Calibri" w:cs="Calibri"/>
          <w:i/>
          <w:iCs/>
          <w:szCs w:val="24"/>
        </w:rPr>
        <w:t>et al.</w:t>
      </w:r>
      <w:r w:rsidR="00886042" w:rsidRPr="00886042">
        <w:rPr>
          <w:rFonts w:ascii="Calibri" w:hAnsi="Calibri" w:cs="Calibri"/>
          <w:szCs w:val="24"/>
        </w:rPr>
        <w:t>, 2014)</w:t>
      </w:r>
      <w:r w:rsidR="00886042">
        <w:fldChar w:fldCharType="end"/>
      </w:r>
      <w:r w:rsidR="00946E56">
        <w:t>.</w:t>
      </w:r>
      <w:r w:rsidR="007C0AAE">
        <w:t xml:space="preserve"> Another example, from the UK</w:t>
      </w:r>
      <w:r w:rsidR="00886042">
        <w:t xml:space="preserve"> </w:t>
      </w:r>
      <w:r w:rsidR="007C0AAE" w:rsidRPr="00C05886">
        <w:fldChar w:fldCharType="begin" w:fldLock="1"/>
      </w:r>
      <w:r w:rsidR="007C0AAE" w:rsidRPr="00C05886">
        <w:instrText xml:space="preserve"> ADDIN ZOTERO_ITEM CSL_CITATION {"citationID":"724Xc5uc","properties":{"formattedCitation":"(Jorgensen, Hitchmough and Dunnett, 2007)","plainCitation":"(Jorgensen, Hitchmough and Dunnett, 2007)","noteIndex":0},"citationItems":[{"id":6979,"uris":["http://zotero.org/users/10951124/items/WETQACWY"],"itemData":{"id":6979,"type":"article-journal","abstract":"This study evaluates “woodland in the ecological style” as a setting for contemporary housing by means of a case study of Birchwood, Warrington New Town, UK, using a postal questionnaire and semi-structured interviews to reveal residents’ perceptions of the aesthetic and safety aspects of the woodland, together with its underlying meanings. Most Birchwood residents liked the visual appearance of their street, though they had both positive and negative feelings towards its “trees and greenery”. Woodland in the local area figured prominently amongst the residents’ favourite places though some feared that they would be the victims of physical or sexual assault, or of robbery or intimidation from groups of young people in the woodland, and women felt particularly vulnerable. Whilst the woodland was significant for many residents it was not strongly identified with Birchwood as a place: the quality of the community as symbolised by the behaviour of local individuals, community groups and institutions was regarded as a more potent measure of local identity. Colourful and well-tended landscape interventions had the ability to act as signs of a caring community. The contribution of these findings to theoretical frameworks of residential satisfaction, restorative experiences and place identity is discussed: it is suggested, inter alia, that whilst signs of individual and collective care in the landscape contribute to communal place identity, individual experiences of wilder urban green spaces, including those of a restorative nature, are formative of individual place attachment. The implications for planning, design and management with ecological woodland are explored: urban dwellers should be able to choose their preferred way of interacting with the woodland, residential settings should accommodate a wide variety of user needs, and the vegetation on and around the streetscape should be proactively managed in consultation with the community.","container-title":"Landscape and Urban Planning","DOI":"10.1016/j.landurbplan.2006.02.015","ISSN":"0169-2046","issue":"3-4","page":"273-287","title":"Woodland as a setting for housing-appreciation and fear and the contribution to residential satisfaction and place identity in Warrington New Town, UK","volume":"79","author":[{"family":"Jorgensen","given":"Anna"},{"family":"Hitchmough","given":"James"},{"family":"Dunnett","given":"Nigel"}],"issued":{"date-parts":[["2007"]]}}}],"schema":"https://github.com/citation-style-language/schema/raw/master/csl-citation.json"} </w:instrText>
      </w:r>
      <w:r w:rsidR="007C0AAE" w:rsidRPr="00C05886">
        <w:fldChar w:fldCharType="separate"/>
      </w:r>
      <w:r w:rsidR="007C0AAE" w:rsidRPr="00C05886">
        <w:rPr>
          <w:rFonts w:ascii="Calibri" w:hAnsi="Calibri" w:cs="Calibri"/>
        </w:rPr>
        <w:t>(Jorgensen, Hitchmough and Dunnett, 2007)</w:t>
      </w:r>
      <w:r w:rsidR="007C0AAE" w:rsidRPr="00C05886">
        <w:fldChar w:fldCharType="end"/>
      </w:r>
      <w:r w:rsidR="007C0AAE">
        <w:t xml:space="preserve">, found out that residents of Warrington (Cheshire) were both grateful and concerned about the nearby woodland, as it was felt to improve the appearance of the street but also to pose a risk for personal security. </w:t>
      </w:r>
      <w:r w:rsidR="00926B3D" w:rsidRPr="002F3E81">
        <w:t xml:space="preserve">Since </w:t>
      </w:r>
      <w:r w:rsidR="00926B3D" w:rsidRPr="00C05886">
        <w:t xml:space="preserve">the presence of trees is known to elicit both positive and negative responses, the code “Trees” was further refined into subcategories (e.g. trees in a </w:t>
      </w:r>
      <w:r w:rsidR="00F3001F">
        <w:t>garden</w:t>
      </w:r>
      <w:r w:rsidR="00926B3D" w:rsidRPr="00C05886">
        <w:t xml:space="preserve">, </w:t>
      </w:r>
      <w:r w:rsidR="00F3001F">
        <w:t>street trees, trees in a larger landscape</w:t>
      </w:r>
      <w:r w:rsidR="00926B3D" w:rsidRPr="00C05886">
        <w:t xml:space="preserve">), but this did not provide additional insights (except that most of the trees in the dataset </w:t>
      </w:r>
      <w:r w:rsidR="00F3001F">
        <w:t>were</w:t>
      </w:r>
      <w:r w:rsidR="00926B3D" w:rsidRPr="00C05886">
        <w:t xml:space="preserve"> street or park trees). Tree density, which is known to have a positive effect</w:t>
      </w:r>
      <w:r w:rsidR="00F3001F">
        <w:t xml:space="preserve"> on well-being</w:t>
      </w:r>
      <w:r w:rsidR="00926B3D" w:rsidRPr="00C05886">
        <w:t xml:space="preserve"> </w:t>
      </w:r>
      <w:r w:rsidR="00926B3D" w:rsidRPr="00C05886">
        <w:fldChar w:fldCharType="begin" w:fldLock="1"/>
      </w:r>
      <w:r w:rsidR="00A35208">
        <w:instrText xml:space="preserve"> ADDIN ZOTERO_ITEM CSL_CITATION {"citationID":"FpIpQqvg","properties":{"formattedCitation":"(Jiang {\\i{}et al.}, 2016)","plainCitation":"(Jiang et al., 2016)","dontUpdate":true,"noteIndex":0},"citationItems":[{"id":"6pP8vKpK/CFzCS8QT","uris":["http://www.mendeley.com/documents/?uuid=933cbfc4-df2d-4391-abd7-47b75397cced"],"itemData":{"DOI":"10.1177/0013916514552321","ISSN":"1552390X","abstract":"Although it is well established that viewing nature can help individuals recover from a stressful experience, the dose-response curve describing the relationship between tree cover density and stress recovery is totally unclear. A total of 160 participants engaged in a standard Trier Social Stress Test to induce stress. Participants were then randomly assigned to watch 1 of 10 three-dimensional videos of street scenes that varied in the density of tree cover (from 2% to 62%). Participants completed a Visual Analog Scale questionnaire at three points in the experiment. Analysis revealed a positive, linear association between the density of urban street trees and self-reported stress recovery, adjusted R2 =.05, F(1, 149) = 8.53, p &lt;.01. This relationship holds after controlling for gender, age, and baseline stress levels. A content analysis of participants’ written narratives revealed a similar but even stronger association. These findings suggest that viewing tree canopy in communities can significantly aid stress recovery and that every tree matters.","author":[{"dropping-particle":"","family":"Jiang","given":"Bin","non-dropping-particle":"","parse-names":false,"suffix":""},{"dropping-particle":"","family":"Li","given":"Dongying","non-dropping-particle":"","parse-names":false,"suffix":""},{"dropping-particle":"","family":"Larsen","given":"Linda","non-dropping-particle":"","parse-names":false,"suffix":""},{"dropping-particle":"","family":"Sullivan","given":"William C.","non-dropping-particle":"","parse-names":false,"suffix":""}],"container-title":"Environment and Behavior","id":"ITEM-1","issue":"4","issued":{"date-parts":[["2016"]]},"page":"607-629","title":"A Dose-Response Curve Describing the Relationship Between Urban Tree Cover Density and Self-Reported Stress Recovery","type":"article-journal","volume":"48"}}],"schema":"https://github.com/citation-style-language/schema/raw/master/csl-citation.json"} </w:instrText>
      </w:r>
      <w:r w:rsidR="00926B3D" w:rsidRPr="00C05886">
        <w:fldChar w:fldCharType="separate"/>
      </w:r>
      <w:r w:rsidR="00926B3D" w:rsidRPr="00C05886">
        <w:rPr>
          <w:rFonts w:ascii="Calibri" w:hAnsi="Calibri" w:cs="Calibri"/>
          <w:szCs w:val="24"/>
        </w:rPr>
        <w:t>(</w:t>
      </w:r>
      <w:r w:rsidR="00D24276">
        <w:rPr>
          <w:rFonts w:ascii="Calibri" w:hAnsi="Calibri" w:cs="Calibri"/>
          <w:szCs w:val="24"/>
        </w:rPr>
        <w:t xml:space="preserve">e.g. </w:t>
      </w:r>
      <w:r w:rsidR="00926B3D" w:rsidRPr="00C05886">
        <w:rPr>
          <w:rFonts w:ascii="Calibri" w:hAnsi="Calibri" w:cs="Calibri"/>
          <w:szCs w:val="24"/>
        </w:rPr>
        <w:t xml:space="preserve">Jiang </w:t>
      </w:r>
      <w:r w:rsidR="00926B3D" w:rsidRPr="00C05886">
        <w:rPr>
          <w:rFonts w:ascii="Calibri" w:hAnsi="Calibri" w:cs="Calibri"/>
          <w:i/>
          <w:iCs/>
          <w:szCs w:val="24"/>
        </w:rPr>
        <w:t>et al.</w:t>
      </w:r>
      <w:r w:rsidR="00926B3D" w:rsidRPr="00C05886">
        <w:rPr>
          <w:rFonts w:ascii="Calibri" w:hAnsi="Calibri" w:cs="Calibri"/>
          <w:szCs w:val="24"/>
        </w:rPr>
        <w:t>, 2016)</w:t>
      </w:r>
      <w:r w:rsidR="00926B3D" w:rsidRPr="00C05886">
        <w:fldChar w:fldCharType="end"/>
      </w:r>
      <w:r w:rsidR="00926B3D" w:rsidRPr="00C05886">
        <w:t xml:space="preserve">, was also estimated in each photograph (from 0 = no trees </w:t>
      </w:r>
      <w:r w:rsidR="00F3001F">
        <w:t xml:space="preserve">visible </w:t>
      </w:r>
      <w:r w:rsidR="00926B3D" w:rsidRPr="00C05886">
        <w:t xml:space="preserve">to 3 = </w:t>
      </w:r>
      <w:r w:rsidR="00D24276">
        <w:t>20 or more</w:t>
      </w:r>
      <w:r w:rsidR="00926B3D" w:rsidRPr="00C05886">
        <w:t xml:space="preserve"> trees</w:t>
      </w:r>
      <w:r w:rsidR="00F3001F">
        <w:t xml:space="preserve"> visible</w:t>
      </w:r>
      <w:r w:rsidR="00926B3D" w:rsidRPr="00C05886">
        <w:t>) but was non-significant.</w:t>
      </w:r>
      <w:r w:rsidR="00926B3D">
        <w:t xml:space="preserve"> </w:t>
      </w:r>
      <w:r w:rsidR="00B7414A">
        <w:t>In contrast with th</w:t>
      </w:r>
      <w:r w:rsidR="00F11867">
        <w:t xml:space="preserve">ese </w:t>
      </w:r>
      <w:r w:rsidR="00B7414A">
        <w:t>result</w:t>
      </w:r>
      <w:r w:rsidR="00F11867">
        <w:t>s</w:t>
      </w:r>
      <w:r w:rsidR="00B7414A">
        <w:t xml:space="preserve"> from the regression analysis, trees have been generally </w:t>
      </w:r>
      <w:r w:rsidR="00F11867">
        <w:t xml:space="preserve">cited as positive for mental well-being </w:t>
      </w:r>
      <w:r w:rsidR="00F11867">
        <w:fldChar w:fldCharType="begin"/>
      </w:r>
      <w:r w:rsidR="00004472">
        <w:instrText xml:space="preserve"> ADDIN ZOTERO_ITEM CSL_CITATION {"citationID":"5GkNSR9I","properties":{"formattedCitation":"(Wolf {\\i{}et al.}, 2020)","plainCitation":"(Wolf et al., 2020)","dontUpdate":true,"noteIndex":0},"citationItems":[{"id":11341,"uris":["http://zotero.org/users/10951124/items/8XXWC4VJ"],"itemData":{"id":11341,"type":"article-journal","abstract":"The urban forest is a green infrastructure system that delivers multiple environmental, economic, social and health services, and functions in cities. Environmental benefits of urban trees are well understood, but no review to date has examined how urban trees affect human health. This review provides a comprehensive summary of existing literature on the health impacts of urban trees that can inform future research, policy, and nature-based public health interventions. A systematic search used keywords representing human health, environmental health, and urban forestry. Following screening and appraisal of several thousand articles, 201 studies were conceptually sorted into a three-part framework. Reducing Harm, representing 41% of studies, includes topics such as air pollution, ultraviolet radiation, heat exposure, and pollen. Restoring Capacities, at 31%, includes attention restoration, mental health, stress reduction, and clinical outcomes. Building Capacities, at 28%, includes topics such as birth outcomes, active living, and weight status. The studies that were reviewed show substantial heterogeneity in purpose and method yet indicate important health outcomes associated with people’s exposure to trees. This review will help inform future research and practice, and demonstrates why urban forest planning and management should strategically promote trees as a social determinant of public health.","container-title":"International Journal of Environmental Research and Public Health","DOI":"10.3390/ijerph17124371","ISSN":"1660-4601","issue":"12","journalAbbreviation":"IJERPH","language":"en","license":"https://creativecommons.org/licenses/by/4.0/","page":"4371","source":"DOI.org (Crossref)","title":"Urban Trees and Human Health: A Scoping Review","title-short":"Urban Trees and Human Health","volume":"17","author":[{"family":"Wolf","given":"Kathleen L."},{"family":"Lam","given":"Sharon T."},{"family":"McKeen","given":"Jennifer K."},{"family":"Richardson","given":"Gregory R.A."},{"family":"Van Den Bosch","given":"Matilda"},{"family":"Bardekjian","given":"Adrina C."}],"issued":{"date-parts":[["2020",6,18]]}}}],"schema":"https://github.com/citation-style-language/schema/raw/master/csl-citation.json"} </w:instrText>
      </w:r>
      <w:r w:rsidR="00F11867">
        <w:fldChar w:fldCharType="separate"/>
      </w:r>
      <w:r w:rsidR="00F11867" w:rsidRPr="00F11867">
        <w:rPr>
          <w:rFonts w:ascii="Calibri" w:hAnsi="Calibri" w:cs="Calibri"/>
          <w:szCs w:val="24"/>
        </w:rPr>
        <w:t>(</w:t>
      </w:r>
      <w:r w:rsidR="00F11867">
        <w:rPr>
          <w:rFonts w:ascii="Calibri" w:hAnsi="Calibri" w:cs="Calibri"/>
          <w:szCs w:val="24"/>
        </w:rPr>
        <w:t xml:space="preserve">e.g. </w:t>
      </w:r>
      <w:r w:rsidR="00F11867" w:rsidRPr="00F11867">
        <w:rPr>
          <w:rFonts w:ascii="Calibri" w:hAnsi="Calibri" w:cs="Calibri"/>
          <w:szCs w:val="24"/>
        </w:rPr>
        <w:t xml:space="preserve">Wolf </w:t>
      </w:r>
      <w:r w:rsidR="00F11867" w:rsidRPr="00F11867">
        <w:rPr>
          <w:rFonts w:ascii="Calibri" w:hAnsi="Calibri" w:cs="Calibri"/>
          <w:i/>
          <w:iCs/>
          <w:szCs w:val="24"/>
        </w:rPr>
        <w:t>et al.</w:t>
      </w:r>
      <w:r w:rsidR="00F11867" w:rsidRPr="00F11867">
        <w:rPr>
          <w:rFonts w:ascii="Calibri" w:hAnsi="Calibri" w:cs="Calibri"/>
          <w:szCs w:val="24"/>
        </w:rPr>
        <w:t>, 2020)</w:t>
      </w:r>
      <w:r w:rsidR="00F11867">
        <w:fldChar w:fldCharType="end"/>
      </w:r>
      <w:r w:rsidR="00F11867">
        <w:t xml:space="preserve">. Among </w:t>
      </w:r>
      <w:r w:rsidR="0007426C">
        <w:t>the </w:t>
      </w:r>
      <w:r w:rsidR="00F11867">
        <w:t>benefits associated with trees</w:t>
      </w:r>
      <w:r w:rsidR="0007426C">
        <w:t>,</w:t>
      </w:r>
      <w:r w:rsidR="00F11867">
        <w:t xml:space="preserve"> better </w:t>
      </w:r>
      <w:r w:rsidR="00F11867">
        <w:lastRenderedPageBreak/>
        <w:t>cognitive functioning</w:t>
      </w:r>
      <w:r w:rsidR="00083B9D">
        <w:t xml:space="preserve"> </w:t>
      </w:r>
      <w:r w:rsidR="00083B9D">
        <w:fldChar w:fldCharType="begin"/>
      </w:r>
      <w:r w:rsidR="00004472">
        <w:instrText xml:space="preserve"> ADDIN ZOTERO_ITEM CSL_CITATION {"citationID":"Hto7QRp9","properties":{"formattedCitation":"(Shin {\\i{}et al.}, 2011)","plainCitation":"(Shin et al., 2011)","dontUpdate":true,"noteIndex":0},"citationItems":[{"id":6366,"uris":["http://zotero.org/users/10951124/items/F3NJYIZI"],"itemData":{"id":6366,"type":"article-journal","abstract":"The aim of this study was to investigate whether forest experience had a positive impact on cognitive function. Cognitive function refers to a person's ability to intellectually process by which one becomes aware of, perceives, or comprehends ideas. It involves all aspects of perception, thinking, reasoning, and remembering. Sixty university students participated in this study. We compared the restorative effects on cognitive functioning of interactions with forest versus urban environments. To measure participants' cognitive function and mood state, Trail Making Test B and Profile of Mood States were used in this study. The results of this study indicated that participants' cognitive function was significantly improved when they walked in forest (i.e. time taken to complete the task was shortened by more than 7 seconds), but not when they walked downtown. In addition, participants' mood also positively changed when they walked in forest. The results of this study confirmed Kaplan's attention restoration theory (ART). ART has emphasized the importance of cognitive functions from interaction with natural environments such as forests. © 2011 Taylor &amp; Francis.","container-title":"Scandinavian Journal of Forest Research","DOI":"10.1080/02827581.2011.585996","ISSN":"02827581","issue":"6","page":"595-598","title":"The influence of interaction with forest on cognitive function","volume":"26","author":[{"family":"Shin","given":"Won Sop"},{"family":"Shin","given":"Chang Seob"},{"family":"Yeoun","given":"Poung Sik"},{"family":"Kim","given":"Jae Joon"}],"issued":{"date-parts":[["2011"]]}}}],"schema":"https://github.com/citation-style-language/schema/raw/master/csl-citation.json"} </w:instrText>
      </w:r>
      <w:r w:rsidR="00083B9D">
        <w:fldChar w:fldCharType="separate"/>
      </w:r>
      <w:r w:rsidR="00083B9D" w:rsidRPr="00083B9D">
        <w:rPr>
          <w:rFonts w:ascii="Calibri" w:hAnsi="Calibri" w:cs="Calibri"/>
          <w:szCs w:val="24"/>
        </w:rPr>
        <w:t>(</w:t>
      </w:r>
      <w:r w:rsidR="00083B9D">
        <w:rPr>
          <w:rFonts w:ascii="Calibri" w:hAnsi="Calibri" w:cs="Calibri"/>
          <w:szCs w:val="24"/>
        </w:rPr>
        <w:t xml:space="preserve">e.g. </w:t>
      </w:r>
      <w:r w:rsidR="00083B9D" w:rsidRPr="00083B9D">
        <w:rPr>
          <w:rFonts w:ascii="Calibri" w:hAnsi="Calibri" w:cs="Calibri"/>
          <w:szCs w:val="24"/>
        </w:rPr>
        <w:t xml:space="preserve">Shin </w:t>
      </w:r>
      <w:r w:rsidR="00083B9D" w:rsidRPr="00083B9D">
        <w:rPr>
          <w:rFonts w:ascii="Calibri" w:hAnsi="Calibri" w:cs="Calibri"/>
          <w:i/>
          <w:iCs/>
          <w:szCs w:val="24"/>
        </w:rPr>
        <w:t>et al.</w:t>
      </w:r>
      <w:r w:rsidR="00083B9D" w:rsidRPr="00083B9D">
        <w:rPr>
          <w:rFonts w:ascii="Calibri" w:hAnsi="Calibri" w:cs="Calibri"/>
          <w:szCs w:val="24"/>
        </w:rPr>
        <w:t>, 2011)</w:t>
      </w:r>
      <w:r w:rsidR="00083B9D">
        <w:fldChar w:fldCharType="end"/>
      </w:r>
      <w:r w:rsidR="00083B9D">
        <w:t xml:space="preserve"> and better </w:t>
      </w:r>
      <w:r w:rsidR="0007426C">
        <w:t>coping</w:t>
      </w:r>
      <w:r w:rsidR="00083B9D">
        <w:t xml:space="preserve"> with stress </w:t>
      </w:r>
      <w:r w:rsidR="00083B9D">
        <w:fldChar w:fldCharType="begin"/>
      </w:r>
      <w:r w:rsidR="00004472">
        <w:instrText xml:space="preserve"> ADDIN ZOTERO_ITEM CSL_CITATION {"citationID":"UsWZfaFu","properties":{"formattedCitation":"(K\\uc0\\u252{}hn {\\i{}et al.}, 2017)","plainCitation":"(Kühn et al., 2017)","dontUpdate":true,"noteIndex":0},"citationItems":[{"id":11343,"uris":["http://zotero.org/users/10951124/items/AL392G2P"],"itemData":{"id":11343,"type":"article-journal","abstract":"Abstract\n            Enriched environments elicit brain plasticity in animals. In humans it is unclear which environment is enriching. Living in a city has been associated with increased amygdala activity in a stress paradigm, and being brought up in a city with increased pregenual anterior cingulate cortex (pACC) activity. We set out to identify geographical characteristics that constitute an enriched environment affecting the human brain. We used structural equation modelling on 341 older adults to establish three latent brain factors (amygdala, pACC and dorsolateral prefrontal cortex (DLPFC)) to test the effects of forest, urban green, water and wasteland around the home address. Our results reveal a significant positive association between the coverage of forest and amygdala integrity. We conclude that forests may have salutogenic effects on the integrity of the amygdala. Since cross-sectional data does not allow causal inference it could also be that individuals with high structural integrity choose to live closer to forest.","container-title":"Scientific Reports","DOI":"10.1038/s41598-017-12046-7","ISSN":"2045-2322","issue":"1","journalAbbreviation":"Sci Rep","language":"en","page":"11920","source":"DOI.org (Crossref)","title":"In search of features that constitute an “enriched environment” in humans: Associations between geographical properties and brain structure","title-short":"In search of features that constitute an “enriched environment” in humans","volume":"7","author":[{"family":"Kühn","given":"Simone"},{"family":"Düzel","given":"Sandra"},{"family":"Eibich","given":"Peter"},{"family":"Krekel","given":"Christian"},{"family":"Wüstemann","given":"Henry"},{"family":"Kolbe","given":"Jens"},{"family":"Martensson","given":"Johan"},{"family":"Goebel","given":"Jan"},{"family":"Gallinat","given":"Jürgen"},{"family":"Wagner","given":"Gert G."},{"family":"Lindenberger","given":"Ulman"}],"issued":{"date-parts":[["2017",9,20]]}}}],"schema":"https://github.com/citation-style-language/schema/raw/master/csl-citation.json"} </w:instrText>
      </w:r>
      <w:r w:rsidR="00083B9D">
        <w:fldChar w:fldCharType="separate"/>
      </w:r>
      <w:r w:rsidR="00083B9D" w:rsidRPr="00083B9D">
        <w:rPr>
          <w:rFonts w:ascii="Calibri" w:hAnsi="Calibri" w:cs="Calibri"/>
          <w:szCs w:val="24"/>
        </w:rPr>
        <w:t>(</w:t>
      </w:r>
      <w:r w:rsidR="00083B9D">
        <w:rPr>
          <w:rFonts w:ascii="Calibri" w:hAnsi="Calibri" w:cs="Calibri"/>
          <w:szCs w:val="24"/>
        </w:rPr>
        <w:t xml:space="preserve">e.g. </w:t>
      </w:r>
      <w:r w:rsidR="00083B9D" w:rsidRPr="00083B9D">
        <w:rPr>
          <w:rFonts w:ascii="Calibri" w:hAnsi="Calibri" w:cs="Calibri"/>
          <w:szCs w:val="24"/>
        </w:rPr>
        <w:t xml:space="preserve">Kühn </w:t>
      </w:r>
      <w:r w:rsidR="00083B9D" w:rsidRPr="00083B9D">
        <w:rPr>
          <w:rFonts w:ascii="Calibri" w:hAnsi="Calibri" w:cs="Calibri"/>
          <w:i/>
          <w:iCs/>
          <w:szCs w:val="24"/>
        </w:rPr>
        <w:t>et al.</w:t>
      </w:r>
      <w:r w:rsidR="00083B9D" w:rsidRPr="00083B9D">
        <w:rPr>
          <w:rFonts w:ascii="Calibri" w:hAnsi="Calibri" w:cs="Calibri"/>
          <w:szCs w:val="24"/>
        </w:rPr>
        <w:t>, 2017)</w:t>
      </w:r>
      <w:r w:rsidR="00083B9D">
        <w:fldChar w:fldCharType="end"/>
      </w:r>
      <w:r w:rsidR="00083B9D">
        <w:t xml:space="preserve"> were found in experimental studies, although these involved forests rather than street trees. Moreover</w:t>
      </w:r>
      <w:r w:rsidRPr="00C05886">
        <w:t xml:space="preserve">, the absence of a clear positive relationship is in contrast with the analysis of the nature condition comments </w:t>
      </w:r>
      <w:r w:rsidRPr="00C05886">
        <w:fldChar w:fldCharType="begin" w:fldLock="1"/>
      </w:r>
      <w:r w:rsidR="00A35208">
        <w:instrText xml:space="preserve"> ADDIN ZOTERO_ITEM CSL_CITATION {"citationID":"B4BRj2v5","properties":{"formattedCitation":"(McEwan, Ferguson, {\\i{}et al.}, 2020)","plainCitation":"(McEwan, Ferguson, et al., 2020)","noteIndex":0},"citationItems":[{"id":"6pP8vKpK/2lSwzZji","uris":["http://www.mendeley.com/documents/?uuid=5c7041a7-2266-4382-a1c5-b4994928bc9f"],"itemData":{"DOI":"10.1016/j.landurbplan.2019.103687","ISSN":"01692046","abstract":"Green interventions which connect people with nature to improve wellbeing are increasingly being applied to tackle the current crisis in mental health. A novel Smartphone app intervention was evaluated amongst adults (n = 228) including (n = 53) adults with common mental health problems, with the aim to improve wellbeing through noticing the good things about urban nature. The app prompted participants once a day over 7 days to write notes about the good things they noticed in urban green spaces. Notes were thematically analysed and ten themes emerged. The three themes with the greatest representation were: i) wonder at encountering wildlife in day-to-day urban settings; ii) appreciation of street trees; and iii) awe at colourful, expansive, dramatic skies and views. Through combining the above themes with the pathways to nature connectedness this paper provides an extended framework of activities to inform activity programming, nature engagement media content, and ‘green health’ interventions. Moreover, the findings have strong implications for optimising city planning, design and management for the wellbeing of both humans and wildlife.","author":[{"dropping-particle":"","family":"McEwan","given":"Kirsten","non-dropping-particle":"","parse-names":false,"suffix":""},{"dropping-particle":"","family":"Ferguson","given":"Fiona J.","non-dropping-particle":"","parse-names":false,"suffix":""},{"dropping-particle":"","family":"Richardson","given":"Miles","non-dropping-particle":"","parse-names":false,"suffix":""},{"dropping-particle":"","family":"Cameron","given":"Ross","non-dropping-particle":"","parse-names":false,"suffix":""}],"container-title":"Landscape and Urban Planning","id":"ITEM-1","issue":"October 2019","issued":{"date-parts":[["2020"]]},"page":"103687","publisher":"Elsevier","title":"The good things in urban nature: A thematic framework for optimising urban planning for nature connectedness","type":"article-journal","volume":"194"}}],"schema":"https://github.com/citation-style-language/schema/raw/master/csl-citation.json"} </w:instrText>
      </w:r>
      <w:r w:rsidRPr="00C05886">
        <w:fldChar w:fldCharType="separate"/>
      </w:r>
      <w:r w:rsidRPr="00C05886">
        <w:rPr>
          <w:rFonts w:ascii="Calibri" w:hAnsi="Calibri" w:cs="Calibri"/>
          <w:szCs w:val="24"/>
        </w:rPr>
        <w:t xml:space="preserve">(McEwan, Ferguson, </w:t>
      </w:r>
      <w:r w:rsidRPr="00C05886">
        <w:rPr>
          <w:rFonts w:ascii="Calibri" w:hAnsi="Calibri" w:cs="Calibri"/>
          <w:i/>
          <w:iCs/>
          <w:szCs w:val="24"/>
        </w:rPr>
        <w:t>et al.</w:t>
      </w:r>
      <w:r w:rsidRPr="00C05886">
        <w:rPr>
          <w:rFonts w:ascii="Calibri" w:hAnsi="Calibri" w:cs="Calibri"/>
          <w:szCs w:val="24"/>
        </w:rPr>
        <w:t>, 2020)</w:t>
      </w:r>
      <w:r w:rsidRPr="00C05886">
        <w:fldChar w:fldCharType="end"/>
      </w:r>
      <w:r w:rsidRPr="00C05886">
        <w:t xml:space="preserve">, in which “gratitude for street trees” was one of the main themes. </w:t>
      </w:r>
    </w:p>
    <w:p w14:paraId="55DF02A5" w14:textId="16507FBA" w:rsidR="000E3C80" w:rsidRPr="00C05886" w:rsidRDefault="000E3C80" w:rsidP="00CD2823">
      <w:r w:rsidRPr="00C05886">
        <w:t xml:space="preserve">In the built condition, the only element positively associated with well-being was the presence of water bodies. Blue spaces are known to be restorative </w:t>
      </w:r>
      <w:r w:rsidRPr="00C05886">
        <w:fldChar w:fldCharType="begin" w:fldLock="1"/>
      </w:r>
      <w:r w:rsidR="00A35208">
        <w:instrText xml:space="preserve"> ADDIN ZOTERO_ITEM CSL_CITATION {"citationID":"qK3zLf3L","properties":{"formattedCitation":"(White {\\i{}et al.}, 2010)","plainCitation":"(White et al., 2010)","noteIndex":0},"citationItems":[{"id":"6pP8vKpK/7VavN4LO","uris":["http://www.mendeley.com/documents/?uuid=ed7fc88f-a329-414c-87c4-0a8e1ed29a0b"],"itemData":{"DOI":"10.1016/j.jenvp.2010.04.004","ISSN":"02724944","abstract":"Although theorists have suggested that aquatic environments or \"blue space\" might have particular restorative potential, to date there is little systematic empirical research on this issue. Indeed the presence of water has, unintentionally, been a confounding factor in research comparing people's reactions to built and natural environments. Whereas aquatic features (rivers, lakes, coasts) are frequently present in visual stimuli representing natural environments they are rarely incorporated in stimuli portraying built environments. As many towns are, for good reason, located near water this is a potentially significant oversight. The current research collated a set of 120 photographs of natural and built scenes, half of which contained \"aquatic\" elements. Proportions of \"aquatic\"/\"green\"/\"built\" environments in each scene (e.g. 1/3rd, 2/3rds) were also standardised. Two studies investigated preferences (attractiveness, willingness to visit and willingness to pay for a hotel room with the view), affect and perceived restorativeness ratings for these photographs. As predicted, both natural and built scenes containing water were associated with higher preferences, greater positive affect and higher perceived restorativeness than those without water. Effect sizes were consistently large. Intriguingly, images of \"built\" environments containing water were generally rated just as positively as natural \"green\" space. We propose a number of avenues for further research including exploration of the mechanisms underlying these effects. © 2010 Elsevier Ltd.","author":[{"dropping-particle":"","family":"White","given":"Mathew","non-dropping-particle":"","parse-names":false,"suffix":""},{"dropping-particle":"","family":"Smith","given":"Amanda","non-dropping-particle":"","parse-names":false,"suffix":""},{"dropping-particle":"","family":"Humphryes","given":"Kelly","non-dropping-particle":"","parse-names":false,"suffix":""},{"dropping-particle":"","family":"Pahl","given":"Sabine","non-dropping-particle":"","parse-names":false,"suffix":""},{"dropping-particle":"","family":"Snelling","given":"Deborah","non-dropping-particle":"","parse-names":false,"suffix":""},{"dropping-particle":"","family":"Depledge","given":"Michael","non-dropping-particle":"","parse-names":false,"suffix":""}],"container-title":"Journal of Environmental Psychology","id":"ITEM-1","issue":"4","issued":{"date-parts":[["2010"]]},"page":"482-493","publisher":"Elsevier Ltd","title":"Blue space: The importance of water for preference, affect, and restorativeness ratings of natural and built scenes","type":"article-journal","volume":"30"}}],"schema":"https://github.com/citation-style-language/schema/raw/master/csl-citation.json"} </w:instrText>
      </w:r>
      <w:r w:rsidRPr="00C05886">
        <w:fldChar w:fldCharType="separate"/>
      </w:r>
      <w:r w:rsidRPr="00C05886">
        <w:rPr>
          <w:rFonts w:ascii="Calibri" w:hAnsi="Calibri" w:cs="Calibri"/>
          <w:szCs w:val="24"/>
        </w:rPr>
        <w:t xml:space="preserve">(White </w:t>
      </w:r>
      <w:r w:rsidRPr="00C05886">
        <w:rPr>
          <w:rFonts w:ascii="Calibri" w:hAnsi="Calibri" w:cs="Calibri"/>
          <w:i/>
          <w:iCs/>
          <w:szCs w:val="24"/>
        </w:rPr>
        <w:t>et al.</w:t>
      </w:r>
      <w:r w:rsidRPr="00C05886">
        <w:rPr>
          <w:rFonts w:ascii="Calibri" w:hAnsi="Calibri" w:cs="Calibri"/>
          <w:szCs w:val="24"/>
        </w:rPr>
        <w:t>, 2010)</w:t>
      </w:r>
      <w:r w:rsidRPr="00C05886">
        <w:fldChar w:fldCharType="end"/>
      </w:r>
      <w:r w:rsidRPr="00C05886">
        <w:t xml:space="preserve">, and sometimes even more effective than green spaces in promoting well-being </w:t>
      </w:r>
      <w:r w:rsidRPr="00C05886">
        <w:fldChar w:fldCharType="begin"/>
      </w:r>
      <w:r w:rsidRPr="00C05886">
        <w:instrText xml:space="preserve"> ADDIN ZOTERO_ITEM CSL_CITATION {"citationID":"2OLurSF3","properties":{"formattedCitation":"(Nutsford {\\i{}et al.}, 2016)","plainCitation":"(Nutsford et al., 2016)","noteIndex":0},"citationItems":[{"id":4909,"uris":["http://zotero.org/users/10951124/items/G4UY492J"],"itemData":{"id":4909,"type":"article-journal","abstract":"As urbanisation escalates globally, urban neighbourhood features which may improve physical and mental health are of growing importance. Using a cross-sectional survey of adults and the application of novel geospatial techniques, this study investigated whether increased visibility of nature (green and blue space) was associated with lower psychological distress (K10 scores), in the capital city of Wellington, New Zealand. To validate, we also tested whether visibility of blue space was associated missing teeth in the same sample. Cluster robust, linear regression models were fitted to test the association between visibility of nature and K10 scores, adjusted for age, sex, personal income, neighbourhood population density, housing quality, crime and deprivation. Higher levels of blue space visibility were associated with lower psychological distress (β=-0.28, p&lt;0.001). Importantly, blue space visibility was not significantly associated with tooth loss. Further research is needed to confirm whether increased visibility of blue space could promote mental well-being and reduce distress in other cities.","container-title":"Health and Place","DOI":"10.1016/j.healthplace.2016.03.002","ISSN":"18732054","note":"PMID: 26974233","page":"70-78","title":"Residential exposure to visible blue space (but not green space) associated with lower psychological distress in a capital city","volume":"39","author":[{"family":"Nutsford","given":"Daniel"},{"family":"Pearson","given":"Amber L."},{"family":"Kingham","given":"Simon"},{"family":"Reitsma","given":"Femke"}],"issued":{"date-parts":[["2016"]]}}}],"schema":"https://github.com/citation-style-language/schema/raw/master/csl-citation.json"} </w:instrText>
      </w:r>
      <w:r w:rsidRPr="00C05886">
        <w:fldChar w:fldCharType="separate"/>
      </w:r>
      <w:r w:rsidRPr="00C05886">
        <w:rPr>
          <w:rFonts w:ascii="Calibri" w:hAnsi="Calibri" w:cs="Calibri"/>
          <w:szCs w:val="24"/>
        </w:rPr>
        <w:t xml:space="preserve">(Nutsford </w:t>
      </w:r>
      <w:r w:rsidRPr="00C05886">
        <w:rPr>
          <w:rFonts w:ascii="Calibri" w:hAnsi="Calibri" w:cs="Calibri"/>
          <w:i/>
          <w:iCs/>
          <w:szCs w:val="24"/>
        </w:rPr>
        <w:t>et al.</w:t>
      </w:r>
      <w:r w:rsidRPr="00C05886">
        <w:rPr>
          <w:rFonts w:ascii="Calibri" w:hAnsi="Calibri" w:cs="Calibri"/>
          <w:szCs w:val="24"/>
        </w:rPr>
        <w:t>, 2016)</w:t>
      </w:r>
      <w:r w:rsidRPr="00C05886">
        <w:fldChar w:fldCharType="end"/>
      </w:r>
      <w:r w:rsidRPr="00C05886">
        <w:t xml:space="preserve">.  Five rivers flow through Sheffield, including in the city centre, so it is not surprising that water bodies have been considered among the </w:t>
      </w:r>
      <w:r w:rsidR="00AD387A">
        <w:t xml:space="preserve">elements </w:t>
      </w:r>
      <w:r w:rsidRPr="00C05886">
        <w:t>of the built environment.</w:t>
      </w:r>
    </w:p>
    <w:p w14:paraId="677562E8" w14:textId="2940AEC8" w:rsidR="000E3C80" w:rsidRPr="00C05886" w:rsidRDefault="000E3C80" w:rsidP="00380DD2">
      <w:r w:rsidRPr="00C05886">
        <w:t xml:space="preserve">The remaining three codes, the presence of buildings or hedges, and photographs that were taken indoors looking outwards from a window, all showed a significant negative effect on participants' well-being. Since buildings constitute the landscape of the “built” environment, they appear in most of the photographs. As in the case of perceived </w:t>
      </w:r>
      <w:r w:rsidR="00B25DD5">
        <w:t>building density</w:t>
      </w:r>
      <w:r w:rsidRPr="00C05886">
        <w:t xml:space="preserve">, and presence on trees, buildings could have been considered as background and did not prompt a positive well-being reaction. </w:t>
      </w:r>
    </w:p>
    <w:p w14:paraId="1D605EDC" w14:textId="046E6B04" w:rsidR="000E3C80" w:rsidRPr="00C05886" w:rsidRDefault="000E3C80" w:rsidP="00380DD2">
      <w:r w:rsidRPr="00C05886">
        <w:t xml:space="preserve">It is challenging to explain why the presence of hedges was negatively associated with well-being. </w:t>
      </w:r>
      <w:r w:rsidRPr="00C05886">
        <w:fldChar w:fldCharType="begin" w:fldLock="1"/>
      </w:r>
      <w:r w:rsidR="00A35208">
        <w:instrText xml:space="preserve"> ADDIN ZOTERO_ITEM CSL_CITATION {"citationID":"EZhevH2q","properties":{"formattedCitation":"(Daniels {\\i{}et al.}, 2018)","plainCitation":"(Daniels et al., 2018)","dontUpdate":true,"noteIndex":0},"citationItems":[{"id":"6pP8vKpK/BN4aC4OB","uris":["http://www.mendeley.com/documents/?uuid=322cbd0f-d915-43e4-89f2-b154f76e1094","http://www.mendeley.com/documents/?uuid=98a63aea-1de0-420d-a291-50f4734eb41d"],"itemData":{"DOI":"https://doi.org/10.1016/j.scitotenv.2017.09.167","ISSN":"0048-9697","abstract":"Facing the growing amount of people living in cities and, at the same time, the need for a compact and sustainable urban development to mitigate urban sprawl, it becomes increasingly important that green spaces in compact cities are designed to meet the various needs within an urban environment. Urban green spaces have a multitude of functions: Maintaining ecological processes and resulting services, e.g. providing habitat for animals and plants, providing a beneficial city microclimate as well as recreational space for citizens. Regarding these requirements, currently existing assessment procedures for green spaces have some major shortcomings, which are discussed in this paper. It is argued why a more detailed spatial level as well as a distinction between natural and artificial varieties of structural elements is justified and needed and how the assessment of urban green spaces benefits from the multidimensional perspective that is applied. By analyzing a selection of structural elements from an ecological, microclimatic and social perspective, indicator values are derived and a new, holistic metrics11The term metrics is derived from the Greek word μετρικόϛ and is used in this paper as the comprehensive compilation of a set of indicators (ecological, microclimatic, and social). Note that the three indicator values are not weighed or mathematically combined to a global indicator, but represent a space in which all parameters are used in their original way to be used for an interdisciplinary assessment of urban green spaces. is proposed. The results of the integrated analysis led to two major findings: first, that for some elements, the evaluation differs to a great extent between the different perspectives (disciplines) and second, that natural and artificial varieties are, in most cases, evaluated considerably different from each other. The differences between the perspectives call for an integrative planning policy which acknowledges the varying contribution of a structural element to different purposes (ecological, microclimatic, social) as well as a discussion about the prioritization of those purposes. The differences in the evaluation of natural vs. artificial elements verify the assumption that indicators which consider only generic elements fail to account for those refinements and are thus less suitable for planning and assessment purposes. Implications, challenges and scenarios for the application of such a metrics are finally discussed.","author":[{"dropping-particle":"","family":"Daniels","given":"Benjamin","non-dropping-particle":"","parse-names":false,"suffix":""},{"dropping-particle":"","family":"Zaunbrecher","given":"Barbara S","non-dropping-particle":"","parse-names":false,"suffix":""},{"dropping-particle":"","family":"Paas","given":"Bastian","non-dropping-particle":"","parse-names":false,"suffix":""},{"dropping-particle":"","family":"Ottermanns","given":"Richard","non-dropping-particle":"","parse-names":false,"suffix":""},{"dropping-particle":"","family":"Ziefle","given":"Martina","non-dropping-particle":"","parse-names":false,"suffix":""},{"dropping-particle":"","family":"Roß-Nickoll","given":"Martina","non-dropping-particle":"","parse-names":false,"suffix":""}],"container-title":"Science of The Total Environment","id":"ITEM-1","issued":{"date-parts":[["2018"]]},"page":"1364-1378","title":"Assessment of urban green space structures and their quality from a multidimensional perspective","type":"article-journal","volume":"615"}}],"schema":"https://github.com/citation-style-language/schema/raw/master/csl-citation.json"} </w:instrText>
      </w:r>
      <w:r w:rsidRPr="00C05886">
        <w:fldChar w:fldCharType="separate"/>
      </w:r>
      <w:r w:rsidRPr="00C05886">
        <w:rPr>
          <w:rFonts w:ascii="Calibri" w:hAnsi="Calibri" w:cs="Calibri"/>
          <w:szCs w:val="24"/>
        </w:rPr>
        <w:t xml:space="preserve">Daniels </w:t>
      </w:r>
      <w:r w:rsidRPr="00C05886">
        <w:rPr>
          <w:rFonts w:ascii="Calibri" w:hAnsi="Calibri" w:cs="Calibri"/>
          <w:i/>
          <w:iCs/>
          <w:szCs w:val="24"/>
        </w:rPr>
        <w:t>et al.</w:t>
      </w:r>
      <w:r w:rsidRPr="00C05886">
        <w:rPr>
          <w:rFonts w:ascii="Calibri" w:hAnsi="Calibri" w:cs="Calibri"/>
          <w:szCs w:val="24"/>
        </w:rPr>
        <w:t xml:space="preserve"> (2018)</w:t>
      </w:r>
      <w:r w:rsidRPr="00C05886">
        <w:fldChar w:fldCharType="end"/>
      </w:r>
      <w:r w:rsidRPr="00C05886">
        <w:t xml:space="preserve">, found that natural-looking hedges were appreciated and desired more than traditional hedges (i.e. low-density, geometrically trimmed etc). Since most of the hedges in the photographs fall in the formal category, this could explain, in part, the negative effect on well-being. Photographs taken from the inside of a window showed the most negative association with well-being. While research has shown that gazing through the window can improve well-being </w:t>
      </w:r>
      <w:r w:rsidRPr="00C05886">
        <w:fldChar w:fldCharType="begin" w:fldLock="1"/>
      </w:r>
      <w:r w:rsidR="003E681B" w:rsidRPr="00C05886">
        <w:instrText xml:space="preserve"> ADDIN ZOTERO_ITEM CSL_CITATION {"citationID":"Hyee4QNb","properties":{"formattedCitation":"(Ulrich, 1984; Elsadek, Liu and Xie, 2020)","plainCitation":"(Ulrich, 1984; Elsadek, Liu and Xie, 2020)","noteIndex":0},"citationItems":[{"id":4760,"uris":["http://zotero.org/users/10951124/items/4AASEV7P"],"itemData":{"id":4760,"type":"article-journal","container-title":"science","ISSN":"0036-8075","issue":"4647","note":"publisher: American association for the advancement of science","page":"420-421","title":"View through a window may influence recovery from surgery","volume":"224","author":[{"family":"Ulrich","given":"Roger S"}],"issued":{"date-parts":[["1984"]]}}},{"id":5197,"uris":["http://zotero.org/users/10951124/items/F4DP2D6Y"],"itemData":{"id":5197,"type":"article-journal","abstract":"The current challenges of urbanization and densification threaten the health of urban dwellers. Previous studies have shown that contact with; or perception of green spaces has beneficial impacts on human psychological wellbeing. However, residents and employees who live or work in high-rise buildings have little opportunity to access green spaces during working hours. We do not know whether viewing green space through a high-rise estate window can potentially contribute to the psychological wellbeing of urban dwellers. Thirty participants were randomly assigned to two offices, a window looking out onto urban space, or a window looking out onto green space from a wide-angle of the 21st floor of the Jin-Mao Tower. During visual stimulation, sensors took physiological measures of their stress levels by measuring Electroencephalography, heart rate variability, and skin conductance, while their psychological reactions were collected using Profile of Mood States and Semantic Differential Questionnaire. Results showed that compared with the urban space view; viewing green space through a high-rise window resulted in a significant increase in alpha wave power in the frontal and occipital lobes, a significant increase in parasympathetic activity; and a significant decrease in the skin conductance. Moreover; a significant increase in “comfortable”, “beautiful”, “attractive”, “relaxed”, and “cheerful’’ feelings, and a significant improvement in mood states. Window views can significantly lead to better mental health and psychological wellbeing for urban dwellers. The observed results highlight the significance of considering the window views in urban high-rise neighborhood planning and design.","container-title":"Urban Forestry &amp; Urban Greening","DOI":"https://doi.org/10.1016/j.ufug.2020.126846","ISSN":"1618-8667","page":"126846","title":"Window view and relaxation: Viewing green space from a high-rise estate improves urban dwellers’ wellbeing","volume":"55","author":[{"family":"Elsadek","given":"Mohamed"},{"family":"Liu","given":"Binyi"},{"family":"Xie","given":"Junfang"}],"issued":{"date-parts":[["2020"]]}}}],"schema":"https://github.com/citation-style-language/schema/raw/master/csl-citation.json"} </w:instrText>
      </w:r>
      <w:r w:rsidRPr="00C05886">
        <w:fldChar w:fldCharType="separate"/>
      </w:r>
      <w:r w:rsidR="003E681B" w:rsidRPr="00C05886">
        <w:rPr>
          <w:rFonts w:ascii="Calibri" w:hAnsi="Calibri" w:cs="Calibri"/>
        </w:rPr>
        <w:t>(Ulrich, 1984; Elsadek, Liu and Xie, 2020)</w:t>
      </w:r>
      <w:r w:rsidRPr="00C05886">
        <w:fldChar w:fldCharType="end"/>
      </w:r>
      <w:r w:rsidRPr="00C05886">
        <w:t xml:space="preserve">, if the view is pleasant and green, most of the photographs showed grey vistas, mostly cityscapes under a gloomy sky. </w:t>
      </w:r>
      <w:r w:rsidR="00004712">
        <w:t xml:space="preserve">A laboratory-based stress recovery experiment found that participants recovered differently when looking at images of cityscape, depending on how much particulate matter was limiting the visibility; the higher the pollution the lower the recovery </w:t>
      </w:r>
      <w:r w:rsidR="00004712">
        <w:fldChar w:fldCharType="begin"/>
      </w:r>
      <w:r w:rsidR="00004712">
        <w:instrText xml:space="preserve"> ADDIN ZOTERO_ITEM CSL_CITATION {"citationID":"eIGmw0Om","properties":{"formattedCitation":"(Yang {\\i{}et al.}, 2021)","plainCitation":"(Yang et al., 2021)","noteIndex":0},"citationItems":[{"id":11335,"uris":["http://zotero.org/users/10951124/items/QVRB5CR5"],"itemData":{"id":11335,"type":"article-journal","container-title":"Journal of Cleaner Production","DOI":"10.1016/j.jclepro.2020.123215","ISSN":"09596526","journalAbbreviation":"Journal of Cleaner Production","language":"en","page":"123215","source":"DOI.org (Crossref)","title":"Gray cityscape caused by particulate matter pollution hampers human stress recovery","volume":"279","author":[{"family":"Yang","given":"Jianxun"},{"family":"Qu","given":"Shen"},{"family":"Liu","given":"Miaomiao"},{"family":"Liu","given":"Xingyu"},{"family":"Gao","given":"Qi"},{"family":"He","given":"Wei"},{"family":"Ji","given":"John S."},{"family":"Bi","given":"Jun"}],"issued":{"date-parts":[["2021",1]]}}}],"schema":"https://github.com/citation-style-language/schema/raw/master/csl-citation.json"} </w:instrText>
      </w:r>
      <w:r w:rsidR="00004712">
        <w:fldChar w:fldCharType="separate"/>
      </w:r>
      <w:r w:rsidR="00004712" w:rsidRPr="00004712">
        <w:rPr>
          <w:rFonts w:ascii="Calibri" w:hAnsi="Calibri" w:cs="Calibri"/>
          <w:szCs w:val="24"/>
        </w:rPr>
        <w:t xml:space="preserve">(Yang </w:t>
      </w:r>
      <w:r w:rsidR="00004712" w:rsidRPr="00004712">
        <w:rPr>
          <w:rFonts w:ascii="Calibri" w:hAnsi="Calibri" w:cs="Calibri"/>
          <w:i/>
          <w:iCs/>
          <w:szCs w:val="24"/>
        </w:rPr>
        <w:t>et al.</w:t>
      </w:r>
      <w:r w:rsidR="00004712" w:rsidRPr="00004712">
        <w:rPr>
          <w:rFonts w:ascii="Calibri" w:hAnsi="Calibri" w:cs="Calibri"/>
          <w:szCs w:val="24"/>
        </w:rPr>
        <w:t>, 2021)</w:t>
      </w:r>
      <w:r w:rsidR="00004712">
        <w:fldChar w:fldCharType="end"/>
      </w:r>
      <w:r w:rsidR="00004712">
        <w:t>. However</w:t>
      </w:r>
      <w:r w:rsidR="00D24276">
        <w:t>, reactions towards images of the same city under cloudy or foggy conditions were not tested.</w:t>
      </w:r>
    </w:p>
    <w:p w14:paraId="1523EC13" w14:textId="77777777" w:rsidR="000E3C80" w:rsidRPr="00C05886" w:rsidRDefault="000E3C80" w:rsidP="003F12DF">
      <w:pPr>
        <w:pStyle w:val="Heading2"/>
      </w:pPr>
      <w:bookmarkStart w:id="79" w:name="_Toc179962331"/>
      <w:r w:rsidRPr="00C05886">
        <w:t>Limitations</w:t>
      </w:r>
      <w:bookmarkEnd w:id="79"/>
    </w:p>
    <w:p w14:paraId="1E2459B0" w14:textId="3BF627B4" w:rsidR="000E3C80" w:rsidRPr="00C05886" w:rsidRDefault="000E3C80" w:rsidP="00BF3431">
      <w:r w:rsidRPr="00C05886">
        <w:t xml:space="preserve">Several limitations must be acknowledged. First, the data was collected in 2017-2018 and, while being recent, it does not cover the COVID-19 pandemic, limiting the generalisation of the findings </w:t>
      </w:r>
      <w:r w:rsidRPr="00C05886">
        <w:lastRenderedPageBreak/>
        <w:t xml:space="preserve">to the present. Second, although regression analysis was robust, the evidence presented here is primarily associative, limiting the understanding of cause-effect mechanisms. From the data, it was only possible to speculate whether the presence of higher </w:t>
      </w:r>
      <w:r w:rsidR="0029205C">
        <w:t>species richness</w:t>
      </w:r>
      <w:r w:rsidRPr="00C05886">
        <w:t xml:space="preserve"> or one of the urban elements produced a positive </w:t>
      </w:r>
      <w:r w:rsidRPr="00C05886">
        <w:rPr>
          <w:i/>
          <w:iCs/>
        </w:rPr>
        <w:t>change</w:t>
      </w:r>
      <w:r w:rsidRPr="00C05886">
        <w:t xml:space="preserve"> in the reported well-being. However, other studies from the IWUN project highlighted that well-being improved for </w:t>
      </w:r>
      <w:r w:rsidR="00267D12">
        <w:t>those participants</w:t>
      </w:r>
      <w:r w:rsidRPr="00C05886">
        <w:t xml:space="preserve"> who noticed urban nature actively </w:t>
      </w:r>
      <w:r w:rsidRPr="00C05886">
        <w:fldChar w:fldCharType="begin"/>
      </w:r>
      <w:r w:rsidR="00020123" w:rsidRPr="00C05886">
        <w:instrText xml:space="preserve"> ADDIN ZOTERO_ITEM CSL_CITATION {"citationID":"vnI90rKz","properties":{"formattedCitation":"(McEwan {\\i{}et al.}, 2019)","plainCitation":"(McEwan et al., 2019)","noteIndex":0},"citationItems":[{"id":7768,"uris":["http://zotero.org/users/10951124/items/U8DHWA8B"],"itemData":{"id":7768,"type":"article-journal","abstract":"In an increasingly urbanised world where mental health is currently in crisis, interventions to increase human engagement and connection with the natural environment are one of the fastest growing, most widely accessible, and cost-effective ways of improving human wellbeing. This study aimed to provide an evaluation of a smartphone app-based wellbeing intervention. In a randomised controlled trial study design, the app prompted 582 adults, including a subgroup of adults classified by baseline scores on the Recovering Quality of Life scale as having a common mental health problem (n = 148), to notice the good things about urban nature (intervention condition) or built spaces (active control). There were statistically significant and sustained improvements in wellbeing at one-month follow-up. Importantly, in the noticing urban nature condition, compared to a built space control, improvements in quality of life reached statistical significance for all adults and clinical significance for those classified as having a mental health difficulty. This improvement in wellbeing was partly explained by significant increases in nature connectedness and positive affect. This study provides the first controlled experimental evidence that noticing the good things about urban nature has strong clinical potential as a wellbeing intervention and social prescription.","container-title":"International Journal of Environmental Research and Public Health","DOI":"10.3390/ijerph16183373","ISSN":"16604601","issue":"18","note":"PMID: 31547286","page":"1-15","title":"A smartphone app for improving mental health through connecting with urban nature","volume":"16","author":[{"family":"McEwan","given":"Kirsten"},{"family":"Richardson","given":"Miles"},{"family":"Sheffield","given":"David"},{"family":"Ferguson","given":"Fiona J."},{"family":"Brindley","given":"Paul"}],"issued":{"date-parts":[["2019"]]}}}],"schema":"https://github.com/citation-style-language/schema/raw/master/csl-citation.json"} </w:instrText>
      </w:r>
      <w:r w:rsidRPr="00C05886">
        <w:fldChar w:fldCharType="separate"/>
      </w:r>
      <w:r w:rsidR="00020123" w:rsidRPr="00C05886">
        <w:rPr>
          <w:rFonts w:ascii="Calibri" w:hAnsi="Calibri" w:cs="Calibri"/>
          <w:szCs w:val="24"/>
        </w:rPr>
        <w:t xml:space="preserve">(McEwan </w:t>
      </w:r>
      <w:r w:rsidR="00020123" w:rsidRPr="00C05886">
        <w:rPr>
          <w:rFonts w:ascii="Calibri" w:hAnsi="Calibri" w:cs="Calibri"/>
          <w:i/>
          <w:iCs/>
          <w:szCs w:val="24"/>
        </w:rPr>
        <w:t>et al.</w:t>
      </w:r>
      <w:r w:rsidR="00020123" w:rsidRPr="00C05886">
        <w:rPr>
          <w:rFonts w:ascii="Calibri" w:hAnsi="Calibri" w:cs="Calibri"/>
          <w:szCs w:val="24"/>
        </w:rPr>
        <w:t>, 2019)</w:t>
      </w:r>
      <w:r w:rsidRPr="00C05886">
        <w:fldChar w:fldCharType="end"/>
      </w:r>
      <w:r w:rsidRPr="00C05886">
        <w:t>.</w:t>
      </w:r>
    </w:p>
    <w:p w14:paraId="73918508" w14:textId="6D5DF430" w:rsidR="000E3C80" w:rsidRPr="00C05886" w:rsidRDefault="000E3C80" w:rsidP="00BF3431">
      <w:r w:rsidRPr="00C05886">
        <w:t>Concerning the urban elements associated with well-being, it is possible that such content was not the focus of the participant who shared the photograph (e.g. most urban pictures would show buildings in the background). Although the analysis linked several codes to well-being, it remains uncertain whether these could be considered real drivers of well-being. Several urban elements were present in limited numbers in the photos, which reduced their statistical power.</w:t>
      </w:r>
    </w:p>
    <w:p w14:paraId="30A98AC7" w14:textId="77777777" w:rsidR="000E3C80" w:rsidRPr="00C05886" w:rsidRDefault="000E3C80" w:rsidP="003F12DF">
      <w:pPr>
        <w:pStyle w:val="Heading2"/>
      </w:pPr>
      <w:bookmarkStart w:id="80" w:name="_Toc179962332"/>
      <w:r w:rsidRPr="00C05886">
        <w:t>Conclusion</w:t>
      </w:r>
      <w:bookmarkEnd w:id="80"/>
    </w:p>
    <w:p w14:paraId="733DCC55" w14:textId="18F0199D" w:rsidR="000E3C80" w:rsidRDefault="000E3C80" w:rsidP="00BF3431">
      <w:r w:rsidRPr="00C05886">
        <w:t xml:space="preserve">This study synthesised the relationship between urban nature and well-being by looking at </w:t>
      </w:r>
      <w:r w:rsidR="0029205C">
        <w:t>species richness</w:t>
      </w:r>
      <w:r w:rsidRPr="00C05886">
        <w:t xml:space="preserve"> and at the urban elements identified by the participants. The association </w:t>
      </w:r>
      <w:r w:rsidR="00267D12">
        <w:t>between</w:t>
      </w:r>
      <w:r w:rsidR="00267D12" w:rsidRPr="00C05886">
        <w:t xml:space="preserve"> </w:t>
      </w:r>
      <w:r w:rsidRPr="00C05886">
        <w:t xml:space="preserve">perceived </w:t>
      </w:r>
      <w:r w:rsidR="0029205C">
        <w:t>species richness</w:t>
      </w:r>
      <w:r w:rsidRPr="00C05886">
        <w:t xml:space="preserve"> and well-being was particularly strong, while well-being was only marginally related to actual </w:t>
      </w:r>
      <w:r w:rsidR="0029205C">
        <w:t>species richness</w:t>
      </w:r>
      <w:r w:rsidRPr="00C05886">
        <w:t xml:space="preserve">. However, it is important to recall that when </w:t>
      </w:r>
      <w:r w:rsidR="0029205C">
        <w:t xml:space="preserve">species richness </w:t>
      </w:r>
      <w:r w:rsidRPr="00C05886">
        <w:t>was</w:t>
      </w:r>
      <w:r w:rsidR="0029205C">
        <w:t xml:space="preserve"> noticed</w:t>
      </w:r>
      <w:r w:rsidRPr="00C05886">
        <w:t xml:space="preserve"> by participants in the built condition (i.e. in urbanised settings), there was evidence of a positive effect on well-being. Urban planners, landscape managers and </w:t>
      </w:r>
      <w:r w:rsidR="00267D12">
        <w:t>policymakers</w:t>
      </w:r>
      <w:r w:rsidRPr="00C05886">
        <w:t xml:space="preserve"> should carefully consider the role of biodiversity in their decisions as its relationship with well-being seems profound. </w:t>
      </w:r>
      <w:r w:rsidR="00267D12">
        <w:t>Decision-makers</w:t>
      </w:r>
      <w:r w:rsidRPr="00C05886">
        <w:t xml:space="preserve"> should also be aware that the </w:t>
      </w:r>
      <w:r w:rsidR="0029205C">
        <w:t>species richness</w:t>
      </w:r>
      <w:r w:rsidRPr="00C05886">
        <w:t xml:space="preserve">/well-being relationship may be unconscious. Spaces without species were associated with the worst well-being while there was no indication that highly biodiverse spaces could be detrimental. Therefore, even if the average citizen would probably not notice the difference, urban </w:t>
      </w:r>
      <w:r w:rsidR="0029205C">
        <w:t>species richness</w:t>
      </w:r>
      <w:r w:rsidRPr="00C05886">
        <w:t xml:space="preserve"> </w:t>
      </w:r>
      <w:r w:rsidR="00083F1C">
        <w:t>c</w:t>
      </w:r>
      <w:r w:rsidR="00083F1C" w:rsidRPr="00C05886">
        <w:t xml:space="preserve">ould </w:t>
      </w:r>
      <w:r w:rsidRPr="00C05886">
        <w:t xml:space="preserve">be enhanced so that it provides both well-being and other ecosystem services (e.g. heat regulation). Finally, the analysis also </w:t>
      </w:r>
      <w:r w:rsidR="00083F1C">
        <w:t>suggested</w:t>
      </w:r>
      <w:r w:rsidR="00083F1C" w:rsidRPr="00C05886">
        <w:t xml:space="preserve"> </w:t>
      </w:r>
      <w:r w:rsidRPr="00C05886">
        <w:t xml:space="preserve">that the presence of domestic gardens and water bodies </w:t>
      </w:r>
      <w:r w:rsidR="00083F1C">
        <w:t>could be</w:t>
      </w:r>
      <w:r w:rsidR="00083F1C" w:rsidRPr="00C05886">
        <w:t xml:space="preserve"> </w:t>
      </w:r>
      <w:r w:rsidRPr="00C05886">
        <w:t xml:space="preserve">associated with improved well-being. These two elements of urban life </w:t>
      </w:r>
      <w:r w:rsidR="00083F1C">
        <w:t xml:space="preserve">may </w:t>
      </w:r>
      <w:r w:rsidRPr="00C05886">
        <w:t xml:space="preserve">provide important opportunities to connect with nature and tend to be </w:t>
      </w:r>
      <w:r w:rsidR="00083F1C">
        <w:t>rich in species</w:t>
      </w:r>
      <w:r w:rsidRPr="00C05886">
        <w:t xml:space="preserve">. Again, </w:t>
      </w:r>
      <w:r w:rsidR="00267D12">
        <w:t>decision-makers</w:t>
      </w:r>
      <w:r w:rsidRPr="00C05886">
        <w:t xml:space="preserve"> </w:t>
      </w:r>
      <w:r w:rsidR="00083F1C">
        <w:t>c</w:t>
      </w:r>
      <w:r w:rsidR="00083F1C" w:rsidRPr="00C05886">
        <w:t xml:space="preserve">ould </w:t>
      </w:r>
      <w:r w:rsidRPr="00C05886">
        <w:t xml:space="preserve">encourage the creation and retention of gardens and waterscapes, which seem capable </w:t>
      </w:r>
      <w:r w:rsidR="00267D12">
        <w:t>of providing</w:t>
      </w:r>
      <w:r w:rsidRPr="00C05886">
        <w:t xml:space="preserve"> both well-being and habitat for biodiversity.</w:t>
      </w:r>
    </w:p>
    <w:p w14:paraId="1F9B0A3F" w14:textId="5D3F9243" w:rsidR="000E3C80" w:rsidRPr="00C05886" w:rsidRDefault="000E3C80" w:rsidP="000E3C80">
      <w:pPr>
        <w:pStyle w:val="Heading2"/>
      </w:pPr>
      <w:bookmarkStart w:id="81" w:name="_Toc179962333"/>
      <w:bookmarkEnd w:id="58"/>
      <w:r w:rsidRPr="00C05886">
        <w:lastRenderedPageBreak/>
        <w:t>References</w:t>
      </w:r>
      <w:bookmarkEnd w:id="81"/>
    </w:p>
    <w:p w14:paraId="52E843EE" w14:textId="77777777" w:rsidR="00A35208" w:rsidRPr="00671F38" w:rsidRDefault="00A35208" w:rsidP="005D7515">
      <w:pPr>
        <w:pStyle w:val="Bibliography"/>
        <w:jc w:val="both"/>
        <w:rPr>
          <w:rFonts w:ascii="Calibri" w:hAnsi="Calibri" w:cs="Calibri"/>
          <w:lang w:val="en-GB"/>
        </w:rPr>
      </w:pPr>
      <w:proofErr w:type="spellStart"/>
      <w:r w:rsidRPr="00671F38">
        <w:rPr>
          <w:rFonts w:ascii="Calibri" w:hAnsi="Calibri" w:cs="Calibri"/>
          <w:lang w:val="en-GB"/>
        </w:rPr>
        <w:t>Bornioli</w:t>
      </w:r>
      <w:proofErr w:type="spellEnd"/>
      <w:r w:rsidRPr="00671F38">
        <w:rPr>
          <w:rFonts w:ascii="Calibri" w:hAnsi="Calibri" w:cs="Calibri"/>
          <w:lang w:val="en-GB"/>
        </w:rPr>
        <w:t xml:space="preserve">, A., Parkhurst, G. and Morgan, P.L. (2018) ‘Psychological Wellbeing Benefits of Simulated Exposure to Five Urban Settings: </w:t>
      </w:r>
      <w:proofErr w:type="gramStart"/>
      <w:r w:rsidRPr="00671F38">
        <w:rPr>
          <w:rFonts w:ascii="Calibri" w:hAnsi="Calibri" w:cs="Calibri"/>
          <w:lang w:val="en-GB"/>
        </w:rPr>
        <w:t>an</w:t>
      </w:r>
      <w:proofErr w:type="gramEnd"/>
      <w:r w:rsidRPr="00671F38">
        <w:rPr>
          <w:rFonts w:ascii="Calibri" w:hAnsi="Calibri" w:cs="Calibri"/>
          <w:lang w:val="en-GB"/>
        </w:rPr>
        <w:t xml:space="preserve"> Experimental Study From the Pedestrian’s Perspective’, </w:t>
      </w:r>
      <w:r w:rsidRPr="00671F38">
        <w:rPr>
          <w:rFonts w:ascii="Calibri" w:hAnsi="Calibri" w:cs="Calibri"/>
          <w:i/>
          <w:iCs/>
          <w:lang w:val="en-GB"/>
        </w:rPr>
        <w:t>Journal of Transport and Health</w:t>
      </w:r>
      <w:r w:rsidRPr="00671F38">
        <w:rPr>
          <w:rFonts w:ascii="Calibri" w:hAnsi="Calibri" w:cs="Calibri"/>
          <w:lang w:val="en-GB"/>
        </w:rPr>
        <w:t>, 9(October 2017), pp. 105–116. Available at: https://doi.org/10.1016/j.jth.2018.02.003.</w:t>
      </w:r>
    </w:p>
    <w:p w14:paraId="3382EA5D" w14:textId="77777777" w:rsidR="00A35208" w:rsidRPr="00671F38" w:rsidRDefault="00A35208" w:rsidP="005D7515">
      <w:pPr>
        <w:pStyle w:val="Bibliography"/>
        <w:jc w:val="both"/>
        <w:rPr>
          <w:rFonts w:ascii="Calibri" w:hAnsi="Calibri" w:cs="Calibri"/>
          <w:lang w:val="en-GB"/>
        </w:rPr>
      </w:pPr>
      <w:r w:rsidRPr="00671F38">
        <w:rPr>
          <w:rFonts w:ascii="Calibri" w:hAnsi="Calibri" w:cs="Calibri"/>
          <w:lang w:val="en-GB"/>
        </w:rPr>
        <w:t xml:space="preserve">Bratman, G.N., Hamilton, J.P. and Daily, G.C. (2012) ‘The impacts of nature experience on human cognitive function and mental health’, </w:t>
      </w:r>
      <w:r w:rsidRPr="00671F38">
        <w:rPr>
          <w:rFonts w:ascii="Calibri" w:hAnsi="Calibri" w:cs="Calibri"/>
          <w:i/>
          <w:iCs/>
          <w:lang w:val="en-GB"/>
        </w:rPr>
        <w:t>Annals of the New York Academy of Sciences</w:t>
      </w:r>
      <w:r w:rsidRPr="00671F38">
        <w:rPr>
          <w:rFonts w:ascii="Calibri" w:hAnsi="Calibri" w:cs="Calibri"/>
          <w:lang w:val="en-GB"/>
        </w:rPr>
        <w:t>, 1249(1), pp. 118–136.</w:t>
      </w:r>
    </w:p>
    <w:p w14:paraId="4065B0A6" w14:textId="77777777" w:rsidR="00A35208" w:rsidRPr="00671F38" w:rsidRDefault="00A35208" w:rsidP="005D7515">
      <w:pPr>
        <w:pStyle w:val="Bibliography"/>
        <w:jc w:val="both"/>
        <w:rPr>
          <w:rFonts w:ascii="Calibri" w:hAnsi="Calibri" w:cs="Calibri"/>
          <w:lang w:val="en-GB"/>
        </w:rPr>
      </w:pPr>
      <w:r w:rsidRPr="00671F38">
        <w:rPr>
          <w:rFonts w:ascii="Calibri" w:hAnsi="Calibri" w:cs="Calibri"/>
          <w:lang w:val="en-GB"/>
        </w:rPr>
        <w:t xml:space="preserve">Brindley, P., Jorgensen, A. and Maheswaran, R. (2018) ‘Domestic gardens and self-reported health: a national population study’, </w:t>
      </w:r>
      <w:r w:rsidRPr="00671F38">
        <w:rPr>
          <w:rFonts w:ascii="Calibri" w:hAnsi="Calibri" w:cs="Calibri"/>
          <w:i/>
          <w:iCs/>
          <w:lang w:val="en-GB"/>
        </w:rPr>
        <w:t>International Journal of Health Geographics</w:t>
      </w:r>
      <w:r w:rsidRPr="00671F38">
        <w:rPr>
          <w:rFonts w:ascii="Calibri" w:hAnsi="Calibri" w:cs="Calibri"/>
          <w:lang w:val="en-GB"/>
        </w:rPr>
        <w:t>, 17(1). Available at: https://doi.org/10.1186/s12942-018-0148-6.</w:t>
      </w:r>
    </w:p>
    <w:p w14:paraId="1836B95B" w14:textId="77777777" w:rsidR="00A35208" w:rsidRPr="00671F38" w:rsidRDefault="00A35208" w:rsidP="005D7515">
      <w:pPr>
        <w:pStyle w:val="Bibliography"/>
        <w:jc w:val="both"/>
        <w:rPr>
          <w:rFonts w:ascii="Calibri" w:hAnsi="Calibri" w:cs="Calibri"/>
          <w:lang w:val="en-GB"/>
        </w:rPr>
      </w:pPr>
      <w:r w:rsidRPr="00671F38">
        <w:rPr>
          <w:rFonts w:ascii="Calibri" w:hAnsi="Calibri" w:cs="Calibri"/>
          <w:lang w:val="en-GB"/>
        </w:rPr>
        <w:t xml:space="preserve">Bursac, Z. </w:t>
      </w:r>
      <w:r w:rsidRPr="00671F38">
        <w:rPr>
          <w:rFonts w:ascii="Calibri" w:hAnsi="Calibri" w:cs="Calibri"/>
          <w:i/>
          <w:iCs/>
          <w:lang w:val="en-GB"/>
        </w:rPr>
        <w:t>et al.</w:t>
      </w:r>
      <w:r w:rsidRPr="00671F38">
        <w:rPr>
          <w:rFonts w:ascii="Calibri" w:hAnsi="Calibri" w:cs="Calibri"/>
          <w:lang w:val="en-GB"/>
        </w:rPr>
        <w:t xml:space="preserve"> (2008) ‘Purposeful selection of variables in logistic regression’, </w:t>
      </w:r>
      <w:r w:rsidRPr="00671F38">
        <w:rPr>
          <w:rFonts w:ascii="Calibri" w:hAnsi="Calibri" w:cs="Calibri"/>
          <w:i/>
          <w:iCs/>
          <w:lang w:val="en-GB"/>
        </w:rPr>
        <w:t>Source Code for Biology and Medicine</w:t>
      </w:r>
      <w:r w:rsidRPr="00671F38">
        <w:rPr>
          <w:rFonts w:ascii="Calibri" w:hAnsi="Calibri" w:cs="Calibri"/>
          <w:lang w:val="en-GB"/>
        </w:rPr>
        <w:t>, 3(1), p. 17. Available at: https://doi.org/10.1186/1751-0473-3-17.</w:t>
      </w:r>
    </w:p>
    <w:p w14:paraId="0671A4DD" w14:textId="77777777" w:rsidR="00A35208" w:rsidRPr="00671F38" w:rsidRDefault="00A35208" w:rsidP="005D7515">
      <w:pPr>
        <w:pStyle w:val="Bibliography"/>
        <w:jc w:val="both"/>
        <w:rPr>
          <w:rFonts w:ascii="Calibri" w:hAnsi="Calibri" w:cs="Calibri"/>
          <w:lang w:val="en-GB"/>
        </w:rPr>
      </w:pPr>
      <w:r w:rsidRPr="00671F38">
        <w:rPr>
          <w:rFonts w:ascii="Calibri" w:hAnsi="Calibri" w:cs="Calibri"/>
          <w:lang w:val="en-GB"/>
        </w:rPr>
        <w:t xml:space="preserve">Camacho-Cervantes, M. </w:t>
      </w:r>
      <w:r w:rsidRPr="00671F38">
        <w:rPr>
          <w:rFonts w:ascii="Calibri" w:hAnsi="Calibri" w:cs="Calibri"/>
          <w:i/>
          <w:iCs/>
          <w:lang w:val="en-GB"/>
        </w:rPr>
        <w:t>et al.</w:t>
      </w:r>
      <w:r w:rsidRPr="00671F38">
        <w:rPr>
          <w:rFonts w:ascii="Calibri" w:hAnsi="Calibri" w:cs="Calibri"/>
          <w:lang w:val="en-GB"/>
        </w:rPr>
        <w:t xml:space="preserve"> (2014) ‘How do people perceive urban trees? Assessing likes and dislikes in relation to the trees of a city’, </w:t>
      </w:r>
      <w:r w:rsidRPr="00671F38">
        <w:rPr>
          <w:rFonts w:ascii="Calibri" w:hAnsi="Calibri" w:cs="Calibri"/>
          <w:i/>
          <w:iCs/>
          <w:lang w:val="en-GB"/>
        </w:rPr>
        <w:t>Urban Ecosystems</w:t>
      </w:r>
      <w:r w:rsidRPr="00671F38">
        <w:rPr>
          <w:rFonts w:ascii="Calibri" w:hAnsi="Calibri" w:cs="Calibri"/>
          <w:lang w:val="en-GB"/>
        </w:rPr>
        <w:t>, 17(3), pp. 761–773. Available at: https://doi.org/10.1007/s11252-014-0343-6.</w:t>
      </w:r>
    </w:p>
    <w:p w14:paraId="50CE6CBB" w14:textId="77777777" w:rsidR="00A35208" w:rsidRPr="00671F38" w:rsidRDefault="00A35208" w:rsidP="005D7515">
      <w:pPr>
        <w:pStyle w:val="Bibliography"/>
        <w:jc w:val="both"/>
        <w:rPr>
          <w:rFonts w:ascii="Calibri" w:hAnsi="Calibri" w:cs="Calibri"/>
          <w:lang w:val="en-GB"/>
        </w:rPr>
      </w:pPr>
      <w:r w:rsidRPr="00671F38">
        <w:rPr>
          <w:rFonts w:ascii="Calibri" w:hAnsi="Calibri" w:cs="Calibri"/>
          <w:lang w:val="en-GB"/>
        </w:rPr>
        <w:t xml:space="preserve">Cameron, R.W.F. </w:t>
      </w:r>
      <w:r w:rsidRPr="00671F38">
        <w:rPr>
          <w:rFonts w:ascii="Calibri" w:hAnsi="Calibri" w:cs="Calibri"/>
          <w:i/>
          <w:iCs/>
          <w:lang w:val="en-GB"/>
        </w:rPr>
        <w:t>et al.</w:t>
      </w:r>
      <w:r w:rsidRPr="00671F38">
        <w:rPr>
          <w:rFonts w:ascii="Calibri" w:hAnsi="Calibri" w:cs="Calibri"/>
          <w:lang w:val="en-GB"/>
        </w:rPr>
        <w:t xml:space="preserve"> (2020) ‘Where the wild things are! Do urban green spaces with greater avian biodiversity promote more positive emotions in humans?’, </w:t>
      </w:r>
      <w:r w:rsidRPr="00671F38">
        <w:rPr>
          <w:rFonts w:ascii="Calibri" w:hAnsi="Calibri" w:cs="Calibri"/>
          <w:i/>
          <w:iCs/>
          <w:lang w:val="en-GB"/>
        </w:rPr>
        <w:t>Urban Ecosystems</w:t>
      </w:r>
      <w:r w:rsidRPr="00671F38">
        <w:rPr>
          <w:rFonts w:ascii="Calibri" w:hAnsi="Calibri" w:cs="Calibri"/>
          <w:lang w:val="en-GB"/>
        </w:rPr>
        <w:t xml:space="preserve"> [Preprint]. Available at: https://doi.org/10.1007/s11252-020-00929-z.</w:t>
      </w:r>
    </w:p>
    <w:p w14:paraId="1A2E0F7D" w14:textId="77777777" w:rsidR="00A35208" w:rsidRPr="00671F38" w:rsidRDefault="00A35208" w:rsidP="005D7515">
      <w:pPr>
        <w:pStyle w:val="Bibliography"/>
        <w:jc w:val="both"/>
        <w:rPr>
          <w:rFonts w:ascii="Calibri" w:hAnsi="Calibri" w:cs="Calibri"/>
          <w:lang w:val="en-GB"/>
        </w:rPr>
      </w:pPr>
      <w:r w:rsidRPr="00671F38">
        <w:rPr>
          <w:rFonts w:ascii="Calibri" w:hAnsi="Calibri" w:cs="Calibri"/>
          <w:lang w:val="en-GB"/>
        </w:rPr>
        <w:t xml:space="preserve">Capaldi, C., </w:t>
      </w:r>
      <w:proofErr w:type="spellStart"/>
      <w:r w:rsidRPr="00671F38">
        <w:rPr>
          <w:rFonts w:ascii="Calibri" w:hAnsi="Calibri" w:cs="Calibri"/>
          <w:lang w:val="en-GB"/>
        </w:rPr>
        <w:t>Dopko</w:t>
      </w:r>
      <w:proofErr w:type="spellEnd"/>
      <w:r w:rsidRPr="00671F38">
        <w:rPr>
          <w:rFonts w:ascii="Calibri" w:hAnsi="Calibri" w:cs="Calibri"/>
          <w:lang w:val="en-GB"/>
        </w:rPr>
        <w:t xml:space="preserve">, R. and Zelenski, J. (2014) </w:t>
      </w:r>
      <w:r w:rsidRPr="00671F38">
        <w:rPr>
          <w:rFonts w:ascii="Calibri" w:hAnsi="Calibri" w:cs="Calibri"/>
          <w:i/>
          <w:iCs/>
          <w:lang w:val="en-GB"/>
        </w:rPr>
        <w:t>The relationship between nature connectedness and happiness: a meta-analysis</w:t>
      </w:r>
      <w:r w:rsidRPr="00671F38">
        <w:rPr>
          <w:rFonts w:ascii="Calibri" w:hAnsi="Calibri" w:cs="Calibri"/>
          <w:lang w:val="en-GB"/>
        </w:rPr>
        <w:t xml:space="preserve">, </w:t>
      </w:r>
      <w:r w:rsidRPr="00671F38">
        <w:rPr>
          <w:rFonts w:ascii="Calibri" w:hAnsi="Calibri" w:cs="Calibri"/>
          <w:i/>
          <w:iCs/>
          <w:lang w:val="en-GB"/>
        </w:rPr>
        <w:t>Front. Psychol.</w:t>
      </w:r>
      <w:r w:rsidRPr="00671F38">
        <w:rPr>
          <w:rFonts w:ascii="Calibri" w:hAnsi="Calibri" w:cs="Calibri"/>
          <w:lang w:val="en-GB"/>
        </w:rPr>
        <w:t xml:space="preserve"> Available at: https://doi.org/10.3389/fpsyg.2014.00976.</w:t>
      </w:r>
    </w:p>
    <w:p w14:paraId="7414E1CF" w14:textId="77777777" w:rsidR="00A35208" w:rsidRPr="00671F38" w:rsidRDefault="00A35208" w:rsidP="005D7515">
      <w:pPr>
        <w:pStyle w:val="Bibliography"/>
        <w:jc w:val="both"/>
        <w:rPr>
          <w:rFonts w:ascii="Calibri" w:hAnsi="Calibri" w:cs="Calibri"/>
          <w:lang w:val="en-GB"/>
        </w:rPr>
      </w:pPr>
      <w:proofErr w:type="spellStart"/>
      <w:r w:rsidRPr="00671F38">
        <w:rPr>
          <w:rFonts w:ascii="Calibri" w:hAnsi="Calibri" w:cs="Calibri"/>
          <w:lang w:val="en-GB"/>
        </w:rPr>
        <w:t>Chalmin-Pui</w:t>
      </w:r>
      <w:proofErr w:type="spellEnd"/>
      <w:r w:rsidRPr="00671F38">
        <w:rPr>
          <w:rFonts w:ascii="Calibri" w:hAnsi="Calibri" w:cs="Calibri"/>
          <w:lang w:val="en-GB"/>
        </w:rPr>
        <w:t xml:space="preserve">, L.S. </w:t>
      </w:r>
      <w:r w:rsidRPr="00671F38">
        <w:rPr>
          <w:rFonts w:ascii="Calibri" w:hAnsi="Calibri" w:cs="Calibri"/>
          <w:i/>
          <w:iCs/>
          <w:lang w:val="en-GB"/>
        </w:rPr>
        <w:t>et al.</w:t>
      </w:r>
      <w:r w:rsidRPr="00671F38">
        <w:rPr>
          <w:rFonts w:ascii="Calibri" w:hAnsi="Calibri" w:cs="Calibri"/>
          <w:lang w:val="en-GB"/>
        </w:rPr>
        <w:t xml:space="preserve"> (2021) ‘</w:t>
      </w:r>
      <w:proofErr w:type="gramStart"/>
      <w:r w:rsidRPr="00671F38">
        <w:rPr>
          <w:rFonts w:ascii="Calibri" w:hAnsi="Calibri" w:cs="Calibri"/>
          <w:lang w:val="en-GB"/>
        </w:rPr>
        <w:t>Why garden</w:t>
      </w:r>
      <w:proofErr w:type="gramEnd"/>
      <w:r w:rsidRPr="00671F38">
        <w:rPr>
          <w:rFonts w:ascii="Calibri" w:hAnsi="Calibri" w:cs="Calibri"/>
          <w:lang w:val="en-GB"/>
        </w:rPr>
        <w:t xml:space="preserve">? – Attitudes and the perceived health benefits of home gardening’, </w:t>
      </w:r>
      <w:r w:rsidRPr="00671F38">
        <w:rPr>
          <w:rFonts w:ascii="Calibri" w:hAnsi="Calibri" w:cs="Calibri"/>
          <w:i/>
          <w:iCs/>
          <w:lang w:val="en-GB"/>
        </w:rPr>
        <w:t>Cities</w:t>
      </w:r>
      <w:r w:rsidRPr="00671F38">
        <w:rPr>
          <w:rFonts w:ascii="Calibri" w:hAnsi="Calibri" w:cs="Calibri"/>
          <w:lang w:val="en-GB"/>
        </w:rPr>
        <w:t>, 112(August 2020), p. 103118. Available at: https://doi.org/10.1016/j.cities.2021.103118.</w:t>
      </w:r>
    </w:p>
    <w:p w14:paraId="6027B344" w14:textId="77777777" w:rsidR="00A35208" w:rsidRPr="00671F38" w:rsidRDefault="00A35208" w:rsidP="005D7515">
      <w:pPr>
        <w:pStyle w:val="Bibliography"/>
        <w:jc w:val="both"/>
        <w:rPr>
          <w:rFonts w:ascii="Calibri" w:hAnsi="Calibri" w:cs="Calibri"/>
          <w:lang w:val="en-GB"/>
        </w:rPr>
      </w:pPr>
      <w:r w:rsidRPr="00671F38">
        <w:rPr>
          <w:rFonts w:ascii="Calibri" w:hAnsi="Calibri" w:cs="Calibri"/>
          <w:lang w:val="en-GB"/>
        </w:rPr>
        <w:t xml:space="preserve">Chenoweth, R. (1984) ‘Visitor Employed Photography: A Potential Tool for Landscape Architecture’, </w:t>
      </w:r>
      <w:r w:rsidRPr="00671F38">
        <w:rPr>
          <w:rFonts w:ascii="Calibri" w:hAnsi="Calibri" w:cs="Calibri"/>
          <w:i/>
          <w:iCs/>
          <w:lang w:val="en-GB"/>
        </w:rPr>
        <w:t>Landscape Journal</w:t>
      </w:r>
      <w:r w:rsidRPr="00671F38">
        <w:rPr>
          <w:rFonts w:ascii="Calibri" w:hAnsi="Calibri" w:cs="Calibri"/>
          <w:lang w:val="en-GB"/>
        </w:rPr>
        <w:t>, 3(2), pp. 136–143. Available at: https://doi.org/10.3368/lj.3.2.136.</w:t>
      </w:r>
    </w:p>
    <w:p w14:paraId="6E151549" w14:textId="77777777" w:rsidR="00A35208" w:rsidRPr="00671F38" w:rsidRDefault="00A35208" w:rsidP="005D7515">
      <w:pPr>
        <w:pStyle w:val="Bibliography"/>
        <w:jc w:val="both"/>
        <w:rPr>
          <w:rFonts w:ascii="Calibri" w:hAnsi="Calibri" w:cs="Calibri"/>
          <w:lang w:val="en-GB"/>
        </w:rPr>
      </w:pPr>
      <w:r w:rsidRPr="00671F38">
        <w:rPr>
          <w:rFonts w:ascii="Calibri" w:hAnsi="Calibri" w:cs="Calibri"/>
          <w:lang w:val="en-GB"/>
        </w:rPr>
        <w:t xml:space="preserve">Clark, N.E. </w:t>
      </w:r>
      <w:r w:rsidRPr="00671F38">
        <w:rPr>
          <w:rFonts w:ascii="Calibri" w:hAnsi="Calibri" w:cs="Calibri"/>
          <w:i/>
          <w:iCs/>
          <w:lang w:val="en-GB"/>
        </w:rPr>
        <w:t>et al.</w:t>
      </w:r>
      <w:r w:rsidRPr="00671F38">
        <w:rPr>
          <w:rFonts w:ascii="Calibri" w:hAnsi="Calibri" w:cs="Calibri"/>
          <w:lang w:val="en-GB"/>
        </w:rPr>
        <w:t xml:space="preserve"> (2014) ‘Biodiversity, cultural pathways, and human health: a framework’, </w:t>
      </w:r>
      <w:r w:rsidRPr="00671F38">
        <w:rPr>
          <w:rFonts w:ascii="Calibri" w:hAnsi="Calibri" w:cs="Calibri"/>
          <w:i/>
          <w:iCs/>
          <w:lang w:val="en-GB"/>
        </w:rPr>
        <w:t>Trends in Ecology &amp; Evolution</w:t>
      </w:r>
      <w:r w:rsidRPr="00671F38">
        <w:rPr>
          <w:rFonts w:ascii="Calibri" w:hAnsi="Calibri" w:cs="Calibri"/>
          <w:lang w:val="en-GB"/>
        </w:rPr>
        <w:t>, 29(4), pp. 198–204. Available at: https://doi.org/10.1016/j.tree.2014.01.009.</w:t>
      </w:r>
    </w:p>
    <w:p w14:paraId="39DE8CB4" w14:textId="77777777" w:rsidR="00A35208" w:rsidRPr="00671F38" w:rsidRDefault="00A35208" w:rsidP="005D7515">
      <w:pPr>
        <w:pStyle w:val="Bibliography"/>
        <w:jc w:val="both"/>
        <w:rPr>
          <w:rFonts w:ascii="Calibri" w:hAnsi="Calibri" w:cs="Calibri"/>
          <w:lang w:val="en-GB"/>
        </w:rPr>
      </w:pPr>
      <w:r w:rsidRPr="00671F38">
        <w:rPr>
          <w:rFonts w:ascii="Calibri" w:hAnsi="Calibri" w:cs="Calibri"/>
          <w:lang w:val="en-GB"/>
        </w:rPr>
        <w:t xml:space="preserve">Corazon, S.S. </w:t>
      </w:r>
      <w:r w:rsidRPr="00671F38">
        <w:rPr>
          <w:rFonts w:ascii="Calibri" w:hAnsi="Calibri" w:cs="Calibri"/>
          <w:i/>
          <w:iCs/>
          <w:lang w:val="en-GB"/>
        </w:rPr>
        <w:t>et al.</w:t>
      </w:r>
      <w:r w:rsidRPr="00671F38">
        <w:rPr>
          <w:rFonts w:ascii="Calibri" w:hAnsi="Calibri" w:cs="Calibri"/>
          <w:lang w:val="en-GB"/>
        </w:rPr>
        <w:t xml:space="preserve"> (2019) ‘Psycho-physiological stress recovery in outdoor nature-based interventions: a systematic review of the past eight years of research’, </w:t>
      </w:r>
      <w:r w:rsidRPr="00671F38">
        <w:rPr>
          <w:rFonts w:ascii="Calibri" w:hAnsi="Calibri" w:cs="Calibri"/>
          <w:i/>
          <w:iCs/>
          <w:lang w:val="en-GB"/>
        </w:rPr>
        <w:t>International Journal of Environmental Research and Public Health</w:t>
      </w:r>
      <w:r w:rsidRPr="00671F38">
        <w:rPr>
          <w:rFonts w:ascii="Calibri" w:hAnsi="Calibri" w:cs="Calibri"/>
          <w:lang w:val="en-GB"/>
        </w:rPr>
        <w:t>, 16(10), p. 1711.</w:t>
      </w:r>
    </w:p>
    <w:p w14:paraId="29C8A08C" w14:textId="77777777" w:rsidR="00A35208" w:rsidRPr="00671F38" w:rsidRDefault="00A35208" w:rsidP="005D7515">
      <w:pPr>
        <w:pStyle w:val="Bibliography"/>
        <w:jc w:val="both"/>
        <w:rPr>
          <w:rFonts w:ascii="Calibri" w:hAnsi="Calibri" w:cs="Calibri"/>
          <w:lang w:val="en-GB"/>
        </w:rPr>
      </w:pPr>
      <w:proofErr w:type="spellStart"/>
      <w:r w:rsidRPr="00671F38">
        <w:rPr>
          <w:rFonts w:ascii="Calibri" w:hAnsi="Calibri" w:cs="Calibri"/>
          <w:lang w:val="en-GB"/>
        </w:rPr>
        <w:t>Dallimer</w:t>
      </w:r>
      <w:proofErr w:type="spellEnd"/>
      <w:r w:rsidRPr="00671F38">
        <w:rPr>
          <w:rFonts w:ascii="Calibri" w:hAnsi="Calibri" w:cs="Calibri"/>
          <w:lang w:val="en-GB"/>
        </w:rPr>
        <w:t xml:space="preserve">, M. </w:t>
      </w:r>
      <w:r w:rsidRPr="00671F38">
        <w:rPr>
          <w:rFonts w:ascii="Calibri" w:hAnsi="Calibri" w:cs="Calibri"/>
          <w:i/>
          <w:iCs/>
          <w:lang w:val="en-GB"/>
        </w:rPr>
        <w:t>et al.</w:t>
      </w:r>
      <w:r w:rsidRPr="00671F38">
        <w:rPr>
          <w:rFonts w:ascii="Calibri" w:hAnsi="Calibri" w:cs="Calibri"/>
          <w:lang w:val="en-GB"/>
        </w:rPr>
        <w:t xml:space="preserve"> (2012) ‘Biodiversity and the Feel-Good Factor: Understanding Associations between Self-Reported Human Well-being and Species Richness’, </w:t>
      </w:r>
      <w:proofErr w:type="spellStart"/>
      <w:r w:rsidRPr="00671F38">
        <w:rPr>
          <w:rFonts w:ascii="Calibri" w:hAnsi="Calibri" w:cs="Calibri"/>
          <w:i/>
          <w:iCs/>
          <w:lang w:val="en-GB"/>
        </w:rPr>
        <w:t>BioScience</w:t>
      </w:r>
      <w:proofErr w:type="spellEnd"/>
      <w:r w:rsidRPr="00671F38">
        <w:rPr>
          <w:rFonts w:ascii="Calibri" w:hAnsi="Calibri" w:cs="Calibri"/>
          <w:lang w:val="en-GB"/>
        </w:rPr>
        <w:t>, 62(1), pp. 47–55. Available at: https://doi.org/10.1525/bio.2012.62.1.9.</w:t>
      </w:r>
    </w:p>
    <w:p w14:paraId="10C3D575" w14:textId="77777777" w:rsidR="00A35208" w:rsidRPr="00671F38" w:rsidRDefault="00A35208" w:rsidP="005D7515">
      <w:pPr>
        <w:pStyle w:val="Bibliography"/>
        <w:jc w:val="both"/>
        <w:rPr>
          <w:rFonts w:ascii="Calibri" w:hAnsi="Calibri" w:cs="Calibri"/>
          <w:lang w:val="en-GB"/>
        </w:rPr>
      </w:pPr>
      <w:r w:rsidRPr="00671F38">
        <w:rPr>
          <w:rFonts w:ascii="Calibri" w:hAnsi="Calibri" w:cs="Calibri"/>
          <w:lang w:val="en-GB"/>
        </w:rPr>
        <w:lastRenderedPageBreak/>
        <w:t xml:space="preserve">Daniels, B. </w:t>
      </w:r>
      <w:r w:rsidRPr="00671F38">
        <w:rPr>
          <w:rFonts w:ascii="Calibri" w:hAnsi="Calibri" w:cs="Calibri"/>
          <w:i/>
          <w:iCs/>
          <w:lang w:val="en-GB"/>
        </w:rPr>
        <w:t>et al.</w:t>
      </w:r>
      <w:r w:rsidRPr="00671F38">
        <w:rPr>
          <w:rFonts w:ascii="Calibri" w:hAnsi="Calibri" w:cs="Calibri"/>
          <w:lang w:val="en-GB"/>
        </w:rPr>
        <w:t xml:space="preserve"> (2018) ‘Assessment of urban green space structures and their quality from a multidimensional perspective’, </w:t>
      </w:r>
      <w:r w:rsidRPr="00671F38">
        <w:rPr>
          <w:rFonts w:ascii="Calibri" w:hAnsi="Calibri" w:cs="Calibri"/>
          <w:i/>
          <w:iCs/>
          <w:lang w:val="en-GB"/>
        </w:rPr>
        <w:t>Science of The Total Environment</w:t>
      </w:r>
      <w:r w:rsidRPr="00671F38">
        <w:rPr>
          <w:rFonts w:ascii="Calibri" w:hAnsi="Calibri" w:cs="Calibri"/>
          <w:lang w:val="en-GB"/>
        </w:rPr>
        <w:t>, 615, pp. 1364–1378. Available at: https://doi.org/10.1016/j.scitotenv.2017.09.167.</w:t>
      </w:r>
    </w:p>
    <w:p w14:paraId="43E09EA1" w14:textId="77777777" w:rsidR="00A35208" w:rsidRPr="00671F38" w:rsidRDefault="00A35208" w:rsidP="005D7515">
      <w:pPr>
        <w:pStyle w:val="Bibliography"/>
        <w:jc w:val="both"/>
        <w:rPr>
          <w:rFonts w:ascii="Calibri" w:hAnsi="Calibri" w:cs="Calibri"/>
          <w:lang w:val="en-GB"/>
        </w:rPr>
      </w:pPr>
      <w:r w:rsidRPr="00671F38">
        <w:rPr>
          <w:rFonts w:ascii="Calibri" w:hAnsi="Calibri" w:cs="Calibri"/>
          <w:lang w:val="en-GB"/>
        </w:rPr>
        <w:t xml:space="preserve">De Bell, S. </w:t>
      </w:r>
      <w:r w:rsidRPr="00671F38">
        <w:rPr>
          <w:rFonts w:ascii="Calibri" w:hAnsi="Calibri" w:cs="Calibri"/>
          <w:i/>
          <w:iCs/>
          <w:lang w:val="en-GB"/>
        </w:rPr>
        <w:t>et al.</w:t>
      </w:r>
      <w:r w:rsidRPr="00671F38">
        <w:rPr>
          <w:rFonts w:ascii="Calibri" w:hAnsi="Calibri" w:cs="Calibri"/>
          <w:lang w:val="en-GB"/>
        </w:rPr>
        <w:t xml:space="preserve"> (2020) ‘Spending time in the garden is positively associated with health and wellbeing: Results from a national survey in England’, </w:t>
      </w:r>
      <w:r w:rsidRPr="00671F38">
        <w:rPr>
          <w:rFonts w:ascii="Calibri" w:hAnsi="Calibri" w:cs="Calibri"/>
          <w:i/>
          <w:iCs/>
          <w:lang w:val="en-GB"/>
        </w:rPr>
        <w:t>Landscape and Urban Planning</w:t>
      </w:r>
      <w:r w:rsidRPr="00671F38">
        <w:rPr>
          <w:rFonts w:ascii="Calibri" w:hAnsi="Calibri" w:cs="Calibri"/>
          <w:lang w:val="en-GB"/>
        </w:rPr>
        <w:t>, 200, p. 103836. Available at: https://doi.org/10.1016/j.landurbplan.2020.103836.</w:t>
      </w:r>
    </w:p>
    <w:p w14:paraId="1B325803" w14:textId="77777777" w:rsidR="00A35208" w:rsidRPr="00671F38" w:rsidRDefault="00A35208" w:rsidP="005D7515">
      <w:pPr>
        <w:pStyle w:val="Bibliography"/>
        <w:jc w:val="both"/>
        <w:rPr>
          <w:rFonts w:ascii="Calibri" w:hAnsi="Calibri" w:cs="Calibri"/>
          <w:lang w:val="en-GB"/>
        </w:rPr>
      </w:pPr>
      <w:r w:rsidRPr="00671F38">
        <w:rPr>
          <w:rFonts w:ascii="Calibri" w:hAnsi="Calibri" w:cs="Calibri"/>
          <w:lang w:val="en-GB"/>
        </w:rPr>
        <w:t xml:space="preserve">Dilley, J. and Wolf, K. (2013) ‘Homeowner Interactions with Residential Trees in Urban Areas’, </w:t>
      </w:r>
      <w:r w:rsidRPr="00671F38">
        <w:rPr>
          <w:rFonts w:ascii="Calibri" w:hAnsi="Calibri" w:cs="Calibri"/>
          <w:i/>
          <w:iCs/>
          <w:lang w:val="en-GB"/>
        </w:rPr>
        <w:t>Arboriculture &amp; Urban Forestry</w:t>
      </w:r>
      <w:r w:rsidRPr="00671F38">
        <w:rPr>
          <w:rFonts w:ascii="Calibri" w:hAnsi="Calibri" w:cs="Calibri"/>
          <w:lang w:val="en-GB"/>
        </w:rPr>
        <w:t>, 39(6). Available at: https://doi.org/10.48044/jauf.2013.034.</w:t>
      </w:r>
    </w:p>
    <w:p w14:paraId="7567368A" w14:textId="77777777" w:rsidR="00A35208" w:rsidRPr="00671F38" w:rsidRDefault="00A35208" w:rsidP="005D7515">
      <w:pPr>
        <w:pStyle w:val="Bibliography"/>
        <w:jc w:val="both"/>
        <w:rPr>
          <w:rFonts w:ascii="Calibri" w:hAnsi="Calibri" w:cs="Calibri"/>
          <w:lang w:val="en-GB"/>
        </w:rPr>
      </w:pPr>
      <w:proofErr w:type="spellStart"/>
      <w:r w:rsidRPr="00671F38">
        <w:rPr>
          <w:rFonts w:ascii="Calibri" w:hAnsi="Calibri" w:cs="Calibri"/>
          <w:lang w:val="en-GB"/>
        </w:rPr>
        <w:t>Elsadek</w:t>
      </w:r>
      <w:proofErr w:type="spellEnd"/>
      <w:r w:rsidRPr="00671F38">
        <w:rPr>
          <w:rFonts w:ascii="Calibri" w:hAnsi="Calibri" w:cs="Calibri"/>
          <w:lang w:val="en-GB"/>
        </w:rPr>
        <w:t xml:space="preserve">, M., Liu, B. and Xie, J. (2020) ‘Window view and relaxation: Viewing green space from a high-rise estate improves urban dwellers’ wellbeing’, </w:t>
      </w:r>
      <w:r w:rsidRPr="00671F38">
        <w:rPr>
          <w:rFonts w:ascii="Calibri" w:hAnsi="Calibri" w:cs="Calibri"/>
          <w:i/>
          <w:iCs/>
          <w:lang w:val="en-GB"/>
        </w:rPr>
        <w:t>Urban Forestry &amp; Urban Greening</w:t>
      </w:r>
      <w:r w:rsidRPr="00671F38">
        <w:rPr>
          <w:rFonts w:ascii="Calibri" w:hAnsi="Calibri" w:cs="Calibri"/>
          <w:lang w:val="en-GB"/>
        </w:rPr>
        <w:t>, 55, p. 126846. Available at: https://doi.org/10.1016/j.ufug.2020.126846.</w:t>
      </w:r>
    </w:p>
    <w:p w14:paraId="13A448F7" w14:textId="77777777" w:rsidR="00A35208" w:rsidRPr="00671F38" w:rsidRDefault="00A35208" w:rsidP="005D7515">
      <w:pPr>
        <w:pStyle w:val="Bibliography"/>
        <w:jc w:val="both"/>
        <w:rPr>
          <w:rFonts w:ascii="Calibri" w:hAnsi="Calibri" w:cs="Calibri"/>
          <w:lang w:val="en-GB"/>
        </w:rPr>
      </w:pPr>
      <w:r w:rsidRPr="00671F38">
        <w:rPr>
          <w:rFonts w:ascii="Calibri" w:hAnsi="Calibri" w:cs="Calibri"/>
          <w:lang w:val="en-GB"/>
        </w:rPr>
        <w:t xml:space="preserve">European Commission (2019) </w:t>
      </w:r>
      <w:r w:rsidRPr="00671F38">
        <w:rPr>
          <w:rFonts w:ascii="Calibri" w:hAnsi="Calibri" w:cs="Calibri"/>
          <w:i/>
          <w:iCs/>
          <w:lang w:val="en-GB"/>
        </w:rPr>
        <w:t>Guidance on a strategic framework for further supporting the deployment of EU-level green and blue infrastructure</w:t>
      </w:r>
      <w:r w:rsidRPr="00671F38">
        <w:rPr>
          <w:rFonts w:ascii="Calibri" w:hAnsi="Calibri" w:cs="Calibri"/>
          <w:lang w:val="en-GB"/>
        </w:rPr>
        <w:t>. European Commission. Available at: https://data.consilium.europa.eu/doc/document/ST-9762-2019-INIT/en/pdf (Accessed: 30 July 2024).</w:t>
      </w:r>
    </w:p>
    <w:p w14:paraId="208FF6E3" w14:textId="77777777" w:rsidR="00A35208" w:rsidRPr="00671F38" w:rsidRDefault="00A35208" w:rsidP="005D7515">
      <w:pPr>
        <w:pStyle w:val="Bibliography"/>
        <w:jc w:val="both"/>
        <w:rPr>
          <w:rFonts w:ascii="Calibri" w:hAnsi="Calibri" w:cs="Calibri"/>
          <w:lang w:val="en-GB"/>
        </w:rPr>
      </w:pPr>
      <w:r w:rsidRPr="00671F38">
        <w:rPr>
          <w:rFonts w:ascii="Calibri" w:hAnsi="Calibri" w:cs="Calibri"/>
          <w:lang w:val="en-GB"/>
        </w:rPr>
        <w:t xml:space="preserve">Frumkin, H. </w:t>
      </w:r>
      <w:r w:rsidRPr="00671F38">
        <w:rPr>
          <w:rFonts w:ascii="Calibri" w:hAnsi="Calibri" w:cs="Calibri"/>
          <w:i/>
          <w:iCs/>
          <w:lang w:val="en-GB"/>
        </w:rPr>
        <w:t>et al.</w:t>
      </w:r>
      <w:r w:rsidRPr="00671F38">
        <w:rPr>
          <w:rFonts w:ascii="Calibri" w:hAnsi="Calibri" w:cs="Calibri"/>
          <w:lang w:val="en-GB"/>
        </w:rPr>
        <w:t xml:space="preserve"> (2017) ‘Nature Contact and Human Health: A Research Agenda’, </w:t>
      </w:r>
      <w:r w:rsidRPr="00671F38">
        <w:rPr>
          <w:rFonts w:ascii="Calibri" w:hAnsi="Calibri" w:cs="Calibri"/>
          <w:i/>
          <w:iCs/>
          <w:lang w:val="en-GB"/>
        </w:rPr>
        <w:t>Environmental Health Perspectives (Online)</w:t>
      </w:r>
      <w:r w:rsidRPr="00671F38">
        <w:rPr>
          <w:rFonts w:ascii="Calibri" w:hAnsi="Calibri" w:cs="Calibri"/>
          <w:lang w:val="en-GB"/>
        </w:rPr>
        <w:t>, 125(7). Available at: https://doi.org/10.1289/EHP1663.</w:t>
      </w:r>
    </w:p>
    <w:p w14:paraId="4DFF1D0F" w14:textId="77777777" w:rsidR="00A35208" w:rsidRPr="00671F38" w:rsidRDefault="00A35208" w:rsidP="005D7515">
      <w:pPr>
        <w:pStyle w:val="Bibliography"/>
        <w:jc w:val="both"/>
        <w:rPr>
          <w:rFonts w:ascii="Calibri" w:hAnsi="Calibri" w:cs="Calibri"/>
          <w:lang w:val="en-GB"/>
        </w:rPr>
      </w:pPr>
      <w:r w:rsidRPr="00671F38">
        <w:rPr>
          <w:rFonts w:ascii="Calibri" w:hAnsi="Calibri" w:cs="Calibri"/>
          <w:lang w:val="en-GB"/>
        </w:rPr>
        <w:t xml:space="preserve">Fuller, R.A. </w:t>
      </w:r>
      <w:r w:rsidRPr="00671F38">
        <w:rPr>
          <w:rFonts w:ascii="Calibri" w:hAnsi="Calibri" w:cs="Calibri"/>
          <w:i/>
          <w:iCs/>
          <w:lang w:val="en-GB"/>
        </w:rPr>
        <w:t>et al.</w:t>
      </w:r>
      <w:r w:rsidRPr="00671F38">
        <w:rPr>
          <w:rFonts w:ascii="Calibri" w:hAnsi="Calibri" w:cs="Calibri"/>
          <w:lang w:val="en-GB"/>
        </w:rPr>
        <w:t xml:space="preserve"> (2007) ‘Psychological benefits of greenspace increase with biodiversity.’, </w:t>
      </w:r>
      <w:r w:rsidRPr="00671F38">
        <w:rPr>
          <w:rFonts w:ascii="Calibri" w:hAnsi="Calibri" w:cs="Calibri"/>
          <w:i/>
          <w:iCs/>
          <w:lang w:val="en-GB"/>
        </w:rPr>
        <w:t>Biology letters</w:t>
      </w:r>
      <w:r w:rsidRPr="00671F38">
        <w:rPr>
          <w:rFonts w:ascii="Calibri" w:hAnsi="Calibri" w:cs="Calibri"/>
          <w:lang w:val="en-GB"/>
        </w:rPr>
        <w:t>. Edited by R.A. Fuller, 3(4), pp. 390–394. Available at: https://doi.org/10.1098/rsbl.2007.0149.</w:t>
      </w:r>
    </w:p>
    <w:p w14:paraId="4F0AA3F0" w14:textId="77777777" w:rsidR="00A35208" w:rsidRPr="00671F38" w:rsidRDefault="00A35208" w:rsidP="005D7515">
      <w:pPr>
        <w:pStyle w:val="Bibliography"/>
        <w:jc w:val="both"/>
        <w:rPr>
          <w:rFonts w:ascii="Calibri" w:hAnsi="Calibri" w:cs="Calibri"/>
          <w:lang w:val="en-GB"/>
        </w:rPr>
      </w:pPr>
      <w:r w:rsidRPr="00671F38">
        <w:rPr>
          <w:rFonts w:ascii="Calibri" w:hAnsi="Calibri" w:cs="Calibri"/>
          <w:lang w:val="en-GB"/>
        </w:rPr>
        <w:t xml:space="preserve">Gaston, K.J. </w:t>
      </w:r>
      <w:r w:rsidRPr="00671F38">
        <w:rPr>
          <w:rFonts w:ascii="Calibri" w:hAnsi="Calibri" w:cs="Calibri"/>
          <w:i/>
          <w:iCs/>
          <w:lang w:val="en-GB"/>
        </w:rPr>
        <w:t>et al.</w:t>
      </w:r>
      <w:r w:rsidRPr="00671F38">
        <w:rPr>
          <w:rFonts w:ascii="Calibri" w:hAnsi="Calibri" w:cs="Calibri"/>
          <w:lang w:val="en-GB"/>
        </w:rPr>
        <w:t xml:space="preserve"> (2005) ‘Urban Domestic Gardens (IV): The Extent of the Resource and its Associated Features’, </w:t>
      </w:r>
      <w:r w:rsidRPr="00671F38">
        <w:rPr>
          <w:rFonts w:ascii="Calibri" w:hAnsi="Calibri" w:cs="Calibri"/>
          <w:i/>
          <w:iCs/>
          <w:lang w:val="en-GB"/>
        </w:rPr>
        <w:t>Biodiversity and Conservation</w:t>
      </w:r>
      <w:r w:rsidRPr="00671F38">
        <w:rPr>
          <w:rFonts w:ascii="Calibri" w:hAnsi="Calibri" w:cs="Calibri"/>
          <w:lang w:val="en-GB"/>
        </w:rPr>
        <w:t>, 14(14), pp. 3327–3349. Available at: https://doi.org/10.1007/s10531-004-9513-9.</w:t>
      </w:r>
    </w:p>
    <w:p w14:paraId="663FFFB5" w14:textId="77777777" w:rsidR="00A35208" w:rsidRPr="00671F38" w:rsidRDefault="00A35208" w:rsidP="005D7515">
      <w:pPr>
        <w:pStyle w:val="Bibliography"/>
        <w:jc w:val="both"/>
        <w:rPr>
          <w:rFonts w:ascii="Calibri" w:hAnsi="Calibri" w:cs="Calibri"/>
          <w:lang w:val="en-GB"/>
        </w:rPr>
      </w:pPr>
      <w:r w:rsidRPr="00671F38">
        <w:rPr>
          <w:rFonts w:ascii="Calibri" w:hAnsi="Calibri" w:cs="Calibri"/>
          <w:lang w:val="en-GB"/>
        </w:rPr>
        <w:t xml:space="preserve">Gonçalves, P. </w:t>
      </w:r>
      <w:r w:rsidRPr="00671F38">
        <w:rPr>
          <w:rFonts w:ascii="Calibri" w:hAnsi="Calibri" w:cs="Calibri"/>
          <w:i/>
          <w:iCs/>
          <w:lang w:val="en-GB"/>
        </w:rPr>
        <w:t>et al.</w:t>
      </w:r>
      <w:r w:rsidRPr="00671F38">
        <w:rPr>
          <w:rFonts w:ascii="Calibri" w:hAnsi="Calibri" w:cs="Calibri"/>
          <w:lang w:val="en-GB"/>
        </w:rPr>
        <w:t xml:space="preserve"> (2021) ‘What’s biodiversity got to do with it? Perceptions of biodiversity and </w:t>
      </w:r>
      <w:proofErr w:type="spellStart"/>
      <w:r w:rsidRPr="00671F38">
        <w:rPr>
          <w:rFonts w:ascii="Calibri" w:hAnsi="Calibri" w:cs="Calibri"/>
          <w:lang w:val="en-GB"/>
        </w:rPr>
        <w:t>restorativeness</w:t>
      </w:r>
      <w:proofErr w:type="spellEnd"/>
      <w:r w:rsidRPr="00671F38">
        <w:rPr>
          <w:rFonts w:ascii="Calibri" w:hAnsi="Calibri" w:cs="Calibri"/>
          <w:lang w:val="en-GB"/>
        </w:rPr>
        <w:t xml:space="preserve"> in urban parks’, </w:t>
      </w:r>
      <w:r w:rsidRPr="00671F38">
        <w:rPr>
          <w:rFonts w:ascii="Calibri" w:hAnsi="Calibri" w:cs="Calibri"/>
          <w:i/>
          <w:iCs/>
          <w:lang w:val="en-GB"/>
        </w:rPr>
        <w:t>Ecology and Society</w:t>
      </w:r>
      <w:r w:rsidRPr="00671F38">
        <w:rPr>
          <w:rFonts w:ascii="Calibri" w:hAnsi="Calibri" w:cs="Calibri"/>
          <w:lang w:val="en-GB"/>
        </w:rPr>
        <w:t>, 26(3). Available at: https://doi.org/10.5751/ES-12598-260325.</w:t>
      </w:r>
    </w:p>
    <w:p w14:paraId="4041B492" w14:textId="77777777" w:rsidR="00A35208" w:rsidRPr="00671F38" w:rsidRDefault="00A35208" w:rsidP="005D7515">
      <w:pPr>
        <w:pStyle w:val="Bibliography"/>
        <w:jc w:val="both"/>
        <w:rPr>
          <w:rFonts w:ascii="Calibri" w:hAnsi="Calibri" w:cs="Calibri"/>
          <w:lang w:val="en-GB"/>
        </w:rPr>
      </w:pPr>
      <w:r w:rsidRPr="00671F38">
        <w:rPr>
          <w:rFonts w:ascii="Calibri" w:hAnsi="Calibri" w:cs="Calibri"/>
          <w:lang w:val="en-GB"/>
        </w:rPr>
        <w:t xml:space="preserve">Guerrero, P. </w:t>
      </w:r>
      <w:r w:rsidRPr="00671F38">
        <w:rPr>
          <w:rFonts w:ascii="Calibri" w:hAnsi="Calibri" w:cs="Calibri"/>
          <w:i/>
          <w:iCs/>
          <w:lang w:val="en-GB"/>
        </w:rPr>
        <w:t>et al.</w:t>
      </w:r>
      <w:r w:rsidRPr="00671F38">
        <w:rPr>
          <w:rFonts w:ascii="Calibri" w:hAnsi="Calibri" w:cs="Calibri"/>
          <w:lang w:val="en-GB"/>
        </w:rPr>
        <w:t xml:space="preserve"> (2016) ‘Revealing cultural ecosystem services through </w:t>
      </w:r>
      <w:proofErr w:type="spellStart"/>
      <w:r w:rsidRPr="00671F38">
        <w:rPr>
          <w:rFonts w:ascii="Calibri" w:hAnsi="Calibri" w:cs="Calibri"/>
          <w:lang w:val="en-GB"/>
        </w:rPr>
        <w:t>instagram</w:t>
      </w:r>
      <w:proofErr w:type="spellEnd"/>
      <w:r w:rsidRPr="00671F38">
        <w:rPr>
          <w:rFonts w:ascii="Calibri" w:hAnsi="Calibri" w:cs="Calibri"/>
          <w:lang w:val="en-GB"/>
        </w:rPr>
        <w:t xml:space="preserve"> images: The potential of social media volunteered geographic information for urban green infrastructure planning and governance’, </w:t>
      </w:r>
      <w:r w:rsidRPr="00671F38">
        <w:rPr>
          <w:rFonts w:ascii="Calibri" w:hAnsi="Calibri" w:cs="Calibri"/>
          <w:i/>
          <w:iCs/>
          <w:lang w:val="en-GB"/>
        </w:rPr>
        <w:t>Urban Planning</w:t>
      </w:r>
      <w:r w:rsidRPr="00671F38">
        <w:rPr>
          <w:rFonts w:ascii="Calibri" w:hAnsi="Calibri" w:cs="Calibri"/>
          <w:lang w:val="en-GB"/>
        </w:rPr>
        <w:t>, 1(2), pp. 1–17. Available at: https://doi.org/10.17645/up.v1i2.609.</w:t>
      </w:r>
    </w:p>
    <w:p w14:paraId="33B91B82" w14:textId="77777777" w:rsidR="00A35208" w:rsidRPr="00671F38" w:rsidRDefault="00A35208" w:rsidP="005D7515">
      <w:pPr>
        <w:pStyle w:val="Bibliography"/>
        <w:jc w:val="both"/>
        <w:rPr>
          <w:rFonts w:ascii="Calibri" w:hAnsi="Calibri" w:cs="Calibri"/>
          <w:lang w:val="en-GB"/>
        </w:rPr>
      </w:pPr>
      <w:r w:rsidRPr="00671F38">
        <w:rPr>
          <w:rFonts w:ascii="Calibri" w:hAnsi="Calibri" w:cs="Calibri"/>
          <w:lang w:val="en-GB"/>
        </w:rPr>
        <w:t xml:space="preserve">Hartig, T. </w:t>
      </w:r>
      <w:r w:rsidRPr="00671F38">
        <w:rPr>
          <w:rFonts w:ascii="Calibri" w:hAnsi="Calibri" w:cs="Calibri"/>
          <w:i/>
          <w:iCs/>
          <w:lang w:val="en-GB"/>
        </w:rPr>
        <w:t>et al.</w:t>
      </w:r>
      <w:r w:rsidRPr="00671F38">
        <w:rPr>
          <w:rFonts w:ascii="Calibri" w:hAnsi="Calibri" w:cs="Calibri"/>
          <w:lang w:val="en-GB"/>
        </w:rPr>
        <w:t xml:space="preserve"> (2014) ‘Nature and Health’, </w:t>
      </w:r>
      <w:r w:rsidRPr="00671F38">
        <w:rPr>
          <w:rFonts w:ascii="Calibri" w:hAnsi="Calibri" w:cs="Calibri"/>
          <w:i/>
          <w:iCs/>
          <w:lang w:val="en-GB"/>
        </w:rPr>
        <w:t>Annu. Rev. Public Health</w:t>
      </w:r>
      <w:r w:rsidRPr="00671F38">
        <w:rPr>
          <w:rFonts w:ascii="Calibri" w:hAnsi="Calibri" w:cs="Calibri"/>
          <w:lang w:val="en-GB"/>
        </w:rPr>
        <w:t>, 35(1), pp. 207–228. Available at: https://doi.org/10.1146/annurev-publhealth-032013-182443.</w:t>
      </w:r>
    </w:p>
    <w:p w14:paraId="5F61153A" w14:textId="77777777" w:rsidR="00A35208" w:rsidRPr="00671F38" w:rsidRDefault="00A35208" w:rsidP="005D7515">
      <w:pPr>
        <w:pStyle w:val="Bibliography"/>
        <w:jc w:val="both"/>
        <w:rPr>
          <w:rFonts w:ascii="Calibri" w:hAnsi="Calibri" w:cs="Calibri"/>
          <w:lang w:val="en-GB"/>
        </w:rPr>
      </w:pPr>
      <w:r w:rsidRPr="00671F38">
        <w:rPr>
          <w:rFonts w:ascii="Calibri" w:hAnsi="Calibri" w:cs="Calibri"/>
          <w:lang w:val="en-GB"/>
        </w:rPr>
        <w:t xml:space="preserve">Hedeker, D. (2015) ‘Methods for Multilevel Ordinal Data in Prevention Research’, </w:t>
      </w:r>
      <w:r w:rsidRPr="00671F38">
        <w:rPr>
          <w:rFonts w:ascii="Calibri" w:hAnsi="Calibri" w:cs="Calibri"/>
          <w:i/>
          <w:iCs/>
          <w:lang w:val="en-GB"/>
        </w:rPr>
        <w:t>Prevention Science</w:t>
      </w:r>
      <w:r w:rsidRPr="00671F38">
        <w:rPr>
          <w:rFonts w:ascii="Calibri" w:hAnsi="Calibri" w:cs="Calibri"/>
          <w:lang w:val="en-GB"/>
        </w:rPr>
        <w:t>, 16(7), pp. 997–1006. Available at: https://doi.org/10.1007/s11121-014-0495-x.</w:t>
      </w:r>
    </w:p>
    <w:p w14:paraId="2A784B75" w14:textId="77777777" w:rsidR="00A35208" w:rsidRPr="00671F38" w:rsidRDefault="00A35208" w:rsidP="005D7515">
      <w:pPr>
        <w:pStyle w:val="Bibliography"/>
        <w:jc w:val="both"/>
        <w:rPr>
          <w:rFonts w:ascii="Calibri" w:hAnsi="Calibri" w:cs="Calibri"/>
          <w:lang w:val="en-GB"/>
        </w:rPr>
      </w:pPr>
      <w:r w:rsidRPr="00671F38">
        <w:rPr>
          <w:rFonts w:ascii="Calibri" w:hAnsi="Calibri" w:cs="Calibri"/>
          <w:lang w:val="en-GB"/>
        </w:rPr>
        <w:lastRenderedPageBreak/>
        <w:t xml:space="preserve">Hepburn, L. </w:t>
      </w:r>
      <w:r w:rsidRPr="00671F38">
        <w:rPr>
          <w:rFonts w:ascii="Calibri" w:hAnsi="Calibri" w:cs="Calibri"/>
          <w:i/>
          <w:iCs/>
          <w:lang w:val="en-GB"/>
        </w:rPr>
        <w:t>et al.</w:t>
      </w:r>
      <w:r w:rsidRPr="00671F38">
        <w:rPr>
          <w:rFonts w:ascii="Calibri" w:hAnsi="Calibri" w:cs="Calibri"/>
          <w:lang w:val="en-GB"/>
        </w:rPr>
        <w:t xml:space="preserve"> (2021) ‘Bird Diversity Unconsciously Increases People’s Satisfaction with Where They Live’, </w:t>
      </w:r>
      <w:r w:rsidRPr="00671F38">
        <w:rPr>
          <w:rFonts w:ascii="Calibri" w:hAnsi="Calibri" w:cs="Calibri"/>
          <w:i/>
          <w:iCs/>
          <w:lang w:val="en-GB"/>
        </w:rPr>
        <w:t>Land</w:t>
      </w:r>
      <w:r w:rsidRPr="00671F38">
        <w:rPr>
          <w:rFonts w:ascii="Calibri" w:hAnsi="Calibri" w:cs="Calibri"/>
          <w:lang w:val="en-GB"/>
        </w:rPr>
        <w:t>, 10(2), p. 153. Available at: https://doi.org/10.3390/land10020153.</w:t>
      </w:r>
    </w:p>
    <w:p w14:paraId="63F384DE" w14:textId="77777777" w:rsidR="00A35208" w:rsidRPr="00671F38" w:rsidRDefault="00A35208" w:rsidP="005D7515">
      <w:pPr>
        <w:pStyle w:val="Bibliography"/>
        <w:jc w:val="both"/>
        <w:rPr>
          <w:rFonts w:ascii="Calibri" w:hAnsi="Calibri" w:cs="Calibri"/>
          <w:lang w:val="en-GB"/>
        </w:rPr>
      </w:pPr>
      <w:r w:rsidRPr="00671F38">
        <w:rPr>
          <w:rFonts w:ascii="Calibri" w:hAnsi="Calibri" w:cs="Calibri"/>
          <w:lang w:val="en-GB"/>
        </w:rPr>
        <w:t xml:space="preserve">Heydon, J. (2020) ‘Procedural Environmental Injustice in “Europe’s Greenest City”: A Case Study into the Felling of Sheffield’s Street Trees’, </w:t>
      </w:r>
      <w:r w:rsidRPr="00671F38">
        <w:rPr>
          <w:rFonts w:ascii="Calibri" w:hAnsi="Calibri" w:cs="Calibri"/>
          <w:i/>
          <w:iCs/>
          <w:lang w:val="en-GB"/>
        </w:rPr>
        <w:t>Social Sciences</w:t>
      </w:r>
      <w:r w:rsidRPr="00671F38">
        <w:rPr>
          <w:rFonts w:ascii="Calibri" w:hAnsi="Calibri" w:cs="Calibri"/>
          <w:lang w:val="en-GB"/>
        </w:rPr>
        <w:t>, 9(6), p. 100. Available at: https://doi.org/10.3390/socsci9060100.</w:t>
      </w:r>
    </w:p>
    <w:p w14:paraId="103D2FCA" w14:textId="77777777" w:rsidR="00A35208" w:rsidRPr="00671F38" w:rsidRDefault="00A35208" w:rsidP="005D7515">
      <w:pPr>
        <w:pStyle w:val="Bibliography"/>
        <w:jc w:val="both"/>
        <w:rPr>
          <w:rFonts w:ascii="Calibri" w:hAnsi="Calibri" w:cs="Calibri"/>
          <w:lang w:val="en-GB"/>
        </w:rPr>
      </w:pPr>
      <w:r w:rsidRPr="00671F38">
        <w:rPr>
          <w:rFonts w:ascii="Calibri" w:hAnsi="Calibri" w:cs="Calibri"/>
          <w:lang w:val="en-GB"/>
        </w:rPr>
        <w:t xml:space="preserve">Heyman, E. (2012) ‘Analysing recreational values and management effects in an urban forest with the visitor-employed photography method’, </w:t>
      </w:r>
      <w:r w:rsidRPr="00671F38">
        <w:rPr>
          <w:rFonts w:ascii="Calibri" w:hAnsi="Calibri" w:cs="Calibri"/>
          <w:i/>
          <w:iCs/>
          <w:lang w:val="en-GB"/>
        </w:rPr>
        <w:t>Urban Forestry &amp; Urban Greening</w:t>
      </w:r>
      <w:r w:rsidRPr="00671F38">
        <w:rPr>
          <w:rFonts w:ascii="Calibri" w:hAnsi="Calibri" w:cs="Calibri"/>
          <w:lang w:val="en-GB"/>
        </w:rPr>
        <w:t>, 11(3), pp. 267–277. Available at: https://doi.org/10.1016/j.ufug.2012.02.003.</w:t>
      </w:r>
    </w:p>
    <w:p w14:paraId="165F0485" w14:textId="77777777" w:rsidR="00A35208" w:rsidRPr="00671F38" w:rsidRDefault="00A35208" w:rsidP="005D7515">
      <w:pPr>
        <w:pStyle w:val="Bibliography"/>
        <w:jc w:val="both"/>
        <w:rPr>
          <w:rFonts w:ascii="Calibri" w:hAnsi="Calibri" w:cs="Calibri"/>
          <w:lang w:val="en-GB"/>
        </w:rPr>
      </w:pPr>
      <w:r w:rsidRPr="00671F38">
        <w:rPr>
          <w:rFonts w:ascii="Calibri" w:hAnsi="Calibri" w:cs="Calibri"/>
          <w:lang w:val="en-GB"/>
        </w:rPr>
        <w:t xml:space="preserve">Jiang, B. </w:t>
      </w:r>
      <w:r w:rsidRPr="00671F38">
        <w:rPr>
          <w:rFonts w:ascii="Calibri" w:hAnsi="Calibri" w:cs="Calibri"/>
          <w:i/>
          <w:iCs/>
          <w:lang w:val="en-GB"/>
        </w:rPr>
        <w:t>et al.</w:t>
      </w:r>
      <w:r w:rsidRPr="00671F38">
        <w:rPr>
          <w:rFonts w:ascii="Calibri" w:hAnsi="Calibri" w:cs="Calibri"/>
          <w:lang w:val="en-GB"/>
        </w:rPr>
        <w:t xml:space="preserve"> (2016) ‘A Dose-Response Curve Describing the Relationship Between Urban Tree Cover Density and Self-Reported Stress Recovery’, </w:t>
      </w:r>
      <w:r w:rsidRPr="00671F38">
        <w:rPr>
          <w:rFonts w:ascii="Calibri" w:hAnsi="Calibri" w:cs="Calibri"/>
          <w:i/>
          <w:iCs/>
          <w:lang w:val="en-GB"/>
        </w:rPr>
        <w:t xml:space="preserve">Environment and </w:t>
      </w:r>
      <w:proofErr w:type="spellStart"/>
      <w:r w:rsidRPr="00671F38">
        <w:rPr>
          <w:rFonts w:ascii="Calibri" w:hAnsi="Calibri" w:cs="Calibri"/>
          <w:i/>
          <w:iCs/>
          <w:lang w:val="en-GB"/>
        </w:rPr>
        <w:t>Behavior</w:t>
      </w:r>
      <w:proofErr w:type="spellEnd"/>
      <w:r w:rsidRPr="00671F38">
        <w:rPr>
          <w:rFonts w:ascii="Calibri" w:hAnsi="Calibri" w:cs="Calibri"/>
          <w:lang w:val="en-GB"/>
        </w:rPr>
        <w:t>, 48(4), pp. 607–629. Available at: https://doi.org/10.1177/0013916514552321.</w:t>
      </w:r>
    </w:p>
    <w:p w14:paraId="563D1544" w14:textId="77777777" w:rsidR="00A35208" w:rsidRPr="00671F38" w:rsidRDefault="00A35208" w:rsidP="005D7515">
      <w:pPr>
        <w:pStyle w:val="Bibliography"/>
        <w:jc w:val="both"/>
        <w:rPr>
          <w:rFonts w:ascii="Calibri" w:hAnsi="Calibri" w:cs="Calibri"/>
          <w:lang w:val="en-GB"/>
        </w:rPr>
      </w:pPr>
      <w:r w:rsidRPr="00671F38">
        <w:rPr>
          <w:rFonts w:ascii="Calibri" w:hAnsi="Calibri" w:cs="Calibri"/>
          <w:lang w:val="en-GB"/>
        </w:rPr>
        <w:t xml:space="preserve">Jorgensen, A., </w:t>
      </w:r>
      <w:proofErr w:type="spellStart"/>
      <w:r w:rsidRPr="00671F38">
        <w:rPr>
          <w:rFonts w:ascii="Calibri" w:hAnsi="Calibri" w:cs="Calibri"/>
          <w:lang w:val="en-GB"/>
        </w:rPr>
        <w:t>Hitchmough</w:t>
      </w:r>
      <w:proofErr w:type="spellEnd"/>
      <w:r w:rsidRPr="00671F38">
        <w:rPr>
          <w:rFonts w:ascii="Calibri" w:hAnsi="Calibri" w:cs="Calibri"/>
          <w:lang w:val="en-GB"/>
        </w:rPr>
        <w:t xml:space="preserve">, J. and Dunnett, N. (2007) ‘Woodland as a setting for housing-appreciation and fear and the contribution to residential satisfaction and place identity in Warrington New Town, UK’, </w:t>
      </w:r>
      <w:r w:rsidRPr="00671F38">
        <w:rPr>
          <w:rFonts w:ascii="Calibri" w:hAnsi="Calibri" w:cs="Calibri"/>
          <w:i/>
          <w:iCs/>
          <w:lang w:val="en-GB"/>
        </w:rPr>
        <w:t>Landscape and Urban Planning</w:t>
      </w:r>
      <w:r w:rsidRPr="00671F38">
        <w:rPr>
          <w:rFonts w:ascii="Calibri" w:hAnsi="Calibri" w:cs="Calibri"/>
          <w:lang w:val="en-GB"/>
        </w:rPr>
        <w:t>, 79(3–4), pp. 273–287. Available at: https://doi.org/10.1016/j.landurbplan.2006.02.015.</w:t>
      </w:r>
    </w:p>
    <w:p w14:paraId="0065BF54" w14:textId="77777777" w:rsidR="00A35208" w:rsidRPr="00671F38" w:rsidRDefault="00A35208" w:rsidP="005D7515">
      <w:pPr>
        <w:pStyle w:val="Bibliography"/>
        <w:jc w:val="both"/>
        <w:rPr>
          <w:rFonts w:ascii="Calibri" w:hAnsi="Calibri" w:cs="Calibri"/>
          <w:lang w:val="en-GB"/>
        </w:rPr>
      </w:pPr>
      <w:r w:rsidRPr="00671F38">
        <w:rPr>
          <w:rFonts w:ascii="Calibri" w:hAnsi="Calibri" w:cs="Calibri"/>
          <w:lang w:val="en-GB"/>
        </w:rPr>
        <w:t xml:space="preserve">Kaplan, R. and Kaplan, S. (1989) </w:t>
      </w:r>
      <w:r w:rsidRPr="00671F38">
        <w:rPr>
          <w:rFonts w:ascii="Calibri" w:hAnsi="Calibri" w:cs="Calibri"/>
          <w:i/>
          <w:iCs/>
          <w:lang w:val="en-GB"/>
        </w:rPr>
        <w:t xml:space="preserve">The experience of </w:t>
      </w:r>
      <w:proofErr w:type="gramStart"/>
      <w:r w:rsidRPr="00671F38">
        <w:rPr>
          <w:rFonts w:ascii="Calibri" w:hAnsi="Calibri" w:cs="Calibri"/>
          <w:i/>
          <w:iCs/>
          <w:lang w:val="en-GB"/>
        </w:rPr>
        <w:t>nature :</w:t>
      </w:r>
      <w:proofErr w:type="gramEnd"/>
      <w:r w:rsidRPr="00671F38">
        <w:rPr>
          <w:rFonts w:ascii="Calibri" w:hAnsi="Calibri" w:cs="Calibri"/>
          <w:i/>
          <w:iCs/>
          <w:lang w:val="en-GB"/>
        </w:rPr>
        <w:t xml:space="preserve"> a psychological perspective</w:t>
      </w:r>
      <w:r w:rsidRPr="00671F38">
        <w:rPr>
          <w:rFonts w:ascii="Calibri" w:hAnsi="Calibri" w:cs="Calibri"/>
          <w:lang w:val="en-GB"/>
        </w:rPr>
        <w:t xml:space="preserve">. Edited by S. Kaplan. Cambridge: </w:t>
      </w:r>
      <w:proofErr w:type="gramStart"/>
      <w:r w:rsidRPr="00671F38">
        <w:rPr>
          <w:rFonts w:ascii="Calibri" w:hAnsi="Calibri" w:cs="Calibri"/>
          <w:lang w:val="en-GB"/>
        </w:rPr>
        <w:t>Cambridge :</w:t>
      </w:r>
      <w:proofErr w:type="gramEnd"/>
      <w:r w:rsidRPr="00671F38">
        <w:rPr>
          <w:rFonts w:ascii="Calibri" w:hAnsi="Calibri" w:cs="Calibri"/>
          <w:lang w:val="en-GB"/>
        </w:rPr>
        <w:t xml:space="preserve"> Cambridge University Press, 1989.</w:t>
      </w:r>
    </w:p>
    <w:p w14:paraId="5A69A306" w14:textId="77777777" w:rsidR="00A35208" w:rsidRPr="00671F38" w:rsidRDefault="00A35208" w:rsidP="005D7515">
      <w:pPr>
        <w:pStyle w:val="Bibliography"/>
        <w:jc w:val="both"/>
        <w:rPr>
          <w:rFonts w:ascii="Calibri" w:hAnsi="Calibri" w:cs="Calibri"/>
          <w:lang w:val="en-GB"/>
        </w:rPr>
      </w:pPr>
      <w:r w:rsidRPr="00671F38">
        <w:rPr>
          <w:rFonts w:ascii="Calibri" w:hAnsi="Calibri" w:cs="Calibri"/>
          <w:lang w:val="en-GB"/>
        </w:rPr>
        <w:t xml:space="preserve">Kaplan, S. (1995) ‘The restorative benefits of nature: Toward an integrative framework’, </w:t>
      </w:r>
      <w:r w:rsidRPr="00671F38">
        <w:rPr>
          <w:rFonts w:ascii="Calibri" w:hAnsi="Calibri" w:cs="Calibri"/>
          <w:i/>
          <w:iCs/>
          <w:lang w:val="en-GB"/>
        </w:rPr>
        <w:t>Journal of Environmental Psychology</w:t>
      </w:r>
      <w:r w:rsidRPr="00671F38">
        <w:rPr>
          <w:rFonts w:ascii="Calibri" w:hAnsi="Calibri" w:cs="Calibri"/>
          <w:lang w:val="en-GB"/>
        </w:rPr>
        <w:t>, 15(3), pp. 169–182. Available at: https://doi.org/10.1016/0272-4944(95)90001-2.</w:t>
      </w:r>
    </w:p>
    <w:p w14:paraId="21A00F26" w14:textId="77777777" w:rsidR="00A35208" w:rsidRPr="00671F38" w:rsidRDefault="00A35208" w:rsidP="005D7515">
      <w:pPr>
        <w:pStyle w:val="Bibliography"/>
        <w:jc w:val="both"/>
        <w:rPr>
          <w:rFonts w:ascii="Calibri" w:hAnsi="Calibri" w:cs="Calibri"/>
          <w:lang w:val="en-GB"/>
        </w:rPr>
      </w:pPr>
      <w:r w:rsidRPr="00671F38">
        <w:rPr>
          <w:rFonts w:ascii="Calibri" w:hAnsi="Calibri" w:cs="Calibri"/>
          <w:lang w:val="en-GB"/>
        </w:rPr>
        <w:t xml:space="preserve">Kobayashi, H. </w:t>
      </w:r>
      <w:r w:rsidRPr="00671F38">
        <w:rPr>
          <w:rFonts w:ascii="Calibri" w:hAnsi="Calibri" w:cs="Calibri"/>
          <w:i/>
          <w:iCs/>
          <w:lang w:val="en-GB"/>
        </w:rPr>
        <w:t>et al.</w:t>
      </w:r>
      <w:r w:rsidRPr="00671F38">
        <w:rPr>
          <w:rFonts w:ascii="Calibri" w:hAnsi="Calibri" w:cs="Calibri"/>
          <w:lang w:val="en-GB"/>
        </w:rPr>
        <w:t xml:space="preserve"> (2015) ‘Analysis of Individual Variations in Autonomic Responses to Urban and Forest Environments’, </w:t>
      </w:r>
      <w:r w:rsidRPr="00671F38">
        <w:rPr>
          <w:rFonts w:ascii="Calibri" w:hAnsi="Calibri" w:cs="Calibri"/>
          <w:i/>
          <w:iCs/>
          <w:lang w:val="en-GB"/>
        </w:rPr>
        <w:t>Evidence-based Complementary and Alternative Medicine</w:t>
      </w:r>
      <w:r w:rsidRPr="00671F38">
        <w:rPr>
          <w:rFonts w:ascii="Calibri" w:hAnsi="Calibri" w:cs="Calibri"/>
          <w:lang w:val="en-GB"/>
        </w:rPr>
        <w:t>, 2015(November). Available at: https://doi.org/10.1155/2015/671094.</w:t>
      </w:r>
    </w:p>
    <w:p w14:paraId="1471F13C" w14:textId="77777777" w:rsidR="00A35208" w:rsidRPr="00671F38" w:rsidRDefault="00A35208" w:rsidP="005D7515">
      <w:pPr>
        <w:pStyle w:val="Bibliography"/>
        <w:jc w:val="both"/>
        <w:rPr>
          <w:rFonts w:ascii="Calibri" w:hAnsi="Calibri" w:cs="Calibri"/>
          <w:lang w:val="en-GB"/>
        </w:rPr>
      </w:pPr>
      <w:r w:rsidRPr="00671F38">
        <w:rPr>
          <w:rFonts w:ascii="Calibri" w:hAnsi="Calibri" w:cs="Calibri"/>
          <w:lang w:val="en-GB"/>
        </w:rPr>
        <w:t xml:space="preserve">Kondo, M.C., Jacoby, S.F. and South, E.C. (2018) ‘Does spending time outdoors reduce stress? A review of real-time stress response to outdoor environments’, </w:t>
      </w:r>
      <w:r w:rsidRPr="00671F38">
        <w:rPr>
          <w:rFonts w:ascii="Calibri" w:hAnsi="Calibri" w:cs="Calibri"/>
          <w:i/>
          <w:iCs/>
          <w:lang w:val="en-GB"/>
        </w:rPr>
        <w:t>Health and Place</w:t>
      </w:r>
      <w:r w:rsidRPr="00671F38">
        <w:rPr>
          <w:rFonts w:ascii="Calibri" w:hAnsi="Calibri" w:cs="Calibri"/>
          <w:lang w:val="en-GB"/>
        </w:rPr>
        <w:t>, 51, pp. 136–150. Available at: https://doi.org/10.1016/j.healthplace.2018.03.001.</w:t>
      </w:r>
    </w:p>
    <w:p w14:paraId="724048C3" w14:textId="77777777" w:rsidR="00A35208" w:rsidRPr="00671F38" w:rsidRDefault="00A35208" w:rsidP="005D7515">
      <w:pPr>
        <w:pStyle w:val="Bibliography"/>
        <w:jc w:val="both"/>
        <w:rPr>
          <w:rFonts w:ascii="Calibri" w:hAnsi="Calibri" w:cs="Calibri"/>
          <w:lang w:val="en-GB"/>
        </w:rPr>
      </w:pPr>
      <w:r w:rsidRPr="00671F38">
        <w:rPr>
          <w:rFonts w:ascii="Calibri" w:hAnsi="Calibri" w:cs="Calibri"/>
          <w:lang w:val="en-GB"/>
        </w:rPr>
        <w:t xml:space="preserve">Kühn, S. </w:t>
      </w:r>
      <w:r w:rsidRPr="00671F38">
        <w:rPr>
          <w:rFonts w:ascii="Calibri" w:hAnsi="Calibri" w:cs="Calibri"/>
          <w:i/>
          <w:iCs/>
          <w:lang w:val="en-GB"/>
        </w:rPr>
        <w:t>et al.</w:t>
      </w:r>
      <w:r w:rsidRPr="00671F38">
        <w:rPr>
          <w:rFonts w:ascii="Calibri" w:hAnsi="Calibri" w:cs="Calibri"/>
          <w:lang w:val="en-GB"/>
        </w:rPr>
        <w:t xml:space="preserve"> (2017) ‘In search of features that constitute an “enriched environment” in humans: Associations between geographical properties and brain structure’, </w:t>
      </w:r>
      <w:r w:rsidRPr="00671F38">
        <w:rPr>
          <w:rFonts w:ascii="Calibri" w:hAnsi="Calibri" w:cs="Calibri"/>
          <w:i/>
          <w:iCs/>
          <w:lang w:val="en-GB"/>
        </w:rPr>
        <w:t>Scientific Reports</w:t>
      </w:r>
      <w:r w:rsidRPr="00671F38">
        <w:rPr>
          <w:rFonts w:ascii="Calibri" w:hAnsi="Calibri" w:cs="Calibri"/>
          <w:lang w:val="en-GB"/>
        </w:rPr>
        <w:t>, 7(1), p. 11920. Available at: https://doi.org/10.1038/s41598-017-12046-7.</w:t>
      </w:r>
    </w:p>
    <w:p w14:paraId="273442FF" w14:textId="77777777" w:rsidR="00A35208" w:rsidRPr="00671F38" w:rsidRDefault="00A35208" w:rsidP="005D7515">
      <w:pPr>
        <w:pStyle w:val="Bibliography"/>
        <w:jc w:val="both"/>
        <w:rPr>
          <w:rFonts w:ascii="Calibri" w:hAnsi="Calibri" w:cs="Calibri"/>
          <w:lang w:val="en-GB"/>
        </w:rPr>
      </w:pPr>
      <w:proofErr w:type="spellStart"/>
      <w:r w:rsidRPr="00671F38">
        <w:rPr>
          <w:rFonts w:ascii="Calibri" w:hAnsi="Calibri" w:cs="Calibri"/>
          <w:lang w:val="en-GB"/>
        </w:rPr>
        <w:t>Lanki</w:t>
      </w:r>
      <w:proofErr w:type="spellEnd"/>
      <w:r w:rsidRPr="00671F38">
        <w:rPr>
          <w:rFonts w:ascii="Calibri" w:hAnsi="Calibri" w:cs="Calibri"/>
          <w:lang w:val="en-GB"/>
        </w:rPr>
        <w:t xml:space="preserve">, T. </w:t>
      </w:r>
      <w:r w:rsidRPr="00671F38">
        <w:rPr>
          <w:rFonts w:ascii="Calibri" w:hAnsi="Calibri" w:cs="Calibri"/>
          <w:i/>
          <w:iCs/>
          <w:lang w:val="en-GB"/>
        </w:rPr>
        <w:t>et al.</w:t>
      </w:r>
      <w:r w:rsidRPr="00671F38">
        <w:rPr>
          <w:rFonts w:ascii="Calibri" w:hAnsi="Calibri" w:cs="Calibri"/>
          <w:lang w:val="en-GB"/>
        </w:rPr>
        <w:t xml:space="preserve"> (2017) ‘Acute effects of visits to urban green environments on cardiovascular physiology in women: A field experiment’, </w:t>
      </w:r>
      <w:r w:rsidRPr="00671F38">
        <w:rPr>
          <w:rFonts w:ascii="Calibri" w:hAnsi="Calibri" w:cs="Calibri"/>
          <w:i/>
          <w:iCs/>
          <w:lang w:val="en-GB"/>
        </w:rPr>
        <w:t>Environmental Research</w:t>
      </w:r>
      <w:r w:rsidRPr="00671F38">
        <w:rPr>
          <w:rFonts w:ascii="Calibri" w:hAnsi="Calibri" w:cs="Calibri"/>
          <w:lang w:val="en-GB"/>
        </w:rPr>
        <w:t>, 159, pp. 176–185. Available at: https://doi.org/10.1016/j.envres.2017.07.039.</w:t>
      </w:r>
    </w:p>
    <w:p w14:paraId="1AFB08AE" w14:textId="77777777" w:rsidR="00A35208" w:rsidRPr="00671F38" w:rsidRDefault="00A35208" w:rsidP="005D7515">
      <w:pPr>
        <w:pStyle w:val="Bibliography"/>
        <w:jc w:val="both"/>
        <w:rPr>
          <w:rFonts w:ascii="Calibri" w:hAnsi="Calibri" w:cs="Calibri"/>
          <w:lang w:val="en-GB"/>
        </w:rPr>
      </w:pPr>
      <w:r w:rsidRPr="00671F38">
        <w:rPr>
          <w:rFonts w:ascii="Calibri" w:hAnsi="Calibri" w:cs="Calibri"/>
          <w:lang w:val="en-GB"/>
        </w:rPr>
        <w:t xml:space="preserve">Leckie, G., Morris, T. and Steele, F. (2016) </w:t>
      </w:r>
      <w:r w:rsidRPr="00671F38">
        <w:rPr>
          <w:rFonts w:ascii="Calibri" w:hAnsi="Calibri" w:cs="Calibri"/>
          <w:i/>
          <w:iCs/>
          <w:lang w:val="en-GB"/>
        </w:rPr>
        <w:t>Single-level and Multilevel Models for Ordinal Responses - Stata Practical</w:t>
      </w:r>
      <w:r w:rsidRPr="00671F38">
        <w:rPr>
          <w:rFonts w:ascii="Calibri" w:hAnsi="Calibri" w:cs="Calibri"/>
          <w:lang w:val="en-GB"/>
        </w:rPr>
        <w:t xml:space="preserve">, </w:t>
      </w:r>
      <w:r w:rsidRPr="00671F38">
        <w:rPr>
          <w:rFonts w:ascii="Calibri" w:hAnsi="Calibri" w:cs="Calibri"/>
          <w:i/>
          <w:iCs/>
          <w:lang w:val="en-GB"/>
        </w:rPr>
        <w:t>LEMMA VLE Module 9</w:t>
      </w:r>
      <w:r w:rsidRPr="00671F38">
        <w:rPr>
          <w:rFonts w:ascii="Calibri" w:hAnsi="Calibri" w:cs="Calibri"/>
          <w:lang w:val="en-GB"/>
        </w:rPr>
        <w:t>. Available at: http://www.bristol.ac.uk/cmm/learning/online-course/.</w:t>
      </w:r>
    </w:p>
    <w:p w14:paraId="2B88BF19" w14:textId="77777777" w:rsidR="00A35208" w:rsidRPr="00671F38" w:rsidRDefault="00A35208" w:rsidP="005D7515">
      <w:pPr>
        <w:pStyle w:val="Bibliography"/>
        <w:jc w:val="both"/>
        <w:rPr>
          <w:rFonts w:ascii="Calibri" w:hAnsi="Calibri" w:cs="Calibri"/>
          <w:lang w:val="en-GB"/>
        </w:rPr>
      </w:pPr>
      <w:r w:rsidRPr="00671F38">
        <w:rPr>
          <w:rFonts w:ascii="Calibri" w:hAnsi="Calibri" w:cs="Calibri"/>
          <w:lang w:val="en-GB"/>
        </w:rPr>
        <w:lastRenderedPageBreak/>
        <w:t xml:space="preserve">Liang, H. </w:t>
      </w:r>
      <w:r w:rsidRPr="00671F38">
        <w:rPr>
          <w:rFonts w:ascii="Calibri" w:hAnsi="Calibri" w:cs="Calibri"/>
          <w:i/>
          <w:iCs/>
          <w:lang w:val="en-GB"/>
        </w:rPr>
        <w:t>et al.</w:t>
      </w:r>
      <w:r w:rsidRPr="00671F38">
        <w:rPr>
          <w:rFonts w:ascii="Calibri" w:hAnsi="Calibri" w:cs="Calibri"/>
          <w:lang w:val="en-GB"/>
        </w:rPr>
        <w:t xml:space="preserve"> (2023) ‘The relationships among biodiversity, perceived biodiversity and recreational preference in urban green spaces–A case study in Xianyang, China’, </w:t>
      </w:r>
      <w:r w:rsidRPr="00671F38">
        <w:rPr>
          <w:rFonts w:ascii="Calibri" w:hAnsi="Calibri" w:cs="Calibri"/>
          <w:i/>
          <w:iCs/>
          <w:lang w:val="en-GB"/>
        </w:rPr>
        <w:t>Ecological Indicators</w:t>
      </w:r>
      <w:r w:rsidRPr="00671F38">
        <w:rPr>
          <w:rFonts w:ascii="Calibri" w:hAnsi="Calibri" w:cs="Calibri"/>
          <w:lang w:val="en-GB"/>
        </w:rPr>
        <w:t>, 146, p. 109916. Available at: https://doi.org/10.1016/j.ecolind.2023.109916.</w:t>
      </w:r>
    </w:p>
    <w:p w14:paraId="3817EB4A" w14:textId="77777777" w:rsidR="00A35208" w:rsidRPr="00671F38" w:rsidRDefault="00A35208" w:rsidP="005D7515">
      <w:pPr>
        <w:pStyle w:val="Bibliography"/>
        <w:jc w:val="both"/>
        <w:rPr>
          <w:rFonts w:ascii="Calibri" w:hAnsi="Calibri" w:cs="Calibri"/>
          <w:lang w:val="en-GB"/>
        </w:rPr>
      </w:pPr>
      <w:r w:rsidRPr="00671F38">
        <w:rPr>
          <w:rFonts w:ascii="Calibri" w:hAnsi="Calibri" w:cs="Calibri"/>
          <w:lang w:val="en-GB"/>
        </w:rPr>
        <w:t xml:space="preserve">Lindemann-Matthies, P. and Bose, E. (2008) ‘How Many Species Are There? Public Understanding and Awareness of Biodiversity in Switzerland’, </w:t>
      </w:r>
      <w:r w:rsidRPr="00671F38">
        <w:rPr>
          <w:rFonts w:ascii="Calibri" w:hAnsi="Calibri" w:cs="Calibri"/>
          <w:i/>
          <w:iCs/>
          <w:lang w:val="en-GB"/>
        </w:rPr>
        <w:t>Human Ecology</w:t>
      </w:r>
      <w:r w:rsidRPr="00671F38">
        <w:rPr>
          <w:rFonts w:ascii="Calibri" w:hAnsi="Calibri" w:cs="Calibri"/>
          <w:lang w:val="en-GB"/>
        </w:rPr>
        <w:t>, 36(5), pp. 731–742. Available at: https://doi.org/10.1007/s10745-008-9194-1.</w:t>
      </w:r>
    </w:p>
    <w:p w14:paraId="08AA3B1F" w14:textId="77777777" w:rsidR="00A35208" w:rsidRPr="00671F38" w:rsidRDefault="00A35208" w:rsidP="005D7515">
      <w:pPr>
        <w:pStyle w:val="Bibliography"/>
        <w:jc w:val="both"/>
        <w:rPr>
          <w:rFonts w:ascii="Calibri" w:hAnsi="Calibri" w:cs="Calibri"/>
          <w:lang w:val="en-GB"/>
        </w:rPr>
      </w:pPr>
      <w:r w:rsidRPr="00671F38">
        <w:rPr>
          <w:rFonts w:ascii="Calibri" w:hAnsi="Calibri" w:cs="Calibri"/>
          <w:lang w:val="en-GB"/>
        </w:rPr>
        <w:t xml:space="preserve">Marselle, M.R. </w:t>
      </w:r>
      <w:r w:rsidRPr="00671F38">
        <w:rPr>
          <w:rFonts w:ascii="Calibri" w:hAnsi="Calibri" w:cs="Calibri"/>
          <w:i/>
          <w:iCs/>
          <w:lang w:val="en-GB"/>
        </w:rPr>
        <w:t>et al.</w:t>
      </w:r>
      <w:r w:rsidRPr="00671F38">
        <w:rPr>
          <w:rFonts w:ascii="Calibri" w:hAnsi="Calibri" w:cs="Calibri"/>
          <w:lang w:val="en-GB"/>
        </w:rPr>
        <w:t xml:space="preserve"> (2021) ‘Pathways linking biodiversity to human health: A conceptual framework’, </w:t>
      </w:r>
      <w:r w:rsidRPr="00671F38">
        <w:rPr>
          <w:rFonts w:ascii="Calibri" w:hAnsi="Calibri" w:cs="Calibri"/>
          <w:i/>
          <w:iCs/>
          <w:lang w:val="en-GB"/>
        </w:rPr>
        <w:t>Environment International</w:t>
      </w:r>
      <w:r w:rsidRPr="00671F38">
        <w:rPr>
          <w:rFonts w:ascii="Calibri" w:hAnsi="Calibri" w:cs="Calibri"/>
          <w:lang w:val="en-GB"/>
        </w:rPr>
        <w:t>, 150, p. 106420. Available at: https://doi.org/10.1016/j.envint.2021.106420.</w:t>
      </w:r>
    </w:p>
    <w:p w14:paraId="05AAC173" w14:textId="77777777" w:rsidR="00A35208" w:rsidRPr="00671F38" w:rsidRDefault="00A35208" w:rsidP="005D7515">
      <w:pPr>
        <w:pStyle w:val="Bibliography"/>
        <w:jc w:val="both"/>
        <w:rPr>
          <w:rFonts w:ascii="Calibri" w:hAnsi="Calibri" w:cs="Calibri"/>
          <w:lang w:val="en-GB"/>
        </w:rPr>
      </w:pPr>
      <w:r w:rsidRPr="00671F38">
        <w:rPr>
          <w:rFonts w:ascii="Calibri" w:hAnsi="Calibri" w:cs="Calibri"/>
          <w:lang w:val="en-GB"/>
        </w:rPr>
        <w:t xml:space="preserve">Mayer, F.S. </w:t>
      </w:r>
      <w:r w:rsidRPr="00671F38">
        <w:rPr>
          <w:rFonts w:ascii="Calibri" w:hAnsi="Calibri" w:cs="Calibri"/>
          <w:i/>
          <w:iCs/>
          <w:lang w:val="en-GB"/>
        </w:rPr>
        <w:t>et al.</w:t>
      </w:r>
      <w:r w:rsidRPr="00671F38">
        <w:rPr>
          <w:rFonts w:ascii="Calibri" w:hAnsi="Calibri" w:cs="Calibri"/>
          <w:lang w:val="en-GB"/>
        </w:rPr>
        <w:t xml:space="preserve"> (2009) ‘Why Is Nature </w:t>
      </w:r>
      <w:proofErr w:type="gramStart"/>
      <w:r w:rsidRPr="00671F38">
        <w:rPr>
          <w:rFonts w:ascii="Calibri" w:hAnsi="Calibri" w:cs="Calibri"/>
          <w:lang w:val="en-GB"/>
        </w:rPr>
        <w:t>Beneficial?:</w:t>
      </w:r>
      <w:proofErr w:type="gramEnd"/>
      <w:r w:rsidRPr="00671F38">
        <w:rPr>
          <w:rFonts w:ascii="Calibri" w:hAnsi="Calibri" w:cs="Calibri"/>
          <w:lang w:val="en-GB"/>
        </w:rPr>
        <w:t xml:space="preserve"> The Role of Connectedness to Nature’, </w:t>
      </w:r>
      <w:r w:rsidRPr="00671F38">
        <w:rPr>
          <w:rFonts w:ascii="Calibri" w:hAnsi="Calibri" w:cs="Calibri"/>
          <w:i/>
          <w:iCs/>
          <w:lang w:val="en-GB"/>
        </w:rPr>
        <w:t xml:space="preserve">Environment and </w:t>
      </w:r>
      <w:proofErr w:type="spellStart"/>
      <w:r w:rsidRPr="00671F38">
        <w:rPr>
          <w:rFonts w:ascii="Calibri" w:hAnsi="Calibri" w:cs="Calibri"/>
          <w:i/>
          <w:iCs/>
          <w:lang w:val="en-GB"/>
        </w:rPr>
        <w:t>Behavior</w:t>
      </w:r>
      <w:proofErr w:type="spellEnd"/>
      <w:r w:rsidRPr="00671F38">
        <w:rPr>
          <w:rFonts w:ascii="Calibri" w:hAnsi="Calibri" w:cs="Calibri"/>
          <w:lang w:val="en-GB"/>
        </w:rPr>
        <w:t>, 41(5), pp. 607–643. Available at: https://doi.org/10.1177/0013916508319745.</w:t>
      </w:r>
    </w:p>
    <w:p w14:paraId="02CBFA33" w14:textId="77777777" w:rsidR="00A35208" w:rsidRPr="00671F38" w:rsidRDefault="00A35208" w:rsidP="005D7515">
      <w:pPr>
        <w:pStyle w:val="Bibliography"/>
        <w:jc w:val="both"/>
        <w:rPr>
          <w:rFonts w:ascii="Calibri" w:hAnsi="Calibri" w:cs="Calibri"/>
          <w:lang w:val="en-GB"/>
        </w:rPr>
      </w:pPr>
      <w:r w:rsidRPr="00671F38">
        <w:rPr>
          <w:rFonts w:ascii="Calibri" w:hAnsi="Calibri" w:cs="Calibri"/>
          <w:lang w:val="en-GB"/>
        </w:rPr>
        <w:t xml:space="preserve">McEwan, K. </w:t>
      </w:r>
      <w:r w:rsidRPr="00671F38">
        <w:rPr>
          <w:rFonts w:ascii="Calibri" w:hAnsi="Calibri" w:cs="Calibri"/>
          <w:i/>
          <w:iCs/>
          <w:lang w:val="en-GB"/>
        </w:rPr>
        <w:t>et al.</w:t>
      </w:r>
      <w:r w:rsidRPr="00671F38">
        <w:rPr>
          <w:rFonts w:ascii="Calibri" w:hAnsi="Calibri" w:cs="Calibri"/>
          <w:lang w:val="en-GB"/>
        </w:rPr>
        <w:t xml:space="preserve"> (2019) ‘A smartphone app for improving mental health through connecting with urban nature’, </w:t>
      </w:r>
      <w:r w:rsidRPr="00671F38">
        <w:rPr>
          <w:rFonts w:ascii="Calibri" w:hAnsi="Calibri" w:cs="Calibri"/>
          <w:i/>
          <w:iCs/>
          <w:lang w:val="en-GB"/>
        </w:rPr>
        <w:t>International Journal of Environmental Research and Public Health</w:t>
      </w:r>
      <w:r w:rsidRPr="00671F38">
        <w:rPr>
          <w:rFonts w:ascii="Calibri" w:hAnsi="Calibri" w:cs="Calibri"/>
          <w:lang w:val="en-GB"/>
        </w:rPr>
        <w:t>, 16(18), pp. 1–15. Available at: https://doi.org/10.3390/ijerph16183373.</w:t>
      </w:r>
    </w:p>
    <w:p w14:paraId="664A2A73" w14:textId="77777777" w:rsidR="00A35208" w:rsidRPr="00671F38" w:rsidRDefault="00A35208" w:rsidP="005D7515">
      <w:pPr>
        <w:pStyle w:val="Bibliography"/>
        <w:jc w:val="both"/>
        <w:rPr>
          <w:rFonts w:ascii="Calibri" w:hAnsi="Calibri" w:cs="Calibri"/>
          <w:lang w:val="en-GB"/>
        </w:rPr>
      </w:pPr>
      <w:r w:rsidRPr="00671F38">
        <w:rPr>
          <w:rFonts w:ascii="Calibri" w:hAnsi="Calibri" w:cs="Calibri"/>
          <w:lang w:val="en-GB"/>
        </w:rPr>
        <w:t xml:space="preserve">McEwan, K., Richardson, M., </w:t>
      </w:r>
      <w:r w:rsidRPr="00671F38">
        <w:rPr>
          <w:rFonts w:ascii="Calibri" w:hAnsi="Calibri" w:cs="Calibri"/>
          <w:i/>
          <w:iCs/>
          <w:lang w:val="en-GB"/>
        </w:rPr>
        <w:t>et al.</w:t>
      </w:r>
      <w:r w:rsidRPr="00671F38">
        <w:rPr>
          <w:rFonts w:ascii="Calibri" w:hAnsi="Calibri" w:cs="Calibri"/>
          <w:lang w:val="en-GB"/>
        </w:rPr>
        <w:t xml:space="preserve"> (2020) ‘</w:t>
      </w:r>
      <w:proofErr w:type="spellStart"/>
      <w:r w:rsidRPr="00671F38">
        <w:rPr>
          <w:rFonts w:ascii="Calibri" w:hAnsi="Calibri" w:cs="Calibri"/>
          <w:lang w:val="en-GB"/>
        </w:rPr>
        <w:t>Shmapped</w:t>
      </w:r>
      <w:proofErr w:type="spellEnd"/>
      <w:r w:rsidRPr="00671F38">
        <w:rPr>
          <w:rFonts w:ascii="Calibri" w:hAnsi="Calibri" w:cs="Calibri"/>
          <w:lang w:val="en-GB"/>
        </w:rPr>
        <w:t xml:space="preserve">: development of an app to record and promote the well-being benefits of noticing urban nature’, </w:t>
      </w:r>
      <w:r w:rsidRPr="00671F38">
        <w:rPr>
          <w:rFonts w:ascii="Calibri" w:hAnsi="Calibri" w:cs="Calibri"/>
          <w:i/>
          <w:iCs/>
          <w:lang w:val="en-GB"/>
        </w:rPr>
        <w:t xml:space="preserve">Translational </w:t>
      </w:r>
      <w:proofErr w:type="spellStart"/>
      <w:r w:rsidRPr="00671F38">
        <w:rPr>
          <w:rFonts w:ascii="Calibri" w:hAnsi="Calibri" w:cs="Calibri"/>
          <w:i/>
          <w:iCs/>
          <w:lang w:val="en-GB"/>
        </w:rPr>
        <w:t>Behavioral</w:t>
      </w:r>
      <w:proofErr w:type="spellEnd"/>
      <w:r w:rsidRPr="00671F38">
        <w:rPr>
          <w:rFonts w:ascii="Calibri" w:hAnsi="Calibri" w:cs="Calibri"/>
          <w:i/>
          <w:iCs/>
          <w:lang w:val="en-GB"/>
        </w:rPr>
        <w:t xml:space="preserve"> Medicine</w:t>
      </w:r>
      <w:r w:rsidRPr="00671F38">
        <w:rPr>
          <w:rFonts w:ascii="Calibri" w:hAnsi="Calibri" w:cs="Calibri"/>
          <w:lang w:val="en-GB"/>
        </w:rPr>
        <w:t>, 10(3), pp. 723–733. Available at: https://doi.org/10.1093/tbm/ibz027.</w:t>
      </w:r>
    </w:p>
    <w:p w14:paraId="464B7943" w14:textId="77777777" w:rsidR="00A35208" w:rsidRPr="00671F38" w:rsidRDefault="00A35208" w:rsidP="005D7515">
      <w:pPr>
        <w:pStyle w:val="Bibliography"/>
        <w:jc w:val="both"/>
        <w:rPr>
          <w:rFonts w:ascii="Calibri" w:hAnsi="Calibri" w:cs="Calibri"/>
          <w:lang w:val="en-GB"/>
        </w:rPr>
      </w:pPr>
      <w:r w:rsidRPr="00671F38">
        <w:rPr>
          <w:rFonts w:ascii="Calibri" w:hAnsi="Calibri" w:cs="Calibri"/>
          <w:lang w:val="en-GB"/>
        </w:rPr>
        <w:t xml:space="preserve">McEwan, K., Ferguson, F.J., </w:t>
      </w:r>
      <w:r w:rsidRPr="00671F38">
        <w:rPr>
          <w:rFonts w:ascii="Calibri" w:hAnsi="Calibri" w:cs="Calibri"/>
          <w:i/>
          <w:iCs/>
          <w:lang w:val="en-GB"/>
        </w:rPr>
        <w:t>et al.</w:t>
      </w:r>
      <w:r w:rsidRPr="00671F38">
        <w:rPr>
          <w:rFonts w:ascii="Calibri" w:hAnsi="Calibri" w:cs="Calibri"/>
          <w:lang w:val="en-GB"/>
        </w:rPr>
        <w:t xml:space="preserve"> (2020) ‘The good things in urban nature: A thematic framework for optimising urban planning for nature connectedness’, </w:t>
      </w:r>
      <w:r w:rsidRPr="00671F38">
        <w:rPr>
          <w:rFonts w:ascii="Calibri" w:hAnsi="Calibri" w:cs="Calibri"/>
          <w:i/>
          <w:iCs/>
          <w:lang w:val="en-GB"/>
        </w:rPr>
        <w:t>Landscape and Urban Planning</w:t>
      </w:r>
      <w:r w:rsidRPr="00671F38">
        <w:rPr>
          <w:rFonts w:ascii="Calibri" w:hAnsi="Calibri" w:cs="Calibri"/>
          <w:lang w:val="en-GB"/>
        </w:rPr>
        <w:t>, 194(October 2019), p. 103687. Available at: https://doi.org/10.1016/j.landurbplan.2019.103687.</w:t>
      </w:r>
    </w:p>
    <w:p w14:paraId="5877D701" w14:textId="77777777" w:rsidR="00A35208" w:rsidRPr="00671F38" w:rsidRDefault="00A35208" w:rsidP="005D7515">
      <w:pPr>
        <w:pStyle w:val="Bibliography"/>
        <w:jc w:val="both"/>
        <w:rPr>
          <w:rFonts w:ascii="Calibri" w:hAnsi="Calibri" w:cs="Calibri"/>
          <w:lang w:val="en-GB"/>
        </w:rPr>
      </w:pPr>
      <w:r w:rsidRPr="00671F38">
        <w:rPr>
          <w:rFonts w:ascii="Calibri" w:hAnsi="Calibri" w:cs="Calibri"/>
          <w:lang w:val="en-GB"/>
        </w:rPr>
        <w:t>Neuendorf, K.A. (2017) ‘The Content Analysis Guidebook’. Thousand Oaks, California. Available at: https://doi.org/10.4135/9781071802878.</w:t>
      </w:r>
    </w:p>
    <w:p w14:paraId="08802F23" w14:textId="77777777" w:rsidR="00A35208" w:rsidRPr="00671F38" w:rsidRDefault="00A35208" w:rsidP="005D7515">
      <w:pPr>
        <w:pStyle w:val="Bibliography"/>
        <w:jc w:val="both"/>
        <w:rPr>
          <w:rFonts w:ascii="Calibri" w:hAnsi="Calibri" w:cs="Calibri"/>
          <w:lang w:val="en-GB"/>
        </w:rPr>
      </w:pPr>
      <w:r w:rsidRPr="00671F38">
        <w:rPr>
          <w:rFonts w:ascii="Calibri" w:hAnsi="Calibri" w:cs="Calibri"/>
          <w:lang w:val="en-GB"/>
        </w:rPr>
        <w:t xml:space="preserve">Nisbet, E. and Zelenski, J. (2013) ‘The NR-6: a new brief measure of nature relatedness </w:t>
      </w:r>
      <w:proofErr w:type="gramStart"/>
      <w:r w:rsidRPr="00671F38">
        <w:rPr>
          <w:rFonts w:ascii="Calibri" w:hAnsi="Calibri" w:cs="Calibri"/>
          <w:lang w:val="en-GB"/>
        </w:rPr>
        <w:t xml:space="preserve">  ’</w:t>
      </w:r>
      <w:proofErr w:type="gramEnd"/>
      <w:r w:rsidRPr="00671F38">
        <w:rPr>
          <w:rFonts w:ascii="Calibri" w:hAnsi="Calibri" w:cs="Calibri"/>
          <w:lang w:val="en-GB"/>
        </w:rPr>
        <w:t xml:space="preserve">, </w:t>
      </w:r>
      <w:r w:rsidRPr="00671F38">
        <w:rPr>
          <w:rFonts w:ascii="Calibri" w:hAnsi="Calibri" w:cs="Calibri"/>
          <w:i/>
          <w:iCs/>
          <w:lang w:val="en-GB"/>
        </w:rPr>
        <w:t xml:space="preserve">Frontiers in Psychology  </w:t>
      </w:r>
      <w:r w:rsidRPr="00671F38">
        <w:rPr>
          <w:rFonts w:ascii="Calibri" w:hAnsi="Calibri" w:cs="Calibri"/>
          <w:lang w:val="en-GB"/>
        </w:rPr>
        <w:t>, p. 813.</w:t>
      </w:r>
    </w:p>
    <w:p w14:paraId="389D092A" w14:textId="77777777" w:rsidR="00A35208" w:rsidRPr="00671F38" w:rsidRDefault="00A35208" w:rsidP="005D7515">
      <w:pPr>
        <w:pStyle w:val="Bibliography"/>
        <w:jc w:val="both"/>
        <w:rPr>
          <w:rFonts w:ascii="Calibri" w:hAnsi="Calibri" w:cs="Calibri"/>
          <w:lang w:val="en-GB"/>
        </w:rPr>
      </w:pPr>
      <w:r w:rsidRPr="00671F38">
        <w:rPr>
          <w:rFonts w:ascii="Calibri" w:hAnsi="Calibri" w:cs="Calibri"/>
          <w:lang w:val="en-GB"/>
        </w:rPr>
        <w:t xml:space="preserve">Nisbet, E.K., Zelenski, J.M. and Murphy, S.A. (2011) ‘Happiness is in our nature: Exploring nature relatedness as a contributor to subjective well-being’, </w:t>
      </w:r>
      <w:r w:rsidRPr="00671F38">
        <w:rPr>
          <w:rFonts w:ascii="Calibri" w:hAnsi="Calibri" w:cs="Calibri"/>
          <w:i/>
          <w:iCs/>
          <w:lang w:val="en-GB"/>
        </w:rPr>
        <w:t>Journal of Happiness Studies</w:t>
      </w:r>
      <w:r w:rsidRPr="00671F38">
        <w:rPr>
          <w:rFonts w:ascii="Calibri" w:hAnsi="Calibri" w:cs="Calibri"/>
          <w:lang w:val="en-GB"/>
        </w:rPr>
        <w:t>, 12(2), pp. 303–322.</w:t>
      </w:r>
    </w:p>
    <w:p w14:paraId="7B75539D" w14:textId="77777777" w:rsidR="00A35208" w:rsidRPr="00671F38" w:rsidRDefault="00A35208" w:rsidP="005D7515">
      <w:pPr>
        <w:pStyle w:val="Bibliography"/>
        <w:jc w:val="both"/>
        <w:rPr>
          <w:rFonts w:ascii="Calibri" w:hAnsi="Calibri" w:cs="Calibri"/>
          <w:lang w:val="en-GB"/>
        </w:rPr>
      </w:pPr>
      <w:proofErr w:type="spellStart"/>
      <w:r w:rsidRPr="00671F38">
        <w:rPr>
          <w:rFonts w:ascii="Calibri" w:hAnsi="Calibri" w:cs="Calibri"/>
          <w:lang w:val="en-GB"/>
        </w:rPr>
        <w:t>Nutsford</w:t>
      </w:r>
      <w:proofErr w:type="spellEnd"/>
      <w:r w:rsidRPr="00671F38">
        <w:rPr>
          <w:rFonts w:ascii="Calibri" w:hAnsi="Calibri" w:cs="Calibri"/>
          <w:lang w:val="en-GB"/>
        </w:rPr>
        <w:t xml:space="preserve">, D. </w:t>
      </w:r>
      <w:r w:rsidRPr="00671F38">
        <w:rPr>
          <w:rFonts w:ascii="Calibri" w:hAnsi="Calibri" w:cs="Calibri"/>
          <w:i/>
          <w:iCs/>
          <w:lang w:val="en-GB"/>
        </w:rPr>
        <w:t>et al.</w:t>
      </w:r>
      <w:r w:rsidRPr="00671F38">
        <w:rPr>
          <w:rFonts w:ascii="Calibri" w:hAnsi="Calibri" w:cs="Calibri"/>
          <w:lang w:val="en-GB"/>
        </w:rPr>
        <w:t xml:space="preserve"> (2016) ‘Residential exposure to visible blue space (but not green space) associated with lower psychological distress in a capital city’, </w:t>
      </w:r>
      <w:r w:rsidRPr="00671F38">
        <w:rPr>
          <w:rFonts w:ascii="Calibri" w:hAnsi="Calibri" w:cs="Calibri"/>
          <w:i/>
          <w:iCs/>
          <w:lang w:val="en-GB"/>
        </w:rPr>
        <w:t>Health and Place</w:t>
      </w:r>
      <w:r w:rsidRPr="00671F38">
        <w:rPr>
          <w:rFonts w:ascii="Calibri" w:hAnsi="Calibri" w:cs="Calibri"/>
          <w:lang w:val="en-GB"/>
        </w:rPr>
        <w:t>, 39, pp. 70–78. Available at: https://doi.org/10.1016/j.healthplace.2016.03.002.</w:t>
      </w:r>
    </w:p>
    <w:p w14:paraId="5F15B98D" w14:textId="77777777" w:rsidR="00A35208" w:rsidRPr="00671F38" w:rsidRDefault="00A35208" w:rsidP="005D7515">
      <w:pPr>
        <w:pStyle w:val="Bibliography"/>
        <w:jc w:val="both"/>
        <w:rPr>
          <w:rFonts w:ascii="Calibri" w:hAnsi="Calibri" w:cs="Calibri"/>
          <w:lang w:val="en-GB"/>
        </w:rPr>
      </w:pPr>
      <w:r w:rsidRPr="00671F38">
        <w:rPr>
          <w:rFonts w:ascii="Calibri" w:hAnsi="Calibri" w:cs="Calibri"/>
          <w:lang w:val="en-GB"/>
        </w:rPr>
        <w:t xml:space="preserve">Peckham, E. </w:t>
      </w:r>
      <w:r w:rsidRPr="00671F38">
        <w:rPr>
          <w:rFonts w:ascii="Calibri" w:hAnsi="Calibri" w:cs="Calibri"/>
          <w:i/>
          <w:iCs/>
          <w:lang w:val="en-GB"/>
        </w:rPr>
        <w:t>et al.</w:t>
      </w:r>
      <w:r w:rsidRPr="00671F38">
        <w:rPr>
          <w:rFonts w:ascii="Calibri" w:hAnsi="Calibri" w:cs="Calibri"/>
          <w:lang w:val="en-GB"/>
        </w:rPr>
        <w:t xml:space="preserve"> (2015) ‘The use of unequal randomisation in clinical trials — An update’, </w:t>
      </w:r>
      <w:r w:rsidRPr="00671F38">
        <w:rPr>
          <w:rFonts w:ascii="Calibri" w:hAnsi="Calibri" w:cs="Calibri"/>
          <w:i/>
          <w:iCs/>
          <w:lang w:val="en-GB"/>
        </w:rPr>
        <w:t>Contemporary Clinical Trials</w:t>
      </w:r>
      <w:r w:rsidRPr="00671F38">
        <w:rPr>
          <w:rFonts w:ascii="Calibri" w:hAnsi="Calibri" w:cs="Calibri"/>
          <w:lang w:val="en-GB"/>
        </w:rPr>
        <w:t>, 45, pp. 113–122. Available at: https://doi.org/10.1016/j.cct.2015.05.017.</w:t>
      </w:r>
    </w:p>
    <w:p w14:paraId="5F7C3874" w14:textId="77777777" w:rsidR="00A35208" w:rsidRPr="00671F38" w:rsidRDefault="00A35208" w:rsidP="005D7515">
      <w:pPr>
        <w:pStyle w:val="Bibliography"/>
        <w:jc w:val="both"/>
        <w:rPr>
          <w:rFonts w:ascii="Calibri" w:hAnsi="Calibri" w:cs="Calibri"/>
          <w:lang w:val="en-GB"/>
        </w:rPr>
      </w:pPr>
      <w:r w:rsidRPr="00671F38">
        <w:rPr>
          <w:rFonts w:ascii="Calibri" w:hAnsi="Calibri" w:cs="Calibri"/>
          <w:lang w:val="en-GB"/>
        </w:rPr>
        <w:lastRenderedPageBreak/>
        <w:t xml:space="preserve">Peugh, J.L. (2010) ‘A practical guide to multilevel </w:t>
      </w:r>
      <w:proofErr w:type="spellStart"/>
      <w:r w:rsidRPr="00671F38">
        <w:rPr>
          <w:rFonts w:ascii="Calibri" w:hAnsi="Calibri" w:cs="Calibri"/>
          <w:lang w:val="en-GB"/>
        </w:rPr>
        <w:t>modeling</w:t>
      </w:r>
      <w:proofErr w:type="spellEnd"/>
      <w:r w:rsidRPr="00671F38">
        <w:rPr>
          <w:rFonts w:ascii="Calibri" w:hAnsi="Calibri" w:cs="Calibri"/>
          <w:lang w:val="en-GB"/>
        </w:rPr>
        <w:t xml:space="preserve">’, </w:t>
      </w:r>
      <w:r w:rsidRPr="00671F38">
        <w:rPr>
          <w:rFonts w:ascii="Calibri" w:hAnsi="Calibri" w:cs="Calibri"/>
          <w:i/>
          <w:iCs/>
          <w:lang w:val="en-GB"/>
        </w:rPr>
        <w:t>Journal of School Psychology</w:t>
      </w:r>
      <w:r w:rsidRPr="00671F38">
        <w:rPr>
          <w:rFonts w:ascii="Calibri" w:hAnsi="Calibri" w:cs="Calibri"/>
          <w:lang w:val="en-GB"/>
        </w:rPr>
        <w:t>, 48(1), pp. 85–112. Available at: https://doi.org/10.1016/j.jsp.2009.09.002.</w:t>
      </w:r>
    </w:p>
    <w:p w14:paraId="3B8E9900" w14:textId="77777777" w:rsidR="00A35208" w:rsidRPr="00671F38" w:rsidRDefault="00A35208" w:rsidP="005D7515">
      <w:pPr>
        <w:pStyle w:val="Bibliography"/>
        <w:jc w:val="both"/>
        <w:rPr>
          <w:rFonts w:ascii="Calibri" w:hAnsi="Calibri" w:cs="Calibri"/>
          <w:lang w:val="en-GB"/>
        </w:rPr>
      </w:pPr>
      <w:r w:rsidRPr="00671F38">
        <w:rPr>
          <w:rFonts w:ascii="Calibri" w:hAnsi="Calibri" w:cs="Calibri"/>
          <w:lang w:val="en-GB"/>
        </w:rPr>
        <w:t xml:space="preserve">Qiu, L., Lindberg, S. and Nielsen, A.B. (2013) ‘Is biodiversity </w:t>
      </w:r>
      <w:proofErr w:type="gramStart"/>
      <w:r w:rsidRPr="00671F38">
        <w:rPr>
          <w:rFonts w:ascii="Calibri" w:hAnsi="Calibri" w:cs="Calibri"/>
          <w:lang w:val="en-GB"/>
        </w:rPr>
        <w:t>attractive?—</w:t>
      </w:r>
      <w:proofErr w:type="gramEnd"/>
      <w:r w:rsidRPr="00671F38">
        <w:rPr>
          <w:rFonts w:ascii="Calibri" w:hAnsi="Calibri" w:cs="Calibri"/>
          <w:lang w:val="en-GB"/>
        </w:rPr>
        <w:t xml:space="preserve">On-site perception of recreational and biodiversity values in urban green space’, </w:t>
      </w:r>
      <w:r w:rsidRPr="00671F38">
        <w:rPr>
          <w:rFonts w:ascii="Calibri" w:hAnsi="Calibri" w:cs="Calibri"/>
          <w:i/>
          <w:iCs/>
          <w:lang w:val="en-GB"/>
        </w:rPr>
        <w:t>Landscape and Urban Planning</w:t>
      </w:r>
      <w:r w:rsidRPr="00671F38">
        <w:rPr>
          <w:rFonts w:ascii="Calibri" w:hAnsi="Calibri" w:cs="Calibri"/>
          <w:lang w:val="en-GB"/>
        </w:rPr>
        <w:t>, 119, pp. 136–146. Available at: https://doi.org/10.1016/j.landurbplan.2013.07.007.</w:t>
      </w:r>
    </w:p>
    <w:p w14:paraId="68906D30" w14:textId="77777777" w:rsidR="00A35208" w:rsidRPr="00671F38" w:rsidRDefault="00A35208" w:rsidP="005D7515">
      <w:pPr>
        <w:pStyle w:val="Bibliography"/>
        <w:jc w:val="both"/>
        <w:rPr>
          <w:rFonts w:ascii="Calibri" w:hAnsi="Calibri" w:cs="Calibri"/>
          <w:lang w:val="en-GB"/>
        </w:rPr>
      </w:pPr>
      <w:r w:rsidRPr="00671F38">
        <w:rPr>
          <w:rFonts w:ascii="Calibri" w:hAnsi="Calibri" w:cs="Calibri"/>
          <w:lang w:val="en-GB"/>
        </w:rPr>
        <w:t xml:space="preserve">Rathmann, J. </w:t>
      </w:r>
      <w:r w:rsidRPr="00671F38">
        <w:rPr>
          <w:rFonts w:ascii="Calibri" w:hAnsi="Calibri" w:cs="Calibri"/>
          <w:i/>
          <w:iCs/>
          <w:lang w:val="en-GB"/>
        </w:rPr>
        <w:t>et al.</w:t>
      </w:r>
      <w:r w:rsidRPr="00671F38">
        <w:rPr>
          <w:rFonts w:ascii="Calibri" w:hAnsi="Calibri" w:cs="Calibri"/>
          <w:lang w:val="en-GB"/>
        </w:rPr>
        <w:t xml:space="preserve"> (2020) ‘Using the visitor-employed photography method to analyse deadwood perceptions of forest visitors: a case study from Bavarian Forest National Park, Germany’, </w:t>
      </w:r>
      <w:r w:rsidRPr="00671F38">
        <w:rPr>
          <w:rFonts w:ascii="Calibri" w:hAnsi="Calibri" w:cs="Calibri"/>
          <w:i/>
          <w:iCs/>
          <w:lang w:val="en-GB"/>
        </w:rPr>
        <w:t>European Journal of Forest Research</w:t>
      </w:r>
      <w:r w:rsidRPr="00671F38">
        <w:rPr>
          <w:rFonts w:ascii="Calibri" w:hAnsi="Calibri" w:cs="Calibri"/>
          <w:lang w:val="en-GB"/>
        </w:rPr>
        <w:t>, 139(3), pp. 431–442. Available at: https://doi.org/10.1007/s10342-020-01260-0.</w:t>
      </w:r>
    </w:p>
    <w:p w14:paraId="07B9C2A0" w14:textId="77777777" w:rsidR="00A35208" w:rsidRPr="00671F38" w:rsidRDefault="00A35208" w:rsidP="005D7515">
      <w:pPr>
        <w:pStyle w:val="Bibliography"/>
        <w:jc w:val="both"/>
        <w:rPr>
          <w:rFonts w:ascii="Calibri" w:hAnsi="Calibri" w:cs="Calibri"/>
          <w:lang w:val="en-GB"/>
        </w:rPr>
      </w:pPr>
      <w:r w:rsidRPr="00671F38">
        <w:rPr>
          <w:rFonts w:ascii="Calibri" w:hAnsi="Calibri" w:cs="Calibri"/>
          <w:lang w:val="en-GB"/>
        </w:rPr>
        <w:t xml:space="preserve">Richards, D.R., </w:t>
      </w:r>
      <w:proofErr w:type="spellStart"/>
      <w:r w:rsidRPr="00671F38">
        <w:rPr>
          <w:rFonts w:ascii="Calibri" w:hAnsi="Calibri" w:cs="Calibri"/>
          <w:lang w:val="en-GB"/>
        </w:rPr>
        <w:t>Tunçer</w:t>
      </w:r>
      <w:proofErr w:type="spellEnd"/>
      <w:r w:rsidRPr="00671F38">
        <w:rPr>
          <w:rFonts w:ascii="Calibri" w:hAnsi="Calibri" w:cs="Calibri"/>
          <w:lang w:val="en-GB"/>
        </w:rPr>
        <w:t xml:space="preserve">, B. and </w:t>
      </w:r>
      <w:proofErr w:type="spellStart"/>
      <w:r w:rsidRPr="00671F38">
        <w:rPr>
          <w:rFonts w:ascii="Calibri" w:hAnsi="Calibri" w:cs="Calibri"/>
          <w:lang w:val="en-GB"/>
        </w:rPr>
        <w:t>Tunçer</w:t>
      </w:r>
      <w:proofErr w:type="spellEnd"/>
      <w:r w:rsidRPr="00671F38">
        <w:rPr>
          <w:rFonts w:ascii="Calibri" w:hAnsi="Calibri" w:cs="Calibri"/>
          <w:lang w:val="en-GB"/>
        </w:rPr>
        <w:t xml:space="preserve">, B. (2018) ‘Using image recognition to automate assessment of cultural ecosystem services from social media photographs’, </w:t>
      </w:r>
      <w:r w:rsidRPr="00671F38">
        <w:rPr>
          <w:rFonts w:ascii="Calibri" w:hAnsi="Calibri" w:cs="Calibri"/>
          <w:i/>
          <w:iCs/>
          <w:lang w:val="en-GB"/>
        </w:rPr>
        <w:t>Ecosystem Services</w:t>
      </w:r>
      <w:r w:rsidRPr="00671F38">
        <w:rPr>
          <w:rFonts w:ascii="Calibri" w:hAnsi="Calibri" w:cs="Calibri"/>
          <w:lang w:val="en-GB"/>
        </w:rPr>
        <w:t>, 31, pp. 318–325. Available at: https://doi.org/10.1016/j.ecoser.2017.09.004.</w:t>
      </w:r>
    </w:p>
    <w:p w14:paraId="7C6C3516" w14:textId="77777777" w:rsidR="00A35208" w:rsidRPr="00671F38" w:rsidRDefault="00A35208" w:rsidP="005D7515">
      <w:pPr>
        <w:pStyle w:val="Bibliography"/>
        <w:jc w:val="both"/>
        <w:rPr>
          <w:rFonts w:ascii="Calibri" w:hAnsi="Calibri" w:cs="Calibri"/>
          <w:lang w:val="en-GB"/>
        </w:rPr>
      </w:pPr>
      <w:r w:rsidRPr="00671F38">
        <w:rPr>
          <w:rFonts w:ascii="Calibri" w:hAnsi="Calibri" w:cs="Calibri"/>
          <w:lang w:val="en-GB"/>
        </w:rPr>
        <w:t xml:space="preserve">Richardson, M. </w:t>
      </w:r>
      <w:r w:rsidRPr="00671F38">
        <w:rPr>
          <w:rFonts w:ascii="Calibri" w:hAnsi="Calibri" w:cs="Calibri"/>
          <w:i/>
          <w:iCs/>
          <w:lang w:val="en-GB"/>
        </w:rPr>
        <w:t>et al.</w:t>
      </w:r>
      <w:r w:rsidRPr="00671F38">
        <w:rPr>
          <w:rFonts w:ascii="Calibri" w:hAnsi="Calibri" w:cs="Calibri"/>
          <w:lang w:val="en-GB"/>
        </w:rPr>
        <w:t xml:space="preserve"> (2020) ‘Data from a smartphone app for improving mental health through urban nature 2016-2019’. UK Data Service. Available at: https://doi.org/10.5255/UKDA-SN-854203.</w:t>
      </w:r>
    </w:p>
    <w:p w14:paraId="5E3D7956" w14:textId="77777777" w:rsidR="00A35208" w:rsidRPr="00671F38" w:rsidRDefault="00A35208" w:rsidP="005D7515">
      <w:pPr>
        <w:pStyle w:val="Bibliography"/>
        <w:jc w:val="both"/>
        <w:rPr>
          <w:rFonts w:ascii="Calibri" w:hAnsi="Calibri" w:cs="Calibri"/>
          <w:lang w:val="en-GB"/>
        </w:rPr>
      </w:pPr>
      <w:r w:rsidRPr="00671F38">
        <w:rPr>
          <w:rFonts w:ascii="Calibri" w:hAnsi="Calibri" w:cs="Calibri"/>
          <w:lang w:val="en-GB"/>
        </w:rPr>
        <w:t xml:space="preserve">Schultz, P.W. (2002) ‘Inclusion with Nature: The Psychology </w:t>
      </w:r>
      <w:proofErr w:type="gramStart"/>
      <w:r w:rsidRPr="00671F38">
        <w:rPr>
          <w:rFonts w:ascii="Calibri" w:hAnsi="Calibri" w:cs="Calibri"/>
          <w:lang w:val="en-GB"/>
        </w:rPr>
        <w:t>Of</w:t>
      </w:r>
      <w:proofErr w:type="gramEnd"/>
      <w:r w:rsidRPr="00671F38">
        <w:rPr>
          <w:rFonts w:ascii="Calibri" w:hAnsi="Calibri" w:cs="Calibri"/>
          <w:lang w:val="en-GB"/>
        </w:rPr>
        <w:t xml:space="preserve"> Human-Nature Relations’, in P. Schmuck and W.P. Schultz (eds) </w:t>
      </w:r>
      <w:r w:rsidRPr="00671F38">
        <w:rPr>
          <w:rFonts w:ascii="Calibri" w:hAnsi="Calibri" w:cs="Calibri"/>
          <w:i/>
          <w:iCs/>
          <w:lang w:val="en-GB"/>
        </w:rPr>
        <w:t>Psychology of Sustainable Development</w:t>
      </w:r>
      <w:r w:rsidRPr="00671F38">
        <w:rPr>
          <w:rFonts w:ascii="Calibri" w:hAnsi="Calibri" w:cs="Calibri"/>
          <w:lang w:val="en-GB"/>
        </w:rPr>
        <w:t>. Boston, MA: Springer US, pp. 61–78. Available at: https://doi.org/10.1007/978-1-4615-0995-0_4.</w:t>
      </w:r>
    </w:p>
    <w:p w14:paraId="7764CB41" w14:textId="77777777" w:rsidR="00A35208" w:rsidRPr="00671F38" w:rsidRDefault="00A35208" w:rsidP="005D7515">
      <w:pPr>
        <w:pStyle w:val="Bibliography"/>
        <w:jc w:val="both"/>
        <w:rPr>
          <w:rFonts w:ascii="Calibri" w:hAnsi="Calibri" w:cs="Calibri"/>
          <w:lang w:val="en-GB"/>
        </w:rPr>
      </w:pPr>
      <w:r w:rsidRPr="00671F38">
        <w:rPr>
          <w:rFonts w:ascii="Calibri" w:hAnsi="Calibri" w:cs="Calibri"/>
          <w:lang w:val="en-GB"/>
        </w:rPr>
        <w:t xml:space="preserve">Shin, W.S. </w:t>
      </w:r>
      <w:r w:rsidRPr="00671F38">
        <w:rPr>
          <w:rFonts w:ascii="Calibri" w:hAnsi="Calibri" w:cs="Calibri"/>
          <w:i/>
          <w:iCs/>
          <w:lang w:val="en-GB"/>
        </w:rPr>
        <w:t>et al.</w:t>
      </w:r>
      <w:r w:rsidRPr="00671F38">
        <w:rPr>
          <w:rFonts w:ascii="Calibri" w:hAnsi="Calibri" w:cs="Calibri"/>
          <w:lang w:val="en-GB"/>
        </w:rPr>
        <w:t xml:space="preserve"> (2011) ‘The influence of interaction with forest on cognitive function’, </w:t>
      </w:r>
      <w:r w:rsidRPr="00671F38">
        <w:rPr>
          <w:rFonts w:ascii="Calibri" w:hAnsi="Calibri" w:cs="Calibri"/>
          <w:i/>
          <w:iCs/>
          <w:lang w:val="en-GB"/>
        </w:rPr>
        <w:t>Scandinavian Journal of Forest Research</w:t>
      </w:r>
      <w:r w:rsidRPr="00671F38">
        <w:rPr>
          <w:rFonts w:ascii="Calibri" w:hAnsi="Calibri" w:cs="Calibri"/>
          <w:lang w:val="en-GB"/>
        </w:rPr>
        <w:t>, 26(6), pp. 595–598. Available at: https://doi.org/10.1080/02827581.2011.585996.</w:t>
      </w:r>
    </w:p>
    <w:p w14:paraId="70D675D8" w14:textId="77777777" w:rsidR="00A35208" w:rsidRPr="00671F38" w:rsidRDefault="00A35208" w:rsidP="005D7515">
      <w:pPr>
        <w:pStyle w:val="Bibliography"/>
        <w:jc w:val="both"/>
        <w:rPr>
          <w:rFonts w:ascii="Calibri" w:hAnsi="Calibri" w:cs="Calibri"/>
          <w:lang w:val="en-GB"/>
        </w:rPr>
      </w:pPr>
      <w:r w:rsidRPr="00671F38">
        <w:rPr>
          <w:rFonts w:ascii="Calibri" w:hAnsi="Calibri" w:cs="Calibri"/>
          <w:lang w:val="en-GB"/>
        </w:rPr>
        <w:t xml:space="preserve">Shwartz, A. </w:t>
      </w:r>
      <w:r w:rsidRPr="00671F38">
        <w:rPr>
          <w:rFonts w:ascii="Calibri" w:hAnsi="Calibri" w:cs="Calibri"/>
          <w:i/>
          <w:iCs/>
          <w:lang w:val="en-GB"/>
        </w:rPr>
        <w:t>et al.</w:t>
      </w:r>
      <w:r w:rsidRPr="00671F38">
        <w:rPr>
          <w:rFonts w:ascii="Calibri" w:hAnsi="Calibri" w:cs="Calibri"/>
          <w:lang w:val="en-GB"/>
        </w:rPr>
        <w:t xml:space="preserve"> (2014) ‘Enhancing urban biodiversity and its influence on city-dwellers: An experiment’, </w:t>
      </w:r>
      <w:r w:rsidRPr="00671F38">
        <w:rPr>
          <w:rFonts w:ascii="Calibri" w:hAnsi="Calibri" w:cs="Calibri"/>
          <w:i/>
          <w:iCs/>
          <w:lang w:val="en-GB"/>
        </w:rPr>
        <w:t>Biological Conservation</w:t>
      </w:r>
      <w:r w:rsidRPr="00671F38">
        <w:rPr>
          <w:rFonts w:ascii="Calibri" w:hAnsi="Calibri" w:cs="Calibri"/>
          <w:lang w:val="en-GB"/>
        </w:rPr>
        <w:t>, 171, pp. 82–90. Available at: https://doi.org/10.1016/j.biocon.2014.01.009.</w:t>
      </w:r>
    </w:p>
    <w:p w14:paraId="6E73DBC6" w14:textId="77777777" w:rsidR="00A35208" w:rsidRPr="00671F38" w:rsidRDefault="00A35208" w:rsidP="005D7515">
      <w:pPr>
        <w:pStyle w:val="Bibliography"/>
        <w:jc w:val="both"/>
        <w:rPr>
          <w:rFonts w:ascii="Calibri" w:hAnsi="Calibri" w:cs="Calibri"/>
          <w:lang w:val="en-GB"/>
        </w:rPr>
      </w:pPr>
      <w:r w:rsidRPr="00671F38">
        <w:rPr>
          <w:rFonts w:ascii="Calibri" w:hAnsi="Calibri" w:cs="Calibri"/>
          <w:lang w:val="en-GB"/>
        </w:rPr>
        <w:t xml:space="preserve">Song, C. </w:t>
      </w:r>
      <w:r w:rsidRPr="00671F38">
        <w:rPr>
          <w:rFonts w:ascii="Calibri" w:hAnsi="Calibri" w:cs="Calibri"/>
          <w:i/>
          <w:iCs/>
          <w:lang w:val="en-GB"/>
        </w:rPr>
        <w:t>et al.</w:t>
      </w:r>
      <w:r w:rsidRPr="00671F38">
        <w:rPr>
          <w:rFonts w:ascii="Calibri" w:hAnsi="Calibri" w:cs="Calibri"/>
          <w:lang w:val="en-GB"/>
        </w:rPr>
        <w:t xml:space="preserve"> (2015) ‘Physiological and psychological effects of a walk in Urban parks in fall’, </w:t>
      </w:r>
      <w:r w:rsidRPr="00671F38">
        <w:rPr>
          <w:rFonts w:ascii="Calibri" w:hAnsi="Calibri" w:cs="Calibri"/>
          <w:i/>
          <w:iCs/>
          <w:lang w:val="en-GB"/>
        </w:rPr>
        <w:t>Int J Environ Res Public Health</w:t>
      </w:r>
      <w:r w:rsidRPr="00671F38">
        <w:rPr>
          <w:rFonts w:ascii="Calibri" w:hAnsi="Calibri" w:cs="Calibri"/>
          <w:lang w:val="en-GB"/>
        </w:rPr>
        <w:t>, 12(11), pp. 14216–14228. Available at: https://doi.org/10.3390/ijerph121114216.</w:t>
      </w:r>
    </w:p>
    <w:p w14:paraId="6DC321F4" w14:textId="77777777" w:rsidR="00A35208" w:rsidRPr="00671F38" w:rsidRDefault="00A35208" w:rsidP="005D7515">
      <w:pPr>
        <w:pStyle w:val="Bibliography"/>
        <w:jc w:val="both"/>
        <w:rPr>
          <w:rFonts w:ascii="Calibri" w:hAnsi="Calibri" w:cs="Calibri"/>
          <w:lang w:val="en-GB"/>
        </w:rPr>
      </w:pPr>
      <w:r w:rsidRPr="00671F38">
        <w:rPr>
          <w:rFonts w:ascii="Calibri" w:hAnsi="Calibri" w:cs="Calibri"/>
          <w:lang w:val="en-GB"/>
        </w:rPr>
        <w:t xml:space="preserve">Song, C. </w:t>
      </w:r>
      <w:r w:rsidRPr="00671F38">
        <w:rPr>
          <w:rFonts w:ascii="Calibri" w:hAnsi="Calibri" w:cs="Calibri"/>
          <w:i/>
          <w:iCs/>
          <w:lang w:val="en-GB"/>
        </w:rPr>
        <w:t>et al.</w:t>
      </w:r>
      <w:r w:rsidRPr="00671F38">
        <w:rPr>
          <w:rFonts w:ascii="Calibri" w:hAnsi="Calibri" w:cs="Calibri"/>
          <w:lang w:val="en-GB"/>
        </w:rPr>
        <w:t xml:space="preserve"> (2019) ‘Physiological and psychological effects of viewing forests on young women’, </w:t>
      </w:r>
      <w:r w:rsidRPr="00671F38">
        <w:rPr>
          <w:rFonts w:ascii="Calibri" w:hAnsi="Calibri" w:cs="Calibri"/>
          <w:i/>
          <w:iCs/>
          <w:lang w:val="en-GB"/>
        </w:rPr>
        <w:t>Forests</w:t>
      </w:r>
      <w:r w:rsidRPr="00671F38">
        <w:rPr>
          <w:rFonts w:ascii="Calibri" w:hAnsi="Calibri" w:cs="Calibri"/>
          <w:lang w:val="en-GB"/>
        </w:rPr>
        <w:t>, 10(8). Available at: https://doi.org/10.3390/f10080635.</w:t>
      </w:r>
    </w:p>
    <w:p w14:paraId="71FA848D" w14:textId="77777777" w:rsidR="00A35208" w:rsidRPr="00671F38" w:rsidRDefault="00A35208" w:rsidP="005D7515">
      <w:pPr>
        <w:pStyle w:val="Bibliography"/>
        <w:jc w:val="both"/>
        <w:rPr>
          <w:rFonts w:ascii="Calibri" w:hAnsi="Calibri" w:cs="Calibri"/>
          <w:lang w:val="en-GB"/>
        </w:rPr>
      </w:pPr>
      <w:r w:rsidRPr="00671F38">
        <w:rPr>
          <w:rFonts w:ascii="Calibri" w:hAnsi="Calibri" w:cs="Calibri"/>
          <w:lang w:val="en-GB"/>
        </w:rPr>
        <w:t xml:space="preserve">Staats, H. </w:t>
      </w:r>
      <w:r w:rsidRPr="00671F38">
        <w:rPr>
          <w:rFonts w:ascii="Calibri" w:hAnsi="Calibri" w:cs="Calibri"/>
          <w:i/>
          <w:iCs/>
          <w:lang w:val="en-GB"/>
        </w:rPr>
        <w:t>et al.</w:t>
      </w:r>
      <w:r w:rsidRPr="00671F38">
        <w:rPr>
          <w:rFonts w:ascii="Calibri" w:hAnsi="Calibri" w:cs="Calibri"/>
          <w:lang w:val="en-GB"/>
        </w:rPr>
        <w:t xml:space="preserve"> (2016) ‘Urban options for psychological restoration: Common strategies in everyday situations’, </w:t>
      </w:r>
      <w:proofErr w:type="spellStart"/>
      <w:r w:rsidRPr="00671F38">
        <w:rPr>
          <w:rFonts w:ascii="Calibri" w:hAnsi="Calibri" w:cs="Calibri"/>
          <w:i/>
          <w:iCs/>
          <w:lang w:val="en-GB"/>
        </w:rPr>
        <w:t>PLoS</w:t>
      </w:r>
      <w:proofErr w:type="spellEnd"/>
      <w:r w:rsidRPr="00671F38">
        <w:rPr>
          <w:rFonts w:ascii="Calibri" w:hAnsi="Calibri" w:cs="Calibri"/>
          <w:i/>
          <w:iCs/>
          <w:lang w:val="en-GB"/>
        </w:rPr>
        <w:t xml:space="preserve"> ONE</w:t>
      </w:r>
      <w:r w:rsidRPr="00671F38">
        <w:rPr>
          <w:rFonts w:ascii="Calibri" w:hAnsi="Calibri" w:cs="Calibri"/>
          <w:lang w:val="en-GB"/>
        </w:rPr>
        <w:t>, 11(1). Available at: https://doi.org/10.1371/journal.pone.0146213.</w:t>
      </w:r>
    </w:p>
    <w:p w14:paraId="32BBF941" w14:textId="77777777" w:rsidR="00A35208" w:rsidRPr="00671F38" w:rsidRDefault="00A35208" w:rsidP="005D7515">
      <w:pPr>
        <w:pStyle w:val="Bibliography"/>
        <w:jc w:val="both"/>
        <w:rPr>
          <w:rFonts w:ascii="Calibri" w:hAnsi="Calibri" w:cs="Calibri"/>
          <w:lang w:val="en-GB"/>
        </w:rPr>
      </w:pPr>
      <w:r w:rsidRPr="00671F38">
        <w:rPr>
          <w:rFonts w:ascii="Calibri" w:hAnsi="Calibri" w:cs="Calibri"/>
          <w:lang w:val="en-GB"/>
        </w:rPr>
        <w:t xml:space="preserve">Steele, F. (2011) ‘Module 9: single-level and multilevel models for ordinal responses concepts’, </w:t>
      </w:r>
      <w:r w:rsidRPr="00671F38">
        <w:rPr>
          <w:rFonts w:ascii="Calibri" w:hAnsi="Calibri" w:cs="Calibri"/>
          <w:i/>
          <w:iCs/>
          <w:lang w:val="en-GB"/>
        </w:rPr>
        <w:t>Centre for Multilevel Modelling, University of Bristol</w:t>
      </w:r>
      <w:r w:rsidRPr="00671F38">
        <w:rPr>
          <w:rFonts w:ascii="Calibri" w:hAnsi="Calibri" w:cs="Calibri"/>
          <w:lang w:val="en-GB"/>
        </w:rPr>
        <w:t xml:space="preserve"> [Preprint].</w:t>
      </w:r>
    </w:p>
    <w:p w14:paraId="7055F8F8" w14:textId="77777777" w:rsidR="00A35208" w:rsidRPr="00671F38" w:rsidRDefault="00A35208" w:rsidP="005D7515">
      <w:pPr>
        <w:pStyle w:val="Bibliography"/>
        <w:jc w:val="both"/>
        <w:rPr>
          <w:rFonts w:ascii="Calibri" w:hAnsi="Calibri" w:cs="Calibri"/>
          <w:lang w:val="en-GB"/>
        </w:rPr>
      </w:pPr>
      <w:r w:rsidRPr="00671F38">
        <w:rPr>
          <w:rFonts w:ascii="Calibri" w:hAnsi="Calibri" w:cs="Calibri"/>
          <w:lang w:val="en-GB"/>
        </w:rPr>
        <w:t xml:space="preserve">Stevenson, M.P., Schilhab, T. and Bentsen, P. (2018) ‘Attention Restoration Theory II: a systematic review to clarify attention processes affected by exposure to natural environments’, </w:t>
      </w:r>
      <w:r w:rsidRPr="00671F38">
        <w:rPr>
          <w:rFonts w:ascii="Calibri" w:hAnsi="Calibri" w:cs="Calibri"/>
          <w:i/>
          <w:iCs/>
          <w:lang w:val="en-GB"/>
        </w:rPr>
        <w:t xml:space="preserve">J </w:t>
      </w:r>
      <w:proofErr w:type="spellStart"/>
      <w:r w:rsidRPr="00671F38">
        <w:rPr>
          <w:rFonts w:ascii="Calibri" w:hAnsi="Calibri" w:cs="Calibri"/>
          <w:i/>
          <w:iCs/>
          <w:lang w:val="en-GB"/>
        </w:rPr>
        <w:t>Toxicol</w:t>
      </w:r>
      <w:proofErr w:type="spellEnd"/>
      <w:r w:rsidRPr="00671F38">
        <w:rPr>
          <w:rFonts w:ascii="Calibri" w:hAnsi="Calibri" w:cs="Calibri"/>
          <w:i/>
          <w:iCs/>
          <w:lang w:val="en-GB"/>
        </w:rPr>
        <w:t xml:space="preserve"> </w:t>
      </w:r>
      <w:r w:rsidRPr="00671F38">
        <w:rPr>
          <w:rFonts w:ascii="Calibri" w:hAnsi="Calibri" w:cs="Calibri"/>
          <w:i/>
          <w:iCs/>
          <w:lang w:val="en-GB"/>
        </w:rPr>
        <w:lastRenderedPageBreak/>
        <w:t>Environ Health B Crit Rev</w:t>
      </w:r>
      <w:r w:rsidRPr="00671F38">
        <w:rPr>
          <w:rFonts w:ascii="Calibri" w:hAnsi="Calibri" w:cs="Calibri"/>
          <w:lang w:val="en-GB"/>
        </w:rPr>
        <w:t>, 21(4), pp. 227–268. Available at: https://doi.org/10.1080/10937404.2018.1505571.</w:t>
      </w:r>
    </w:p>
    <w:p w14:paraId="2D3D3170" w14:textId="77777777" w:rsidR="00A35208" w:rsidRPr="00671F38" w:rsidRDefault="00A35208" w:rsidP="005D7515">
      <w:pPr>
        <w:pStyle w:val="Bibliography"/>
        <w:jc w:val="both"/>
        <w:rPr>
          <w:rFonts w:ascii="Calibri" w:hAnsi="Calibri" w:cs="Calibri"/>
          <w:lang w:val="en-GB"/>
        </w:rPr>
      </w:pPr>
      <w:r w:rsidRPr="00671F38">
        <w:rPr>
          <w:rFonts w:ascii="Calibri" w:hAnsi="Calibri" w:cs="Calibri"/>
          <w:lang w:val="en-GB"/>
        </w:rPr>
        <w:t xml:space="preserve">Stigsdotter, U.K. </w:t>
      </w:r>
      <w:r w:rsidRPr="00671F38">
        <w:rPr>
          <w:rFonts w:ascii="Calibri" w:hAnsi="Calibri" w:cs="Calibri"/>
          <w:i/>
          <w:iCs/>
          <w:lang w:val="en-GB"/>
        </w:rPr>
        <w:t>et al.</w:t>
      </w:r>
      <w:r w:rsidRPr="00671F38">
        <w:rPr>
          <w:rFonts w:ascii="Calibri" w:hAnsi="Calibri" w:cs="Calibri"/>
          <w:lang w:val="en-GB"/>
        </w:rPr>
        <w:t xml:space="preserve"> (2017) ‘It is not all bad for the grey city – A crossover study on physiological and psychological restoration in a forest and an urban environment’, </w:t>
      </w:r>
      <w:r w:rsidRPr="00671F38">
        <w:rPr>
          <w:rFonts w:ascii="Calibri" w:hAnsi="Calibri" w:cs="Calibri"/>
          <w:i/>
          <w:iCs/>
          <w:lang w:val="en-GB"/>
        </w:rPr>
        <w:t>Health and Place</w:t>
      </w:r>
      <w:r w:rsidRPr="00671F38">
        <w:rPr>
          <w:rFonts w:ascii="Calibri" w:hAnsi="Calibri" w:cs="Calibri"/>
          <w:lang w:val="en-GB"/>
        </w:rPr>
        <w:t>, 46, pp. 145–154. Available at: https://doi.org/10.1016/j.healthplace.2017.05.007.</w:t>
      </w:r>
    </w:p>
    <w:p w14:paraId="1F9E6C88" w14:textId="77777777" w:rsidR="00A35208" w:rsidRPr="00671F38" w:rsidRDefault="00A35208" w:rsidP="005D7515">
      <w:pPr>
        <w:pStyle w:val="Bibliography"/>
        <w:jc w:val="both"/>
        <w:rPr>
          <w:rFonts w:ascii="Calibri" w:hAnsi="Calibri" w:cs="Calibri"/>
          <w:lang w:val="en-GB"/>
        </w:rPr>
      </w:pPr>
      <w:r w:rsidRPr="00671F38">
        <w:rPr>
          <w:rFonts w:ascii="Calibri" w:hAnsi="Calibri" w:cs="Calibri"/>
          <w:lang w:val="en-GB"/>
        </w:rPr>
        <w:t xml:space="preserve">Stoltzfus, J.C. (2011) ‘Logistic Regression: A Brief Primer’, </w:t>
      </w:r>
      <w:proofErr w:type="spellStart"/>
      <w:r w:rsidRPr="00671F38">
        <w:rPr>
          <w:rFonts w:ascii="Calibri" w:hAnsi="Calibri" w:cs="Calibri"/>
          <w:i/>
          <w:iCs/>
          <w:lang w:val="en-GB"/>
        </w:rPr>
        <w:t>Acad</w:t>
      </w:r>
      <w:proofErr w:type="spellEnd"/>
      <w:r w:rsidRPr="00671F38">
        <w:rPr>
          <w:rFonts w:ascii="Calibri" w:hAnsi="Calibri" w:cs="Calibri"/>
          <w:i/>
          <w:iCs/>
          <w:lang w:val="en-GB"/>
        </w:rPr>
        <w:t xml:space="preserve"> Emerg Med</w:t>
      </w:r>
      <w:r w:rsidRPr="00671F38">
        <w:rPr>
          <w:rFonts w:ascii="Calibri" w:hAnsi="Calibri" w:cs="Calibri"/>
          <w:lang w:val="en-GB"/>
        </w:rPr>
        <w:t>, 18(10), pp. 1099–1104. Available at: https://doi.org/10.1111/j.1553-2712.2011.01185.x.</w:t>
      </w:r>
    </w:p>
    <w:p w14:paraId="1BB664E4" w14:textId="77777777" w:rsidR="00A35208" w:rsidRPr="00671F38" w:rsidRDefault="00A35208" w:rsidP="005D7515">
      <w:pPr>
        <w:pStyle w:val="Bibliography"/>
        <w:jc w:val="both"/>
        <w:rPr>
          <w:rFonts w:ascii="Calibri" w:hAnsi="Calibri" w:cs="Calibri"/>
          <w:lang w:val="en-GB"/>
        </w:rPr>
      </w:pPr>
      <w:r w:rsidRPr="00671F38">
        <w:rPr>
          <w:rFonts w:ascii="Calibri" w:hAnsi="Calibri" w:cs="Calibri"/>
          <w:lang w:val="en-GB"/>
        </w:rPr>
        <w:t xml:space="preserve">Sverdlov, O. and </w:t>
      </w:r>
      <w:proofErr w:type="spellStart"/>
      <w:r w:rsidRPr="00671F38">
        <w:rPr>
          <w:rFonts w:ascii="Calibri" w:hAnsi="Calibri" w:cs="Calibri"/>
          <w:lang w:val="en-GB"/>
        </w:rPr>
        <w:t>Ryeznik</w:t>
      </w:r>
      <w:proofErr w:type="spellEnd"/>
      <w:r w:rsidRPr="00671F38">
        <w:rPr>
          <w:rFonts w:ascii="Calibri" w:hAnsi="Calibri" w:cs="Calibri"/>
          <w:lang w:val="en-GB"/>
        </w:rPr>
        <w:t xml:space="preserve">, Y. (2019) ‘Implementing unequal randomization in clinical trials with heterogeneous treatment costs’, </w:t>
      </w:r>
      <w:r w:rsidRPr="00671F38">
        <w:rPr>
          <w:rFonts w:ascii="Calibri" w:hAnsi="Calibri" w:cs="Calibri"/>
          <w:i/>
          <w:iCs/>
          <w:lang w:val="en-GB"/>
        </w:rPr>
        <w:t>Statistics in Medicine</w:t>
      </w:r>
      <w:r w:rsidRPr="00671F38">
        <w:rPr>
          <w:rFonts w:ascii="Calibri" w:hAnsi="Calibri" w:cs="Calibri"/>
          <w:lang w:val="en-GB"/>
        </w:rPr>
        <w:t>, 38(16), pp. 2905–2927. Available at: https://doi.org/10.1002/sim.8160.</w:t>
      </w:r>
    </w:p>
    <w:p w14:paraId="3F493D3E" w14:textId="77777777" w:rsidR="00A35208" w:rsidRPr="00671F38" w:rsidRDefault="00A35208" w:rsidP="005D7515">
      <w:pPr>
        <w:pStyle w:val="Bibliography"/>
        <w:jc w:val="both"/>
        <w:rPr>
          <w:rFonts w:ascii="Calibri" w:hAnsi="Calibri" w:cs="Calibri"/>
          <w:lang w:val="en-GB"/>
        </w:rPr>
      </w:pPr>
      <w:proofErr w:type="spellStart"/>
      <w:r w:rsidRPr="00671F38">
        <w:rPr>
          <w:rFonts w:ascii="Calibri" w:hAnsi="Calibri" w:cs="Calibri"/>
          <w:lang w:val="en-GB"/>
        </w:rPr>
        <w:t>Tzoulas</w:t>
      </w:r>
      <w:proofErr w:type="spellEnd"/>
      <w:r w:rsidRPr="00671F38">
        <w:rPr>
          <w:rFonts w:ascii="Calibri" w:hAnsi="Calibri" w:cs="Calibri"/>
          <w:lang w:val="en-GB"/>
        </w:rPr>
        <w:t xml:space="preserve">, K. </w:t>
      </w:r>
      <w:r w:rsidRPr="00671F38">
        <w:rPr>
          <w:rFonts w:ascii="Calibri" w:hAnsi="Calibri" w:cs="Calibri"/>
          <w:i/>
          <w:iCs/>
          <w:lang w:val="en-GB"/>
        </w:rPr>
        <w:t>et al.</w:t>
      </w:r>
      <w:r w:rsidRPr="00671F38">
        <w:rPr>
          <w:rFonts w:ascii="Calibri" w:hAnsi="Calibri" w:cs="Calibri"/>
          <w:lang w:val="en-GB"/>
        </w:rPr>
        <w:t xml:space="preserve"> (2007) ‘Promoting ecosystem and human health in urban areas using Green Infrastructure: A literature review’, </w:t>
      </w:r>
      <w:r w:rsidRPr="00671F38">
        <w:rPr>
          <w:rFonts w:ascii="Calibri" w:hAnsi="Calibri" w:cs="Calibri"/>
          <w:i/>
          <w:iCs/>
          <w:lang w:val="en-GB"/>
        </w:rPr>
        <w:t>Landscape and Urban Planning</w:t>
      </w:r>
      <w:r w:rsidRPr="00671F38">
        <w:rPr>
          <w:rFonts w:ascii="Calibri" w:hAnsi="Calibri" w:cs="Calibri"/>
          <w:lang w:val="en-GB"/>
        </w:rPr>
        <w:t>, 81(3), pp. 167–178. Available at: https://doi.org/10.1016/j.landurbplan.2007.02.001.</w:t>
      </w:r>
    </w:p>
    <w:p w14:paraId="77BF5920" w14:textId="77777777" w:rsidR="00A35208" w:rsidRPr="00671F38" w:rsidRDefault="00A35208" w:rsidP="005D7515">
      <w:pPr>
        <w:pStyle w:val="Bibliography"/>
        <w:jc w:val="both"/>
        <w:rPr>
          <w:rFonts w:ascii="Calibri" w:hAnsi="Calibri" w:cs="Calibri"/>
          <w:lang w:val="en-GB"/>
        </w:rPr>
      </w:pPr>
      <w:r w:rsidRPr="00671F38">
        <w:rPr>
          <w:rFonts w:ascii="Calibri" w:hAnsi="Calibri" w:cs="Calibri"/>
          <w:lang w:val="en-GB"/>
        </w:rPr>
        <w:t xml:space="preserve">Ulrich, R.S. (1984) ‘View through a window may influence recovery from surgery’, </w:t>
      </w:r>
      <w:r w:rsidRPr="00671F38">
        <w:rPr>
          <w:rFonts w:ascii="Calibri" w:hAnsi="Calibri" w:cs="Calibri"/>
          <w:i/>
          <w:iCs/>
          <w:lang w:val="en-GB"/>
        </w:rPr>
        <w:t>science</w:t>
      </w:r>
      <w:r w:rsidRPr="00671F38">
        <w:rPr>
          <w:rFonts w:ascii="Calibri" w:hAnsi="Calibri" w:cs="Calibri"/>
          <w:lang w:val="en-GB"/>
        </w:rPr>
        <w:t>, 224(4647), pp. 420–421.</w:t>
      </w:r>
    </w:p>
    <w:p w14:paraId="02CB0628" w14:textId="77777777" w:rsidR="00A35208" w:rsidRPr="00671F38" w:rsidRDefault="00A35208" w:rsidP="005D7515">
      <w:pPr>
        <w:pStyle w:val="Bibliography"/>
        <w:jc w:val="both"/>
        <w:rPr>
          <w:rFonts w:ascii="Calibri" w:hAnsi="Calibri" w:cs="Calibri"/>
          <w:lang w:val="en-GB"/>
        </w:rPr>
      </w:pPr>
      <w:r w:rsidRPr="00671F38">
        <w:rPr>
          <w:rFonts w:ascii="Calibri" w:hAnsi="Calibri" w:cs="Calibri"/>
          <w:lang w:val="en-GB"/>
        </w:rPr>
        <w:t xml:space="preserve">Ulrich, R.S. </w:t>
      </w:r>
      <w:r w:rsidRPr="00671F38">
        <w:rPr>
          <w:rFonts w:ascii="Calibri" w:hAnsi="Calibri" w:cs="Calibri"/>
          <w:i/>
          <w:iCs/>
          <w:lang w:val="en-GB"/>
        </w:rPr>
        <w:t>et al.</w:t>
      </w:r>
      <w:r w:rsidRPr="00671F38">
        <w:rPr>
          <w:rFonts w:ascii="Calibri" w:hAnsi="Calibri" w:cs="Calibri"/>
          <w:lang w:val="en-GB"/>
        </w:rPr>
        <w:t xml:space="preserve"> (1991) ‘Stress recovery during exposure to natural and urban environments’, </w:t>
      </w:r>
      <w:r w:rsidRPr="00671F38">
        <w:rPr>
          <w:rFonts w:ascii="Calibri" w:hAnsi="Calibri" w:cs="Calibri"/>
          <w:i/>
          <w:iCs/>
          <w:lang w:val="en-GB"/>
        </w:rPr>
        <w:t>Journal of Environmental Psychology</w:t>
      </w:r>
      <w:r w:rsidRPr="00671F38">
        <w:rPr>
          <w:rFonts w:ascii="Calibri" w:hAnsi="Calibri" w:cs="Calibri"/>
          <w:lang w:val="en-GB"/>
        </w:rPr>
        <w:t>, 11(3), pp. 201–230. Available at: https://doi.org/10.1016/S0272-4944(05)80184-7.</w:t>
      </w:r>
    </w:p>
    <w:p w14:paraId="41B7E4CD" w14:textId="77777777" w:rsidR="00A35208" w:rsidRPr="00671F38" w:rsidRDefault="00A35208" w:rsidP="005D7515">
      <w:pPr>
        <w:pStyle w:val="Bibliography"/>
        <w:jc w:val="both"/>
        <w:rPr>
          <w:rFonts w:ascii="Calibri" w:hAnsi="Calibri" w:cs="Calibri"/>
          <w:lang w:val="en-GB"/>
        </w:rPr>
      </w:pPr>
      <w:r w:rsidRPr="00671F38">
        <w:rPr>
          <w:rFonts w:ascii="Calibri" w:hAnsi="Calibri" w:cs="Calibri"/>
          <w:lang w:val="en-GB"/>
        </w:rPr>
        <w:t xml:space="preserve">Wen, Y. </w:t>
      </w:r>
      <w:r w:rsidRPr="00671F38">
        <w:rPr>
          <w:rFonts w:ascii="Calibri" w:hAnsi="Calibri" w:cs="Calibri"/>
          <w:i/>
          <w:iCs/>
          <w:lang w:val="en-GB"/>
        </w:rPr>
        <w:t>et al.</w:t>
      </w:r>
      <w:r w:rsidRPr="00671F38">
        <w:rPr>
          <w:rFonts w:ascii="Calibri" w:hAnsi="Calibri" w:cs="Calibri"/>
          <w:lang w:val="en-GB"/>
        </w:rPr>
        <w:t xml:space="preserve"> (2019) ‘Medical empirical research on forest bathing (Shinrin-yoku): A systematic review’, </w:t>
      </w:r>
      <w:r w:rsidRPr="00671F38">
        <w:rPr>
          <w:rFonts w:ascii="Calibri" w:hAnsi="Calibri" w:cs="Calibri"/>
          <w:i/>
          <w:iCs/>
          <w:lang w:val="en-GB"/>
        </w:rPr>
        <w:t>Environmental Health and Preventive Medicine</w:t>
      </w:r>
      <w:r w:rsidRPr="00671F38">
        <w:rPr>
          <w:rFonts w:ascii="Calibri" w:hAnsi="Calibri" w:cs="Calibri"/>
          <w:lang w:val="en-GB"/>
        </w:rPr>
        <w:t>, 24(1), pp. 1–21. Available at: https://doi.org/10.1186/s12199-019-0822-8.</w:t>
      </w:r>
    </w:p>
    <w:p w14:paraId="46D17620" w14:textId="77777777" w:rsidR="00A35208" w:rsidRPr="00671F38" w:rsidRDefault="00A35208" w:rsidP="005D7515">
      <w:pPr>
        <w:pStyle w:val="Bibliography"/>
        <w:jc w:val="both"/>
        <w:rPr>
          <w:rFonts w:ascii="Calibri" w:hAnsi="Calibri" w:cs="Calibri"/>
          <w:lang w:val="en-GB"/>
        </w:rPr>
      </w:pPr>
      <w:r w:rsidRPr="00671F38">
        <w:rPr>
          <w:rFonts w:ascii="Calibri" w:hAnsi="Calibri" w:cs="Calibri"/>
          <w:lang w:val="en-GB"/>
        </w:rPr>
        <w:t xml:space="preserve">White, M. </w:t>
      </w:r>
      <w:r w:rsidRPr="00671F38">
        <w:rPr>
          <w:rFonts w:ascii="Calibri" w:hAnsi="Calibri" w:cs="Calibri"/>
          <w:i/>
          <w:iCs/>
          <w:lang w:val="en-GB"/>
        </w:rPr>
        <w:t>et al.</w:t>
      </w:r>
      <w:r w:rsidRPr="00671F38">
        <w:rPr>
          <w:rFonts w:ascii="Calibri" w:hAnsi="Calibri" w:cs="Calibri"/>
          <w:lang w:val="en-GB"/>
        </w:rPr>
        <w:t xml:space="preserve"> (2010) ‘Blue space: The importance of water for preference, affect, and </w:t>
      </w:r>
      <w:proofErr w:type="spellStart"/>
      <w:r w:rsidRPr="00671F38">
        <w:rPr>
          <w:rFonts w:ascii="Calibri" w:hAnsi="Calibri" w:cs="Calibri"/>
          <w:lang w:val="en-GB"/>
        </w:rPr>
        <w:t>restorativeness</w:t>
      </w:r>
      <w:proofErr w:type="spellEnd"/>
      <w:r w:rsidRPr="00671F38">
        <w:rPr>
          <w:rFonts w:ascii="Calibri" w:hAnsi="Calibri" w:cs="Calibri"/>
          <w:lang w:val="en-GB"/>
        </w:rPr>
        <w:t xml:space="preserve"> ratings of natural and built scenes’, </w:t>
      </w:r>
      <w:r w:rsidRPr="00671F38">
        <w:rPr>
          <w:rFonts w:ascii="Calibri" w:hAnsi="Calibri" w:cs="Calibri"/>
          <w:i/>
          <w:iCs/>
          <w:lang w:val="en-GB"/>
        </w:rPr>
        <w:t>Journal of Environmental Psychology</w:t>
      </w:r>
      <w:r w:rsidRPr="00671F38">
        <w:rPr>
          <w:rFonts w:ascii="Calibri" w:hAnsi="Calibri" w:cs="Calibri"/>
          <w:lang w:val="en-GB"/>
        </w:rPr>
        <w:t>, 30(4), pp. 482–493. Available at: https://doi.org/10.1016/j.jenvp.2010.04.004.</w:t>
      </w:r>
    </w:p>
    <w:p w14:paraId="6CAD7872" w14:textId="77777777" w:rsidR="00A35208" w:rsidRPr="00671F38" w:rsidRDefault="00A35208" w:rsidP="005D7515">
      <w:pPr>
        <w:pStyle w:val="Bibliography"/>
        <w:jc w:val="both"/>
        <w:rPr>
          <w:rFonts w:ascii="Calibri" w:hAnsi="Calibri" w:cs="Calibri"/>
          <w:lang w:val="en-GB"/>
        </w:rPr>
      </w:pPr>
      <w:r w:rsidRPr="00671F38">
        <w:rPr>
          <w:rFonts w:ascii="Calibri" w:hAnsi="Calibri" w:cs="Calibri"/>
          <w:lang w:val="en-GB"/>
        </w:rPr>
        <w:t xml:space="preserve">Wolf, K.L. </w:t>
      </w:r>
      <w:r w:rsidRPr="00671F38">
        <w:rPr>
          <w:rFonts w:ascii="Calibri" w:hAnsi="Calibri" w:cs="Calibri"/>
          <w:i/>
          <w:iCs/>
          <w:lang w:val="en-GB"/>
        </w:rPr>
        <w:t>et al.</w:t>
      </w:r>
      <w:r w:rsidRPr="00671F38">
        <w:rPr>
          <w:rFonts w:ascii="Calibri" w:hAnsi="Calibri" w:cs="Calibri"/>
          <w:lang w:val="en-GB"/>
        </w:rPr>
        <w:t xml:space="preserve"> (2020) ‘Urban Trees and Human Health: A Scoping Review’, </w:t>
      </w:r>
      <w:r w:rsidRPr="00671F38">
        <w:rPr>
          <w:rFonts w:ascii="Calibri" w:hAnsi="Calibri" w:cs="Calibri"/>
          <w:i/>
          <w:iCs/>
          <w:lang w:val="en-GB"/>
        </w:rPr>
        <w:t>International Journal of Environmental Research and Public Health</w:t>
      </w:r>
      <w:r w:rsidRPr="00671F38">
        <w:rPr>
          <w:rFonts w:ascii="Calibri" w:hAnsi="Calibri" w:cs="Calibri"/>
          <w:lang w:val="en-GB"/>
        </w:rPr>
        <w:t>, 17(12), p. 4371. Available at: https://doi.org/10.3390/ijerph17124371.</w:t>
      </w:r>
    </w:p>
    <w:p w14:paraId="55F2B0EA" w14:textId="77777777" w:rsidR="00A35208" w:rsidRPr="00671F38" w:rsidRDefault="00A35208" w:rsidP="005D7515">
      <w:pPr>
        <w:pStyle w:val="Bibliography"/>
        <w:jc w:val="both"/>
        <w:rPr>
          <w:rFonts w:ascii="Calibri" w:hAnsi="Calibri" w:cs="Calibri"/>
          <w:lang w:val="en-GB"/>
        </w:rPr>
      </w:pPr>
      <w:r w:rsidRPr="00671F38">
        <w:rPr>
          <w:rFonts w:ascii="Calibri" w:hAnsi="Calibri" w:cs="Calibri"/>
          <w:lang w:val="en-GB"/>
        </w:rPr>
        <w:t xml:space="preserve">Wolf, L.J. </w:t>
      </w:r>
      <w:r w:rsidRPr="00671F38">
        <w:rPr>
          <w:rFonts w:ascii="Calibri" w:hAnsi="Calibri" w:cs="Calibri"/>
          <w:i/>
          <w:iCs/>
          <w:lang w:val="en-GB"/>
        </w:rPr>
        <w:t>et al.</w:t>
      </w:r>
      <w:r w:rsidRPr="00671F38">
        <w:rPr>
          <w:rFonts w:ascii="Calibri" w:hAnsi="Calibri" w:cs="Calibri"/>
          <w:lang w:val="en-GB"/>
        </w:rPr>
        <w:t xml:space="preserve"> (2017) ‘Is Variety the Spice of Life? An Experimental Investigation into the Effects of Species Richness on Self-Reported Mental Well-Being.’, </w:t>
      </w:r>
      <w:proofErr w:type="spellStart"/>
      <w:r w:rsidRPr="00671F38">
        <w:rPr>
          <w:rFonts w:ascii="Calibri" w:hAnsi="Calibri" w:cs="Calibri"/>
          <w:i/>
          <w:iCs/>
          <w:lang w:val="en-GB"/>
        </w:rPr>
        <w:t>PloS</w:t>
      </w:r>
      <w:proofErr w:type="spellEnd"/>
      <w:r w:rsidRPr="00671F38">
        <w:rPr>
          <w:rFonts w:ascii="Calibri" w:hAnsi="Calibri" w:cs="Calibri"/>
          <w:i/>
          <w:iCs/>
          <w:lang w:val="en-GB"/>
        </w:rPr>
        <w:t xml:space="preserve"> one</w:t>
      </w:r>
      <w:r w:rsidRPr="00671F38">
        <w:rPr>
          <w:rFonts w:ascii="Calibri" w:hAnsi="Calibri" w:cs="Calibri"/>
          <w:lang w:val="en-GB"/>
        </w:rPr>
        <w:t>. Edited by L.J. Wolf, 12(1), pp. e0170225–e0170225. Available at: https://doi.org/10.1371/journal.pone.0170225.</w:t>
      </w:r>
    </w:p>
    <w:p w14:paraId="5A79D274" w14:textId="77777777" w:rsidR="00A35208" w:rsidRPr="00671F38" w:rsidRDefault="00A35208" w:rsidP="005D7515">
      <w:pPr>
        <w:pStyle w:val="Bibliography"/>
        <w:jc w:val="both"/>
        <w:rPr>
          <w:rFonts w:ascii="Calibri" w:hAnsi="Calibri" w:cs="Calibri"/>
          <w:lang w:val="en-GB"/>
        </w:rPr>
      </w:pPr>
      <w:r w:rsidRPr="00671F38">
        <w:rPr>
          <w:rFonts w:ascii="Calibri" w:hAnsi="Calibri" w:cs="Calibri"/>
          <w:lang w:val="en-GB"/>
        </w:rPr>
        <w:t xml:space="preserve">Wood, E. </w:t>
      </w:r>
      <w:r w:rsidRPr="00671F38">
        <w:rPr>
          <w:rFonts w:ascii="Calibri" w:hAnsi="Calibri" w:cs="Calibri"/>
          <w:i/>
          <w:iCs/>
          <w:lang w:val="en-GB"/>
        </w:rPr>
        <w:t>et al.</w:t>
      </w:r>
      <w:r w:rsidRPr="00671F38">
        <w:rPr>
          <w:rFonts w:ascii="Calibri" w:hAnsi="Calibri" w:cs="Calibri"/>
          <w:lang w:val="en-GB"/>
        </w:rPr>
        <w:t xml:space="preserve"> (2018) ‘Not all green space is created equal: Biodiversity predicts psychological restorative benefits from urban green space’, </w:t>
      </w:r>
      <w:r w:rsidRPr="00671F38">
        <w:rPr>
          <w:rFonts w:ascii="Calibri" w:hAnsi="Calibri" w:cs="Calibri"/>
          <w:i/>
          <w:iCs/>
          <w:lang w:val="en-GB"/>
        </w:rPr>
        <w:t>Frontiers in Psychology</w:t>
      </w:r>
      <w:r w:rsidRPr="00671F38">
        <w:rPr>
          <w:rFonts w:ascii="Calibri" w:hAnsi="Calibri" w:cs="Calibri"/>
          <w:lang w:val="en-GB"/>
        </w:rPr>
        <w:t>, 9(NOV). Available at: https://doi.org/10.3389/fpsyg.2018.02320.</w:t>
      </w:r>
    </w:p>
    <w:p w14:paraId="0E8B96FE" w14:textId="77777777" w:rsidR="00A35208" w:rsidRPr="00671F38" w:rsidRDefault="00A35208" w:rsidP="005D7515">
      <w:pPr>
        <w:pStyle w:val="Bibliography"/>
        <w:jc w:val="both"/>
        <w:rPr>
          <w:rFonts w:ascii="Calibri" w:hAnsi="Calibri" w:cs="Calibri"/>
          <w:lang w:val="en-GB"/>
        </w:rPr>
      </w:pPr>
      <w:r w:rsidRPr="00671F38">
        <w:rPr>
          <w:rFonts w:ascii="Calibri" w:hAnsi="Calibri" w:cs="Calibri"/>
          <w:lang w:val="en-GB"/>
        </w:rPr>
        <w:lastRenderedPageBreak/>
        <w:t xml:space="preserve">Yang, J. </w:t>
      </w:r>
      <w:r w:rsidRPr="00671F38">
        <w:rPr>
          <w:rFonts w:ascii="Calibri" w:hAnsi="Calibri" w:cs="Calibri"/>
          <w:i/>
          <w:iCs/>
          <w:lang w:val="en-GB"/>
        </w:rPr>
        <w:t>et al.</w:t>
      </w:r>
      <w:r w:rsidRPr="00671F38">
        <w:rPr>
          <w:rFonts w:ascii="Calibri" w:hAnsi="Calibri" w:cs="Calibri"/>
          <w:lang w:val="en-GB"/>
        </w:rPr>
        <w:t xml:space="preserve"> (2021) ‘Gray cityscape caused by particulate matter pollution hampers human stress recovery’, </w:t>
      </w:r>
      <w:r w:rsidRPr="00671F38">
        <w:rPr>
          <w:rFonts w:ascii="Calibri" w:hAnsi="Calibri" w:cs="Calibri"/>
          <w:i/>
          <w:iCs/>
          <w:lang w:val="en-GB"/>
        </w:rPr>
        <w:t>Journal of Cleaner Production</w:t>
      </w:r>
      <w:r w:rsidRPr="00671F38">
        <w:rPr>
          <w:rFonts w:ascii="Calibri" w:hAnsi="Calibri" w:cs="Calibri"/>
          <w:lang w:val="en-GB"/>
        </w:rPr>
        <w:t>, 279, p. 123215. Available at: https://doi.org/10.1016/j.jclepro.2020.123215.</w:t>
      </w:r>
    </w:p>
    <w:p w14:paraId="2957601D" w14:textId="223E03F3" w:rsidR="00950AF3" w:rsidRPr="00C05886" w:rsidRDefault="00950AF3" w:rsidP="00950AF3">
      <w:pPr>
        <w:spacing w:line="276" w:lineRule="auto"/>
      </w:pPr>
    </w:p>
    <w:p w14:paraId="19E4DEA4" w14:textId="1B8D4AF3" w:rsidR="000E3C80" w:rsidRPr="00C05886" w:rsidRDefault="000E3C80" w:rsidP="00B26C56">
      <w:pPr>
        <w:rPr>
          <w:rFonts w:asciiTheme="majorHAnsi" w:eastAsiaTheme="majorEastAsia" w:hAnsiTheme="majorHAnsi" w:cstheme="majorBidi"/>
          <w:color w:val="2F5496" w:themeColor="accent1" w:themeShade="BF"/>
          <w:sz w:val="26"/>
          <w:szCs w:val="26"/>
        </w:rPr>
      </w:pPr>
      <w:r w:rsidRPr="00C05886">
        <w:br w:type="page"/>
      </w:r>
    </w:p>
    <w:p w14:paraId="7DD14FE5" w14:textId="4E6CB0C0" w:rsidR="002A2386" w:rsidRPr="00C05886" w:rsidRDefault="002A2386" w:rsidP="002A2386">
      <w:pPr>
        <w:pStyle w:val="Heading1"/>
      </w:pPr>
      <w:bookmarkStart w:id="82" w:name="_Toc179962334"/>
      <w:bookmarkStart w:id="83" w:name="_Hlk156835678"/>
      <w:r w:rsidRPr="00C05886">
        <w:lastRenderedPageBreak/>
        <w:t>Chapter 5 - Paper</w:t>
      </w:r>
      <w:bookmarkEnd w:id="82"/>
    </w:p>
    <w:p w14:paraId="1321B18A" w14:textId="77777777" w:rsidR="005B372A" w:rsidRPr="00C05886" w:rsidRDefault="005B372A" w:rsidP="00173BB8">
      <w:pPr>
        <w:jc w:val="center"/>
        <w:rPr>
          <w:rFonts w:cstheme="minorHAnsi"/>
          <w:b/>
          <w:sz w:val="36"/>
          <w:szCs w:val="36"/>
        </w:rPr>
      </w:pPr>
      <w:r w:rsidRPr="00C05886">
        <w:rPr>
          <w:rFonts w:cstheme="minorHAnsi"/>
          <w:sz w:val="36"/>
          <w:szCs w:val="36"/>
        </w:rPr>
        <w:t>Does increasing biodiversity in an urban woodland setting promote positive emotional responses in humans? A stress recovery experiment using 360-degree videos of an urban woodland</w:t>
      </w:r>
    </w:p>
    <w:p w14:paraId="0EA4B308" w14:textId="77777777" w:rsidR="005B372A" w:rsidRPr="00C05886" w:rsidRDefault="005B372A">
      <w:pPr>
        <w:spacing w:line="480" w:lineRule="auto"/>
      </w:pPr>
    </w:p>
    <w:p w14:paraId="5F7500B6" w14:textId="77777777" w:rsidR="005B372A" w:rsidRPr="00C05886" w:rsidRDefault="005B372A">
      <w:pPr>
        <w:spacing w:line="480" w:lineRule="auto"/>
      </w:pPr>
      <w:r w:rsidRPr="00C05886">
        <w:t>Simone Farris</w:t>
      </w:r>
      <w:r w:rsidRPr="00C05886">
        <w:rPr>
          <w:vertAlign w:val="superscript"/>
        </w:rPr>
        <w:t>1*</w:t>
      </w:r>
      <w:r w:rsidRPr="00C05886">
        <w:t>, Nicola Dempsey</w:t>
      </w:r>
      <w:r w:rsidRPr="00C05886">
        <w:rPr>
          <w:vertAlign w:val="superscript"/>
        </w:rPr>
        <w:t>1</w:t>
      </w:r>
      <w:r w:rsidRPr="00C05886">
        <w:t>, Kirsten McEwan</w:t>
      </w:r>
      <w:r w:rsidRPr="00C05886">
        <w:rPr>
          <w:vertAlign w:val="superscript"/>
        </w:rPr>
        <w:t>2</w:t>
      </w:r>
      <w:r w:rsidRPr="00C05886">
        <w:t>, Helen Hoyle</w:t>
      </w:r>
      <w:r w:rsidRPr="00C05886">
        <w:rPr>
          <w:vertAlign w:val="superscript"/>
        </w:rPr>
        <w:t>1</w:t>
      </w:r>
      <w:r w:rsidRPr="00C05886">
        <w:t xml:space="preserve"> and Ross Cameron</w:t>
      </w:r>
      <w:r w:rsidRPr="00C05886">
        <w:rPr>
          <w:vertAlign w:val="superscript"/>
        </w:rPr>
        <w:t>1</w:t>
      </w:r>
    </w:p>
    <w:p w14:paraId="26A938E9" w14:textId="77777777" w:rsidR="005B372A" w:rsidRPr="00C05886" w:rsidRDefault="005B372A">
      <w:pPr>
        <w:spacing w:line="480" w:lineRule="auto"/>
      </w:pPr>
      <w:r w:rsidRPr="00C05886">
        <w:t> </w:t>
      </w:r>
    </w:p>
    <w:p w14:paraId="44F9009C" w14:textId="77777777" w:rsidR="005B372A" w:rsidRPr="00C05886" w:rsidRDefault="005B372A">
      <w:pPr>
        <w:spacing w:line="480" w:lineRule="auto"/>
      </w:pPr>
      <w:r w:rsidRPr="00C05886">
        <w:rPr>
          <w:vertAlign w:val="superscript"/>
        </w:rPr>
        <w:t>1</w:t>
      </w:r>
      <w:r w:rsidRPr="00C05886">
        <w:t xml:space="preserve"> Department of Landscape Architecture, The University of Sheffield, Sheffield, United Kingdom</w:t>
      </w:r>
    </w:p>
    <w:p w14:paraId="1F9942D5" w14:textId="77777777" w:rsidR="005B372A" w:rsidRPr="00C05886" w:rsidRDefault="005B372A">
      <w:pPr>
        <w:spacing w:line="480" w:lineRule="auto"/>
      </w:pPr>
      <w:r w:rsidRPr="00C05886">
        <w:rPr>
          <w:vertAlign w:val="superscript"/>
        </w:rPr>
        <w:t>2</w:t>
      </w:r>
      <w:r w:rsidRPr="00C05886">
        <w:t xml:space="preserve"> College of Health, Psychology and Social Care, University of Derby, Derby, United Kingdom</w:t>
      </w:r>
    </w:p>
    <w:p w14:paraId="55A596E8" w14:textId="77777777" w:rsidR="005B372A" w:rsidRPr="00C05886" w:rsidRDefault="005B372A">
      <w:pPr>
        <w:spacing w:line="480" w:lineRule="auto"/>
      </w:pPr>
    </w:p>
    <w:p w14:paraId="4C9B1E98" w14:textId="77777777" w:rsidR="005B372A" w:rsidRPr="00C05886" w:rsidRDefault="005B372A">
      <w:pPr>
        <w:spacing w:line="480" w:lineRule="auto"/>
      </w:pPr>
    </w:p>
    <w:p w14:paraId="75F17EAA" w14:textId="77777777" w:rsidR="005B372A" w:rsidRPr="00C05886" w:rsidRDefault="005B372A">
      <w:pPr>
        <w:spacing w:line="480" w:lineRule="auto"/>
      </w:pPr>
      <w:r w:rsidRPr="00C05886">
        <w:t>* Corresponding author</w:t>
      </w:r>
    </w:p>
    <w:p w14:paraId="4C952A9B" w14:textId="77777777" w:rsidR="005B372A" w:rsidRPr="00C05886" w:rsidRDefault="005B372A">
      <w:pPr>
        <w:spacing w:line="480" w:lineRule="auto"/>
      </w:pPr>
      <w:r w:rsidRPr="00C05886">
        <w:t>Email: sfarris1@sheffield.ac.uk</w:t>
      </w:r>
    </w:p>
    <w:p w14:paraId="1190570D" w14:textId="77777777" w:rsidR="005B372A" w:rsidRPr="00C05886" w:rsidRDefault="005B372A" w:rsidP="005B372A">
      <w:pPr>
        <w:pStyle w:val="Heading2"/>
      </w:pPr>
      <w:bookmarkStart w:id="84" w:name="_Toc179962335"/>
      <w:r w:rsidRPr="00C05886">
        <w:t>Abstract</w:t>
      </w:r>
      <w:bookmarkEnd w:id="84"/>
    </w:p>
    <w:p w14:paraId="69683FEC" w14:textId="77777777" w:rsidR="005B372A" w:rsidRPr="00C05886" w:rsidRDefault="005B372A">
      <w:pPr>
        <w:spacing w:line="480" w:lineRule="auto"/>
      </w:pPr>
      <w:r w:rsidRPr="00C05886">
        <w:t xml:space="preserve">Green spaces can support human stress reduction and foster positive emotional well-being. Previous research has suggested that biodiversity (i.e. the variety of species of plants and animals in a given location) can enhance recovery from stress even further. However, there is limited experimental evidence testing this hypothesis and results, to date, have been mixed. This study aimed to provide further understanding of the role of biodiversity (actual or perceived) on human </w:t>
      </w:r>
      <w:r w:rsidRPr="00C05886">
        <w:lastRenderedPageBreak/>
        <w:t>well-being by experimentally manipulating species richness and stress. Participants (372 in total) took part in an online experiment, where they received an episode of mild stress before watching a 360-degree video to recover. The video showed the same location, an urban woodland, but at one of four artificially manipulated levels of biodiversity. The participants reported their Positive and Negative Affect before and after the stress induction and after watching the video, providing a measure of their stress and well-being throughout the experiment. Participants also reported their perceptions of biodiversity (i.e. how diverse they thought the location was) and elaborated on their responses with brief comments. Repeated Measure Analysis of Variance revealed that exposure to all levels of biodiversity reduced the participants’ Negative Affect, but with no significant difference between the conditions. However, the analysis showed higher Positive Affect in those participants who perceived the environment as more biodiverse. Comments from participants indicated that those who reported noticing flowers and trees in the environment also showed higher Positive Affect. This suggests that perceiving biodiversity promotes more positive emotions, but critically one needs to actually notice (engage with) the components of biodiversity to elicit these extra benefits.</w:t>
      </w:r>
    </w:p>
    <w:p w14:paraId="5F693565" w14:textId="77777777" w:rsidR="005B372A" w:rsidRPr="00C05886" w:rsidRDefault="005B372A" w:rsidP="005B372A">
      <w:pPr>
        <w:pStyle w:val="Heading2"/>
      </w:pPr>
      <w:bookmarkStart w:id="85" w:name="_Toc179962336"/>
      <w:bookmarkStart w:id="86" w:name="_Hlk127438913"/>
      <w:r w:rsidRPr="00C05886">
        <w:t>Introduction</w:t>
      </w:r>
      <w:bookmarkEnd w:id="85"/>
      <w:r w:rsidRPr="00C05886">
        <w:t xml:space="preserve"> </w:t>
      </w:r>
    </w:p>
    <w:p w14:paraId="22235B68" w14:textId="77777777" w:rsidR="00783734" w:rsidRPr="00C05886" w:rsidRDefault="00783734" w:rsidP="00783734">
      <w:pPr>
        <w:spacing w:line="480" w:lineRule="auto"/>
        <w:rPr>
          <w:color w:val="000000"/>
        </w:rPr>
      </w:pPr>
      <w:r w:rsidRPr="00C05886">
        <w:rPr>
          <w:color w:val="000000"/>
        </w:rPr>
        <w:t xml:space="preserve">Urban green space has been cited as providing some degree of protection against poor mental health [1–3] and providing recovery opportunities for individuals suffering from mental health problems [4–7]. Several theories have proposed explanatory mechanisms behind these benefits, which rely on the content or on the quality of green space. The Attention Restoration theory [8] postulates that space must provide engaging but low-effort stimuli (soft fascination) to be restorative. The Stress Reduction theory [9] suggests that spaces with unthreatening nature and moderate complexity reduce stress most effectively. The Biophilia hypothesis [10] indicates human well-being is enhanced by interacting with other species. More recently, research work addressed </w:t>
      </w:r>
      <w:r w:rsidRPr="00C05886">
        <w:rPr>
          <w:color w:val="000000"/>
        </w:rPr>
        <w:lastRenderedPageBreak/>
        <w:t xml:space="preserve">some of the physical aspects associated with green space such as phytoncides [11] and beneficial microbial communities which affect the human immune system and mood regulation [12,13]. </w:t>
      </w:r>
    </w:p>
    <w:p w14:paraId="41766D2A" w14:textId="77777777" w:rsidR="00783734" w:rsidRPr="00C05886" w:rsidRDefault="00783734" w:rsidP="00783734">
      <w:pPr>
        <w:spacing w:line="480" w:lineRule="auto"/>
        <w:rPr>
          <w:color w:val="000000"/>
        </w:rPr>
      </w:pPr>
      <w:r w:rsidRPr="00C05886">
        <w:rPr>
          <w:color w:val="000000"/>
        </w:rPr>
        <w:t>It has been argued that biodiversity (i.e. the diversity of species of plants and animals in a given location) is an attribute of the landscape [14] and one of the distinctive qualities of urban greenspaces [15]. Biodiversity can be quantified with objective measurements (i.e. actual biodiversity) but also estimated subjectively (perceived biodiversity), based on the number of species an observer thinks could be in the location [16]. According to the theories referenced above, a green space that is (or is perceived to be) richer in species should provide more opportunities to encounter wildlife and promote soft fascination (Attention restoration), and interactions with unthreatening nature (Stress reduction).</w:t>
      </w:r>
    </w:p>
    <w:p w14:paraId="7746A990" w14:textId="77777777" w:rsidR="00783734" w:rsidRPr="00C05886" w:rsidRDefault="00783734" w:rsidP="00783734">
      <w:pPr>
        <w:spacing w:line="480" w:lineRule="auto"/>
        <w:rPr>
          <w:color w:val="000000"/>
        </w:rPr>
      </w:pPr>
      <w:r w:rsidRPr="00C05886">
        <w:rPr>
          <w:color w:val="000000"/>
        </w:rPr>
        <w:t xml:space="preserve">Indeed, a number of papers suggest that increased bird [15,17–19], invertebrate [15] and/or plant diversity [15,17,18,20] increases the health-promoting potential of the landscape. Biodiversity in green space has been linked to both reduced stress [21–23] and enhanced Positive Affect [18,19]. </w:t>
      </w:r>
    </w:p>
    <w:p w14:paraId="6CE3FA30" w14:textId="77777777" w:rsidR="00783734" w:rsidRPr="00C05886" w:rsidRDefault="00783734" w:rsidP="00783734">
      <w:pPr>
        <w:spacing w:line="480" w:lineRule="auto"/>
        <w:rPr>
          <w:color w:val="000000"/>
        </w:rPr>
      </w:pPr>
      <w:r w:rsidRPr="00C05886">
        <w:rPr>
          <w:color w:val="000000"/>
        </w:rPr>
        <w:t xml:space="preserve">However, Lovell et al. [24] and Marselle et al. [25] state that the links between biodiversity and health are often correlational, and recommend more experiments to better explore cause and effect. </w:t>
      </w:r>
      <w:proofErr w:type="spellStart"/>
      <w:r w:rsidRPr="00C05886">
        <w:rPr>
          <w:color w:val="000000"/>
        </w:rPr>
        <w:t>Botzat</w:t>
      </w:r>
      <w:proofErr w:type="spellEnd"/>
      <w:r w:rsidRPr="00C05886">
        <w:rPr>
          <w:color w:val="000000"/>
        </w:rPr>
        <w:t xml:space="preserve"> et al. [26] also argued that, in urban green spaces, biodiversity was more frequently studied at the ecosystem and habitat level than at the species level. A recent review [27] noted that only six studies (out of the 52 reviewed) were set up to specifically explore the influence of species richness on human health. Two studies were natural experiments, using locations at different levels of biodiversity. Hussain et al. [28], measured self-reported well-being, blood pressure and heart rate before and after exposing participants to six mountain meadows. Participants reported higher well-being after visiting meadows with high plant biodiversity, while blood pressure and heart rate did not differ. Simkin et al. [29] tested the effect of visiting forests on Attention Restoration, Vitality and </w:t>
      </w:r>
      <w:r w:rsidRPr="00C05886">
        <w:rPr>
          <w:color w:val="000000"/>
        </w:rPr>
        <w:lastRenderedPageBreak/>
        <w:t>Positive/Negative Affect. The participants visited four forests which were all dominated by spruces (</w:t>
      </w:r>
      <w:r w:rsidRPr="005D7515">
        <w:rPr>
          <w:i/>
          <w:iCs/>
          <w:color w:val="000000"/>
        </w:rPr>
        <w:t>Picea abies</w:t>
      </w:r>
      <w:r w:rsidRPr="00C05886">
        <w:rPr>
          <w:color w:val="000000"/>
        </w:rPr>
        <w:t>), but differed in terms of maturity (old vs young) and location (urban vs rural). The results showed that rural mature forests (i.e. more biodiverse) induced higher Attention Restoration, Vitality and Positive Affect than young or urban forests. Four experiments manipulated species richness directly. Wolf et al. [18] showed videos comparing tree (1 vs 4 species) and bird (1 vs 5 species) species richness and found that videos with more species reduced anxiety and increased Positive Affect and Vitality. In contrast with Hussain et al. [28], the creation of urban meadows at three levels of species richness (low, medium and high) elicited non-significant differences in self-reported physical health and mental well-being, compared with mown grass [30].</w:t>
      </w:r>
    </w:p>
    <w:p w14:paraId="0101ED77" w14:textId="77777777" w:rsidR="00783734" w:rsidRPr="00C05886" w:rsidRDefault="00783734" w:rsidP="00783734">
      <w:pPr>
        <w:spacing w:line="480" w:lineRule="auto"/>
        <w:rPr>
          <w:color w:val="000000"/>
        </w:rPr>
      </w:pPr>
      <w:r w:rsidRPr="00C05886">
        <w:rPr>
          <w:color w:val="000000"/>
        </w:rPr>
        <w:t xml:space="preserve">The remaining two experiments linked increased biodiversity levels to better stress recovery. Placing stressed individuals in front of one out of five arrangements of potted plants (with 0, 1, 16, 32 and 64 plant species respectively), showed optimal stress recovery (regulation of blood pressure) with the 32 species treatment [22]. </w:t>
      </w:r>
      <w:proofErr w:type="spellStart"/>
      <w:r w:rsidRPr="00C05886">
        <w:rPr>
          <w:color w:val="000000"/>
        </w:rPr>
        <w:t>Schebella</w:t>
      </w:r>
      <w:proofErr w:type="spellEnd"/>
      <w:r w:rsidRPr="00C05886">
        <w:rPr>
          <w:color w:val="000000"/>
        </w:rPr>
        <w:t xml:space="preserve"> et al. [31] also indicated that some, but not necessarily high biodiversity, reduced stress. They used 360-degree videos to both stress their participants and expose them to parks at different levels of species richness. Applying a multisensory approach, species richness was controlled via visual (2, 4, 7 vegetation layers), audio (birdsong from more or fewer species) and olfactory stimuli (1 to 3 smells from grasses species). Results showed that the low biodiversity scenario (2 vegetation layers, 1 bird, 1 smell) lowered anxiety and heart rate, compared against an urban control (i.e. little biodiversity) but also the treatments representing greater biodiversity. </w:t>
      </w:r>
    </w:p>
    <w:p w14:paraId="41FFA29B" w14:textId="77777777" w:rsidR="00783734" w:rsidRPr="00C05886" w:rsidRDefault="00783734" w:rsidP="00783734">
      <w:pPr>
        <w:spacing w:line="480" w:lineRule="auto"/>
        <w:rPr>
          <w:color w:val="000000"/>
        </w:rPr>
      </w:pPr>
      <w:r w:rsidRPr="00C05886">
        <w:rPr>
          <w:color w:val="000000"/>
        </w:rPr>
        <w:t xml:space="preserve">Another strand of studies has found that improved psychological well-being was more associated with people’s perceptions of biodiversity, rather than with the actual species richness [32]. Using measures of both the actual and perceived richness of trees, butterflies and birds in twelve urban parks in Lisbon, Gonçalves et al. [33] found that perceived species richness explained more of the </w:t>
      </w:r>
      <w:r w:rsidRPr="00C05886">
        <w:rPr>
          <w:color w:val="000000"/>
        </w:rPr>
        <w:lastRenderedPageBreak/>
        <w:t>variance of well-being (Attention Restoration) than actual species richness. Similarly, students perceiving higher animal species richness in the parks of Singapore reported higher attention restoration and Positive Affect [23].</w:t>
      </w:r>
    </w:p>
    <w:p w14:paraId="070DECE1" w14:textId="77777777" w:rsidR="00783734" w:rsidRPr="00C05886" w:rsidRDefault="00783734" w:rsidP="00783734">
      <w:pPr>
        <w:spacing w:line="480" w:lineRule="auto"/>
        <w:rPr>
          <w:color w:val="000000"/>
        </w:rPr>
      </w:pPr>
      <w:r w:rsidRPr="00C05886">
        <w:rPr>
          <w:color w:val="000000"/>
        </w:rPr>
        <w:t xml:space="preserve">Perceptions of biodiversity are experienced through the senses [26] and several factors may influence these perceptions. These include visual clues such as planting height [30], diversity of flower colours [34] and broadleaf shapes [33]; auditory clues such as birdsong and sounds from water [35,36]; and olfactory clues such as smells of understory plants and fungi [37]. Perceptions of biodiversity, however, have at times been reported to be closely aligned with recorded data sets [30,31,38], at other times overestimated [39] or poorly correlated with actual biodiversity [32,40]. This may be due to difficulties in conceptualising biodiversity outside the expertise of ecologists [41]. </w:t>
      </w:r>
    </w:p>
    <w:p w14:paraId="3994F593" w14:textId="40FBF685" w:rsidR="007C5BD5" w:rsidRPr="00C05886" w:rsidRDefault="00783734" w:rsidP="00783734">
      <w:pPr>
        <w:spacing w:line="480" w:lineRule="auto"/>
      </w:pPr>
      <w:r w:rsidRPr="00C05886">
        <w:rPr>
          <w:color w:val="000000"/>
        </w:rPr>
        <w:t>Overall, these studies provide evidence of a positive link between species richness (actual or perceived) and some health indicators. Although limited by the number of studies, the experimental evidence suggested this relationship could be non-linear (i.e. a moderate level of diversity is more beneficial than too high or too low). However, since many studies have compared the effects of species richness present in different locations (e.g. different parks), the specific contribution of species richness to health and well-being remains unclear. Although different locations or settings allow for an easier (possibly more realistic) comparison of species richness, it has been argued that as the location changes, so do other characteristics, such as landscape size, heterogeneity, naturalness, management and other factors that influence landscape quality, e.g. the presence of water [19,31].</w:t>
      </w:r>
      <w:r w:rsidR="005B372A" w:rsidRPr="00C05886">
        <w:t xml:space="preserve"> </w:t>
      </w:r>
    </w:p>
    <w:p w14:paraId="1D2D1227" w14:textId="77777777" w:rsidR="007C5BD5" w:rsidRPr="00C05886" w:rsidRDefault="007C5BD5">
      <w:pPr>
        <w:spacing w:line="259" w:lineRule="auto"/>
        <w:jc w:val="left"/>
      </w:pPr>
      <w:r w:rsidRPr="00C05886">
        <w:br w:type="page"/>
      </w:r>
    </w:p>
    <w:p w14:paraId="24A3F508" w14:textId="77777777" w:rsidR="005B372A" w:rsidRPr="00C05886" w:rsidRDefault="005B372A" w:rsidP="00783734">
      <w:pPr>
        <w:spacing w:line="480" w:lineRule="auto"/>
      </w:pPr>
    </w:p>
    <w:p w14:paraId="229DE0D2" w14:textId="77777777" w:rsidR="005B372A" w:rsidRPr="00C05886" w:rsidRDefault="005B372A" w:rsidP="005B372A">
      <w:pPr>
        <w:pStyle w:val="Heading3"/>
      </w:pPr>
      <w:bookmarkStart w:id="87" w:name="_Toc179962337"/>
      <w:r w:rsidRPr="00C05886">
        <w:t>The present study</w:t>
      </w:r>
      <w:bookmarkEnd w:id="87"/>
    </w:p>
    <w:p w14:paraId="3DFDAE7E" w14:textId="402A3F3E" w:rsidR="00783734" w:rsidRPr="00C05886" w:rsidRDefault="00783734" w:rsidP="007C5BD5">
      <w:pPr>
        <w:pBdr>
          <w:top w:val="nil"/>
          <w:left w:val="nil"/>
          <w:bottom w:val="nil"/>
          <w:right w:val="nil"/>
          <w:between w:val="nil"/>
        </w:pBdr>
        <w:spacing w:after="0" w:line="480" w:lineRule="auto"/>
        <w:ind w:left="360"/>
      </w:pPr>
      <w:r w:rsidRPr="00C05886">
        <w:t>The study presented here aimed to provide further understanding of the role of biological diversity on human well-being by manipulating species richness and stress while controlling for the effect of the location. Similarly to Lindemann-Matthies and Matthies [22] one single locational setting (a woodland) was manipulated to increase the level of plant species richness by incorporating additional plants. Digital video recordings (</w:t>
      </w:r>
      <w:r w:rsidR="00323DA8" w:rsidRPr="00C05886">
        <w:t>360</w:t>
      </w:r>
      <w:r w:rsidR="00323DA8">
        <w:t>-degree</w:t>
      </w:r>
      <w:r w:rsidRPr="00C05886">
        <w:t xml:space="preserve">) of each scenario (condition) were then taken for participants to view at a later date. </w:t>
      </w:r>
    </w:p>
    <w:p w14:paraId="481BFAFA" w14:textId="77777777" w:rsidR="00783734" w:rsidRPr="00C05886" w:rsidRDefault="00783734" w:rsidP="007C5BD5">
      <w:pPr>
        <w:pBdr>
          <w:top w:val="nil"/>
          <w:left w:val="nil"/>
          <w:bottom w:val="nil"/>
          <w:right w:val="nil"/>
          <w:between w:val="nil"/>
        </w:pBdr>
        <w:spacing w:after="0" w:line="480" w:lineRule="auto"/>
        <w:ind w:left="360"/>
      </w:pPr>
      <w:r w:rsidRPr="00C05886">
        <w:t>Videos were used because exposure to the natural environment can be simulated through visual and audio media and elicit positive health responses [42–46]. Interactive, 360-degree videos are emerging as a novel method to expose participants to green spaces [47,48] and allow viewers to rotate the camera in any direction and explore the location. Such videos can mimic in-situ interactions, with participants who watched 360-degree videos of monuments [49] or scenic lakes [50] reporting similar spatial presence and emotional reactions to those who actually visited these sites. Understandably, however, direct exposure to the natural environment generates a stronger affective response, compared to any video-mediated exposure [51,52].</w:t>
      </w:r>
    </w:p>
    <w:p w14:paraId="7478358A" w14:textId="77777777" w:rsidR="00783734" w:rsidRPr="00C05886" w:rsidRDefault="00783734" w:rsidP="007C5BD5">
      <w:pPr>
        <w:pBdr>
          <w:top w:val="nil"/>
          <w:left w:val="nil"/>
          <w:bottom w:val="nil"/>
          <w:right w:val="nil"/>
          <w:between w:val="nil"/>
        </w:pBdr>
        <w:spacing w:after="0" w:line="480" w:lineRule="auto"/>
        <w:ind w:left="360"/>
      </w:pPr>
      <w:r w:rsidRPr="00C05886">
        <w:t>The use of videos to record the location, but with and without additional plants or bird songs, meant that all other landscape factors were consistent across all video treatments, i.e. the only factors that varied were the ones we artificially manipulated. This allowed us to test the following hypothesis:</w:t>
      </w:r>
    </w:p>
    <w:p w14:paraId="42AADE7A" w14:textId="77777777" w:rsidR="00783734" w:rsidRPr="00C05886" w:rsidRDefault="00783734" w:rsidP="00783734">
      <w:pPr>
        <w:numPr>
          <w:ilvl w:val="0"/>
          <w:numId w:val="28"/>
        </w:numPr>
        <w:pBdr>
          <w:top w:val="nil"/>
          <w:left w:val="nil"/>
          <w:bottom w:val="nil"/>
          <w:right w:val="nil"/>
          <w:between w:val="nil"/>
        </w:pBdr>
        <w:spacing w:after="0" w:line="480" w:lineRule="auto"/>
      </w:pPr>
      <w:r w:rsidRPr="00C05886">
        <w:t>Increased plant diversity corresponds to improved Positive Affect and reduced Negative Affect after a stressful event.</w:t>
      </w:r>
    </w:p>
    <w:p w14:paraId="3025C52A" w14:textId="77777777" w:rsidR="00783734" w:rsidRPr="00C05886" w:rsidRDefault="00783734" w:rsidP="00783734">
      <w:pPr>
        <w:numPr>
          <w:ilvl w:val="0"/>
          <w:numId w:val="28"/>
        </w:numPr>
        <w:pBdr>
          <w:top w:val="nil"/>
          <w:left w:val="nil"/>
          <w:bottom w:val="nil"/>
          <w:right w:val="nil"/>
          <w:between w:val="nil"/>
        </w:pBdr>
        <w:spacing w:after="0" w:line="480" w:lineRule="auto"/>
      </w:pPr>
      <w:r w:rsidRPr="00C05886">
        <w:t>Increased bird diversity corresponds to improved Positive Affect and reduced Negative Affect after a stress event.</w:t>
      </w:r>
    </w:p>
    <w:p w14:paraId="3409A3BE" w14:textId="77777777" w:rsidR="00783734" w:rsidRPr="00C05886" w:rsidRDefault="00783734" w:rsidP="007C5BD5">
      <w:pPr>
        <w:pBdr>
          <w:top w:val="nil"/>
          <w:left w:val="nil"/>
          <w:bottom w:val="nil"/>
          <w:right w:val="nil"/>
          <w:between w:val="nil"/>
        </w:pBdr>
        <w:spacing w:after="0" w:line="480" w:lineRule="auto"/>
        <w:ind w:left="360"/>
      </w:pPr>
      <w:r w:rsidRPr="00C05886">
        <w:lastRenderedPageBreak/>
        <w:t>Finally, given that perceptions of biodiversity could be more important than actual species richness in producing well-being, we measured perceived biodiversity to test if:</w:t>
      </w:r>
    </w:p>
    <w:p w14:paraId="0038F92F" w14:textId="2D28A44B" w:rsidR="005B372A" w:rsidRPr="00C05886" w:rsidRDefault="00783734" w:rsidP="00783734">
      <w:pPr>
        <w:numPr>
          <w:ilvl w:val="0"/>
          <w:numId w:val="28"/>
        </w:numPr>
        <w:pBdr>
          <w:top w:val="nil"/>
          <w:left w:val="nil"/>
          <w:bottom w:val="nil"/>
          <w:right w:val="nil"/>
          <w:between w:val="nil"/>
        </w:pBdr>
        <w:spacing w:after="0" w:line="480" w:lineRule="auto"/>
      </w:pPr>
      <w:r w:rsidRPr="00C05886">
        <w:t>Higher perceived biodiversity corresponded to improved Positive Affect and reduced Negative Affect after a stress event</w:t>
      </w:r>
      <w:r w:rsidR="005B372A" w:rsidRPr="00C05886">
        <w:t>.</w:t>
      </w:r>
    </w:p>
    <w:p w14:paraId="44E35DA5" w14:textId="77777777" w:rsidR="005B372A" w:rsidRPr="00C05886" w:rsidRDefault="005B372A" w:rsidP="005B372A">
      <w:pPr>
        <w:pStyle w:val="Heading2"/>
      </w:pPr>
      <w:bookmarkStart w:id="88" w:name="_Toc179962338"/>
      <w:bookmarkEnd w:id="86"/>
      <w:r w:rsidRPr="00C05886">
        <w:t>Methodology</w:t>
      </w:r>
      <w:bookmarkEnd w:id="88"/>
    </w:p>
    <w:p w14:paraId="618C5716" w14:textId="77777777" w:rsidR="005B372A" w:rsidRPr="00C05886" w:rsidRDefault="005B372A" w:rsidP="005B372A">
      <w:pPr>
        <w:pStyle w:val="Heading3"/>
      </w:pPr>
      <w:bookmarkStart w:id="89" w:name="_Toc179962339"/>
      <w:r w:rsidRPr="00C05886">
        <w:t>Condition set up and video recording</w:t>
      </w:r>
      <w:bookmarkEnd w:id="89"/>
    </w:p>
    <w:p w14:paraId="5FF5C028" w14:textId="77777777" w:rsidR="005B372A" w:rsidRPr="00C05886" w:rsidRDefault="005B372A" w:rsidP="004C4137">
      <w:pPr>
        <w:spacing w:line="480" w:lineRule="auto"/>
        <w:rPr>
          <w:color w:val="000000"/>
        </w:rPr>
      </w:pPr>
      <w:r w:rsidRPr="00C05886">
        <w:t xml:space="preserve">Plant biodiversity was manipulated by creating four different conditions for the one woodland location in Sheffield (UK). The site is managed as an urban conservation zone and is approximately 200 x 150 m in size. Access to the site was granted by the Estates and Facilities Management of the University of Sheffield. A botanical survey in May 2021 found 36 vascular plant species in the woodland, including non-native species (S1 Appendix). A camera was set up on a southeast sloping site in the northwest sector of the woodland, and only recorded natural features (e.g. the presence of vehicles, houses etc. were excluded). </w:t>
      </w:r>
      <w:r w:rsidRPr="00C05886">
        <w:rPr>
          <w:color w:val="000000"/>
        </w:rPr>
        <w:t xml:space="preserve">The camera lenses were placed at 1.3 meters from the ground, simulating an average eye level for a sitting person. </w:t>
      </w:r>
      <w:r w:rsidRPr="00C05886">
        <w:t xml:space="preserve"> </w:t>
      </w:r>
    </w:p>
    <w:p w14:paraId="71D99E36" w14:textId="77777777" w:rsidR="005B372A" w:rsidRPr="00C05886" w:rsidRDefault="005B372A" w:rsidP="004C4137">
      <w:pPr>
        <w:keepNext/>
        <w:pBdr>
          <w:top w:val="nil"/>
          <w:left w:val="nil"/>
          <w:bottom w:val="nil"/>
          <w:right w:val="nil"/>
          <w:between w:val="nil"/>
        </w:pBdr>
        <w:spacing w:after="200" w:line="480" w:lineRule="auto"/>
      </w:pPr>
      <w:r w:rsidRPr="00C05886">
        <w:t xml:space="preserve">Condition 1 acted as a control and was filmed without introducing any additional plants. For condition 2 (low plant diversity), 60 individual plants of 4 taxa were introduced to the woodland within view of the camera (Table 1). These plants were then removed and for conditions 3 and 4 (high plant diversity) replaced by 60 other individuals representing 23 taxa (Table 1). Small-flowered (i.e. non-flamboyant) varieties were used to represent typical woodland plant types. The plants were placed alongside existing natural herbaceous vegetation, avoiding excessive shade, pathways or where there might be a strong contrast between the flowers' colours (Fig 1) in an attempt to maintain an illusion of naturalness. </w:t>
      </w:r>
    </w:p>
    <w:p w14:paraId="44977C19" w14:textId="77777777" w:rsidR="005B372A" w:rsidRPr="00C05886" w:rsidRDefault="005B372A">
      <w:r w:rsidRPr="00C05886">
        <w:br w:type="page"/>
      </w:r>
    </w:p>
    <w:p w14:paraId="028095F1" w14:textId="77777777" w:rsidR="005B372A" w:rsidRPr="00C05886" w:rsidRDefault="005B372A" w:rsidP="004C4137">
      <w:pPr>
        <w:keepNext/>
        <w:pBdr>
          <w:top w:val="nil"/>
          <w:left w:val="nil"/>
          <w:bottom w:val="nil"/>
          <w:right w:val="nil"/>
          <w:between w:val="nil"/>
        </w:pBdr>
        <w:spacing w:after="200" w:line="480" w:lineRule="auto"/>
      </w:pPr>
    </w:p>
    <w:p w14:paraId="1A04DD46" w14:textId="4FDA9979" w:rsidR="005B372A" w:rsidRPr="00C05886" w:rsidRDefault="005B372A" w:rsidP="00A466EE">
      <w:pPr>
        <w:pStyle w:val="Caption"/>
        <w:keepNext/>
        <w:rPr>
          <w:i w:val="0"/>
          <w:iCs w:val="0"/>
          <w:color w:val="auto"/>
        </w:rPr>
      </w:pPr>
      <w:r w:rsidRPr="00C05886">
        <w:rPr>
          <w:b/>
          <w:bCs/>
          <w:i w:val="0"/>
          <w:iCs w:val="0"/>
          <w:color w:val="auto"/>
        </w:rPr>
        <w:t xml:space="preserve">Table </w:t>
      </w:r>
      <w:r w:rsidR="007C5BD5" w:rsidRPr="00C05886">
        <w:rPr>
          <w:b/>
          <w:bCs/>
          <w:i w:val="0"/>
          <w:iCs w:val="0"/>
          <w:color w:val="auto"/>
        </w:rPr>
        <w:t>1</w:t>
      </w:r>
      <w:r w:rsidRPr="00C05886">
        <w:rPr>
          <w:i w:val="0"/>
          <w:iCs w:val="0"/>
          <w:color w:val="auto"/>
        </w:rPr>
        <w:t>. Plant taxa, main flower colour and number of specimens used in conditions 2, 3 and 4.</w:t>
      </w:r>
    </w:p>
    <w:tbl>
      <w:tblPr>
        <w:tblStyle w:val="10"/>
        <w:tblW w:w="9067" w:type="dxa"/>
        <w:tblBorders>
          <w:top w:val="nil"/>
          <w:left w:val="nil"/>
          <w:bottom w:val="nil"/>
          <w:right w:val="nil"/>
          <w:insideH w:val="nil"/>
          <w:insideV w:val="nil"/>
        </w:tblBorders>
        <w:tblLayout w:type="fixed"/>
        <w:tblLook w:val="0400" w:firstRow="0" w:lastRow="0" w:firstColumn="0" w:lastColumn="0" w:noHBand="0" w:noVBand="1"/>
      </w:tblPr>
      <w:tblGrid>
        <w:gridCol w:w="4253"/>
        <w:gridCol w:w="1417"/>
        <w:gridCol w:w="1696"/>
        <w:gridCol w:w="1701"/>
      </w:tblGrid>
      <w:tr w:rsidR="005B372A" w:rsidRPr="00C05886" w14:paraId="04CDBCDA" w14:textId="77777777" w:rsidTr="009A1B2F">
        <w:trPr>
          <w:trHeight w:val="1403"/>
        </w:trPr>
        <w:tc>
          <w:tcPr>
            <w:tcW w:w="4253" w:type="dxa"/>
            <w:tcBorders>
              <w:top w:val="single" w:sz="4" w:space="0" w:color="000000"/>
              <w:left w:val="single" w:sz="4" w:space="0" w:color="auto"/>
              <w:bottom w:val="single" w:sz="4" w:space="0" w:color="000000"/>
            </w:tcBorders>
          </w:tcPr>
          <w:p w14:paraId="47A98C0A" w14:textId="77777777" w:rsidR="005B372A" w:rsidRPr="00C05886" w:rsidRDefault="005B372A" w:rsidP="005B372A">
            <w:pPr>
              <w:spacing w:line="240" w:lineRule="auto"/>
              <w:rPr>
                <w:b/>
                <w:bCs/>
                <w:sz w:val="22"/>
                <w:szCs w:val="22"/>
              </w:rPr>
            </w:pPr>
            <w:r w:rsidRPr="00C05886">
              <w:rPr>
                <w:b/>
                <w:bCs/>
                <w:sz w:val="22"/>
                <w:szCs w:val="22"/>
              </w:rPr>
              <w:t>Species/cultivar</w:t>
            </w:r>
          </w:p>
        </w:tc>
        <w:tc>
          <w:tcPr>
            <w:tcW w:w="1417" w:type="dxa"/>
            <w:tcBorders>
              <w:top w:val="single" w:sz="4" w:space="0" w:color="000000"/>
              <w:bottom w:val="single" w:sz="4" w:space="0" w:color="000000"/>
            </w:tcBorders>
          </w:tcPr>
          <w:p w14:paraId="4E6E42A9" w14:textId="77777777" w:rsidR="005B372A" w:rsidRPr="00C05886" w:rsidRDefault="005B372A" w:rsidP="005B372A">
            <w:pPr>
              <w:spacing w:line="240" w:lineRule="auto"/>
              <w:rPr>
                <w:b/>
                <w:bCs/>
                <w:sz w:val="22"/>
                <w:szCs w:val="22"/>
              </w:rPr>
            </w:pPr>
            <w:r w:rsidRPr="00C05886">
              <w:rPr>
                <w:b/>
                <w:bCs/>
                <w:sz w:val="22"/>
                <w:szCs w:val="22"/>
              </w:rPr>
              <w:t>Flower colour</w:t>
            </w:r>
          </w:p>
        </w:tc>
        <w:tc>
          <w:tcPr>
            <w:tcW w:w="1696" w:type="dxa"/>
            <w:tcBorders>
              <w:top w:val="single" w:sz="4" w:space="0" w:color="000000"/>
              <w:bottom w:val="single" w:sz="4" w:space="0" w:color="000000"/>
            </w:tcBorders>
          </w:tcPr>
          <w:p w14:paraId="77001DDD" w14:textId="77777777" w:rsidR="005B372A" w:rsidRPr="00C05886" w:rsidRDefault="005B372A" w:rsidP="005B372A">
            <w:pPr>
              <w:spacing w:line="240" w:lineRule="auto"/>
              <w:jc w:val="center"/>
              <w:rPr>
                <w:b/>
                <w:bCs/>
                <w:sz w:val="22"/>
                <w:szCs w:val="22"/>
              </w:rPr>
            </w:pPr>
            <w:r w:rsidRPr="00C05886">
              <w:rPr>
                <w:b/>
                <w:bCs/>
                <w:sz w:val="22"/>
                <w:szCs w:val="22"/>
              </w:rPr>
              <w:t>Condition 2</w:t>
            </w:r>
          </w:p>
          <w:p w14:paraId="5A86AAA2" w14:textId="77777777" w:rsidR="005B372A" w:rsidRPr="00C05886" w:rsidRDefault="005B372A" w:rsidP="005B372A">
            <w:pPr>
              <w:spacing w:line="240" w:lineRule="auto"/>
              <w:jc w:val="center"/>
              <w:rPr>
                <w:b/>
                <w:bCs/>
                <w:sz w:val="22"/>
                <w:szCs w:val="22"/>
              </w:rPr>
            </w:pPr>
            <w:r w:rsidRPr="00C05886">
              <w:rPr>
                <w:b/>
                <w:bCs/>
                <w:sz w:val="22"/>
                <w:szCs w:val="22"/>
              </w:rPr>
              <w:t>Low plant Diversity</w:t>
            </w:r>
          </w:p>
          <w:p w14:paraId="7B4CF2B9" w14:textId="77777777" w:rsidR="005B372A" w:rsidRPr="00C05886" w:rsidRDefault="005B372A" w:rsidP="005B372A">
            <w:pPr>
              <w:spacing w:line="240" w:lineRule="auto"/>
              <w:jc w:val="center"/>
              <w:rPr>
                <w:b/>
                <w:bCs/>
                <w:sz w:val="22"/>
                <w:szCs w:val="22"/>
              </w:rPr>
            </w:pPr>
          </w:p>
          <w:p w14:paraId="5208964C" w14:textId="77777777" w:rsidR="005B372A" w:rsidRPr="00C05886" w:rsidRDefault="005B372A" w:rsidP="005B372A">
            <w:pPr>
              <w:spacing w:line="240" w:lineRule="auto"/>
              <w:jc w:val="center"/>
              <w:rPr>
                <w:b/>
                <w:bCs/>
                <w:sz w:val="22"/>
                <w:szCs w:val="22"/>
              </w:rPr>
            </w:pPr>
            <w:r w:rsidRPr="00C05886">
              <w:rPr>
                <w:b/>
                <w:bCs/>
                <w:sz w:val="22"/>
                <w:szCs w:val="22"/>
              </w:rPr>
              <w:t>(no. of specimens)</w:t>
            </w:r>
          </w:p>
        </w:tc>
        <w:tc>
          <w:tcPr>
            <w:tcW w:w="1701" w:type="dxa"/>
            <w:tcBorders>
              <w:top w:val="single" w:sz="4" w:space="0" w:color="000000"/>
              <w:bottom w:val="single" w:sz="4" w:space="0" w:color="000000"/>
              <w:right w:val="single" w:sz="4" w:space="0" w:color="auto"/>
            </w:tcBorders>
          </w:tcPr>
          <w:p w14:paraId="2E7ABB73" w14:textId="77777777" w:rsidR="005B372A" w:rsidRPr="00C05886" w:rsidRDefault="005B372A" w:rsidP="005B372A">
            <w:pPr>
              <w:spacing w:line="240" w:lineRule="auto"/>
              <w:jc w:val="center"/>
              <w:rPr>
                <w:b/>
                <w:bCs/>
                <w:sz w:val="22"/>
                <w:szCs w:val="22"/>
              </w:rPr>
            </w:pPr>
            <w:r w:rsidRPr="00C05886">
              <w:rPr>
                <w:b/>
                <w:bCs/>
                <w:sz w:val="22"/>
                <w:szCs w:val="22"/>
              </w:rPr>
              <w:t>Conditions 3 and 4 High plant Diversity</w:t>
            </w:r>
          </w:p>
          <w:p w14:paraId="3575FC73" w14:textId="77777777" w:rsidR="005B372A" w:rsidRPr="00C05886" w:rsidRDefault="005B372A" w:rsidP="005B372A">
            <w:pPr>
              <w:spacing w:line="240" w:lineRule="auto"/>
              <w:jc w:val="center"/>
              <w:rPr>
                <w:b/>
                <w:bCs/>
                <w:sz w:val="22"/>
                <w:szCs w:val="22"/>
              </w:rPr>
            </w:pPr>
          </w:p>
          <w:p w14:paraId="0A62A12C" w14:textId="77777777" w:rsidR="005B372A" w:rsidRPr="00C05886" w:rsidRDefault="005B372A" w:rsidP="005B372A">
            <w:pPr>
              <w:spacing w:line="240" w:lineRule="auto"/>
              <w:jc w:val="center"/>
              <w:rPr>
                <w:b/>
                <w:bCs/>
                <w:sz w:val="22"/>
                <w:szCs w:val="22"/>
              </w:rPr>
            </w:pPr>
            <w:r w:rsidRPr="00C05886">
              <w:rPr>
                <w:b/>
                <w:bCs/>
                <w:sz w:val="22"/>
                <w:szCs w:val="22"/>
              </w:rPr>
              <w:t>(no. of specimens)</w:t>
            </w:r>
          </w:p>
        </w:tc>
      </w:tr>
      <w:tr w:rsidR="005B372A" w:rsidRPr="00C05886" w14:paraId="4F5EAFBF" w14:textId="77777777" w:rsidTr="009A1B2F">
        <w:tc>
          <w:tcPr>
            <w:tcW w:w="4253" w:type="dxa"/>
            <w:tcBorders>
              <w:top w:val="single" w:sz="4" w:space="0" w:color="auto"/>
              <w:left w:val="single" w:sz="4" w:space="0" w:color="auto"/>
            </w:tcBorders>
          </w:tcPr>
          <w:p w14:paraId="63D29C95" w14:textId="77777777" w:rsidR="005B372A" w:rsidRPr="00C05886" w:rsidRDefault="005B372A" w:rsidP="005B372A">
            <w:pPr>
              <w:spacing w:line="240" w:lineRule="auto"/>
              <w:rPr>
                <w:i/>
                <w:color w:val="000000"/>
                <w:sz w:val="22"/>
                <w:szCs w:val="22"/>
              </w:rPr>
            </w:pPr>
            <w:r w:rsidRPr="00C05886">
              <w:rPr>
                <w:i/>
                <w:sz w:val="22"/>
                <w:szCs w:val="22"/>
              </w:rPr>
              <w:t>Anchusa capensis</w:t>
            </w:r>
            <w:r w:rsidRPr="00C05886">
              <w:rPr>
                <w:sz w:val="22"/>
                <w:szCs w:val="22"/>
              </w:rPr>
              <w:t xml:space="preserve"> cv. Blue Angel</w:t>
            </w:r>
          </w:p>
        </w:tc>
        <w:tc>
          <w:tcPr>
            <w:tcW w:w="1417" w:type="dxa"/>
            <w:tcBorders>
              <w:top w:val="single" w:sz="4" w:space="0" w:color="auto"/>
            </w:tcBorders>
          </w:tcPr>
          <w:p w14:paraId="21CDF279" w14:textId="77777777" w:rsidR="005B372A" w:rsidRPr="00C05886" w:rsidRDefault="005B372A" w:rsidP="005B372A">
            <w:pPr>
              <w:spacing w:line="240" w:lineRule="auto"/>
              <w:rPr>
                <w:sz w:val="22"/>
                <w:szCs w:val="22"/>
              </w:rPr>
            </w:pPr>
            <w:r w:rsidRPr="00C05886">
              <w:rPr>
                <w:sz w:val="22"/>
                <w:szCs w:val="22"/>
              </w:rPr>
              <w:t xml:space="preserve">blue </w:t>
            </w:r>
          </w:p>
        </w:tc>
        <w:tc>
          <w:tcPr>
            <w:tcW w:w="1696" w:type="dxa"/>
            <w:tcBorders>
              <w:top w:val="single" w:sz="4" w:space="0" w:color="auto"/>
            </w:tcBorders>
          </w:tcPr>
          <w:p w14:paraId="74DBC679" w14:textId="77777777" w:rsidR="005B372A" w:rsidRPr="00C05886" w:rsidRDefault="005B372A" w:rsidP="005B372A">
            <w:pPr>
              <w:spacing w:line="240" w:lineRule="auto"/>
              <w:jc w:val="center"/>
              <w:rPr>
                <w:sz w:val="22"/>
                <w:szCs w:val="22"/>
              </w:rPr>
            </w:pPr>
          </w:p>
        </w:tc>
        <w:tc>
          <w:tcPr>
            <w:tcW w:w="1701" w:type="dxa"/>
            <w:tcBorders>
              <w:top w:val="single" w:sz="4" w:space="0" w:color="auto"/>
              <w:right w:val="single" w:sz="4" w:space="0" w:color="auto"/>
            </w:tcBorders>
          </w:tcPr>
          <w:p w14:paraId="2E5A0AD7" w14:textId="77777777" w:rsidR="005B372A" w:rsidRPr="00C05886" w:rsidRDefault="005B372A" w:rsidP="005B372A">
            <w:pPr>
              <w:spacing w:line="240" w:lineRule="auto"/>
              <w:jc w:val="center"/>
              <w:rPr>
                <w:sz w:val="22"/>
                <w:szCs w:val="22"/>
              </w:rPr>
            </w:pPr>
            <w:r w:rsidRPr="00C05886">
              <w:rPr>
                <w:sz w:val="22"/>
                <w:szCs w:val="22"/>
              </w:rPr>
              <w:t>2</w:t>
            </w:r>
          </w:p>
        </w:tc>
      </w:tr>
      <w:tr w:rsidR="005B372A" w:rsidRPr="00C05886" w14:paraId="3C94EB0B" w14:textId="77777777" w:rsidTr="009A1B2F">
        <w:tc>
          <w:tcPr>
            <w:tcW w:w="4253" w:type="dxa"/>
            <w:tcBorders>
              <w:left w:val="single" w:sz="4" w:space="0" w:color="auto"/>
            </w:tcBorders>
          </w:tcPr>
          <w:p w14:paraId="7E8923D3" w14:textId="77777777" w:rsidR="005B372A" w:rsidRPr="00C05886" w:rsidRDefault="005B372A" w:rsidP="005B372A">
            <w:pPr>
              <w:spacing w:line="240" w:lineRule="auto"/>
              <w:rPr>
                <w:i/>
                <w:color w:val="000000"/>
                <w:sz w:val="22"/>
                <w:szCs w:val="22"/>
              </w:rPr>
            </w:pPr>
            <w:r w:rsidRPr="00C05886">
              <w:rPr>
                <w:i/>
                <w:sz w:val="22"/>
                <w:szCs w:val="22"/>
              </w:rPr>
              <w:t>Achillea</w:t>
            </w:r>
            <w:r w:rsidRPr="00C05886">
              <w:rPr>
                <w:sz w:val="22"/>
                <w:szCs w:val="22"/>
              </w:rPr>
              <w:t xml:space="preserve"> cv. Moonshine</w:t>
            </w:r>
          </w:p>
        </w:tc>
        <w:tc>
          <w:tcPr>
            <w:tcW w:w="1417" w:type="dxa"/>
          </w:tcPr>
          <w:p w14:paraId="6E305601" w14:textId="77777777" w:rsidR="005B372A" w:rsidRPr="00C05886" w:rsidRDefault="005B372A" w:rsidP="005B372A">
            <w:pPr>
              <w:spacing w:line="240" w:lineRule="auto"/>
              <w:rPr>
                <w:sz w:val="22"/>
                <w:szCs w:val="22"/>
              </w:rPr>
            </w:pPr>
            <w:r w:rsidRPr="00C05886">
              <w:rPr>
                <w:sz w:val="22"/>
                <w:szCs w:val="22"/>
              </w:rPr>
              <w:t>yellow</w:t>
            </w:r>
          </w:p>
        </w:tc>
        <w:tc>
          <w:tcPr>
            <w:tcW w:w="1696" w:type="dxa"/>
          </w:tcPr>
          <w:p w14:paraId="4F60440C" w14:textId="77777777" w:rsidR="005B372A" w:rsidRPr="00C05886" w:rsidRDefault="005B372A" w:rsidP="005B372A">
            <w:pPr>
              <w:spacing w:line="240" w:lineRule="auto"/>
              <w:jc w:val="center"/>
              <w:rPr>
                <w:sz w:val="22"/>
                <w:szCs w:val="22"/>
              </w:rPr>
            </w:pPr>
          </w:p>
        </w:tc>
        <w:tc>
          <w:tcPr>
            <w:tcW w:w="1701" w:type="dxa"/>
            <w:tcBorders>
              <w:right w:val="single" w:sz="4" w:space="0" w:color="auto"/>
            </w:tcBorders>
          </w:tcPr>
          <w:p w14:paraId="3B1F588D" w14:textId="77777777" w:rsidR="005B372A" w:rsidRPr="00C05886" w:rsidRDefault="005B372A" w:rsidP="005B372A">
            <w:pPr>
              <w:spacing w:line="240" w:lineRule="auto"/>
              <w:jc w:val="center"/>
              <w:rPr>
                <w:sz w:val="22"/>
                <w:szCs w:val="22"/>
              </w:rPr>
            </w:pPr>
            <w:r w:rsidRPr="00C05886">
              <w:rPr>
                <w:sz w:val="22"/>
                <w:szCs w:val="22"/>
              </w:rPr>
              <w:t>2</w:t>
            </w:r>
          </w:p>
        </w:tc>
      </w:tr>
      <w:tr w:rsidR="005B372A" w:rsidRPr="00C05886" w14:paraId="57E5A3B3" w14:textId="77777777" w:rsidTr="009A1B2F">
        <w:tc>
          <w:tcPr>
            <w:tcW w:w="4253" w:type="dxa"/>
            <w:tcBorders>
              <w:left w:val="single" w:sz="4" w:space="0" w:color="auto"/>
            </w:tcBorders>
          </w:tcPr>
          <w:p w14:paraId="3809EC53" w14:textId="77777777" w:rsidR="005B372A" w:rsidRPr="00C05886" w:rsidRDefault="005B372A" w:rsidP="005B372A">
            <w:pPr>
              <w:spacing w:line="240" w:lineRule="auto"/>
              <w:rPr>
                <w:i/>
                <w:color w:val="000000"/>
                <w:sz w:val="22"/>
                <w:szCs w:val="22"/>
              </w:rPr>
            </w:pPr>
            <w:r w:rsidRPr="00C05886">
              <w:rPr>
                <w:i/>
                <w:sz w:val="22"/>
                <w:szCs w:val="22"/>
              </w:rPr>
              <w:t xml:space="preserve">Bidens </w:t>
            </w:r>
            <w:proofErr w:type="spellStart"/>
            <w:r w:rsidRPr="00C05886">
              <w:rPr>
                <w:i/>
                <w:sz w:val="22"/>
                <w:szCs w:val="22"/>
              </w:rPr>
              <w:t>ferulifolia</w:t>
            </w:r>
            <w:proofErr w:type="spellEnd"/>
            <w:r w:rsidRPr="00C05886">
              <w:rPr>
                <w:sz w:val="22"/>
                <w:szCs w:val="22"/>
              </w:rPr>
              <w:t xml:space="preserve"> cv. Blazing Glory</w:t>
            </w:r>
          </w:p>
        </w:tc>
        <w:tc>
          <w:tcPr>
            <w:tcW w:w="1417" w:type="dxa"/>
          </w:tcPr>
          <w:p w14:paraId="6FBBF222" w14:textId="77777777" w:rsidR="005B372A" w:rsidRPr="00C05886" w:rsidRDefault="005B372A" w:rsidP="005B372A">
            <w:pPr>
              <w:spacing w:line="240" w:lineRule="auto"/>
              <w:rPr>
                <w:sz w:val="22"/>
                <w:szCs w:val="22"/>
              </w:rPr>
            </w:pPr>
            <w:r w:rsidRPr="00C05886">
              <w:rPr>
                <w:sz w:val="22"/>
                <w:szCs w:val="22"/>
              </w:rPr>
              <w:t>orange</w:t>
            </w:r>
          </w:p>
        </w:tc>
        <w:tc>
          <w:tcPr>
            <w:tcW w:w="1696" w:type="dxa"/>
          </w:tcPr>
          <w:p w14:paraId="1844F538" w14:textId="77777777" w:rsidR="005B372A" w:rsidRPr="00C05886" w:rsidRDefault="005B372A" w:rsidP="005B372A">
            <w:pPr>
              <w:spacing w:line="240" w:lineRule="auto"/>
              <w:jc w:val="center"/>
              <w:rPr>
                <w:sz w:val="22"/>
                <w:szCs w:val="22"/>
              </w:rPr>
            </w:pPr>
          </w:p>
        </w:tc>
        <w:tc>
          <w:tcPr>
            <w:tcW w:w="1701" w:type="dxa"/>
            <w:tcBorders>
              <w:right w:val="single" w:sz="4" w:space="0" w:color="auto"/>
            </w:tcBorders>
          </w:tcPr>
          <w:p w14:paraId="28802A5B" w14:textId="77777777" w:rsidR="005B372A" w:rsidRPr="00C05886" w:rsidRDefault="005B372A" w:rsidP="005B372A">
            <w:pPr>
              <w:spacing w:line="240" w:lineRule="auto"/>
              <w:jc w:val="center"/>
              <w:rPr>
                <w:sz w:val="22"/>
                <w:szCs w:val="22"/>
              </w:rPr>
            </w:pPr>
            <w:r w:rsidRPr="00C05886">
              <w:rPr>
                <w:sz w:val="22"/>
                <w:szCs w:val="22"/>
              </w:rPr>
              <w:t>3</w:t>
            </w:r>
          </w:p>
        </w:tc>
      </w:tr>
      <w:tr w:rsidR="005B372A" w:rsidRPr="00C05886" w14:paraId="7291B8E5" w14:textId="77777777" w:rsidTr="009A1B2F">
        <w:tc>
          <w:tcPr>
            <w:tcW w:w="4253" w:type="dxa"/>
            <w:tcBorders>
              <w:left w:val="single" w:sz="4" w:space="0" w:color="auto"/>
            </w:tcBorders>
          </w:tcPr>
          <w:p w14:paraId="1FC5DE2D" w14:textId="77777777" w:rsidR="005B372A" w:rsidRPr="00C05886" w:rsidRDefault="005B372A" w:rsidP="005B372A">
            <w:pPr>
              <w:spacing w:line="240" w:lineRule="auto"/>
              <w:rPr>
                <w:i/>
                <w:color w:val="000000"/>
                <w:sz w:val="22"/>
                <w:szCs w:val="22"/>
              </w:rPr>
            </w:pPr>
            <w:r w:rsidRPr="00C05886">
              <w:rPr>
                <w:i/>
                <w:sz w:val="22"/>
                <w:szCs w:val="22"/>
              </w:rPr>
              <w:t xml:space="preserve">Brachyscome multifidi </w:t>
            </w:r>
          </w:p>
        </w:tc>
        <w:tc>
          <w:tcPr>
            <w:tcW w:w="1417" w:type="dxa"/>
          </w:tcPr>
          <w:p w14:paraId="04E91727" w14:textId="77777777" w:rsidR="005B372A" w:rsidRPr="00C05886" w:rsidRDefault="005B372A" w:rsidP="005B372A">
            <w:pPr>
              <w:spacing w:line="240" w:lineRule="auto"/>
              <w:rPr>
                <w:sz w:val="22"/>
                <w:szCs w:val="22"/>
              </w:rPr>
            </w:pPr>
            <w:r w:rsidRPr="00C05886">
              <w:rPr>
                <w:sz w:val="22"/>
                <w:szCs w:val="22"/>
              </w:rPr>
              <w:t>pink</w:t>
            </w:r>
          </w:p>
        </w:tc>
        <w:tc>
          <w:tcPr>
            <w:tcW w:w="1696" w:type="dxa"/>
          </w:tcPr>
          <w:p w14:paraId="7D29EC7C" w14:textId="77777777" w:rsidR="005B372A" w:rsidRPr="00C05886" w:rsidRDefault="005B372A" w:rsidP="005B372A">
            <w:pPr>
              <w:spacing w:line="240" w:lineRule="auto"/>
              <w:jc w:val="center"/>
              <w:rPr>
                <w:sz w:val="22"/>
                <w:szCs w:val="22"/>
              </w:rPr>
            </w:pPr>
          </w:p>
        </w:tc>
        <w:tc>
          <w:tcPr>
            <w:tcW w:w="1701" w:type="dxa"/>
            <w:tcBorders>
              <w:right w:val="single" w:sz="4" w:space="0" w:color="auto"/>
            </w:tcBorders>
          </w:tcPr>
          <w:p w14:paraId="4C624F87" w14:textId="77777777" w:rsidR="005B372A" w:rsidRPr="00C05886" w:rsidRDefault="005B372A" w:rsidP="005B372A">
            <w:pPr>
              <w:spacing w:line="240" w:lineRule="auto"/>
              <w:jc w:val="center"/>
              <w:rPr>
                <w:sz w:val="22"/>
                <w:szCs w:val="22"/>
              </w:rPr>
            </w:pPr>
            <w:r w:rsidRPr="00C05886">
              <w:rPr>
                <w:sz w:val="22"/>
                <w:szCs w:val="22"/>
              </w:rPr>
              <w:t>3</w:t>
            </w:r>
          </w:p>
        </w:tc>
      </w:tr>
      <w:tr w:rsidR="005B372A" w:rsidRPr="00C05886" w14:paraId="316C545A" w14:textId="77777777" w:rsidTr="009A1B2F">
        <w:tc>
          <w:tcPr>
            <w:tcW w:w="4253" w:type="dxa"/>
            <w:tcBorders>
              <w:left w:val="single" w:sz="4" w:space="0" w:color="auto"/>
            </w:tcBorders>
          </w:tcPr>
          <w:p w14:paraId="5B6F14A3" w14:textId="77777777" w:rsidR="005B372A" w:rsidRPr="00C05886" w:rsidRDefault="005B372A" w:rsidP="005B372A">
            <w:pPr>
              <w:spacing w:line="240" w:lineRule="auto"/>
              <w:rPr>
                <w:i/>
                <w:color w:val="000000"/>
                <w:sz w:val="22"/>
                <w:szCs w:val="22"/>
              </w:rPr>
            </w:pPr>
            <w:r w:rsidRPr="00C05886">
              <w:rPr>
                <w:i/>
                <w:color w:val="000000"/>
                <w:sz w:val="22"/>
                <w:szCs w:val="22"/>
              </w:rPr>
              <w:t>Diascia</w:t>
            </w:r>
            <w:r w:rsidRPr="00C05886">
              <w:rPr>
                <w:color w:val="000000"/>
                <w:sz w:val="22"/>
                <w:szCs w:val="22"/>
              </w:rPr>
              <w:t xml:space="preserve"> cv. Diamond Fuchsia</w:t>
            </w:r>
          </w:p>
        </w:tc>
        <w:tc>
          <w:tcPr>
            <w:tcW w:w="1417" w:type="dxa"/>
          </w:tcPr>
          <w:p w14:paraId="4F779D56" w14:textId="77777777" w:rsidR="005B372A" w:rsidRPr="00C05886" w:rsidRDefault="005B372A" w:rsidP="005B372A">
            <w:pPr>
              <w:spacing w:line="240" w:lineRule="auto"/>
              <w:rPr>
                <w:sz w:val="22"/>
                <w:szCs w:val="22"/>
              </w:rPr>
            </w:pPr>
            <w:r w:rsidRPr="00C05886">
              <w:rPr>
                <w:sz w:val="22"/>
                <w:szCs w:val="22"/>
              </w:rPr>
              <w:t>pink</w:t>
            </w:r>
          </w:p>
        </w:tc>
        <w:tc>
          <w:tcPr>
            <w:tcW w:w="1696" w:type="dxa"/>
          </w:tcPr>
          <w:p w14:paraId="3ADBCA34" w14:textId="77777777" w:rsidR="005B372A" w:rsidRPr="00C05886" w:rsidRDefault="005B372A" w:rsidP="005B372A">
            <w:pPr>
              <w:spacing w:line="240" w:lineRule="auto"/>
              <w:jc w:val="center"/>
              <w:rPr>
                <w:sz w:val="22"/>
                <w:szCs w:val="22"/>
              </w:rPr>
            </w:pPr>
            <w:r w:rsidRPr="00C05886">
              <w:rPr>
                <w:sz w:val="22"/>
                <w:szCs w:val="22"/>
              </w:rPr>
              <w:t>12</w:t>
            </w:r>
          </w:p>
        </w:tc>
        <w:tc>
          <w:tcPr>
            <w:tcW w:w="1701" w:type="dxa"/>
            <w:tcBorders>
              <w:right w:val="single" w:sz="4" w:space="0" w:color="auto"/>
            </w:tcBorders>
          </w:tcPr>
          <w:p w14:paraId="1CE8FE31" w14:textId="77777777" w:rsidR="005B372A" w:rsidRPr="00C05886" w:rsidRDefault="005B372A" w:rsidP="005B372A">
            <w:pPr>
              <w:spacing w:line="240" w:lineRule="auto"/>
              <w:jc w:val="center"/>
              <w:rPr>
                <w:sz w:val="22"/>
                <w:szCs w:val="22"/>
              </w:rPr>
            </w:pPr>
            <w:r w:rsidRPr="00C05886">
              <w:rPr>
                <w:sz w:val="22"/>
                <w:szCs w:val="22"/>
              </w:rPr>
              <w:t>6</w:t>
            </w:r>
          </w:p>
        </w:tc>
      </w:tr>
      <w:tr w:rsidR="005B372A" w:rsidRPr="00C05886" w14:paraId="07F60EE7" w14:textId="77777777" w:rsidTr="009A1B2F">
        <w:tc>
          <w:tcPr>
            <w:tcW w:w="4253" w:type="dxa"/>
            <w:tcBorders>
              <w:left w:val="single" w:sz="4" w:space="0" w:color="auto"/>
            </w:tcBorders>
          </w:tcPr>
          <w:p w14:paraId="23ECBD2A" w14:textId="77777777" w:rsidR="005B372A" w:rsidRPr="00C05886" w:rsidRDefault="005B372A" w:rsidP="005B372A">
            <w:pPr>
              <w:spacing w:line="240" w:lineRule="auto"/>
              <w:rPr>
                <w:i/>
                <w:sz w:val="22"/>
                <w:szCs w:val="22"/>
              </w:rPr>
            </w:pPr>
            <w:r w:rsidRPr="00C05886">
              <w:rPr>
                <w:i/>
                <w:sz w:val="22"/>
                <w:szCs w:val="22"/>
              </w:rPr>
              <w:t xml:space="preserve">Lavandula angustifolia </w:t>
            </w:r>
          </w:p>
        </w:tc>
        <w:tc>
          <w:tcPr>
            <w:tcW w:w="1417" w:type="dxa"/>
          </w:tcPr>
          <w:p w14:paraId="4C21BE23" w14:textId="77777777" w:rsidR="005B372A" w:rsidRPr="00C05886" w:rsidRDefault="005B372A" w:rsidP="005B372A">
            <w:pPr>
              <w:spacing w:line="240" w:lineRule="auto"/>
              <w:rPr>
                <w:sz w:val="22"/>
                <w:szCs w:val="22"/>
              </w:rPr>
            </w:pPr>
            <w:r w:rsidRPr="00C05886">
              <w:rPr>
                <w:sz w:val="22"/>
                <w:szCs w:val="22"/>
              </w:rPr>
              <w:t>lilac</w:t>
            </w:r>
          </w:p>
        </w:tc>
        <w:tc>
          <w:tcPr>
            <w:tcW w:w="1696" w:type="dxa"/>
          </w:tcPr>
          <w:p w14:paraId="4588224D" w14:textId="77777777" w:rsidR="005B372A" w:rsidRPr="00C05886" w:rsidRDefault="005B372A" w:rsidP="005B372A">
            <w:pPr>
              <w:spacing w:line="240" w:lineRule="auto"/>
              <w:jc w:val="center"/>
              <w:rPr>
                <w:sz w:val="22"/>
                <w:szCs w:val="22"/>
              </w:rPr>
            </w:pPr>
          </w:p>
        </w:tc>
        <w:tc>
          <w:tcPr>
            <w:tcW w:w="1701" w:type="dxa"/>
            <w:tcBorders>
              <w:right w:val="single" w:sz="4" w:space="0" w:color="auto"/>
            </w:tcBorders>
          </w:tcPr>
          <w:p w14:paraId="1298B8CB" w14:textId="77777777" w:rsidR="005B372A" w:rsidRPr="00C05886" w:rsidRDefault="005B372A" w:rsidP="005B372A">
            <w:pPr>
              <w:spacing w:line="240" w:lineRule="auto"/>
              <w:jc w:val="center"/>
              <w:rPr>
                <w:sz w:val="22"/>
                <w:szCs w:val="22"/>
              </w:rPr>
            </w:pPr>
            <w:r w:rsidRPr="00C05886">
              <w:rPr>
                <w:sz w:val="22"/>
                <w:szCs w:val="22"/>
              </w:rPr>
              <w:t>2</w:t>
            </w:r>
          </w:p>
        </w:tc>
      </w:tr>
      <w:tr w:rsidR="005B372A" w:rsidRPr="00C05886" w14:paraId="3D984736" w14:textId="77777777" w:rsidTr="009A1B2F">
        <w:tc>
          <w:tcPr>
            <w:tcW w:w="4253" w:type="dxa"/>
            <w:tcBorders>
              <w:left w:val="single" w:sz="4" w:space="0" w:color="auto"/>
            </w:tcBorders>
          </w:tcPr>
          <w:p w14:paraId="05A66E84" w14:textId="77777777" w:rsidR="005B372A" w:rsidRPr="00C05886" w:rsidRDefault="005B372A" w:rsidP="005B372A">
            <w:pPr>
              <w:spacing w:line="240" w:lineRule="auto"/>
              <w:rPr>
                <w:i/>
                <w:color w:val="000000"/>
                <w:sz w:val="22"/>
                <w:szCs w:val="22"/>
              </w:rPr>
            </w:pPr>
            <w:r w:rsidRPr="00C05886">
              <w:rPr>
                <w:i/>
                <w:sz w:val="22"/>
                <w:szCs w:val="22"/>
              </w:rPr>
              <w:t>Lobelia cardinalis</w:t>
            </w:r>
            <w:r w:rsidRPr="00C05886">
              <w:rPr>
                <w:sz w:val="22"/>
                <w:szCs w:val="22"/>
              </w:rPr>
              <w:t xml:space="preserve"> cv. Queen Victoria</w:t>
            </w:r>
          </w:p>
        </w:tc>
        <w:tc>
          <w:tcPr>
            <w:tcW w:w="1417" w:type="dxa"/>
          </w:tcPr>
          <w:p w14:paraId="5CEA7313" w14:textId="77777777" w:rsidR="005B372A" w:rsidRPr="00C05886" w:rsidRDefault="005B372A" w:rsidP="005B372A">
            <w:pPr>
              <w:spacing w:line="240" w:lineRule="auto"/>
              <w:rPr>
                <w:sz w:val="22"/>
                <w:szCs w:val="22"/>
              </w:rPr>
            </w:pPr>
            <w:r w:rsidRPr="00C05886">
              <w:rPr>
                <w:sz w:val="22"/>
                <w:szCs w:val="22"/>
              </w:rPr>
              <w:t>red</w:t>
            </w:r>
          </w:p>
        </w:tc>
        <w:tc>
          <w:tcPr>
            <w:tcW w:w="1696" w:type="dxa"/>
          </w:tcPr>
          <w:p w14:paraId="294D97CA" w14:textId="77777777" w:rsidR="005B372A" w:rsidRPr="00C05886" w:rsidRDefault="005B372A" w:rsidP="005B372A">
            <w:pPr>
              <w:spacing w:line="240" w:lineRule="auto"/>
              <w:jc w:val="center"/>
              <w:rPr>
                <w:sz w:val="22"/>
                <w:szCs w:val="22"/>
              </w:rPr>
            </w:pPr>
          </w:p>
        </w:tc>
        <w:tc>
          <w:tcPr>
            <w:tcW w:w="1701" w:type="dxa"/>
            <w:tcBorders>
              <w:right w:val="single" w:sz="4" w:space="0" w:color="auto"/>
            </w:tcBorders>
          </w:tcPr>
          <w:p w14:paraId="20C4EBD6" w14:textId="77777777" w:rsidR="005B372A" w:rsidRPr="00C05886" w:rsidRDefault="005B372A" w:rsidP="005B372A">
            <w:pPr>
              <w:spacing w:line="240" w:lineRule="auto"/>
              <w:jc w:val="center"/>
              <w:rPr>
                <w:sz w:val="22"/>
                <w:szCs w:val="22"/>
              </w:rPr>
            </w:pPr>
            <w:r w:rsidRPr="00C05886">
              <w:rPr>
                <w:sz w:val="22"/>
                <w:szCs w:val="22"/>
              </w:rPr>
              <w:t>2</w:t>
            </w:r>
          </w:p>
        </w:tc>
      </w:tr>
      <w:tr w:rsidR="005B372A" w:rsidRPr="00C05886" w14:paraId="066AAA29" w14:textId="77777777" w:rsidTr="009A1B2F">
        <w:tc>
          <w:tcPr>
            <w:tcW w:w="4253" w:type="dxa"/>
            <w:tcBorders>
              <w:left w:val="single" w:sz="4" w:space="0" w:color="auto"/>
            </w:tcBorders>
          </w:tcPr>
          <w:p w14:paraId="15F0ADA0" w14:textId="77777777" w:rsidR="005B372A" w:rsidRPr="00C05886" w:rsidRDefault="005B372A" w:rsidP="005B372A">
            <w:pPr>
              <w:spacing w:line="240" w:lineRule="auto"/>
              <w:rPr>
                <w:i/>
                <w:color w:val="000000"/>
                <w:sz w:val="22"/>
                <w:szCs w:val="22"/>
              </w:rPr>
            </w:pPr>
            <w:proofErr w:type="spellStart"/>
            <w:r w:rsidRPr="00C05886">
              <w:rPr>
                <w:i/>
                <w:sz w:val="22"/>
                <w:szCs w:val="22"/>
              </w:rPr>
              <w:t>Lysimachia</w:t>
            </w:r>
            <w:proofErr w:type="spellEnd"/>
            <w:r w:rsidRPr="00C05886">
              <w:rPr>
                <w:i/>
                <w:sz w:val="22"/>
                <w:szCs w:val="22"/>
              </w:rPr>
              <w:t xml:space="preserve"> </w:t>
            </w:r>
            <w:proofErr w:type="spellStart"/>
            <w:r w:rsidRPr="00C05886">
              <w:rPr>
                <w:i/>
                <w:sz w:val="22"/>
                <w:szCs w:val="22"/>
              </w:rPr>
              <w:t>nummularia</w:t>
            </w:r>
            <w:proofErr w:type="spellEnd"/>
          </w:p>
        </w:tc>
        <w:tc>
          <w:tcPr>
            <w:tcW w:w="1417" w:type="dxa"/>
          </w:tcPr>
          <w:p w14:paraId="4D417FC8" w14:textId="77777777" w:rsidR="005B372A" w:rsidRPr="00C05886" w:rsidRDefault="005B372A" w:rsidP="005B372A">
            <w:pPr>
              <w:spacing w:line="240" w:lineRule="auto"/>
              <w:rPr>
                <w:sz w:val="22"/>
                <w:szCs w:val="22"/>
              </w:rPr>
            </w:pPr>
            <w:r w:rsidRPr="00C05886">
              <w:rPr>
                <w:sz w:val="22"/>
                <w:szCs w:val="22"/>
              </w:rPr>
              <w:t>yellow</w:t>
            </w:r>
          </w:p>
        </w:tc>
        <w:tc>
          <w:tcPr>
            <w:tcW w:w="1696" w:type="dxa"/>
          </w:tcPr>
          <w:p w14:paraId="64CFFF62" w14:textId="77777777" w:rsidR="005B372A" w:rsidRPr="00C05886" w:rsidRDefault="005B372A" w:rsidP="005B372A">
            <w:pPr>
              <w:spacing w:line="240" w:lineRule="auto"/>
              <w:jc w:val="center"/>
              <w:rPr>
                <w:sz w:val="22"/>
                <w:szCs w:val="22"/>
              </w:rPr>
            </w:pPr>
          </w:p>
        </w:tc>
        <w:tc>
          <w:tcPr>
            <w:tcW w:w="1701" w:type="dxa"/>
            <w:tcBorders>
              <w:right w:val="single" w:sz="4" w:space="0" w:color="auto"/>
            </w:tcBorders>
          </w:tcPr>
          <w:p w14:paraId="1A8549BD" w14:textId="77777777" w:rsidR="005B372A" w:rsidRPr="00C05886" w:rsidRDefault="005B372A" w:rsidP="005B372A">
            <w:pPr>
              <w:spacing w:line="240" w:lineRule="auto"/>
              <w:jc w:val="center"/>
              <w:rPr>
                <w:sz w:val="22"/>
                <w:szCs w:val="22"/>
              </w:rPr>
            </w:pPr>
            <w:r w:rsidRPr="00C05886">
              <w:rPr>
                <w:sz w:val="22"/>
                <w:szCs w:val="22"/>
              </w:rPr>
              <w:t>2</w:t>
            </w:r>
          </w:p>
        </w:tc>
      </w:tr>
      <w:tr w:rsidR="005B372A" w:rsidRPr="00C05886" w14:paraId="1656ABAD" w14:textId="77777777" w:rsidTr="009A1B2F">
        <w:tc>
          <w:tcPr>
            <w:tcW w:w="4253" w:type="dxa"/>
            <w:tcBorders>
              <w:left w:val="single" w:sz="4" w:space="0" w:color="auto"/>
            </w:tcBorders>
          </w:tcPr>
          <w:p w14:paraId="450E99D9" w14:textId="77777777" w:rsidR="005B372A" w:rsidRPr="00C05886" w:rsidRDefault="005B372A" w:rsidP="005B372A">
            <w:pPr>
              <w:spacing w:line="240" w:lineRule="auto"/>
              <w:rPr>
                <w:i/>
                <w:color w:val="000000"/>
                <w:sz w:val="22"/>
                <w:szCs w:val="22"/>
              </w:rPr>
            </w:pPr>
            <w:r w:rsidRPr="00C05886">
              <w:rPr>
                <w:i/>
                <w:sz w:val="22"/>
                <w:szCs w:val="22"/>
              </w:rPr>
              <w:t xml:space="preserve">Nemesia </w:t>
            </w:r>
            <w:r w:rsidRPr="00C05886">
              <w:rPr>
                <w:sz w:val="22"/>
                <w:szCs w:val="22"/>
              </w:rPr>
              <w:t>cv. Berries and Cream</w:t>
            </w:r>
          </w:p>
        </w:tc>
        <w:tc>
          <w:tcPr>
            <w:tcW w:w="1417" w:type="dxa"/>
          </w:tcPr>
          <w:p w14:paraId="5C30E116" w14:textId="77777777" w:rsidR="005B372A" w:rsidRPr="00C05886" w:rsidRDefault="005B372A" w:rsidP="005B372A">
            <w:pPr>
              <w:spacing w:line="240" w:lineRule="auto"/>
              <w:rPr>
                <w:sz w:val="22"/>
                <w:szCs w:val="22"/>
              </w:rPr>
            </w:pPr>
            <w:r w:rsidRPr="00C05886">
              <w:rPr>
                <w:sz w:val="22"/>
                <w:szCs w:val="22"/>
              </w:rPr>
              <w:t>purple</w:t>
            </w:r>
          </w:p>
        </w:tc>
        <w:tc>
          <w:tcPr>
            <w:tcW w:w="1696" w:type="dxa"/>
          </w:tcPr>
          <w:p w14:paraId="5A37FF3A" w14:textId="77777777" w:rsidR="005B372A" w:rsidRPr="00C05886" w:rsidRDefault="005B372A" w:rsidP="005B372A">
            <w:pPr>
              <w:spacing w:line="240" w:lineRule="auto"/>
              <w:jc w:val="center"/>
              <w:rPr>
                <w:sz w:val="22"/>
                <w:szCs w:val="22"/>
              </w:rPr>
            </w:pPr>
          </w:p>
        </w:tc>
        <w:tc>
          <w:tcPr>
            <w:tcW w:w="1701" w:type="dxa"/>
            <w:tcBorders>
              <w:right w:val="single" w:sz="4" w:space="0" w:color="auto"/>
            </w:tcBorders>
          </w:tcPr>
          <w:p w14:paraId="3147460A" w14:textId="77777777" w:rsidR="005B372A" w:rsidRPr="00C05886" w:rsidRDefault="005B372A" w:rsidP="005B372A">
            <w:pPr>
              <w:spacing w:line="240" w:lineRule="auto"/>
              <w:jc w:val="center"/>
              <w:rPr>
                <w:sz w:val="22"/>
                <w:szCs w:val="22"/>
              </w:rPr>
            </w:pPr>
            <w:r w:rsidRPr="00C05886">
              <w:rPr>
                <w:sz w:val="22"/>
                <w:szCs w:val="22"/>
              </w:rPr>
              <w:t>3</w:t>
            </w:r>
          </w:p>
        </w:tc>
      </w:tr>
      <w:tr w:rsidR="005B372A" w:rsidRPr="00C05886" w14:paraId="273A85BD" w14:textId="77777777" w:rsidTr="009A1B2F">
        <w:tc>
          <w:tcPr>
            <w:tcW w:w="4253" w:type="dxa"/>
            <w:tcBorders>
              <w:left w:val="single" w:sz="4" w:space="0" w:color="auto"/>
            </w:tcBorders>
          </w:tcPr>
          <w:p w14:paraId="1604CE9D" w14:textId="77777777" w:rsidR="005B372A" w:rsidRPr="00C05886" w:rsidRDefault="005B372A" w:rsidP="005B372A">
            <w:pPr>
              <w:spacing w:line="240" w:lineRule="auto"/>
              <w:rPr>
                <w:i/>
                <w:color w:val="000000"/>
                <w:sz w:val="22"/>
                <w:szCs w:val="22"/>
              </w:rPr>
            </w:pPr>
            <w:r w:rsidRPr="00C05886">
              <w:rPr>
                <w:i/>
                <w:sz w:val="22"/>
                <w:szCs w:val="22"/>
              </w:rPr>
              <w:t xml:space="preserve">Nemesia </w:t>
            </w:r>
            <w:r w:rsidRPr="00C05886">
              <w:rPr>
                <w:sz w:val="22"/>
                <w:szCs w:val="22"/>
              </w:rPr>
              <w:t>cv. Framboise</w:t>
            </w:r>
          </w:p>
        </w:tc>
        <w:tc>
          <w:tcPr>
            <w:tcW w:w="1417" w:type="dxa"/>
          </w:tcPr>
          <w:p w14:paraId="51770A71" w14:textId="77777777" w:rsidR="005B372A" w:rsidRPr="00C05886" w:rsidRDefault="005B372A" w:rsidP="005B372A">
            <w:pPr>
              <w:spacing w:line="240" w:lineRule="auto"/>
              <w:rPr>
                <w:sz w:val="22"/>
                <w:szCs w:val="22"/>
              </w:rPr>
            </w:pPr>
            <w:r w:rsidRPr="00C05886">
              <w:rPr>
                <w:sz w:val="22"/>
                <w:szCs w:val="22"/>
              </w:rPr>
              <w:t xml:space="preserve">lilac pink </w:t>
            </w:r>
          </w:p>
        </w:tc>
        <w:tc>
          <w:tcPr>
            <w:tcW w:w="1696" w:type="dxa"/>
          </w:tcPr>
          <w:p w14:paraId="5ED86DBC" w14:textId="77777777" w:rsidR="005B372A" w:rsidRPr="00C05886" w:rsidRDefault="005B372A" w:rsidP="005B372A">
            <w:pPr>
              <w:spacing w:line="240" w:lineRule="auto"/>
              <w:jc w:val="center"/>
              <w:rPr>
                <w:sz w:val="22"/>
                <w:szCs w:val="22"/>
              </w:rPr>
            </w:pPr>
          </w:p>
        </w:tc>
        <w:tc>
          <w:tcPr>
            <w:tcW w:w="1701" w:type="dxa"/>
            <w:tcBorders>
              <w:right w:val="single" w:sz="4" w:space="0" w:color="auto"/>
            </w:tcBorders>
          </w:tcPr>
          <w:p w14:paraId="2FF6B996" w14:textId="77777777" w:rsidR="005B372A" w:rsidRPr="00C05886" w:rsidRDefault="005B372A" w:rsidP="005B372A">
            <w:pPr>
              <w:spacing w:line="240" w:lineRule="auto"/>
              <w:jc w:val="center"/>
              <w:rPr>
                <w:sz w:val="22"/>
                <w:szCs w:val="22"/>
              </w:rPr>
            </w:pPr>
            <w:r w:rsidRPr="00C05886">
              <w:rPr>
                <w:sz w:val="22"/>
                <w:szCs w:val="22"/>
              </w:rPr>
              <w:t>3</w:t>
            </w:r>
          </w:p>
        </w:tc>
      </w:tr>
      <w:tr w:rsidR="005B372A" w:rsidRPr="00C05886" w14:paraId="0500F931" w14:textId="77777777" w:rsidTr="009A1B2F">
        <w:tc>
          <w:tcPr>
            <w:tcW w:w="4253" w:type="dxa"/>
            <w:tcBorders>
              <w:left w:val="single" w:sz="4" w:space="0" w:color="auto"/>
            </w:tcBorders>
          </w:tcPr>
          <w:p w14:paraId="0B2959C3" w14:textId="77777777" w:rsidR="005B372A" w:rsidRPr="00C05886" w:rsidRDefault="005B372A" w:rsidP="005B372A">
            <w:pPr>
              <w:spacing w:line="240" w:lineRule="auto"/>
              <w:rPr>
                <w:i/>
                <w:color w:val="000000"/>
                <w:sz w:val="22"/>
                <w:szCs w:val="22"/>
              </w:rPr>
            </w:pPr>
            <w:proofErr w:type="spellStart"/>
            <w:r w:rsidRPr="00C05886">
              <w:rPr>
                <w:i/>
                <w:sz w:val="22"/>
                <w:szCs w:val="22"/>
              </w:rPr>
              <w:t>Osteospermum</w:t>
            </w:r>
            <w:proofErr w:type="spellEnd"/>
            <w:r w:rsidRPr="00C05886">
              <w:rPr>
                <w:i/>
                <w:sz w:val="22"/>
                <w:szCs w:val="22"/>
              </w:rPr>
              <w:t xml:space="preserve"> </w:t>
            </w:r>
            <w:r w:rsidRPr="00C05886">
              <w:rPr>
                <w:sz w:val="22"/>
                <w:szCs w:val="22"/>
              </w:rPr>
              <w:t xml:space="preserve">cv. Akila Purple </w:t>
            </w:r>
          </w:p>
        </w:tc>
        <w:tc>
          <w:tcPr>
            <w:tcW w:w="1417" w:type="dxa"/>
          </w:tcPr>
          <w:p w14:paraId="4C6546DC" w14:textId="77777777" w:rsidR="005B372A" w:rsidRPr="00C05886" w:rsidRDefault="005B372A" w:rsidP="005B372A">
            <w:pPr>
              <w:spacing w:line="240" w:lineRule="auto"/>
              <w:rPr>
                <w:sz w:val="22"/>
                <w:szCs w:val="22"/>
              </w:rPr>
            </w:pPr>
            <w:r w:rsidRPr="00C05886">
              <w:rPr>
                <w:sz w:val="22"/>
                <w:szCs w:val="22"/>
              </w:rPr>
              <w:t>purple</w:t>
            </w:r>
          </w:p>
        </w:tc>
        <w:tc>
          <w:tcPr>
            <w:tcW w:w="1696" w:type="dxa"/>
          </w:tcPr>
          <w:p w14:paraId="645C4887" w14:textId="77777777" w:rsidR="005B372A" w:rsidRPr="00C05886" w:rsidRDefault="005B372A" w:rsidP="005B372A">
            <w:pPr>
              <w:spacing w:line="240" w:lineRule="auto"/>
              <w:jc w:val="center"/>
              <w:rPr>
                <w:sz w:val="22"/>
                <w:szCs w:val="22"/>
              </w:rPr>
            </w:pPr>
          </w:p>
        </w:tc>
        <w:tc>
          <w:tcPr>
            <w:tcW w:w="1701" w:type="dxa"/>
            <w:tcBorders>
              <w:right w:val="single" w:sz="4" w:space="0" w:color="auto"/>
            </w:tcBorders>
          </w:tcPr>
          <w:p w14:paraId="43573E61" w14:textId="77777777" w:rsidR="005B372A" w:rsidRPr="00C05886" w:rsidRDefault="005B372A" w:rsidP="005B372A">
            <w:pPr>
              <w:spacing w:line="240" w:lineRule="auto"/>
              <w:jc w:val="center"/>
              <w:rPr>
                <w:sz w:val="22"/>
                <w:szCs w:val="22"/>
              </w:rPr>
            </w:pPr>
            <w:r w:rsidRPr="00C05886">
              <w:rPr>
                <w:sz w:val="22"/>
                <w:szCs w:val="22"/>
              </w:rPr>
              <w:t>2</w:t>
            </w:r>
          </w:p>
        </w:tc>
      </w:tr>
      <w:tr w:rsidR="005B372A" w:rsidRPr="00C05886" w14:paraId="77D89D8D" w14:textId="77777777" w:rsidTr="009A1B2F">
        <w:tc>
          <w:tcPr>
            <w:tcW w:w="4253" w:type="dxa"/>
            <w:tcBorders>
              <w:left w:val="single" w:sz="4" w:space="0" w:color="auto"/>
            </w:tcBorders>
          </w:tcPr>
          <w:p w14:paraId="11647A23" w14:textId="77777777" w:rsidR="005B372A" w:rsidRPr="00C05886" w:rsidRDefault="005B372A" w:rsidP="005B372A">
            <w:pPr>
              <w:spacing w:line="240" w:lineRule="auto"/>
              <w:rPr>
                <w:i/>
                <w:color w:val="000000"/>
                <w:sz w:val="22"/>
                <w:szCs w:val="22"/>
              </w:rPr>
            </w:pPr>
            <w:proofErr w:type="spellStart"/>
            <w:r w:rsidRPr="00C05886">
              <w:rPr>
                <w:i/>
                <w:sz w:val="22"/>
                <w:szCs w:val="22"/>
              </w:rPr>
              <w:t>Osteospermum</w:t>
            </w:r>
            <w:proofErr w:type="spellEnd"/>
            <w:r w:rsidRPr="00C05886">
              <w:rPr>
                <w:sz w:val="22"/>
                <w:szCs w:val="22"/>
              </w:rPr>
              <w:t xml:space="preserve"> cv. Akila Yellow Shades</w:t>
            </w:r>
          </w:p>
        </w:tc>
        <w:tc>
          <w:tcPr>
            <w:tcW w:w="1417" w:type="dxa"/>
          </w:tcPr>
          <w:p w14:paraId="56AE4012" w14:textId="77777777" w:rsidR="005B372A" w:rsidRPr="00C05886" w:rsidRDefault="005B372A" w:rsidP="005B372A">
            <w:pPr>
              <w:spacing w:line="240" w:lineRule="auto"/>
              <w:rPr>
                <w:sz w:val="22"/>
                <w:szCs w:val="22"/>
              </w:rPr>
            </w:pPr>
            <w:r w:rsidRPr="00C05886">
              <w:rPr>
                <w:sz w:val="22"/>
                <w:szCs w:val="22"/>
              </w:rPr>
              <w:t>yellow</w:t>
            </w:r>
          </w:p>
        </w:tc>
        <w:tc>
          <w:tcPr>
            <w:tcW w:w="1696" w:type="dxa"/>
          </w:tcPr>
          <w:p w14:paraId="75DCC495" w14:textId="77777777" w:rsidR="005B372A" w:rsidRPr="00C05886" w:rsidRDefault="005B372A" w:rsidP="005B372A">
            <w:pPr>
              <w:spacing w:line="240" w:lineRule="auto"/>
              <w:jc w:val="center"/>
              <w:rPr>
                <w:sz w:val="22"/>
                <w:szCs w:val="22"/>
              </w:rPr>
            </w:pPr>
          </w:p>
        </w:tc>
        <w:tc>
          <w:tcPr>
            <w:tcW w:w="1701" w:type="dxa"/>
            <w:tcBorders>
              <w:right w:val="single" w:sz="4" w:space="0" w:color="auto"/>
            </w:tcBorders>
          </w:tcPr>
          <w:p w14:paraId="316E845C" w14:textId="77777777" w:rsidR="005B372A" w:rsidRPr="00C05886" w:rsidRDefault="005B372A" w:rsidP="005B372A">
            <w:pPr>
              <w:spacing w:line="240" w:lineRule="auto"/>
              <w:jc w:val="center"/>
              <w:rPr>
                <w:sz w:val="22"/>
                <w:szCs w:val="22"/>
              </w:rPr>
            </w:pPr>
            <w:r w:rsidRPr="00C05886">
              <w:rPr>
                <w:sz w:val="22"/>
                <w:szCs w:val="22"/>
              </w:rPr>
              <w:t>2</w:t>
            </w:r>
          </w:p>
        </w:tc>
      </w:tr>
      <w:tr w:rsidR="005B372A" w:rsidRPr="00C05886" w14:paraId="7AA5C693" w14:textId="77777777" w:rsidTr="009A1B2F">
        <w:tc>
          <w:tcPr>
            <w:tcW w:w="4253" w:type="dxa"/>
            <w:tcBorders>
              <w:left w:val="single" w:sz="4" w:space="0" w:color="auto"/>
            </w:tcBorders>
          </w:tcPr>
          <w:p w14:paraId="4C212C26" w14:textId="77777777" w:rsidR="005B372A" w:rsidRPr="00C05886" w:rsidRDefault="005B372A" w:rsidP="005B372A">
            <w:pPr>
              <w:spacing w:line="240" w:lineRule="auto"/>
              <w:rPr>
                <w:i/>
                <w:color w:val="000000"/>
                <w:sz w:val="22"/>
                <w:szCs w:val="22"/>
              </w:rPr>
            </w:pPr>
            <w:r w:rsidRPr="00C05886">
              <w:rPr>
                <w:i/>
                <w:sz w:val="22"/>
                <w:szCs w:val="22"/>
              </w:rPr>
              <w:t>Petunia</w:t>
            </w:r>
            <w:r w:rsidRPr="00C05886">
              <w:rPr>
                <w:sz w:val="22"/>
                <w:szCs w:val="22"/>
              </w:rPr>
              <w:t xml:space="preserve"> cv. Frenzy Yellow</w:t>
            </w:r>
          </w:p>
        </w:tc>
        <w:tc>
          <w:tcPr>
            <w:tcW w:w="1417" w:type="dxa"/>
          </w:tcPr>
          <w:p w14:paraId="2FA78672" w14:textId="77777777" w:rsidR="005B372A" w:rsidRPr="00C05886" w:rsidRDefault="005B372A" w:rsidP="005B372A">
            <w:pPr>
              <w:spacing w:line="240" w:lineRule="auto"/>
              <w:rPr>
                <w:sz w:val="22"/>
                <w:szCs w:val="22"/>
              </w:rPr>
            </w:pPr>
            <w:r w:rsidRPr="00C05886">
              <w:rPr>
                <w:sz w:val="22"/>
                <w:szCs w:val="22"/>
              </w:rPr>
              <w:t>pale yellow</w:t>
            </w:r>
          </w:p>
        </w:tc>
        <w:tc>
          <w:tcPr>
            <w:tcW w:w="1696" w:type="dxa"/>
          </w:tcPr>
          <w:p w14:paraId="48DD98AF" w14:textId="77777777" w:rsidR="005B372A" w:rsidRPr="00C05886" w:rsidRDefault="005B372A" w:rsidP="005B372A">
            <w:pPr>
              <w:spacing w:line="240" w:lineRule="auto"/>
              <w:jc w:val="center"/>
              <w:rPr>
                <w:sz w:val="22"/>
                <w:szCs w:val="22"/>
              </w:rPr>
            </w:pPr>
          </w:p>
        </w:tc>
        <w:tc>
          <w:tcPr>
            <w:tcW w:w="1701" w:type="dxa"/>
            <w:tcBorders>
              <w:right w:val="single" w:sz="4" w:space="0" w:color="auto"/>
            </w:tcBorders>
          </w:tcPr>
          <w:p w14:paraId="7837402C" w14:textId="77777777" w:rsidR="005B372A" w:rsidRPr="00C05886" w:rsidRDefault="005B372A" w:rsidP="005B372A">
            <w:pPr>
              <w:spacing w:line="240" w:lineRule="auto"/>
              <w:jc w:val="center"/>
              <w:rPr>
                <w:sz w:val="22"/>
                <w:szCs w:val="22"/>
              </w:rPr>
            </w:pPr>
            <w:r w:rsidRPr="00C05886">
              <w:rPr>
                <w:sz w:val="22"/>
                <w:szCs w:val="22"/>
              </w:rPr>
              <w:t>3</w:t>
            </w:r>
          </w:p>
        </w:tc>
      </w:tr>
      <w:tr w:rsidR="005B372A" w:rsidRPr="00C05886" w14:paraId="61B53EA1" w14:textId="77777777" w:rsidTr="009A1B2F">
        <w:tc>
          <w:tcPr>
            <w:tcW w:w="4253" w:type="dxa"/>
            <w:tcBorders>
              <w:left w:val="single" w:sz="4" w:space="0" w:color="auto"/>
            </w:tcBorders>
          </w:tcPr>
          <w:p w14:paraId="44BFF980" w14:textId="77777777" w:rsidR="005B372A" w:rsidRPr="00C05886" w:rsidRDefault="005B372A" w:rsidP="005B372A">
            <w:pPr>
              <w:spacing w:line="240" w:lineRule="auto"/>
              <w:rPr>
                <w:sz w:val="22"/>
                <w:szCs w:val="22"/>
              </w:rPr>
            </w:pPr>
            <w:r w:rsidRPr="00C05886">
              <w:rPr>
                <w:i/>
                <w:color w:val="000000"/>
                <w:sz w:val="22"/>
                <w:szCs w:val="22"/>
              </w:rPr>
              <w:t xml:space="preserve">Phlox </w:t>
            </w:r>
            <w:r w:rsidRPr="00C05886">
              <w:rPr>
                <w:color w:val="000000"/>
                <w:sz w:val="22"/>
                <w:szCs w:val="22"/>
              </w:rPr>
              <w:t>cv. Dwarf Beauty Blue</w:t>
            </w:r>
          </w:p>
        </w:tc>
        <w:tc>
          <w:tcPr>
            <w:tcW w:w="1417" w:type="dxa"/>
          </w:tcPr>
          <w:p w14:paraId="13D38655" w14:textId="77777777" w:rsidR="005B372A" w:rsidRPr="00C05886" w:rsidRDefault="005B372A" w:rsidP="005B372A">
            <w:pPr>
              <w:spacing w:line="240" w:lineRule="auto"/>
              <w:rPr>
                <w:sz w:val="22"/>
                <w:szCs w:val="22"/>
              </w:rPr>
            </w:pPr>
            <w:r w:rsidRPr="00C05886">
              <w:rPr>
                <w:sz w:val="22"/>
                <w:szCs w:val="22"/>
              </w:rPr>
              <w:t>blue</w:t>
            </w:r>
          </w:p>
        </w:tc>
        <w:tc>
          <w:tcPr>
            <w:tcW w:w="1696" w:type="dxa"/>
          </w:tcPr>
          <w:p w14:paraId="34D534C2" w14:textId="77777777" w:rsidR="005B372A" w:rsidRPr="00C05886" w:rsidRDefault="005B372A" w:rsidP="005B372A">
            <w:pPr>
              <w:spacing w:line="240" w:lineRule="auto"/>
              <w:jc w:val="center"/>
              <w:rPr>
                <w:sz w:val="22"/>
                <w:szCs w:val="22"/>
              </w:rPr>
            </w:pPr>
            <w:r w:rsidRPr="00C05886">
              <w:rPr>
                <w:sz w:val="22"/>
                <w:szCs w:val="22"/>
              </w:rPr>
              <w:t>24</w:t>
            </w:r>
          </w:p>
        </w:tc>
        <w:tc>
          <w:tcPr>
            <w:tcW w:w="1701" w:type="dxa"/>
            <w:tcBorders>
              <w:right w:val="single" w:sz="4" w:space="0" w:color="auto"/>
            </w:tcBorders>
          </w:tcPr>
          <w:p w14:paraId="7255D40F" w14:textId="77777777" w:rsidR="005B372A" w:rsidRPr="00C05886" w:rsidRDefault="005B372A" w:rsidP="005B372A">
            <w:pPr>
              <w:spacing w:line="240" w:lineRule="auto"/>
              <w:jc w:val="center"/>
              <w:rPr>
                <w:sz w:val="22"/>
                <w:szCs w:val="22"/>
              </w:rPr>
            </w:pPr>
            <w:r w:rsidRPr="00C05886">
              <w:rPr>
                <w:sz w:val="22"/>
                <w:szCs w:val="22"/>
              </w:rPr>
              <w:t>3</w:t>
            </w:r>
          </w:p>
        </w:tc>
      </w:tr>
      <w:tr w:rsidR="005B372A" w:rsidRPr="00C05886" w14:paraId="61508417" w14:textId="77777777" w:rsidTr="009A1B2F">
        <w:tc>
          <w:tcPr>
            <w:tcW w:w="4253" w:type="dxa"/>
            <w:tcBorders>
              <w:left w:val="single" w:sz="4" w:space="0" w:color="auto"/>
            </w:tcBorders>
          </w:tcPr>
          <w:p w14:paraId="01309802" w14:textId="77777777" w:rsidR="005B372A" w:rsidRPr="00C05886" w:rsidRDefault="005B372A" w:rsidP="005B372A">
            <w:pPr>
              <w:spacing w:line="240" w:lineRule="auto"/>
              <w:rPr>
                <w:sz w:val="22"/>
                <w:szCs w:val="22"/>
              </w:rPr>
            </w:pPr>
            <w:r w:rsidRPr="00C05886">
              <w:rPr>
                <w:i/>
                <w:sz w:val="22"/>
                <w:szCs w:val="22"/>
              </w:rPr>
              <w:t>Phlox</w:t>
            </w:r>
            <w:r w:rsidRPr="00C05886">
              <w:rPr>
                <w:sz w:val="22"/>
                <w:szCs w:val="22"/>
              </w:rPr>
              <w:t xml:space="preserve"> cv. Dwarf Beauty Scarlet</w:t>
            </w:r>
          </w:p>
        </w:tc>
        <w:tc>
          <w:tcPr>
            <w:tcW w:w="1417" w:type="dxa"/>
          </w:tcPr>
          <w:p w14:paraId="40443F52" w14:textId="77777777" w:rsidR="005B372A" w:rsidRPr="00C05886" w:rsidRDefault="005B372A" w:rsidP="005B372A">
            <w:pPr>
              <w:spacing w:line="240" w:lineRule="auto"/>
              <w:rPr>
                <w:sz w:val="22"/>
                <w:szCs w:val="22"/>
              </w:rPr>
            </w:pPr>
            <w:r w:rsidRPr="00C05886">
              <w:rPr>
                <w:sz w:val="22"/>
                <w:szCs w:val="22"/>
              </w:rPr>
              <w:t>red</w:t>
            </w:r>
          </w:p>
        </w:tc>
        <w:tc>
          <w:tcPr>
            <w:tcW w:w="1696" w:type="dxa"/>
          </w:tcPr>
          <w:p w14:paraId="153E0848" w14:textId="77777777" w:rsidR="005B372A" w:rsidRPr="00C05886" w:rsidRDefault="005B372A" w:rsidP="005B372A">
            <w:pPr>
              <w:spacing w:line="240" w:lineRule="auto"/>
              <w:jc w:val="center"/>
              <w:rPr>
                <w:sz w:val="22"/>
                <w:szCs w:val="22"/>
              </w:rPr>
            </w:pPr>
          </w:p>
        </w:tc>
        <w:tc>
          <w:tcPr>
            <w:tcW w:w="1701" w:type="dxa"/>
            <w:tcBorders>
              <w:right w:val="single" w:sz="4" w:space="0" w:color="auto"/>
            </w:tcBorders>
          </w:tcPr>
          <w:p w14:paraId="07D068C8" w14:textId="77777777" w:rsidR="005B372A" w:rsidRPr="00C05886" w:rsidRDefault="005B372A" w:rsidP="005B372A">
            <w:pPr>
              <w:spacing w:line="240" w:lineRule="auto"/>
              <w:jc w:val="center"/>
              <w:rPr>
                <w:sz w:val="22"/>
                <w:szCs w:val="22"/>
              </w:rPr>
            </w:pPr>
            <w:r w:rsidRPr="00C05886">
              <w:rPr>
                <w:sz w:val="22"/>
                <w:szCs w:val="22"/>
              </w:rPr>
              <w:t>5</w:t>
            </w:r>
          </w:p>
        </w:tc>
      </w:tr>
      <w:tr w:rsidR="005B372A" w:rsidRPr="00C05886" w14:paraId="58521B8D" w14:textId="77777777" w:rsidTr="009A1B2F">
        <w:tc>
          <w:tcPr>
            <w:tcW w:w="4253" w:type="dxa"/>
            <w:tcBorders>
              <w:left w:val="single" w:sz="4" w:space="0" w:color="auto"/>
            </w:tcBorders>
          </w:tcPr>
          <w:p w14:paraId="68E8527A" w14:textId="77777777" w:rsidR="005B372A" w:rsidRPr="00C05886" w:rsidRDefault="005B372A" w:rsidP="005B372A">
            <w:pPr>
              <w:spacing w:line="240" w:lineRule="auto"/>
              <w:rPr>
                <w:sz w:val="22"/>
                <w:szCs w:val="22"/>
              </w:rPr>
            </w:pPr>
            <w:r w:rsidRPr="00C05886">
              <w:rPr>
                <w:i/>
                <w:color w:val="000000"/>
                <w:sz w:val="22"/>
                <w:szCs w:val="22"/>
              </w:rPr>
              <w:t>Phlox</w:t>
            </w:r>
            <w:r w:rsidRPr="00C05886">
              <w:rPr>
                <w:color w:val="000000"/>
                <w:sz w:val="22"/>
                <w:szCs w:val="22"/>
              </w:rPr>
              <w:t xml:space="preserve"> cv. Dwarf Beauty White </w:t>
            </w:r>
          </w:p>
        </w:tc>
        <w:tc>
          <w:tcPr>
            <w:tcW w:w="1417" w:type="dxa"/>
          </w:tcPr>
          <w:p w14:paraId="33B0F048" w14:textId="77777777" w:rsidR="005B372A" w:rsidRPr="00C05886" w:rsidRDefault="005B372A" w:rsidP="005B372A">
            <w:pPr>
              <w:spacing w:line="240" w:lineRule="auto"/>
              <w:rPr>
                <w:sz w:val="22"/>
                <w:szCs w:val="22"/>
              </w:rPr>
            </w:pPr>
            <w:r w:rsidRPr="00C05886">
              <w:rPr>
                <w:sz w:val="22"/>
                <w:szCs w:val="22"/>
              </w:rPr>
              <w:t>white</w:t>
            </w:r>
          </w:p>
        </w:tc>
        <w:tc>
          <w:tcPr>
            <w:tcW w:w="1696" w:type="dxa"/>
          </w:tcPr>
          <w:p w14:paraId="25FECB75" w14:textId="77777777" w:rsidR="005B372A" w:rsidRPr="00C05886" w:rsidRDefault="005B372A" w:rsidP="005B372A">
            <w:pPr>
              <w:spacing w:line="240" w:lineRule="auto"/>
              <w:jc w:val="center"/>
              <w:rPr>
                <w:sz w:val="22"/>
                <w:szCs w:val="22"/>
              </w:rPr>
            </w:pPr>
            <w:r w:rsidRPr="00C05886">
              <w:rPr>
                <w:sz w:val="22"/>
                <w:szCs w:val="22"/>
              </w:rPr>
              <w:t>18</w:t>
            </w:r>
          </w:p>
        </w:tc>
        <w:tc>
          <w:tcPr>
            <w:tcW w:w="1701" w:type="dxa"/>
            <w:tcBorders>
              <w:right w:val="single" w:sz="4" w:space="0" w:color="auto"/>
            </w:tcBorders>
          </w:tcPr>
          <w:p w14:paraId="3ACFFE0D" w14:textId="77777777" w:rsidR="005B372A" w:rsidRPr="00C05886" w:rsidRDefault="005B372A" w:rsidP="005B372A">
            <w:pPr>
              <w:spacing w:line="240" w:lineRule="auto"/>
              <w:jc w:val="center"/>
              <w:rPr>
                <w:sz w:val="22"/>
                <w:szCs w:val="22"/>
              </w:rPr>
            </w:pPr>
            <w:r w:rsidRPr="00C05886">
              <w:rPr>
                <w:sz w:val="22"/>
                <w:szCs w:val="22"/>
              </w:rPr>
              <w:t>3</w:t>
            </w:r>
          </w:p>
        </w:tc>
      </w:tr>
      <w:tr w:rsidR="005B372A" w:rsidRPr="00C05886" w14:paraId="04C84118" w14:textId="77777777" w:rsidTr="009A1B2F">
        <w:tc>
          <w:tcPr>
            <w:tcW w:w="4253" w:type="dxa"/>
            <w:tcBorders>
              <w:left w:val="single" w:sz="4" w:space="0" w:color="auto"/>
            </w:tcBorders>
          </w:tcPr>
          <w:p w14:paraId="60F7E077" w14:textId="77777777" w:rsidR="005B372A" w:rsidRPr="00C05886" w:rsidRDefault="005B372A" w:rsidP="005B372A">
            <w:pPr>
              <w:spacing w:line="240" w:lineRule="auto"/>
              <w:rPr>
                <w:sz w:val="22"/>
                <w:szCs w:val="22"/>
              </w:rPr>
            </w:pPr>
            <w:r w:rsidRPr="00C05886">
              <w:rPr>
                <w:i/>
                <w:sz w:val="22"/>
                <w:szCs w:val="22"/>
              </w:rPr>
              <w:t xml:space="preserve">Salvia </w:t>
            </w:r>
            <w:proofErr w:type="spellStart"/>
            <w:r w:rsidRPr="00C05886">
              <w:rPr>
                <w:i/>
                <w:sz w:val="22"/>
                <w:szCs w:val="22"/>
              </w:rPr>
              <w:t>nemorosa</w:t>
            </w:r>
            <w:proofErr w:type="spellEnd"/>
            <w:r w:rsidRPr="00C05886">
              <w:rPr>
                <w:sz w:val="22"/>
                <w:szCs w:val="22"/>
              </w:rPr>
              <w:t xml:space="preserve"> cv. Caradonna</w:t>
            </w:r>
          </w:p>
        </w:tc>
        <w:tc>
          <w:tcPr>
            <w:tcW w:w="1417" w:type="dxa"/>
          </w:tcPr>
          <w:p w14:paraId="206B12D1" w14:textId="77777777" w:rsidR="005B372A" w:rsidRPr="00C05886" w:rsidRDefault="005B372A" w:rsidP="005B372A">
            <w:pPr>
              <w:spacing w:line="240" w:lineRule="auto"/>
              <w:rPr>
                <w:sz w:val="22"/>
                <w:szCs w:val="22"/>
              </w:rPr>
            </w:pPr>
            <w:r w:rsidRPr="00C05886">
              <w:rPr>
                <w:sz w:val="22"/>
                <w:szCs w:val="22"/>
              </w:rPr>
              <w:t>blue</w:t>
            </w:r>
          </w:p>
        </w:tc>
        <w:tc>
          <w:tcPr>
            <w:tcW w:w="1696" w:type="dxa"/>
          </w:tcPr>
          <w:p w14:paraId="46BDB0BF" w14:textId="77777777" w:rsidR="005B372A" w:rsidRPr="00C05886" w:rsidRDefault="005B372A" w:rsidP="005B372A">
            <w:pPr>
              <w:spacing w:line="240" w:lineRule="auto"/>
              <w:jc w:val="center"/>
              <w:rPr>
                <w:sz w:val="22"/>
                <w:szCs w:val="22"/>
              </w:rPr>
            </w:pPr>
          </w:p>
        </w:tc>
        <w:tc>
          <w:tcPr>
            <w:tcW w:w="1701" w:type="dxa"/>
            <w:tcBorders>
              <w:right w:val="single" w:sz="4" w:space="0" w:color="auto"/>
            </w:tcBorders>
          </w:tcPr>
          <w:p w14:paraId="76325A89" w14:textId="77777777" w:rsidR="005B372A" w:rsidRPr="00C05886" w:rsidRDefault="005B372A" w:rsidP="005B372A">
            <w:pPr>
              <w:spacing w:line="240" w:lineRule="auto"/>
              <w:jc w:val="center"/>
              <w:rPr>
                <w:sz w:val="22"/>
                <w:szCs w:val="22"/>
              </w:rPr>
            </w:pPr>
            <w:r w:rsidRPr="00C05886">
              <w:rPr>
                <w:sz w:val="22"/>
                <w:szCs w:val="22"/>
              </w:rPr>
              <w:t>2</w:t>
            </w:r>
          </w:p>
        </w:tc>
      </w:tr>
      <w:tr w:rsidR="005B372A" w:rsidRPr="00C05886" w14:paraId="60C1DF3E" w14:textId="77777777" w:rsidTr="009A1B2F">
        <w:tc>
          <w:tcPr>
            <w:tcW w:w="4253" w:type="dxa"/>
            <w:tcBorders>
              <w:left w:val="single" w:sz="4" w:space="0" w:color="auto"/>
            </w:tcBorders>
          </w:tcPr>
          <w:p w14:paraId="1175EAFF" w14:textId="77777777" w:rsidR="005B372A" w:rsidRPr="00C05886" w:rsidRDefault="005B372A" w:rsidP="005B372A">
            <w:pPr>
              <w:spacing w:line="240" w:lineRule="auto"/>
              <w:rPr>
                <w:sz w:val="22"/>
                <w:szCs w:val="22"/>
              </w:rPr>
            </w:pPr>
            <w:proofErr w:type="spellStart"/>
            <w:r w:rsidRPr="00C05886">
              <w:rPr>
                <w:i/>
                <w:color w:val="000000"/>
                <w:sz w:val="22"/>
                <w:szCs w:val="22"/>
              </w:rPr>
              <w:t>Sanvitalia</w:t>
            </w:r>
            <w:proofErr w:type="spellEnd"/>
            <w:r w:rsidRPr="00C05886">
              <w:rPr>
                <w:i/>
                <w:color w:val="000000"/>
                <w:sz w:val="22"/>
                <w:szCs w:val="22"/>
              </w:rPr>
              <w:t xml:space="preserve"> </w:t>
            </w:r>
            <w:r w:rsidRPr="00C05886">
              <w:rPr>
                <w:color w:val="000000"/>
                <w:sz w:val="22"/>
                <w:szCs w:val="22"/>
              </w:rPr>
              <w:t xml:space="preserve">cv. Aztec Gold </w:t>
            </w:r>
            <w:proofErr w:type="spellStart"/>
            <w:r w:rsidRPr="00C05886">
              <w:rPr>
                <w:color w:val="000000"/>
                <w:sz w:val="22"/>
                <w:szCs w:val="22"/>
              </w:rPr>
              <w:t>Hussare</w:t>
            </w:r>
            <w:proofErr w:type="spellEnd"/>
            <w:r w:rsidRPr="00C05886">
              <w:rPr>
                <w:color w:val="000000"/>
                <w:sz w:val="22"/>
                <w:szCs w:val="22"/>
              </w:rPr>
              <w:t xml:space="preserve"> Knob</w:t>
            </w:r>
          </w:p>
        </w:tc>
        <w:tc>
          <w:tcPr>
            <w:tcW w:w="1417" w:type="dxa"/>
          </w:tcPr>
          <w:p w14:paraId="73C4F1BB" w14:textId="77777777" w:rsidR="005B372A" w:rsidRPr="00C05886" w:rsidRDefault="005B372A" w:rsidP="005B372A">
            <w:pPr>
              <w:spacing w:line="240" w:lineRule="auto"/>
              <w:rPr>
                <w:sz w:val="22"/>
                <w:szCs w:val="22"/>
              </w:rPr>
            </w:pPr>
            <w:r w:rsidRPr="00C05886">
              <w:rPr>
                <w:sz w:val="22"/>
                <w:szCs w:val="22"/>
              </w:rPr>
              <w:t>yellow</w:t>
            </w:r>
          </w:p>
        </w:tc>
        <w:tc>
          <w:tcPr>
            <w:tcW w:w="1696" w:type="dxa"/>
          </w:tcPr>
          <w:p w14:paraId="657A7C81" w14:textId="77777777" w:rsidR="005B372A" w:rsidRPr="00C05886" w:rsidRDefault="005B372A" w:rsidP="005B372A">
            <w:pPr>
              <w:spacing w:line="240" w:lineRule="auto"/>
              <w:jc w:val="center"/>
              <w:rPr>
                <w:sz w:val="22"/>
                <w:szCs w:val="22"/>
              </w:rPr>
            </w:pPr>
            <w:r w:rsidRPr="00C05886">
              <w:rPr>
                <w:sz w:val="22"/>
                <w:szCs w:val="22"/>
              </w:rPr>
              <w:t>6</w:t>
            </w:r>
          </w:p>
        </w:tc>
        <w:tc>
          <w:tcPr>
            <w:tcW w:w="1701" w:type="dxa"/>
            <w:tcBorders>
              <w:right w:val="single" w:sz="4" w:space="0" w:color="auto"/>
            </w:tcBorders>
          </w:tcPr>
          <w:p w14:paraId="27075E85" w14:textId="77777777" w:rsidR="005B372A" w:rsidRPr="00C05886" w:rsidRDefault="005B372A" w:rsidP="005B372A">
            <w:pPr>
              <w:spacing w:line="240" w:lineRule="auto"/>
              <w:jc w:val="center"/>
              <w:rPr>
                <w:sz w:val="22"/>
                <w:szCs w:val="22"/>
              </w:rPr>
            </w:pPr>
            <w:r w:rsidRPr="00C05886">
              <w:rPr>
                <w:sz w:val="22"/>
                <w:szCs w:val="22"/>
              </w:rPr>
              <w:t>3</w:t>
            </w:r>
          </w:p>
        </w:tc>
      </w:tr>
      <w:tr w:rsidR="005B372A" w:rsidRPr="00C05886" w14:paraId="1B7CCDA8" w14:textId="77777777" w:rsidTr="009A1B2F">
        <w:trPr>
          <w:trHeight w:val="225"/>
        </w:trPr>
        <w:tc>
          <w:tcPr>
            <w:tcW w:w="4253" w:type="dxa"/>
            <w:tcBorders>
              <w:left w:val="single" w:sz="4" w:space="0" w:color="auto"/>
            </w:tcBorders>
          </w:tcPr>
          <w:p w14:paraId="089E3FF1" w14:textId="77777777" w:rsidR="005B372A" w:rsidRPr="00C05886" w:rsidRDefault="005B372A" w:rsidP="005B372A">
            <w:pPr>
              <w:spacing w:line="240" w:lineRule="auto"/>
              <w:rPr>
                <w:sz w:val="22"/>
                <w:szCs w:val="22"/>
              </w:rPr>
            </w:pPr>
            <w:r w:rsidRPr="00C05886">
              <w:rPr>
                <w:i/>
                <w:sz w:val="22"/>
                <w:szCs w:val="22"/>
              </w:rPr>
              <w:t>Tradescantia</w:t>
            </w:r>
            <w:r w:rsidRPr="00C05886">
              <w:rPr>
                <w:sz w:val="22"/>
                <w:szCs w:val="22"/>
              </w:rPr>
              <w:t xml:space="preserve"> cv. Blue ‘n’ Gold</w:t>
            </w:r>
          </w:p>
        </w:tc>
        <w:tc>
          <w:tcPr>
            <w:tcW w:w="1417" w:type="dxa"/>
          </w:tcPr>
          <w:p w14:paraId="3A07C20A" w14:textId="77777777" w:rsidR="005B372A" w:rsidRPr="00C05886" w:rsidRDefault="005B372A" w:rsidP="005B372A">
            <w:pPr>
              <w:spacing w:line="240" w:lineRule="auto"/>
              <w:rPr>
                <w:sz w:val="22"/>
                <w:szCs w:val="22"/>
              </w:rPr>
            </w:pPr>
            <w:r w:rsidRPr="00C05886">
              <w:rPr>
                <w:sz w:val="22"/>
                <w:szCs w:val="22"/>
              </w:rPr>
              <w:t>blue</w:t>
            </w:r>
          </w:p>
        </w:tc>
        <w:tc>
          <w:tcPr>
            <w:tcW w:w="1696" w:type="dxa"/>
          </w:tcPr>
          <w:p w14:paraId="56ABCA08" w14:textId="77777777" w:rsidR="005B372A" w:rsidRPr="00C05886" w:rsidRDefault="005B372A" w:rsidP="005B372A">
            <w:pPr>
              <w:spacing w:line="240" w:lineRule="auto"/>
              <w:jc w:val="center"/>
              <w:rPr>
                <w:sz w:val="22"/>
                <w:szCs w:val="22"/>
              </w:rPr>
            </w:pPr>
          </w:p>
        </w:tc>
        <w:tc>
          <w:tcPr>
            <w:tcW w:w="1701" w:type="dxa"/>
            <w:tcBorders>
              <w:right w:val="single" w:sz="4" w:space="0" w:color="auto"/>
            </w:tcBorders>
          </w:tcPr>
          <w:p w14:paraId="17726AED" w14:textId="77777777" w:rsidR="005B372A" w:rsidRPr="00C05886" w:rsidRDefault="005B372A" w:rsidP="005B372A">
            <w:pPr>
              <w:spacing w:line="240" w:lineRule="auto"/>
              <w:jc w:val="center"/>
              <w:rPr>
                <w:sz w:val="22"/>
                <w:szCs w:val="22"/>
              </w:rPr>
            </w:pPr>
            <w:r w:rsidRPr="00C05886">
              <w:rPr>
                <w:sz w:val="22"/>
                <w:szCs w:val="22"/>
              </w:rPr>
              <w:t>1</w:t>
            </w:r>
          </w:p>
        </w:tc>
      </w:tr>
      <w:tr w:rsidR="005B372A" w:rsidRPr="00C05886" w14:paraId="2813C106" w14:textId="77777777" w:rsidTr="009A1B2F">
        <w:tc>
          <w:tcPr>
            <w:tcW w:w="4253" w:type="dxa"/>
            <w:tcBorders>
              <w:left w:val="single" w:sz="4" w:space="0" w:color="auto"/>
            </w:tcBorders>
          </w:tcPr>
          <w:p w14:paraId="1DEA6B6B" w14:textId="77777777" w:rsidR="005B372A" w:rsidRPr="00C05886" w:rsidRDefault="005B372A" w:rsidP="005B372A">
            <w:pPr>
              <w:spacing w:line="240" w:lineRule="auto"/>
              <w:rPr>
                <w:sz w:val="22"/>
                <w:szCs w:val="22"/>
              </w:rPr>
            </w:pPr>
            <w:r w:rsidRPr="00C05886">
              <w:rPr>
                <w:i/>
                <w:sz w:val="22"/>
                <w:szCs w:val="22"/>
              </w:rPr>
              <w:t>Verbena</w:t>
            </w:r>
            <w:r w:rsidRPr="00C05886">
              <w:rPr>
                <w:sz w:val="22"/>
                <w:szCs w:val="22"/>
              </w:rPr>
              <w:t xml:space="preserve"> cv. Showboat Dark Red</w:t>
            </w:r>
          </w:p>
        </w:tc>
        <w:tc>
          <w:tcPr>
            <w:tcW w:w="1417" w:type="dxa"/>
          </w:tcPr>
          <w:p w14:paraId="4527A2FD" w14:textId="77777777" w:rsidR="005B372A" w:rsidRPr="00C05886" w:rsidRDefault="005B372A" w:rsidP="005B372A">
            <w:pPr>
              <w:spacing w:line="240" w:lineRule="auto"/>
              <w:rPr>
                <w:sz w:val="22"/>
                <w:szCs w:val="22"/>
              </w:rPr>
            </w:pPr>
            <w:r w:rsidRPr="00C05886">
              <w:rPr>
                <w:sz w:val="22"/>
                <w:szCs w:val="22"/>
              </w:rPr>
              <w:t>red</w:t>
            </w:r>
          </w:p>
        </w:tc>
        <w:tc>
          <w:tcPr>
            <w:tcW w:w="1696" w:type="dxa"/>
          </w:tcPr>
          <w:p w14:paraId="1CA4A9D1" w14:textId="77777777" w:rsidR="005B372A" w:rsidRPr="00C05886" w:rsidRDefault="005B372A" w:rsidP="005B372A">
            <w:pPr>
              <w:spacing w:line="240" w:lineRule="auto"/>
              <w:jc w:val="center"/>
              <w:rPr>
                <w:sz w:val="22"/>
                <w:szCs w:val="22"/>
              </w:rPr>
            </w:pPr>
          </w:p>
        </w:tc>
        <w:tc>
          <w:tcPr>
            <w:tcW w:w="1701" w:type="dxa"/>
            <w:tcBorders>
              <w:right w:val="single" w:sz="4" w:space="0" w:color="auto"/>
            </w:tcBorders>
          </w:tcPr>
          <w:p w14:paraId="74136B99" w14:textId="77777777" w:rsidR="005B372A" w:rsidRPr="00C05886" w:rsidRDefault="005B372A" w:rsidP="005B372A">
            <w:pPr>
              <w:spacing w:line="240" w:lineRule="auto"/>
              <w:jc w:val="center"/>
              <w:rPr>
                <w:sz w:val="22"/>
                <w:szCs w:val="22"/>
              </w:rPr>
            </w:pPr>
            <w:r w:rsidRPr="00C05886">
              <w:rPr>
                <w:sz w:val="22"/>
                <w:szCs w:val="22"/>
              </w:rPr>
              <w:t>2</w:t>
            </w:r>
          </w:p>
        </w:tc>
      </w:tr>
      <w:tr w:rsidR="005B372A" w:rsidRPr="00C05886" w14:paraId="623CD903" w14:textId="77777777" w:rsidTr="009A1B2F">
        <w:tc>
          <w:tcPr>
            <w:tcW w:w="4253" w:type="dxa"/>
            <w:tcBorders>
              <w:left w:val="single" w:sz="4" w:space="0" w:color="auto"/>
            </w:tcBorders>
          </w:tcPr>
          <w:p w14:paraId="18E0C126" w14:textId="77777777" w:rsidR="005B372A" w:rsidRPr="00C05886" w:rsidRDefault="005B372A" w:rsidP="005B372A">
            <w:pPr>
              <w:spacing w:line="240" w:lineRule="auto"/>
              <w:rPr>
                <w:i/>
                <w:sz w:val="22"/>
                <w:szCs w:val="22"/>
              </w:rPr>
            </w:pPr>
            <w:r w:rsidRPr="00C05886">
              <w:rPr>
                <w:i/>
                <w:sz w:val="22"/>
                <w:szCs w:val="22"/>
              </w:rPr>
              <w:t>Verbena</w:t>
            </w:r>
            <w:r w:rsidRPr="00C05886">
              <w:rPr>
                <w:sz w:val="22"/>
                <w:szCs w:val="22"/>
              </w:rPr>
              <w:t xml:space="preserve"> cv. Showboat Midnight</w:t>
            </w:r>
          </w:p>
        </w:tc>
        <w:tc>
          <w:tcPr>
            <w:tcW w:w="1417" w:type="dxa"/>
          </w:tcPr>
          <w:p w14:paraId="015E8A9A" w14:textId="77777777" w:rsidR="005B372A" w:rsidRPr="00C05886" w:rsidRDefault="005B372A" w:rsidP="005B372A">
            <w:pPr>
              <w:spacing w:line="240" w:lineRule="auto"/>
              <w:rPr>
                <w:sz w:val="22"/>
                <w:szCs w:val="22"/>
              </w:rPr>
            </w:pPr>
            <w:r w:rsidRPr="00C05886">
              <w:rPr>
                <w:sz w:val="22"/>
                <w:szCs w:val="22"/>
              </w:rPr>
              <w:t>deep purple</w:t>
            </w:r>
          </w:p>
        </w:tc>
        <w:tc>
          <w:tcPr>
            <w:tcW w:w="1696" w:type="dxa"/>
          </w:tcPr>
          <w:p w14:paraId="22F7E77A" w14:textId="77777777" w:rsidR="005B372A" w:rsidRPr="00C05886" w:rsidRDefault="005B372A" w:rsidP="005B372A">
            <w:pPr>
              <w:spacing w:line="240" w:lineRule="auto"/>
              <w:jc w:val="center"/>
              <w:rPr>
                <w:sz w:val="22"/>
                <w:szCs w:val="22"/>
              </w:rPr>
            </w:pPr>
          </w:p>
        </w:tc>
        <w:tc>
          <w:tcPr>
            <w:tcW w:w="1701" w:type="dxa"/>
            <w:tcBorders>
              <w:right w:val="single" w:sz="4" w:space="0" w:color="auto"/>
            </w:tcBorders>
          </w:tcPr>
          <w:p w14:paraId="1B77E946" w14:textId="77777777" w:rsidR="005B372A" w:rsidRPr="00C05886" w:rsidRDefault="005B372A" w:rsidP="005B372A">
            <w:pPr>
              <w:spacing w:line="240" w:lineRule="auto"/>
              <w:jc w:val="center"/>
              <w:rPr>
                <w:sz w:val="22"/>
                <w:szCs w:val="22"/>
              </w:rPr>
            </w:pPr>
            <w:r w:rsidRPr="00C05886">
              <w:rPr>
                <w:sz w:val="22"/>
                <w:szCs w:val="22"/>
              </w:rPr>
              <w:t>2</w:t>
            </w:r>
          </w:p>
        </w:tc>
      </w:tr>
      <w:tr w:rsidR="005B372A" w:rsidRPr="00C05886" w14:paraId="43620D4D" w14:textId="77777777" w:rsidTr="009A1B2F">
        <w:tc>
          <w:tcPr>
            <w:tcW w:w="4253" w:type="dxa"/>
            <w:tcBorders>
              <w:left w:val="single" w:sz="4" w:space="0" w:color="auto"/>
            </w:tcBorders>
          </w:tcPr>
          <w:p w14:paraId="535E4196" w14:textId="77777777" w:rsidR="005B372A" w:rsidRPr="00C05886" w:rsidRDefault="005B372A" w:rsidP="005B372A">
            <w:pPr>
              <w:spacing w:line="240" w:lineRule="auto"/>
              <w:rPr>
                <w:sz w:val="22"/>
                <w:szCs w:val="22"/>
              </w:rPr>
            </w:pPr>
            <w:r w:rsidRPr="00C05886">
              <w:rPr>
                <w:i/>
                <w:sz w:val="22"/>
                <w:szCs w:val="22"/>
              </w:rPr>
              <w:t>Verbena</w:t>
            </w:r>
            <w:r w:rsidRPr="00C05886">
              <w:rPr>
                <w:sz w:val="22"/>
                <w:szCs w:val="22"/>
              </w:rPr>
              <w:t xml:space="preserve"> cv. Showboat Pink</w:t>
            </w:r>
          </w:p>
        </w:tc>
        <w:tc>
          <w:tcPr>
            <w:tcW w:w="1417" w:type="dxa"/>
          </w:tcPr>
          <w:p w14:paraId="6206F274" w14:textId="77777777" w:rsidR="005B372A" w:rsidRPr="00C05886" w:rsidRDefault="005B372A" w:rsidP="005B372A">
            <w:pPr>
              <w:spacing w:line="240" w:lineRule="auto"/>
              <w:rPr>
                <w:sz w:val="22"/>
                <w:szCs w:val="22"/>
              </w:rPr>
            </w:pPr>
            <w:r w:rsidRPr="00C05886">
              <w:rPr>
                <w:sz w:val="22"/>
                <w:szCs w:val="22"/>
              </w:rPr>
              <w:t>pink</w:t>
            </w:r>
          </w:p>
        </w:tc>
        <w:tc>
          <w:tcPr>
            <w:tcW w:w="1696" w:type="dxa"/>
          </w:tcPr>
          <w:p w14:paraId="3F90399C" w14:textId="77777777" w:rsidR="005B372A" w:rsidRPr="00C05886" w:rsidRDefault="005B372A" w:rsidP="005B372A">
            <w:pPr>
              <w:spacing w:line="240" w:lineRule="auto"/>
              <w:jc w:val="center"/>
              <w:rPr>
                <w:sz w:val="22"/>
                <w:szCs w:val="22"/>
              </w:rPr>
            </w:pPr>
          </w:p>
        </w:tc>
        <w:tc>
          <w:tcPr>
            <w:tcW w:w="1701" w:type="dxa"/>
            <w:tcBorders>
              <w:right w:val="single" w:sz="4" w:space="0" w:color="auto"/>
            </w:tcBorders>
          </w:tcPr>
          <w:p w14:paraId="1AFEFDFA" w14:textId="77777777" w:rsidR="005B372A" w:rsidRPr="00C05886" w:rsidRDefault="005B372A" w:rsidP="005B372A">
            <w:pPr>
              <w:spacing w:line="240" w:lineRule="auto"/>
              <w:jc w:val="center"/>
              <w:rPr>
                <w:sz w:val="22"/>
                <w:szCs w:val="22"/>
              </w:rPr>
            </w:pPr>
            <w:r w:rsidRPr="00C05886">
              <w:rPr>
                <w:sz w:val="22"/>
                <w:szCs w:val="22"/>
              </w:rPr>
              <w:t>2</w:t>
            </w:r>
          </w:p>
        </w:tc>
      </w:tr>
      <w:tr w:rsidR="005B372A" w:rsidRPr="00C05886" w14:paraId="0F06B9DA" w14:textId="77777777" w:rsidTr="009A1B2F">
        <w:tc>
          <w:tcPr>
            <w:tcW w:w="4253" w:type="dxa"/>
            <w:tcBorders>
              <w:left w:val="single" w:sz="4" w:space="0" w:color="auto"/>
              <w:bottom w:val="single" w:sz="4" w:space="0" w:color="auto"/>
            </w:tcBorders>
          </w:tcPr>
          <w:p w14:paraId="23A526A1" w14:textId="77777777" w:rsidR="005B372A" w:rsidRPr="00C05886" w:rsidRDefault="005B372A" w:rsidP="005B372A">
            <w:pPr>
              <w:spacing w:line="240" w:lineRule="auto"/>
              <w:rPr>
                <w:sz w:val="22"/>
                <w:szCs w:val="22"/>
              </w:rPr>
            </w:pPr>
            <w:r w:rsidRPr="00C05886">
              <w:rPr>
                <w:i/>
                <w:sz w:val="22"/>
                <w:szCs w:val="22"/>
              </w:rPr>
              <w:t xml:space="preserve">Verbena </w:t>
            </w:r>
            <w:r w:rsidRPr="00C05886">
              <w:rPr>
                <w:sz w:val="22"/>
                <w:szCs w:val="22"/>
              </w:rPr>
              <w:t>cv. Showboat White</w:t>
            </w:r>
          </w:p>
        </w:tc>
        <w:tc>
          <w:tcPr>
            <w:tcW w:w="1417" w:type="dxa"/>
            <w:tcBorders>
              <w:bottom w:val="single" w:sz="4" w:space="0" w:color="auto"/>
            </w:tcBorders>
          </w:tcPr>
          <w:p w14:paraId="11C7B84C" w14:textId="77777777" w:rsidR="005B372A" w:rsidRPr="00C05886" w:rsidRDefault="005B372A" w:rsidP="005B372A">
            <w:pPr>
              <w:spacing w:line="240" w:lineRule="auto"/>
              <w:rPr>
                <w:sz w:val="22"/>
                <w:szCs w:val="22"/>
              </w:rPr>
            </w:pPr>
            <w:r w:rsidRPr="00C05886">
              <w:rPr>
                <w:sz w:val="22"/>
                <w:szCs w:val="22"/>
              </w:rPr>
              <w:t>white</w:t>
            </w:r>
          </w:p>
        </w:tc>
        <w:tc>
          <w:tcPr>
            <w:tcW w:w="1696" w:type="dxa"/>
            <w:tcBorders>
              <w:bottom w:val="single" w:sz="4" w:space="0" w:color="auto"/>
            </w:tcBorders>
          </w:tcPr>
          <w:p w14:paraId="35F5EBDD" w14:textId="77777777" w:rsidR="005B372A" w:rsidRPr="00C05886" w:rsidRDefault="005B372A" w:rsidP="005B372A">
            <w:pPr>
              <w:spacing w:line="240" w:lineRule="auto"/>
              <w:jc w:val="center"/>
              <w:rPr>
                <w:sz w:val="22"/>
                <w:szCs w:val="22"/>
              </w:rPr>
            </w:pPr>
          </w:p>
        </w:tc>
        <w:tc>
          <w:tcPr>
            <w:tcW w:w="1701" w:type="dxa"/>
            <w:tcBorders>
              <w:bottom w:val="single" w:sz="4" w:space="0" w:color="auto"/>
              <w:right w:val="single" w:sz="4" w:space="0" w:color="auto"/>
            </w:tcBorders>
          </w:tcPr>
          <w:p w14:paraId="3666563A" w14:textId="77777777" w:rsidR="005B372A" w:rsidRPr="00C05886" w:rsidRDefault="005B372A" w:rsidP="005B372A">
            <w:pPr>
              <w:spacing w:line="240" w:lineRule="auto"/>
              <w:jc w:val="center"/>
              <w:rPr>
                <w:sz w:val="22"/>
                <w:szCs w:val="22"/>
              </w:rPr>
            </w:pPr>
            <w:r w:rsidRPr="00C05886">
              <w:rPr>
                <w:sz w:val="22"/>
                <w:szCs w:val="22"/>
              </w:rPr>
              <w:t>2</w:t>
            </w:r>
          </w:p>
        </w:tc>
      </w:tr>
    </w:tbl>
    <w:p w14:paraId="10149E50" w14:textId="77777777" w:rsidR="005B372A" w:rsidRPr="00C05886" w:rsidRDefault="005B372A" w:rsidP="004C4137">
      <w:pPr>
        <w:spacing w:line="480" w:lineRule="auto"/>
        <w:rPr>
          <w:color w:val="000000"/>
        </w:rPr>
      </w:pPr>
    </w:p>
    <w:p w14:paraId="020A2CCC" w14:textId="590577C4" w:rsidR="005B372A" w:rsidRPr="00C05886" w:rsidRDefault="007E760B" w:rsidP="00A466EE">
      <w:pPr>
        <w:keepNext/>
        <w:spacing w:line="480" w:lineRule="auto"/>
      </w:pPr>
      <w:r w:rsidRPr="00134B49">
        <w:rPr>
          <w:i/>
          <w:noProof/>
          <w:color w:val="44546A"/>
          <w:sz w:val="18"/>
          <w:szCs w:val="18"/>
        </w:rPr>
        <w:drawing>
          <wp:inline distT="0" distB="0" distL="0" distR="0" wp14:anchorId="41D09084" wp14:editId="7944EA85">
            <wp:extent cx="5731510" cy="1792605"/>
            <wp:effectExtent l="0" t="0" r="2540" b="0"/>
            <wp:docPr id="23" name="image2.png" descr="A picture containing ground, outdoor, grass, rock&#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png" descr="A picture containing ground, outdoor, grass, rock&#10;&#10;Description automatically generated"/>
                    <pic:cNvPicPr preferRelativeResize="0"/>
                  </pic:nvPicPr>
                  <pic:blipFill>
                    <a:blip r:embed="rId26"/>
                    <a:srcRect/>
                    <a:stretch>
                      <a:fillRect/>
                    </a:stretch>
                  </pic:blipFill>
                  <pic:spPr>
                    <a:xfrm>
                      <a:off x="0" y="0"/>
                      <a:ext cx="5731510" cy="1792605"/>
                    </a:xfrm>
                    <a:prstGeom prst="rect">
                      <a:avLst/>
                    </a:prstGeom>
                    <a:ln/>
                  </pic:spPr>
                </pic:pic>
              </a:graphicData>
            </a:graphic>
          </wp:inline>
        </w:drawing>
      </w:r>
    </w:p>
    <w:p w14:paraId="5B653765" w14:textId="4BC9EDD5" w:rsidR="005B372A" w:rsidRPr="00C05886" w:rsidRDefault="005B372A" w:rsidP="00E33FF2">
      <w:pPr>
        <w:pStyle w:val="Caption"/>
        <w:spacing w:after="360"/>
        <w:rPr>
          <w:i w:val="0"/>
          <w:iCs w:val="0"/>
          <w:color w:val="auto"/>
        </w:rPr>
      </w:pPr>
      <w:r w:rsidRPr="00C05886">
        <w:rPr>
          <w:b/>
          <w:bCs/>
          <w:i w:val="0"/>
          <w:iCs w:val="0"/>
          <w:color w:val="auto"/>
        </w:rPr>
        <w:t xml:space="preserve">Fig </w:t>
      </w:r>
      <w:r w:rsidR="007C5BD5" w:rsidRPr="00C05886">
        <w:rPr>
          <w:b/>
          <w:bCs/>
          <w:i w:val="0"/>
          <w:iCs w:val="0"/>
          <w:color w:val="auto"/>
        </w:rPr>
        <w:t>1</w:t>
      </w:r>
      <w:r w:rsidRPr="00C05886">
        <w:rPr>
          <w:i w:val="0"/>
          <w:iCs w:val="0"/>
          <w:color w:val="auto"/>
        </w:rPr>
        <w:t>. Photograph of the filming site taken under control conditions (left) and after adding 21 species of plants (right)</w:t>
      </w:r>
    </w:p>
    <w:p w14:paraId="550AFAC1" w14:textId="3B992962" w:rsidR="005B372A" w:rsidRPr="00C05886" w:rsidRDefault="00783734" w:rsidP="00E33FF2">
      <w:pPr>
        <w:keepNext/>
        <w:pBdr>
          <w:top w:val="nil"/>
          <w:left w:val="nil"/>
          <w:bottom w:val="nil"/>
          <w:right w:val="nil"/>
          <w:between w:val="nil"/>
        </w:pBdr>
        <w:spacing w:after="200" w:line="480" w:lineRule="auto"/>
        <w:rPr>
          <w:b/>
          <w:sz w:val="18"/>
          <w:szCs w:val="18"/>
        </w:rPr>
      </w:pPr>
      <w:r w:rsidRPr="00C05886">
        <w:rPr>
          <w:color w:val="000000"/>
        </w:rPr>
        <w:t xml:space="preserve">In conditions 1-3, the audio from the footage was replaced with the sound of a gentle breeze (Table 2). This provided a credible background sound for a woodland while controlling for the effects of </w:t>
      </w:r>
      <w:r w:rsidRPr="00C05886">
        <w:rPr>
          <w:color w:val="000000"/>
        </w:rPr>
        <w:lastRenderedPageBreak/>
        <w:t xml:space="preserve">plant (visual) and bird (auditory) diversity. Condition 4 was produced with the footage of condition 3 and audio recorded in the same location but on a different day. This featured birdsong from 6 species (S1 Appendix) and water sounds from a nearby stream (Table 2). The sound was recorded with a Zoom H1 (Zoom Corporation, Tokyo, Japan), set to record at a sampling frequency of 48kHz at 16 bits. All footage was captured with the camera Insta360 </w:t>
      </w:r>
      <w:proofErr w:type="spellStart"/>
      <w:r w:rsidRPr="00C05886">
        <w:rPr>
          <w:color w:val="000000"/>
        </w:rPr>
        <w:t>OneX</w:t>
      </w:r>
      <w:proofErr w:type="spellEnd"/>
      <w:r w:rsidRPr="00C05886">
        <w:rPr>
          <w:color w:val="000000"/>
        </w:rPr>
        <w:t xml:space="preserve"> (Arashi Vision Inc., Shenzhen, China), at 5.6k resolution and 30 frames per second and leaving the rest of the settings on auto. Adding sounds to all videos was a necessary step to simulate the woodland on screen. Participants can experience “restlessness” and feel “cut off” from the experience of nature when watching a slideshow of a woodland with no sounds [53]</w:t>
      </w:r>
      <w:r w:rsidR="005B372A" w:rsidRPr="00C05886">
        <w:t>.</w:t>
      </w:r>
      <w:r w:rsidR="005B372A" w:rsidRPr="00C05886">
        <w:rPr>
          <w:b/>
          <w:sz w:val="18"/>
          <w:szCs w:val="18"/>
        </w:rPr>
        <w:t xml:space="preserve"> </w:t>
      </w:r>
    </w:p>
    <w:p w14:paraId="21429F86" w14:textId="085FD8EA" w:rsidR="005B372A" w:rsidRPr="00C05886" w:rsidRDefault="005B372A" w:rsidP="00DB71EA">
      <w:pPr>
        <w:pStyle w:val="Caption"/>
        <w:keepNext/>
        <w:rPr>
          <w:i w:val="0"/>
          <w:iCs w:val="0"/>
          <w:color w:val="auto"/>
        </w:rPr>
      </w:pPr>
      <w:r w:rsidRPr="00C05886">
        <w:rPr>
          <w:b/>
          <w:bCs/>
          <w:i w:val="0"/>
          <w:iCs w:val="0"/>
          <w:color w:val="auto"/>
        </w:rPr>
        <w:t xml:space="preserve">Table </w:t>
      </w:r>
      <w:r w:rsidR="007C5BD5" w:rsidRPr="00C05886">
        <w:rPr>
          <w:b/>
          <w:bCs/>
          <w:i w:val="0"/>
          <w:iCs w:val="0"/>
          <w:color w:val="auto"/>
        </w:rPr>
        <w:t>2</w:t>
      </w:r>
      <w:r w:rsidRPr="00C05886">
        <w:rPr>
          <w:i w:val="0"/>
          <w:iCs w:val="0"/>
          <w:color w:val="auto"/>
        </w:rPr>
        <w:t>. Experimental conditions</w:t>
      </w:r>
    </w:p>
    <w:tbl>
      <w:tblPr>
        <w:tblStyle w:val="11"/>
        <w:tblW w:w="9066" w:type="dxa"/>
        <w:tblBorders>
          <w:top w:val="single" w:sz="4" w:space="0" w:color="000000"/>
          <w:bottom w:val="single" w:sz="4" w:space="0" w:color="000000"/>
          <w:insideH w:val="single" w:sz="4" w:space="0" w:color="000000"/>
          <w:insideV w:val="single" w:sz="4" w:space="0" w:color="000000"/>
        </w:tblBorders>
        <w:tblLayout w:type="fixed"/>
        <w:tblLook w:val="0400" w:firstRow="0" w:lastRow="0" w:firstColumn="0" w:lastColumn="0" w:noHBand="0" w:noVBand="1"/>
      </w:tblPr>
      <w:tblGrid>
        <w:gridCol w:w="2989"/>
        <w:gridCol w:w="1853"/>
        <w:gridCol w:w="1995"/>
        <w:gridCol w:w="2229"/>
      </w:tblGrid>
      <w:tr w:rsidR="005B372A" w:rsidRPr="00C05886" w14:paraId="5BCA3772" w14:textId="77777777" w:rsidTr="009A1B2F">
        <w:trPr>
          <w:trHeight w:val="620"/>
        </w:trPr>
        <w:tc>
          <w:tcPr>
            <w:tcW w:w="2972" w:type="dxa"/>
            <w:tcBorders>
              <w:left w:val="single" w:sz="4" w:space="0" w:color="auto"/>
              <w:bottom w:val="single" w:sz="4" w:space="0" w:color="000000"/>
              <w:right w:val="nil"/>
            </w:tcBorders>
          </w:tcPr>
          <w:p w14:paraId="13EE9041" w14:textId="77777777" w:rsidR="005B372A" w:rsidRPr="00C05886" w:rsidRDefault="005B372A" w:rsidP="00A01E2D">
            <w:pPr>
              <w:rPr>
                <w:b/>
                <w:color w:val="000000"/>
              </w:rPr>
            </w:pPr>
            <w:r w:rsidRPr="00C05886">
              <w:rPr>
                <w:b/>
                <w:color w:val="000000"/>
              </w:rPr>
              <w:t>Condition</w:t>
            </w:r>
          </w:p>
        </w:tc>
        <w:tc>
          <w:tcPr>
            <w:tcW w:w="1843" w:type="dxa"/>
            <w:tcBorders>
              <w:left w:val="nil"/>
              <w:bottom w:val="single" w:sz="4" w:space="0" w:color="000000"/>
              <w:right w:val="nil"/>
            </w:tcBorders>
          </w:tcPr>
          <w:p w14:paraId="4220C669" w14:textId="77777777" w:rsidR="005B372A" w:rsidRPr="00C05886" w:rsidRDefault="005B372A" w:rsidP="00C665B5">
            <w:pPr>
              <w:jc w:val="center"/>
              <w:rPr>
                <w:b/>
                <w:color w:val="000000"/>
              </w:rPr>
            </w:pPr>
            <w:r w:rsidRPr="00C05886">
              <w:rPr>
                <w:b/>
                <w:color w:val="000000"/>
              </w:rPr>
              <w:t>No. of species added</w:t>
            </w:r>
          </w:p>
        </w:tc>
        <w:tc>
          <w:tcPr>
            <w:tcW w:w="1984" w:type="dxa"/>
            <w:tcBorders>
              <w:left w:val="nil"/>
              <w:bottom w:val="single" w:sz="4" w:space="0" w:color="000000"/>
              <w:right w:val="nil"/>
            </w:tcBorders>
          </w:tcPr>
          <w:p w14:paraId="7E6877D7" w14:textId="77777777" w:rsidR="005B372A" w:rsidRPr="00C05886" w:rsidRDefault="005B372A" w:rsidP="00C665B5">
            <w:pPr>
              <w:jc w:val="center"/>
              <w:rPr>
                <w:b/>
                <w:color w:val="000000"/>
              </w:rPr>
            </w:pPr>
            <w:r w:rsidRPr="00C05886">
              <w:rPr>
                <w:b/>
                <w:color w:val="000000"/>
              </w:rPr>
              <w:t>No. of individual plants added</w:t>
            </w:r>
          </w:p>
        </w:tc>
        <w:tc>
          <w:tcPr>
            <w:tcW w:w="2217" w:type="dxa"/>
            <w:tcBorders>
              <w:left w:val="nil"/>
              <w:bottom w:val="single" w:sz="4" w:space="0" w:color="000000"/>
              <w:right w:val="single" w:sz="4" w:space="0" w:color="auto"/>
            </w:tcBorders>
          </w:tcPr>
          <w:p w14:paraId="08CA812C" w14:textId="77777777" w:rsidR="005B372A" w:rsidRPr="00C05886" w:rsidRDefault="005B372A" w:rsidP="00C665B5">
            <w:pPr>
              <w:jc w:val="center"/>
              <w:rPr>
                <w:b/>
                <w:color w:val="000000"/>
              </w:rPr>
            </w:pPr>
            <w:r w:rsidRPr="00C05886">
              <w:rPr>
                <w:b/>
                <w:color w:val="000000"/>
              </w:rPr>
              <w:t>Sounds</w:t>
            </w:r>
          </w:p>
        </w:tc>
      </w:tr>
      <w:tr w:rsidR="005B372A" w:rsidRPr="00C05886" w14:paraId="4198C16D" w14:textId="77777777" w:rsidTr="009A1B2F">
        <w:tc>
          <w:tcPr>
            <w:tcW w:w="2972" w:type="dxa"/>
            <w:tcBorders>
              <w:top w:val="nil"/>
              <w:left w:val="single" w:sz="4" w:space="0" w:color="auto"/>
              <w:bottom w:val="nil"/>
              <w:right w:val="nil"/>
            </w:tcBorders>
          </w:tcPr>
          <w:p w14:paraId="77BDEEAC" w14:textId="77777777" w:rsidR="005B372A" w:rsidRPr="00C05886" w:rsidRDefault="005B372A" w:rsidP="00A01E2D">
            <w:pPr>
              <w:rPr>
                <w:color w:val="000000"/>
              </w:rPr>
            </w:pPr>
            <w:r w:rsidRPr="00C05886">
              <w:rPr>
                <w:color w:val="000000"/>
              </w:rPr>
              <w:t>1 - Control</w:t>
            </w:r>
          </w:p>
        </w:tc>
        <w:tc>
          <w:tcPr>
            <w:tcW w:w="1843" w:type="dxa"/>
            <w:tcBorders>
              <w:top w:val="nil"/>
              <w:left w:val="nil"/>
              <w:bottom w:val="nil"/>
              <w:right w:val="nil"/>
            </w:tcBorders>
          </w:tcPr>
          <w:p w14:paraId="4C7A29A8" w14:textId="77777777" w:rsidR="005B372A" w:rsidRPr="00C05886" w:rsidRDefault="005B372A" w:rsidP="009A1B2F">
            <w:pPr>
              <w:jc w:val="center"/>
              <w:rPr>
                <w:color w:val="000000"/>
              </w:rPr>
            </w:pPr>
            <w:r w:rsidRPr="00C05886">
              <w:rPr>
                <w:color w:val="000000"/>
              </w:rPr>
              <w:t>0</w:t>
            </w:r>
          </w:p>
        </w:tc>
        <w:tc>
          <w:tcPr>
            <w:tcW w:w="1984" w:type="dxa"/>
            <w:tcBorders>
              <w:top w:val="nil"/>
              <w:left w:val="nil"/>
              <w:bottom w:val="nil"/>
              <w:right w:val="nil"/>
            </w:tcBorders>
          </w:tcPr>
          <w:p w14:paraId="059CDE89" w14:textId="77777777" w:rsidR="005B372A" w:rsidRPr="00C05886" w:rsidRDefault="005B372A" w:rsidP="009A1B2F">
            <w:pPr>
              <w:jc w:val="center"/>
              <w:rPr>
                <w:color w:val="000000"/>
              </w:rPr>
            </w:pPr>
            <w:r w:rsidRPr="00C05886">
              <w:rPr>
                <w:color w:val="000000"/>
              </w:rPr>
              <w:t>0</w:t>
            </w:r>
          </w:p>
        </w:tc>
        <w:tc>
          <w:tcPr>
            <w:tcW w:w="2217" w:type="dxa"/>
            <w:tcBorders>
              <w:top w:val="nil"/>
              <w:left w:val="nil"/>
              <w:bottom w:val="nil"/>
              <w:right w:val="single" w:sz="4" w:space="0" w:color="auto"/>
            </w:tcBorders>
          </w:tcPr>
          <w:p w14:paraId="6E11F2B3" w14:textId="77777777" w:rsidR="005B372A" w:rsidRPr="00C05886" w:rsidRDefault="005B372A" w:rsidP="009A1B2F">
            <w:pPr>
              <w:jc w:val="center"/>
              <w:rPr>
                <w:color w:val="000000"/>
              </w:rPr>
            </w:pPr>
            <w:r w:rsidRPr="00C05886">
              <w:rPr>
                <w:color w:val="000000"/>
              </w:rPr>
              <w:t>Gentle breeze</w:t>
            </w:r>
          </w:p>
        </w:tc>
      </w:tr>
      <w:tr w:rsidR="005B372A" w:rsidRPr="00C05886" w14:paraId="38D3F2C2" w14:textId="77777777" w:rsidTr="009A1B2F">
        <w:tc>
          <w:tcPr>
            <w:tcW w:w="2972" w:type="dxa"/>
            <w:tcBorders>
              <w:top w:val="nil"/>
              <w:left w:val="single" w:sz="4" w:space="0" w:color="auto"/>
              <w:bottom w:val="nil"/>
              <w:right w:val="nil"/>
            </w:tcBorders>
          </w:tcPr>
          <w:p w14:paraId="1C414AF1" w14:textId="77777777" w:rsidR="005B372A" w:rsidRPr="00C05886" w:rsidRDefault="00000000" w:rsidP="00A01E2D">
            <w:pPr>
              <w:rPr>
                <w:color w:val="000000"/>
              </w:rPr>
            </w:pPr>
            <w:sdt>
              <w:sdtPr>
                <w:tag w:val="goog_rdk_56"/>
                <w:id w:val="-605961707"/>
              </w:sdtPr>
              <w:sdtContent/>
            </w:sdt>
            <w:r w:rsidR="005B372A" w:rsidRPr="00C05886">
              <w:rPr>
                <w:color w:val="000000"/>
              </w:rPr>
              <w:t>2 - Low plant diversity</w:t>
            </w:r>
          </w:p>
        </w:tc>
        <w:tc>
          <w:tcPr>
            <w:tcW w:w="1843" w:type="dxa"/>
            <w:tcBorders>
              <w:top w:val="nil"/>
              <w:left w:val="nil"/>
              <w:bottom w:val="nil"/>
              <w:right w:val="nil"/>
            </w:tcBorders>
          </w:tcPr>
          <w:p w14:paraId="0FE4B8F3" w14:textId="77777777" w:rsidR="005B372A" w:rsidRPr="00C05886" w:rsidRDefault="005B372A" w:rsidP="009A1B2F">
            <w:pPr>
              <w:jc w:val="center"/>
              <w:rPr>
                <w:color w:val="000000"/>
              </w:rPr>
            </w:pPr>
            <w:r w:rsidRPr="00C05886">
              <w:rPr>
                <w:color w:val="000000"/>
              </w:rPr>
              <w:t>4 plants</w:t>
            </w:r>
          </w:p>
        </w:tc>
        <w:tc>
          <w:tcPr>
            <w:tcW w:w="1984" w:type="dxa"/>
            <w:tcBorders>
              <w:top w:val="nil"/>
              <w:left w:val="nil"/>
              <w:bottom w:val="nil"/>
              <w:right w:val="nil"/>
            </w:tcBorders>
          </w:tcPr>
          <w:p w14:paraId="5497FAFF" w14:textId="77777777" w:rsidR="005B372A" w:rsidRPr="00C05886" w:rsidRDefault="005B372A" w:rsidP="009A1B2F">
            <w:pPr>
              <w:jc w:val="center"/>
              <w:rPr>
                <w:color w:val="000000"/>
              </w:rPr>
            </w:pPr>
            <w:r w:rsidRPr="00C05886">
              <w:rPr>
                <w:color w:val="000000"/>
              </w:rPr>
              <w:t>60</w:t>
            </w:r>
          </w:p>
        </w:tc>
        <w:tc>
          <w:tcPr>
            <w:tcW w:w="2217" w:type="dxa"/>
            <w:tcBorders>
              <w:top w:val="nil"/>
              <w:left w:val="nil"/>
              <w:bottom w:val="nil"/>
              <w:right w:val="single" w:sz="4" w:space="0" w:color="auto"/>
            </w:tcBorders>
          </w:tcPr>
          <w:p w14:paraId="6584F5BB" w14:textId="77777777" w:rsidR="005B372A" w:rsidRPr="00C05886" w:rsidRDefault="005B372A" w:rsidP="009A1B2F">
            <w:pPr>
              <w:jc w:val="center"/>
              <w:rPr>
                <w:color w:val="000000"/>
              </w:rPr>
            </w:pPr>
            <w:r w:rsidRPr="00C05886">
              <w:rPr>
                <w:color w:val="000000"/>
              </w:rPr>
              <w:t>Gentle breeze</w:t>
            </w:r>
          </w:p>
        </w:tc>
      </w:tr>
      <w:tr w:rsidR="005B372A" w:rsidRPr="00C05886" w14:paraId="7F072DDA" w14:textId="77777777" w:rsidTr="009A1B2F">
        <w:tc>
          <w:tcPr>
            <w:tcW w:w="2972" w:type="dxa"/>
            <w:tcBorders>
              <w:top w:val="nil"/>
              <w:left w:val="single" w:sz="4" w:space="0" w:color="auto"/>
              <w:bottom w:val="nil"/>
              <w:right w:val="nil"/>
            </w:tcBorders>
          </w:tcPr>
          <w:p w14:paraId="3614BE90" w14:textId="77777777" w:rsidR="005B372A" w:rsidRPr="00C05886" w:rsidRDefault="00000000" w:rsidP="00A01E2D">
            <w:pPr>
              <w:rPr>
                <w:color w:val="000000"/>
              </w:rPr>
            </w:pPr>
            <w:sdt>
              <w:sdtPr>
                <w:tag w:val="goog_rdk_57"/>
                <w:id w:val="-452787145"/>
              </w:sdtPr>
              <w:sdtContent/>
            </w:sdt>
            <w:r w:rsidR="005B372A" w:rsidRPr="00C05886">
              <w:rPr>
                <w:color w:val="000000"/>
              </w:rPr>
              <w:t>3 - High plant diversity</w:t>
            </w:r>
          </w:p>
        </w:tc>
        <w:tc>
          <w:tcPr>
            <w:tcW w:w="1843" w:type="dxa"/>
            <w:tcBorders>
              <w:top w:val="nil"/>
              <w:left w:val="nil"/>
              <w:bottom w:val="nil"/>
              <w:right w:val="nil"/>
            </w:tcBorders>
          </w:tcPr>
          <w:p w14:paraId="54DF7C18" w14:textId="77777777" w:rsidR="005B372A" w:rsidRPr="00C05886" w:rsidRDefault="005B372A" w:rsidP="009A1B2F">
            <w:pPr>
              <w:jc w:val="center"/>
              <w:rPr>
                <w:color w:val="000000"/>
              </w:rPr>
            </w:pPr>
            <w:r w:rsidRPr="00C05886">
              <w:rPr>
                <w:color w:val="000000"/>
              </w:rPr>
              <w:t>21 plants</w:t>
            </w:r>
          </w:p>
        </w:tc>
        <w:tc>
          <w:tcPr>
            <w:tcW w:w="1984" w:type="dxa"/>
            <w:tcBorders>
              <w:top w:val="nil"/>
              <w:left w:val="nil"/>
              <w:bottom w:val="nil"/>
              <w:right w:val="nil"/>
            </w:tcBorders>
          </w:tcPr>
          <w:p w14:paraId="1CA88022" w14:textId="77777777" w:rsidR="005B372A" w:rsidRPr="00C05886" w:rsidRDefault="005B372A" w:rsidP="009A1B2F">
            <w:pPr>
              <w:jc w:val="center"/>
              <w:rPr>
                <w:color w:val="000000"/>
              </w:rPr>
            </w:pPr>
            <w:r w:rsidRPr="00C05886">
              <w:rPr>
                <w:color w:val="000000"/>
              </w:rPr>
              <w:t>60</w:t>
            </w:r>
          </w:p>
        </w:tc>
        <w:tc>
          <w:tcPr>
            <w:tcW w:w="2217" w:type="dxa"/>
            <w:tcBorders>
              <w:top w:val="nil"/>
              <w:left w:val="nil"/>
              <w:bottom w:val="nil"/>
              <w:right w:val="single" w:sz="4" w:space="0" w:color="auto"/>
            </w:tcBorders>
          </w:tcPr>
          <w:p w14:paraId="074862E9" w14:textId="77777777" w:rsidR="005B372A" w:rsidRPr="00C05886" w:rsidRDefault="005B372A" w:rsidP="009A1B2F">
            <w:pPr>
              <w:jc w:val="center"/>
              <w:rPr>
                <w:color w:val="000000"/>
              </w:rPr>
            </w:pPr>
            <w:r w:rsidRPr="00C05886">
              <w:rPr>
                <w:color w:val="000000"/>
              </w:rPr>
              <w:t>Gentle breeze</w:t>
            </w:r>
          </w:p>
        </w:tc>
      </w:tr>
      <w:tr w:rsidR="005B372A" w:rsidRPr="00C05886" w14:paraId="0CE62FBA" w14:textId="77777777" w:rsidTr="009A1B2F">
        <w:tc>
          <w:tcPr>
            <w:tcW w:w="2972" w:type="dxa"/>
            <w:tcBorders>
              <w:top w:val="nil"/>
              <w:left w:val="single" w:sz="4" w:space="0" w:color="auto"/>
              <w:bottom w:val="single" w:sz="4" w:space="0" w:color="auto"/>
              <w:right w:val="nil"/>
            </w:tcBorders>
          </w:tcPr>
          <w:p w14:paraId="517700A7" w14:textId="77777777" w:rsidR="005B372A" w:rsidRPr="00C05886" w:rsidRDefault="005B372A" w:rsidP="00A01E2D">
            <w:pPr>
              <w:rPr>
                <w:color w:val="000000"/>
              </w:rPr>
            </w:pPr>
            <w:r w:rsidRPr="00C05886">
              <w:rPr>
                <w:color w:val="000000"/>
              </w:rPr>
              <w:t xml:space="preserve">4 - High plant diversity and a diverse natural soundtrack </w:t>
            </w:r>
          </w:p>
        </w:tc>
        <w:tc>
          <w:tcPr>
            <w:tcW w:w="1843" w:type="dxa"/>
            <w:tcBorders>
              <w:top w:val="nil"/>
              <w:left w:val="nil"/>
              <w:bottom w:val="single" w:sz="4" w:space="0" w:color="auto"/>
              <w:right w:val="nil"/>
            </w:tcBorders>
          </w:tcPr>
          <w:p w14:paraId="5D60D544" w14:textId="77777777" w:rsidR="005B372A" w:rsidRPr="00C05886" w:rsidRDefault="005B372A" w:rsidP="009A1B2F">
            <w:pPr>
              <w:jc w:val="center"/>
              <w:rPr>
                <w:color w:val="000000"/>
              </w:rPr>
            </w:pPr>
            <w:r w:rsidRPr="00C05886">
              <w:rPr>
                <w:color w:val="000000"/>
              </w:rPr>
              <w:t>21 plants, 8 Bird songs</w:t>
            </w:r>
          </w:p>
        </w:tc>
        <w:tc>
          <w:tcPr>
            <w:tcW w:w="1984" w:type="dxa"/>
            <w:tcBorders>
              <w:top w:val="nil"/>
              <w:left w:val="nil"/>
              <w:bottom w:val="single" w:sz="4" w:space="0" w:color="auto"/>
              <w:right w:val="nil"/>
            </w:tcBorders>
          </w:tcPr>
          <w:p w14:paraId="66E2804C" w14:textId="77777777" w:rsidR="005B372A" w:rsidRPr="00C05886" w:rsidRDefault="005B372A" w:rsidP="009A1B2F">
            <w:pPr>
              <w:jc w:val="center"/>
              <w:rPr>
                <w:color w:val="000000"/>
              </w:rPr>
            </w:pPr>
            <w:r w:rsidRPr="00C05886">
              <w:rPr>
                <w:color w:val="000000"/>
              </w:rPr>
              <w:t>60</w:t>
            </w:r>
          </w:p>
        </w:tc>
        <w:tc>
          <w:tcPr>
            <w:tcW w:w="2217" w:type="dxa"/>
            <w:tcBorders>
              <w:top w:val="nil"/>
              <w:left w:val="nil"/>
              <w:bottom w:val="single" w:sz="4" w:space="0" w:color="auto"/>
              <w:right w:val="single" w:sz="4" w:space="0" w:color="auto"/>
            </w:tcBorders>
          </w:tcPr>
          <w:p w14:paraId="1A60C159" w14:textId="77777777" w:rsidR="005B372A" w:rsidRPr="00C05886" w:rsidRDefault="005B372A" w:rsidP="009A1B2F">
            <w:pPr>
              <w:jc w:val="center"/>
              <w:rPr>
                <w:color w:val="000000"/>
              </w:rPr>
            </w:pPr>
            <w:r w:rsidRPr="00C05886">
              <w:rPr>
                <w:color w:val="000000"/>
              </w:rPr>
              <w:t>Birdsong and water</w:t>
            </w:r>
          </w:p>
        </w:tc>
      </w:tr>
    </w:tbl>
    <w:p w14:paraId="75C1B57A" w14:textId="77777777" w:rsidR="005B372A" w:rsidRPr="00C05886" w:rsidRDefault="005B372A" w:rsidP="004C4137">
      <w:pPr>
        <w:spacing w:line="480" w:lineRule="auto"/>
        <w:rPr>
          <w:color w:val="FF0000"/>
        </w:rPr>
      </w:pPr>
    </w:p>
    <w:p w14:paraId="235C1164" w14:textId="77777777" w:rsidR="005B372A" w:rsidRPr="00C05886" w:rsidRDefault="005B372A" w:rsidP="005B372A">
      <w:pPr>
        <w:pStyle w:val="Heading3"/>
      </w:pPr>
      <w:bookmarkStart w:id="90" w:name="_Toc179962340"/>
      <w:r w:rsidRPr="00C05886">
        <w:t>Participants' recruitment and ethics statement</w:t>
      </w:r>
      <w:bookmarkEnd w:id="90"/>
    </w:p>
    <w:p w14:paraId="1E13FDC6" w14:textId="77777777" w:rsidR="005B372A" w:rsidRPr="00C05886" w:rsidRDefault="005B372A" w:rsidP="00E527B8">
      <w:pPr>
        <w:spacing w:line="480" w:lineRule="auto"/>
      </w:pPr>
      <w:r w:rsidRPr="00C05886">
        <w:t xml:space="preserve">Participants were recruited through social networks (Facebook and Twitter), via a University of Sheffield Volunteer </w:t>
      </w:r>
      <w:sdt>
        <w:sdtPr>
          <w:tag w:val="goog_rdk_77"/>
          <w:id w:val="1730811966"/>
        </w:sdtPr>
        <w:sdtContent/>
      </w:sdt>
      <w:r w:rsidRPr="00C05886">
        <w:t>mailing list (including staff and students), and on two survey exchange platforms (Surveyswap.com and Survecircle.com). Data collection took place from July 2021 to December 2021. No incentives or rewards were offered for participating. After being informed about the study procedure, all participants provided anonymous written consent</w:t>
      </w:r>
      <w:bookmarkStart w:id="91" w:name="_heading=h.gjdgxs" w:colFirst="0" w:colLast="0"/>
      <w:bookmarkEnd w:id="91"/>
      <w:r w:rsidRPr="00C05886">
        <w:t xml:space="preserve"> by completing the consent form. None of the authors had access to information that could identify individual participants during or </w:t>
      </w:r>
      <w:r w:rsidRPr="00C05886">
        <w:lastRenderedPageBreak/>
        <w:t>after data collection. The study and the procedure were reviewed and approved by the Department of Landscape Architecture Ethics Committee (Approval Ref. 039698).</w:t>
      </w:r>
    </w:p>
    <w:p w14:paraId="7FFB639A" w14:textId="77777777" w:rsidR="005B372A" w:rsidRPr="00C05886" w:rsidRDefault="005B372A" w:rsidP="005B372A">
      <w:pPr>
        <w:pStyle w:val="Heading3"/>
        <w:rPr>
          <w:rFonts w:ascii="Calibri" w:eastAsia="Calibri" w:hAnsi="Calibri" w:cs="Calibri"/>
        </w:rPr>
      </w:pPr>
      <w:bookmarkStart w:id="92" w:name="_Toc179962341"/>
      <w:r w:rsidRPr="00C05886">
        <w:t>Experimental procedure</w:t>
      </w:r>
      <w:bookmarkEnd w:id="92"/>
      <w:r w:rsidRPr="00C05886">
        <w:rPr>
          <w:rFonts w:ascii="Calibri" w:eastAsia="Calibri" w:hAnsi="Calibri" w:cs="Calibri"/>
        </w:rPr>
        <w:t xml:space="preserve"> </w:t>
      </w:r>
    </w:p>
    <w:p w14:paraId="6A290081" w14:textId="2FC90FAE" w:rsidR="005B372A" w:rsidRPr="00C05886" w:rsidRDefault="005B372A" w:rsidP="00702D02">
      <w:pPr>
        <w:spacing w:line="480" w:lineRule="auto"/>
      </w:pPr>
      <w:r w:rsidRPr="00C05886">
        <w:t>Online participants were asked for demographic</w:t>
      </w:r>
      <w:r w:rsidR="000F3FCC">
        <w:t xml:space="preserve"> </w:t>
      </w:r>
      <w:r w:rsidRPr="00C05886">
        <w:t xml:space="preserve">information </w:t>
      </w:r>
      <w:r w:rsidR="000F3FCC">
        <w:t>at the start</w:t>
      </w:r>
      <w:r w:rsidR="000F3FCC" w:rsidRPr="00C05886">
        <w:t xml:space="preserve"> </w:t>
      </w:r>
      <w:r w:rsidRPr="00C05886">
        <w:t>and</w:t>
      </w:r>
      <w:r w:rsidR="000F3FCC">
        <w:t xml:space="preserve"> for</w:t>
      </w:r>
      <w:r w:rsidRPr="00C05886">
        <w:t xml:space="preserve"> their affective states (emotions) before and after 2 interventions – the first being a stress induction (a loud noise) and the second a video designed to provide a degree of relaxation and calm (Fig 2). Participants were randomly assigned to one of the 4 videos representing the 4 different conditions outlined above.</w:t>
      </w:r>
    </w:p>
    <w:p w14:paraId="420554EA" w14:textId="50D784C6" w:rsidR="005B372A" w:rsidRPr="00C05886" w:rsidRDefault="007E760B" w:rsidP="00E527B8">
      <w:pPr>
        <w:keepNext/>
        <w:spacing w:line="480" w:lineRule="auto"/>
      </w:pPr>
      <w:r w:rsidRPr="00134B49">
        <w:rPr>
          <w:noProof/>
        </w:rPr>
        <w:drawing>
          <wp:inline distT="0" distB="0" distL="0" distR="0" wp14:anchorId="770D6D8D" wp14:editId="5930C151">
            <wp:extent cx="5731510" cy="766503"/>
            <wp:effectExtent l="0" t="0" r="2540" b="0"/>
            <wp:docPr id="1" name="image1.png"/>
            <wp:cNvGraphicFramePr/>
            <a:graphic xmlns:a="http://schemas.openxmlformats.org/drawingml/2006/main">
              <a:graphicData uri="http://schemas.openxmlformats.org/drawingml/2006/picture">
                <pic:pic xmlns:pic="http://schemas.openxmlformats.org/drawingml/2006/picture">
                  <pic:nvPicPr>
                    <pic:cNvPr id="1" name="image1.png"/>
                    <pic:cNvPicPr preferRelativeResize="0"/>
                  </pic:nvPicPr>
                  <pic:blipFill>
                    <a:blip r:embed="rId27" cstate="print">
                      <a:extLst>
                        <a:ext uri="{28A0092B-C50C-407E-A947-70E740481C1C}">
                          <a14:useLocalDpi xmlns:a14="http://schemas.microsoft.com/office/drawing/2010/main" val="0"/>
                        </a:ext>
                      </a:extLst>
                    </a:blip>
                    <a:stretch>
                      <a:fillRect/>
                    </a:stretch>
                  </pic:blipFill>
                  <pic:spPr>
                    <a:xfrm>
                      <a:off x="0" y="0"/>
                      <a:ext cx="5731510" cy="766503"/>
                    </a:xfrm>
                    <a:prstGeom prst="rect">
                      <a:avLst/>
                    </a:prstGeom>
                    <a:ln/>
                  </pic:spPr>
                </pic:pic>
              </a:graphicData>
            </a:graphic>
          </wp:inline>
        </w:drawing>
      </w:r>
    </w:p>
    <w:p w14:paraId="61977F1B" w14:textId="12A5D790" w:rsidR="005B372A" w:rsidRPr="00C05886" w:rsidRDefault="005B372A" w:rsidP="00E527B8">
      <w:pPr>
        <w:pStyle w:val="Caption"/>
        <w:rPr>
          <w:i w:val="0"/>
          <w:iCs w:val="0"/>
          <w:color w:val="auto"/>
        </w:rPr>
      </w:pPr>
      <w:r w:rsidRPr="00C05886">
        <w:rPr>
          <w:b/>
          <w:bCs/>
          <w:i w:val="0"/>
          <w:iCs w:val="0"/>
          <w:color w:val="auto"/>
        </w:rPr>
        <w:t xml:space="preserve">Fig </w:t>
      </w:r>
      <w:r w:rsidR="007C5BD5" w:rsidRPr="00C05886">
        <w:rPr>
          <w:b/>
          <w:bCs/>
          <w:i w:val="0"/>
          <w:iCs w:val="0"/>
          <w:color w:val="auto"/>
        </w:rPr>
        <w:t>2</w:t>
      </w:r>
      <w:r w:rsidRPr="00C05886">
        <w:rPr>
          <w:i w:val="0"/>
          <w:iCs w:val="0"/>
          <w:color w:val="auto"/>
        </w:rPr>
        <w:t>. Experimental procedure with affective states being measured at three discrete points, i.e. before a stressor, after a stressor and after a video of green space.</w:t>
      </w:r>
    </w:p>
    <w:p w14:paraId="0BF41072" w14:textId="77777777" w:rsidR="005B372A" w:rsidRPr="00C05886" w:rsidRDefault="005B372A">
      <w:pPr>
        <w:spacing w:line="480" w:lineRule="auto"/>
      </w:pPr>
    </w:p>
    <w:p w14:paraId="2D278C87" w14:textId="77777777" w:rsidR="005B372A" w:rsidRPr="00C05886" w:rsidRDefault="005B372A" w:rsidP="000D0FD6">
      <w:pPr>
        <w:keepNext/>
        <w:pBdr>
          <w:top w:val="nil"/>
          <w:left w:val="nil"/>
          <w:bottom w:val="nil"/>
          <w:right w:val="nil"/>
          <w:between w:val="nil"/>
        </w:pBdr>
        <w:spacing w:after="200" w:line="480" w:lineRule="auto"/>
      </w:pPr>
      <w:r w:rsidRPr="00C05886">
        <w:t xml:space="preserve">In stage 1, the participants provided their demographics and their baseline affective states; the affective questionnaire’s items (see Measures, below) were always presented in random order.  Stage 2 began immediately after completing the affective questionnaire. Upon loading the next survey section, the sound of a fire alarm (a stressor) was played for 15 seconds. As required by the ethics review, participants were pre-warned that they would be listening to an intrusive, annoying noise. Participants were then asked again to rate their affective states after experiencing the stressor. In Stage 3, participants were randomly assigned one of the four videos to watch. In-video instructions reminded them to activate the full-screen and how to move the camera around. A timer-controlled button prevented the participants from skipping ahead, allowing them to proceed </w:t>
      </w:r>
      <w:r w:rsidRPr="00C05886">
        <w:lastRenderedPageBreak/>
        <w:t xml:space="preserve">only after 330 seconds had passed. After the video, the participants rated their affective states one last time and were asked for their perceptions and comments. </w:t>
      </w:r>
    </w:p>
    <w:p w14:paraId="6146E9D6" w14:textId="77777777" w:rsidR="005B372A" w:rsidRPr="00C05886" w:rsidRDefault="005B372A" w:rsidP="005B372A">
      <w:pPr>
        <w:pStyle w:val="Heading3"/>
      </w:pPr>
      <w:bookmarkStart w:id="93" w:name="_Toc179962342"/>
      <w:r w:rsidRPr="00C05886">
        <w:t>Measures</w:t>
      </w:r>
      <w:bookmarkEnd w:id="93"/>
    </w:p>
    <w:p w14:paraId="7A1C11CF" w14:textId="7F4B7345" w:rsidR="00783734" w:rsidRPr="00C05886" w:rsidRDefault="00783734" w:rsidP="00783734">
      <w:pPr>
        <w:spacing w:line="480" w:lineRule="auto"/>
      </w:pPr>
      <w:r w:rsidRPr="00C05886">
        <w:t>The affective states were measured via the International Short Form of the Positive and Negative Affect Schedule (I-PANAS-SF, Thompson, 2007). This questionnaire has ten items, five measuring Positive Affect states and five Negative Affect states; the items are rated on a 5-point Likert scale, indicating how much the participant is feeling an emotion from “not at all” to “extremely”. The two main dependent variables, the Negative Affect (NA) and the Positive Affect (PA), were computed by summing the scores from the I-PANAS-SF scales, producing two semi-continuous variables ranging from 5 to 25. The internal reliability, measured as Cronbach alpha, was good for both scales (Cronbach α &gt; 0.8). The I-PANAS-SF was chosen as it has a short completion time, is validated for non-native English speakers and has good reliability for representing genuine emotions [54]. Affective states, which include emotions, stress responses and mood, are important indicators of mental health [55]. Short-term affective responses have been linked to longer-term mental health indicators, such as life satisfaction and depression [56,57], thus making the I-PANAS-SF a useful proxy for determining potential health outcomes related to nature-based interactions.</w:t>
      </w:r>
    </w:p>
    <w:p w14:paraId="21E41DB9" w14:textId="77777777" w:rsidR="00783734" w:rsidRPr="00C05886" w:rsidRDefault="00783734" w:rsidP="00783734">
      <w:pPr>
        <w:spacing w:line="480" w:lineRule="auto"/>
      </w:pPr>
      <w:r w:rsidRPr="00C05886">
        <w:t>Perceptions of biodiversity were measured at the end of stage 3 (i.e. after watching the video). The participants were asked to rate the location shown in the video in terms of “value for plants and wildlife” [58,59]. The rating ranged from “very bad” (1) to “very good” (5). Those who rated the environment as “good” or “very good” were also asked to share what they noticed in the video that corresponded to this response (open question). This provided a proxy of their perceptions of biodiversity without mentioning the word directly, reducing the risk of biased responses.</w:t>
      </w:r>
    </w:p>
    <w:p w14:paraId="47550EDC" w14:textId="77777777" w:rsidR="00783734" w:rsidRPr="00C05886" w:rsidRDefault="00783734" w:rsidP="00783734">
      <w:pPr>
        <w:spacing w:line="480" w:lineRule="auto"/>
      </w:pPr>
      <w:r w:rsidRPr="00C05886">
        <w:t xml:space="preserve">Participants were asked to provide their demographic characteristics (Gender, Age, Ethnicity), to verify the balance of the randomisation (i.e. all condition groups should have similar demographics). </w:t>
      </w:r>
      <w:r w:rsidRPr="00C05886">
        <w:lastRenderedPageBreak/>
        <w:t>To check for the novelty effect participants were also asked if they had ever watched a 360-degree video before.</w:t>
      </w:r>
    </w:p>
    <w:p w14:paraId="645DB064" w14:textId="2527E0CB" w:rsidR="005B372A" w:rsidRPr="00C05886" w:rsidRDefault="00783734" w:rsidP="00783734">
      <w:pPr>
        <w:spacing w:line="480" w:lineRule="auto"/>
      </w:pPr>
      <w:r w:rsidRPr="00C05886">
        <w:t>Along with their demographics, participants were asked to rate their Nature Connectedness via the Inclusion of Nature in Self scale (1-7 scale) [60] and to recall the amount of time they spent outdoors during their childhood, ranging from “none” (1) to “a lot” (4). Nature Connectedness, one’s extent of affective affiliation with nature [61], has been shown to act as a moderator of the well-being benefits derived from being in nature [62].</w:t>
      </w:r>
      <w:r w:rsidR="005B372A" w:rsidRPr="00C05886">
        <w:t xml:space="preserve">  </w:t>
      </w:r>
    </w:p>
    <w:p w14:paraId="7944C6EA" w14:textId="77777777" w:rsidR="005B372A" w:rsidRPr="00C05886" w:rsidRDefault="005B372A" w:rsidP="005B372A">
      <w:pPr>
        <w:pStyle w:val="Heading3"/>
      </w:pPr>
      <w:bookmarkStart w:id="94" w:name="_Toc179962343"/>
      <w:r w:rsidRPr="00C05886">
        <w:t>Statistical Analysis</w:t>
      </w:r>
      <w:bookmarkEnd w:id="94"/>
    </w:p>
    <w:p w14:paraId="2EE7DBF1" w14:textId="77777777" w:rsidR="00783734" w:rsidRPr="00C05886" w:rsidRDefault="00783734" w:rsidP="00783734">
      <w:pPr>
        <w:spacing w:line="480" w:lineRule="auto"/>
      </w:pPr>
      <w:bookmarkStart w:id="95" w:name="_heading=h.30j0zll" w:colFirst="0" w:colLast="0"/>
      <w:bookmarkEnd w:id="95"/>
      <w:r w:rsidRPr="00C05886">
        <w:t>All analyses were carried out on SPSS (version 26) for Windows. Metadata (completion time, IP location) were used to check the quality of the data. Responses meeting one or more of the following criteria were excluded: 1) Incomplete response; 2) Overtime completion (over 30 minutes); 3) Invalidating comments (e.g. the participant admitted clicking through the procedure); 4) Multiple submissions (same IP and demographics). Only the first valid observation was kept; 5) All I-PANAS-SF ratings, at all stages, were the same number (e.g. all 1)</w:t>
      </w:r>
    </w:p>
    <w:p w14:paraId="6CE19407" w14:textId="77777777" w:rsidR="00783734" w:rsidRPr="00C05886" w:rsidRDefault="00783734" w:rsidP="00783734">
      <w:pPr>
        <w:spacing w:line="480" w:lineRule="auto"/>
      </w:pPr>
      <w:r w:rsidRPr="00C05886">
        <w:t>One-way analysis of variance (ANOVA) was used to compare the condition groups in terms of the demographics, at baseline. Changes in Negative Affect (NA) and Positive Affect (PA) over the three stages of the experiment and between the condition groups were examined via repeated measure analysis of variance (RM-ANOVA). Since the procedure was identical for all participants except for the video, the RM-ANOVA model included an interaction term between the stage of the procedure and the between-subjects variable. Where the RM-ANOVA assumption of sphericity was violated, probability (P) values were calculated with the Huynh-Feldt correction [63]. Where post-hoc comparisons were performed, the Bonferroni correction for multiple comparisons was applied.</w:t>
      </w:r>
    </w:p>
    <w:p w14:paraId="3E7D44F7" w14:textId="77777777" w:rsidR="00783734" w:rsidRPr="00C05886" w:rsidRDefault="00783734" w:rsidP="00783734">
      <w:pPr>
        <w:spacing w:line="480" w:lineRule="auto"/>
      </w:pPr>
      <w:r w:rsidRPr="00C05886">
        <w:lastRenderedPageBreak/>
        <w:t xml:space="preserve">Video condition was selected as the main independent variable (between groups). Separately, the perceived biodiversity of the site, the participants’ Nature connectedness and time spent outside during childhood were also used as independent variables. </w:t>
      </w:r>
    </w:p>
    <w:p w14:paraId="66CB9889" w14:textId="0C92149B" w:rsidR="00783734" w:rsidRPr="00C05886" w:rsidRDefault="00783734" w:rsidP="00783734">
      <w:pPr>
        <w:spacing w:line="480" w:lineRule="auto"/>
      </w:pPr>
      <w:r w:rsidRPr="00C05886">
        <w:t>To identify the effect of individual elements of nature on the affective states, comments from participants who had evaluated the environment as “good” or “very good” were analysed via Content Analysis [64], generating a list of codes (S1 Appendix). All codes were used as dummy variables (between groups) in a series of exploratory RM-ANOVA analyses.</w:t>
      </w:r>
    </w:p>
    <w:p w14:paraId="13C79BE1" w14:textId="5BA51A56" w:rsidR="005B372A" w:rsidRPr="00C05886" w:rsidRDefault="00783734" w:rsidP="00783734">
      <w:pPr>
        <w:spacing w:line="480" w:lineRule="auto"/>
      </w:pPr>
      <w:r w:rsidRPr="00C05886">
        <w:t>To ensure statistical validity, the required sample size was estimated a priori using power analysis on G*Power (version 3.1.9.7; [65]). The estimated sample size was N=324, considering the analysis design (repeated measures), a significance level of α = 0.05 and 80% power and expecting small effect sizes (Cohen’s d = 0.15; [66]). This expectation was informed by previous meta-analyses, which reported moderate to small effect sizes on the affective states [52] and smaller effects when the nature exposure was mediated by video [51] compared to a real nature location</w:t>
      </w:r>
      <w:r w:rsidR="005B372A" w:rsidRPr="00C05886">
        <w:t>.</w:t>
      </w:r>
    </w:p>
    <w:p w14:paraId="6BB3D3FD" w14:textId="77777777" w:rsidR="005B372A" w:rsidRPr="00C05886" w:rsidRDefault="005B372A" w:rsidP="005B372A">
      <w:pPr>
        <w:pStyle w:val="Heading2"/>
        <w:rPr>
          <w:rFonts w:ascii="Calibri" w:eastAsia="Calibri" w:hAnsi="Calibri" w:cs="Calibri"/>
        </w:rPr>
      </w:pPr>
      <w:bookmarkStart w:id="96" w:name="_Toc179962344"/>
      <w:r w:rsidRPr="00C05886">
        <w:t>Results</w:t>
      </w:r>
      <w:bookmarkEnd w:id="96"/>
      <w:r w:rsidRPr="00C05886">
        <w:rPr>
          <w:rFonts w:ascii="Calibri" w:eastAsia="Calibri" w:hAnsi="Calibri" w:cs="Calibri"/>
        </w:rPr>
        <w:t xml:space="preserve"> </w:t>
      </w:r>
    </w:p>
    <w:p w14:paraId="6CD87529" w14:textId="77777777" w:rsidR="005B372A" w:rsidRPr="00C05886" w:rsidRDefault="005B372A" w:rsidP="005B372A">
      <w:pPr>
        <w:pStyle w:val="Heading3"/>
      </w:pPr>
      <w:bookmarkStart w:id="97" w:name="_Toc179962345"/>
      <w:r w:rsidRPr="00C05886">
        <w:t>Descriptive data</w:t>
      </w:r>
      <w:bookmarkEnd w:id="97"/>
    </w:p>
    <w:p w14:paraId="4713A798" w14:textId="77777777" w:rsidR="005B372A" w:rsidRPr="00C05886" w:rsidRDefault="005B372A" w:rsidP="00BA355A">
      <w:pPr>
        <w:spacing w:line="480" w:lineRule="auto"/>
      </w:pPr>
      <w:r w:rsidRPr="00C05886">
        <w:t>The</w:t>
      </w:r>
      <w:sdt>
        <w:sdtPr>
          <w:tag w:val="goog_rdk_85"/>
          <w:id w:val="1892846094"/>
        </w:sdtPr>
        <w:sdtContent>
          <w:r w:rsidRPr="00C05886">
            <w:t>re were</w:t>
          </w:r>
        </w:sdtContent>
      </w:sdt>
      <w:r w:rsidRPr="00C05886">
        <w:t xml:space="preserve"> 602 responses</w:t>
      </w:r>
      <w:sdt>
        <w:sdtPr>
          <w:tag w:val="goog_rdk_87"/>
          <w:id w:val="-1054616702"/>
        </w:sdtPr>
        <w:sdtContent>
          <w:r w:rsidRPr="00C05886">
            <w:t xml:space="preserve"> to the survey</w:t>
          </w:r>
        </w:sdtContent>
      </w:sdt>
      <w:r w:rsidRPr="00C05886">
        <w:t xml:space="preserve">, 414 </w:t>
      </w:r>
      <w:sdt>
        <w:sdtPr>
          <w:tag w:val="goog_rdk_88"/>
          <w:id w:val="-1870978979"/>
        </w:sdtPr>
        <w:sdtContent>
          <w:r w:rsidRPr="00C05886">
            <w:t xml:space="preserve">of which were </w:t>
          </w:r>
        </w:sdtContent>
      </w:sdt>
      <w:r w:rsidRPr="00C05886">
        <w:t>complete (68% completion rate). After excluding those responses that did not meet the required criteria (see above), 372 responses were analysed.</w:t>
      </w:r>
    </w:p>
    <w:p w14:paraId="58115C3E" w14:textId="77777777" w:rsidR="005B372A" w:rsidRPr="00C05886" w:rsidRDefault="005B372A">
      <w:pPr>
        <w:spacing w:after="0" w:line="480" w:lineRule="auto"/>
      </w:pPr>
      <w:r w:rsidRPr="00C05886">
        <w:t xml:space="preserve">Females comprised 63% of respondents and the age distribution was skewed towards groups aged 18-24 (43%) and 25-34 (34%). The ethnicity was predominantly White (66%) followed by Asian (19%) and Mixed (8.3%).  Black and other ethnic groups collectively represented 6% of the sample. Two-thirds of the participants (69.7%) declared to have watched a 360-degree video before. Most of the </w:t>
      </w:r>
      <w:r w:rsidRPr="00C05886">
        <w:lastRenderedPageBreak/>
        <w:t xml:space="preserve">participants took the survey on a laptop (64.4%) or a desktop (23.4%), as recommended, while fewer used a phone (10.8%) or a tablet (1.3%). </w:t>
      </w:r>
    </w:p>
    <w:p w14:paraId="2D0C9130" w14:textId="77777777" w:rsidR="005B372A" w:rsidRPr="00C05886" w:rsidRDefault="005B372A">
      <w:pPr>
        <w:spacing w:after="0" w:line="480" w:lineRule="auto"/>
      </w:pPr>
      <w:r w:rsidRPr="00C05886">
        <w:t>In terms of engagement with nature and outdoor space, 47.8% of the participants recalled having spent ‘a lot of time outdoors’ in their childhood while 41.7% recalled having spent ‘a moderate amount of time’ outdoors.</w:t>
      </w:r>
    </w:p>
    <w:p w14:paraId="562AB009" w14:textId="77777777" w:rsidR="005B372A" w:rsidRPr="00C05886" w:rsidRDefault="005B372A">
      <w:pPr>
        <w:spacing w:after="0" w:line="480" w:lineRule="auto"/>
      </w:pPr>
      <w:r w:rsidRPr="00C05886">
        <w:t>The mean value for the Inclusion of Nature in Self was 4.05 (SD = 1.64),</w:t>
      </w:r>
      <w:r w:rsidRPr="00C05886">
        <w:rPr>
          <w:sz w:val="20"/>
          <w:szCs w:val="20"/>
        </w:rPr>
        <w:t xml:space="preserve"> </w:t>
      </w:r>
      <w:r w:rsidRPr="00C05886">
        <w:t>however, most of the responses fell on scores of ‘5’ (27%) or ‘2’ (19%), suggesting some polarisation around those who considered nature as an important part of their lives, and those who felt more removed from nature.</w:t>
      </w:r>
    </w:p>
    <w:p w14:paraId="3EB01BB1" w14:textId="77777777" w:rsidR="005B372A" w:rsidRPr="00C05886" w:rsidRDefault="005B372A" w:rsidP="009A1B2F">
      <w:pPr>
        <w:spacing w:line="480" w:lineRule="auto"/>
      </w:pPr>
      <w:r w:rsidRPr="00C05886">
        <w:t>Across all treatments, the perceived value of the environment for plants and wildlife (hereafter referred to as “perceived biodiversity</w:t>
      </w:r>
      <w:sdt>
        <w:sdtPr>
          <w:tag w:val="goog_rdk_92"/>
          <w:id w:val="-880554153"/>
        </w:sdtPr>
        <w:sdtContent>
          <w:r w:rsidRPr="00C05886">
            <w:t>”</w:t>
          </w:r>
        </w:sdtContent>
      </w:sdt>
      <w:r w:rsidRPr="00C05886">
        <w:t xml:space="preserve">) was rated “good” by 53% of participants, followed by “very good” (23.4%), “neither good nor bad” (18.5%) and “bad” or “very bad” (5% collectively). To ensure statistical balance, the three lower categories were grouped together in subsequent analysis (“i.e. bad or neutral). On average, the completion time of the procedure was 13 minutes. </w:t>
      </w:r>
    </w:p>
    <w:p w14:paraId="052327A7" w14:textId="77777777" w:rsidR="005B372A" w:rsidRPr="00C05886" w:rsidRDefault="005B372A" w:rsidP="005B372A">
      <w:pPr>
        <w:pStyle w:val="Heading3"/>
      </w:pPr>
      <w:bookmarkStart w:id="98" w:name="_Toc179962346"/>
      <w:r w:rsidRPr="00C05886">
        <w:t>Affective responses to the biodiversity in the videos</w:t>
      </w:r>
      <w:bookmarkEnd w:id="98"/>
    </w:p>
    <w:p w14:paraId="30B4D6AF" w14:textId="1B43A499" w:rsidR="002F3B20" w:rsidRPr="00C05886" w:rsidRDefault="005B372A" w:rsidP="009A1B2F">
      <w:pPr>
        <w:spacing w:line="480" w:lineRule="auto"/>
      </w:pPr>
      <w:r w:rsidRPr="00C05886">
        <w:t xml:space="preserve">All video conditions reduced Negative Affect (NA). Negative affect scores varied significantly with time (i.e. stages; p &lt; 0.005; Table 3), but not due to condition (p = 0.31). For all conditions, NA scores increased significantly after the stressor but decreased significantly after watching (any of) the videos (Fig 3, left). Increasing the amount of biodiversity or natural sounds in the videos had no significant effect on reducing negative scores. </w:t>
      </w:r>
    </w:p>
    <w:p w14:paraId="0D0E37FC" w14:textId="77777777" w:rsidR="002F3B20" w:rsidRPr="00C05886" w:rsidRDefault="002F3B20">
      <w:pPr>
        <w:spacing w:line="259" w:lineRule="auto"/>
        <w:jc w:val="left"/>
      </w:pPr>
      <w:r w:rsidRPr="00C05886">
        <w:br w:type="page"/>
      </w:r>
    </w:p>
    <w:p w14:paraId="1C58F1DE" w14:textId="77777777" w:rsidR="005B372A" w:rsidRPr="00C05886" w:rsidRDefault="005B372A" w:rsidP="009A1B2F">
      <w:pPr>
        <w:spacing w:line="480" w:lineRule="auto"/>
      </w:pPr>
    </w:p>
    <w:p w14:paraId="249CC713" w14:textId="77777777" w:rsidR="005B372A" w:rsidRPr="00C05886" w:rsidRDefault="005B372A" w:rsidP="009D7800">
      <w:pPr>
        <w:pStyle w:val="Caption"/>
        <w:keepNext/>
      </w:pPr>
      <w:r w:rsidRPr="00C05886">
        <w:rPr>
          <w:b/>
          <w:bCs/>
          <w:i w:val="0"/>
          <w:iCs w:val="0"/>
          <w:color w:val="auto"/>
        </w:rPr>
        <w:t>Table 3</w:t>
      </w:r>
      <w:r w:rsidRPr="00C05886">
        <w:rPr>
          <w:b/>
          <w:bCs/>
          <w:i w:val="0"/>
          <w:iCs w:val="0"/>
        </w:rPr>
        <w:t xml:space="preserve">. </w:t>
      </w:r>
      <w:r w:rsidRPr="00C05886">
        <w:rPr>
          <w:i w:val="0"/>
          <w:iCs w:val="0"/>
          <w:color w:val="auto"/>
        </w:rPr>
        <w:t>Summary of the RM-ANOVA models showing the effect of several predictors on the affective scores.</w:t>
      </w:r>
    </w:p>
    <w:tbl>
      <w:tblPr>
        <w:tblW w:w="9066" w:type="dxa"/>
        <w:tblLayout w:type="fixed"/>
        <w:tblLook w:val="04A0" w:firstRow="1" w:lastRow="0" w:firstColumn="1" w:lastColumn="0" w:noHBand="0" w:noVBand="1"/>
      </w:tblPr>
      <w:tblGrid>
        <w:gridCol w:w="2017"/>
        <w:gridCol w:w="2176"/>
        <w:gridCol w:w="1394"/>
        <w:gridCol w:w="1239"/>
        <w:gridCol w:w="2240"/>
      </w:tblGrid>
      <w:tr w:rsidR="005B372A" w:rsidRPr="00C05886" w14:paraId="142C0649" w14:textId="77777777" w:rsidTr="009A1B2F">
        <w:trPr>
          <w:trHeight w:val="192"/>
        </w:trPr>
        <w:tc>
          <w:tcPr>
            <w:tcW w:w="1924" w:type="dxa"/>
            <w:tcBorders>
              <w:top w:val="single" w:sz="8" w:space="0" w:color="auto"/>
              <w:left w:val="single" w:sz="4" w:space="0" w:color="auto"/>
              <w:bottom w:val="single" w:sz="8" w:space="0" w:color="auto"/>
              <w:right w:val="nil"/>
            </w:tcBorders>
            <w:shd w:val="clear" w:color="auto" w:fill="auto"/>
            <w:hideMark/>
          </w:tcPr>
          <w:p w14:paraId="2D8DF307" w14:textId="77777777" w:rsidR="005B372A" w:rsidRPr="00C05886" w:rsidRDefault="005B372A" w:rsidP="002A6F07">
            <w:pPr>
              <w:spacing w:after="0" w:line="240" w:lineRule="auto"/>
              <w:rPr>
                <w:b/>
                <w:bCs/>
                <w:color w:val="000000"/>
                <w:sz w:val="20"/>
                <w:szCs w:val="20"/>
              </w:rPr>
            </w:pPr>
            <w:r w:rsidRPr="00C05886">
              <w:rPr>
                <w:b/>
                <w:bCs/>
                <w:color w:val="000000"/>
                <w:sz w:val="20"/>
                <w:szCs w:val="20"/>
              </w:rPr>
              <w:t>Dependent variable</w:t>
            </w:r>
          </w:p>
        </w:tc>
        <w:tc>
          <w:tcPr>
            <w:tcW w:w="2075" w:type="dxa"/>
            <w:tcBorders>
              <w:top w:val="single" w:sz="8" w:space="0" w:color="auto"/>
              <w:left w:val="nil"/>
              <w:bottom w:val="single" w:sz="8" w:space="0" w:color="auto"/>
              <w:right w:val="nil"/>
            </w:tcBorders>
            <w:shd w:val="clear" w:color="auto" w:fill="auto"/>
            <w:hideMark/>
          </w:tcPr>
          <w:p w14:paraId="39B12631" w14:textId="77777777" w:rsidR="005B372A" w:rsidRPr="00C05886" w:rsidRDefault="005B372A" w:rsidP="002A6F07">
            <w:pPr>
              <w:spacing w:after="0" w:line="240" w:lineRule="auto"/>
              <w:rPr>
                <w:b/>
                <w:bCs/>
                <w:color w:val="000000"/>
                <w:sz w:val="20"/>
                <w:szCs w:val="20"/>
              </w:rPr>
            </w:pPr>
            <w:r w:rsidRPr="00C05886">
              <w:rPr>
                <w:b/>
                <w:bCs/>
                <w:color w:val="000000"/>
                <w:sz w:val="20"/>
                <w:szCs w:val="20"/>
              </w:rPr>
              <w:t>Analysis component</w:t>
            </w:r>
          </w:p>
        </w:tc>
        <w:tc>
          <w:tcPr>
            <w:tcW w:w="1330" w:type="dxa"/>
            <w:tcBorders>
              <w:top w:val="single" w:sz="8" w:space="0" w:color="auto"/>
              <w:left w:val="nil"/>
              <w:bottom w:val="single" w:sz="8" w:space="0" w:color="auto"/>
              <w:right w:val="nil"/>
            </w:tcBorders>
            <w:shd w:val="clear" w:color="auto" w:fill="auto"/>
            <w:hideMark/>
          </w:tcPr>
          <w:p w14:paraId="5C12E6B0" w14:textId="77777777" w:rsidR="005B372A" w:rsidRPr="00C05886" w:rsidRDefault="005B372A" w:rsidP="002A6F07">
            <w:pPr>
              <w:spacing w:after="0" w:line="240" w:lineRule="auto"/>
              <w:rPr>
                <w:b/>
                <w:bCs/>
                <w:color w:val="000000"/>
                <w:sz w:val="20"/>
                <w:szCs w:val="20"/>
              </w:rPr>
            </w:pPr>
            <w:r w:rsidRPr="00C05886">
              <w:rPr>
                <w:b/>
                <w:bCs/>
                <w:color w:val="000000"/>
                <w:sz w:val="20"/>
                <w:szCs w:val="20"/>
              </w:rPr>
              <w:t>F</w:t>
            </w:r>
          </w:p>
        </w:tc>
        <w:tc>
          <w:tcPr>
            <w:tcW w:w="1182" w:type="dxa"/>
            <w:tcBorders>
              <w:top w:val="single" w:sz="8" w:space="0" w:color="auto"/>
              <w:left w:val="nil"/>
              <w:bottom w:val="single" w:sz="8" w:space="0" w:color="auto"/>
              <w:right w:val="nil"/>
            </w:tcBorders>
            <w:shd w:val="clear" w:color="auto" w:fill="auto"/>
            <w:hideMark/>
          </w:tcPr>
          <w:p w14:paraId="5C28D350" w14:textId="77777777" w:rsidR="005B372A" w:rsidRPr="00C05886" w:rsidRDefault="005B372A" w:rsidP="002A6F07">
            <w:pPr>
              <w:spacing w:after="0" w:line="240" w:lineRule="auto"/>
              <w:rPr>
                <w:b/>
                <w:bCs/>
                <w:color w:val="000000"/>
                <w:sz w:val="20"/>
                <w:szCs w:val="20"/>
              </w:rPr>
            </w:pPr>
            <w:r w:rsidRPr="00C05886">
              <w:rPr>
                <w:b/>
                <w:bCs/>
                <w:color w:val="000000"/>
                <w:sz w:val="20"/>
                <w:szCs w:val="20"/>
              </w:rPr>
              <w:t>p-value</w:t>
            </w:r>
          </w:p>
        </w:tc>
        <w:tc>
          <w:tcPr>
            <w:tcW w:w="2136" w:type="dxa"/>
            <w:tcBorders>
              <w:top w:val="single" w:sz="8" w:space="0" w:color="auto"/>
              <w:left w:val="nil"/>
              <w:bottom w:val="single" w:sz="8" w:space="0" w:color="auto"/>
              <w:right w:val="single" w:sz="4" w:space="0" w:color="auto"/>
            </w:tcBorders>
            <w:shd w:val="clear" w:color="auto" w:fill="auto"/>
            <w:hideMark/>
          </w:tcPr>
          <w:p w14:paraId="253F9B0D" w14:textId="77777777" w:rsidR="005B372A" w:rsidRPr="00C05886" w:rsidRDefault="005B372A" w:rsidP="002A6F07">
            <w:pPr>
              <w:spacing w:after="0" w:line="240" w:lineRule="auto"/>
              <w:rPr>
                <w:b/>
                <w:bCs/>
                <w:color w:val="000000"/>
                <w:sz w:val="20"/>
                <w:szCs w:val="20"/>
              </w:rPr>
            </w:pPr>
            <w:r w:rsidRPr="00C05886">
              <w:rPr>
                <w:b/>
                <w:bCs/>
                <w:color w:val="000000"/>
                <w:sz w:val="20"/>
                <w:szCs w:val="20"/>
              </w:rPr>
              <w:t>Partial eta squared</w:t>
            </w:r>
          </w:p>
        </w:tc>
      </w:tr>
      <w:tr w:rsidR="005B372A" w:rsidRPr="00C05886" w14:paraId="472207FD" w14:textId="77777777" w:rsidTr="009A1B2F">
        <w:trPr>
          <w:trHeight w:val="232"/>
        </w:trPr>
        <w:tc>
          <w:tcPr>
            <w:tcW w:w="8647" w:type="dxa"/>
            <w:gridSpan w:val="5"/>
            <w:tcBorders>
              <w:top w:val="single" w:sz="8" w:space="0" w:color="auto"/>
              <w:left w:val="single" w:sz="4" w:space="0" w:color="auto"/>
              <w:bottom w:val="single" w:sz="8" w:space="0" w:color="auto"/>
              <w:right w:val="single" w:sz="4" w:space="0" w:color="auto"/>
            </w:tcBorders>
            <w:shd w:val="clear" w:color="auto" w:fill="auto"/>
            <w:hideMark/>
          </w:tcPr>
          <w:p w14:paraId="77F9D9B6" w14:textId="77777777" w:rsidR="005B372A" w:rsidRPr="00C05886" w:rsidRDefault="005B372A" w:rsidP="002A6F07">
            <w:pPr>
              <w:spacing w:after="0" w:line="240" w:lineRule="auto"/>
              <w:rPr>
                <w:b/>
                <w:bCs/>
                <w:color w:val="000000"/>
                <w:sz w:val="20"/>
                <w:szCs w:val="20"/>
              </w:rPr>
            </w:pPr>
            <w:r w:rsidRPr="00C05886">
              <w:rPr>
                <w:b/>
                <w:bCs/>
                <w:color w:val="000000"/>
                <w:sz w:val="20"/>
                <w:szCs w:val="20"/>
              </w:rPr>
              <w:t>Effect of the video’s biodiversity</w:t>
            </w:r>
          </w:p>
        </w:tc>
      </w:tr>
      <w:tr w:rsidR="005B372A" w:rsidRPr="00C05886" w14:paraId="1B70EE50" w14:textId="77777777" w:rsidTr="009A1B2F">
        <w:trPr>
          <w:trHeight w:val="232"/>
        </w:trPr>
        <w:tc>
          <w:tcPr>
            <w:tcW w:w="1924" w:type="dxa"/>
            <w:tcBorders>
              <w:top w:val="nil"/>
              <w:left w:val="single" w:sz="4" w:space="0" w:color="auto"/>
              <w:bottom w:val="nil"/>
              <w:right w:val="nil"/>
            </w:tcBorders>
            <w:shd w:val="clear" w:color="auto" w:fill="auto"/>
            <w:hideMark/>
          </w:tcPr>
          <w:p w14:paraId="7F994BE6" w14:textId="77777777" w:rsidR="005B372A" w:rsidRPr="00C05886" w:rsidRDefault="005B372A" w:rsidP="002A6F07">
            <w:pPr>
              <w:spacing w:after="0" w:line="240" w:lineRule="auto"/>
              <w:rPr>
                <w:color w:val="000000"/>
                <w:sz w:val="20"/>
                <w:szCs w:val="20"/>
              </w:rPr>
            </w:pPr>
            <w:r w:rsidRPr="00C05886">
              <w:rPr>
                <w:color w:val="000000"/>
                <w:sz w:val="20"/>
                <w:szCs w:val="20"/>
              </w:rPr>
              <w:t>Negative Affect</w:t>
            </w:r>
          </w:p>
        </w:tc>
        <w:tc>
          <w:tcPr>
            <w:tcW w:w="2075" w:type="dxa"/>
            <w:tcBorders>
              <w:top w:val="nil"/>
              <w:left w:val="nil"/>
              <w:bottom w:val="nil"/>
              <w:right w:val="nil"/>
            </w:tcBorders>
            <w:shd w:val="clear" w:color="auto" w:fill="auto"/>
            <w:hideMark/>
          </w:tcPr>
          <w:p w14:paraId="3701B256" w14:textId="77777777" w:rsidR="005B372A" w:rsidRPr="00C05886" w:rsidRDefault="005B372A" w:rsidP="002A6F07">
            <w:pPr>
              <w:spacing w:after="0" w:line="240" w:lineRule="auto"/>
              <w:rPr>
                <w:color w:val="000000"/>
                <w:sz w:val="20"/>
                <w:szCs w:val="20"/>
              </w:rPr>
            </w:pPr>
            <w:r w:rsidRPr="00C05886">
              <w:rPr>
                <w:color w:val="000000"/>
                <w:sz w:val="20"/>
                <w:szCs w:val="20"/>
              </w:rPr>
              <w:t>Within -subjects</w:t>
            </w:r>
          </w:p>
        </w:tc>
        <w:tc>
          <w:tcPr>
            <w:tcW w:w="1330" w:type="dxa"/>
            <w:tcBorders>
              <w:top w:val="nil"/>
              <w:left w:val="nil"/>
              <w:bottom w:val="nil"/>
              <w:right w:val="nil"/>
            </w:tcBorders>
            <w:shd w:val="clear" w:color="auto" w:fill="auto"/>
            <w:hideMark/>
          </w:tcPr>
          <w:p w14:paraId="572369C7" w14:textId="77777777" w:rsidR="005B372A" w:rsidRPr="00C05886" w:rsidRDefault="005B372A" w:rsidP="002A6F07">
            <w:pPr>
              <w:spacing w:after="0" w:line="240" w:lineRule="auto"/>
              <w:rPr>
                <w:color w:val="000000"/>
                <w:sz w:val="20"/>
                <w:szCs w:val="20"/>
              </w:rPr>
            </w:pPr>
            <w:r w:rsidRPr="00C05886">
              <w:rPr>
                <w:color w:val="000000"/>
                <w:sz w:val="20"/>
                <w:szCs w:val="20"/>
              </w:rPr>
              <w:t>141.6</w:t>
            </w:r>
          </w:p>
        </w:tc>
        <w:tc>
          <w:tcPr>
            <w:tcW w:w="1182" w:type="dxa"/>
            <w:tcBorders>
              <w:top w:val="nil"/>
              <w:left w:val="nil"/>
              <w:bottom w:val="nil"/>
              <w:right w:val="nil"/>
            </w:tcBorders>
            <w:shd w:val="clear" w:color="auto" w:fill="auto"/>
            <w:hideMark/>
          </w:tcPr>
          <w:p w14:paraId="049DDDA6" w14:textId="77777777" w:rsidR="005B372A" w:rsidRPr="00C05886" w:rsidRDefault="005B372A" w:rsidP="002A6F07">
            <w:pPr>
              <w:spacing w:after="0" w:line="240" w:lineRule="auto"/>
              <w:rPr>
                <w:color w:val="000000"/>
                <w:sz w:val="20"/>
                <w:szCs w:val="20"/>
              </w:rPr>
            </w:pPr>
            <w:r w:rsidRPr="00C05886">
              <w:rPr>
                <w:color w:val="000000"/>
                <w:sz w:val="20"/>
                <w:szCs w:val="20"/>
              </w:rPr>
              <w:t>&lt; 0.005</w:t>
            </w:r>
          </w:p>
        </w:tc>
        <w:tc>
          <w:tcPr>
            <w:tcW w:w="2136" w:type="dxa"/>
            <w:tcBorders>
              <w:top w:val="nil"/>
              <w:left w:val="nil"/>
              <w:bottom w:val="nil"/>
              <w:right w:val="single" w:sz="4" w:space="0" w:color="auto"/>
            </w:tcBorders>
            <w:shd w:val="clear" w:color="auto" w:fill="auto"/>
            <w:hideMark/>
          </w:tcPr>
          <w:p w14:paraId="374CE16D" w14:textId="77777777" w:rsidR="005B372A" w:rsidRPr="00C05886" w:rsidRDefault="005B372A" w:rsidP="002A6F07">
            <w:pPr>
              <w:spacing w:after="0" w:line="240" w:lineRule="auto"/>
              <w:rPr>
                <w:color w:val="000000"/>
                <w:sz w:val="20"/>
                <w:szCs w:val="20"/>
              </w:rPr>
            </w:pPr>
            <w:r w:rsidRPr="00C05886">
              <w:rPr>
                <w:color w:val="000000"/>
                <w:sz w:val="20"/>
                <w:szCs w:val="20"/>
              </w:rPr>
              <w:t>0.28</w:t>
            </w:r>
          </w:p>
        </w:tc>
      </w:tr>
      <w:tr w:rsidR="005B372A" w:rsidRPr="00C05886" w14:paraId="352BE30C" w14:textId="77777777" w:rsidTr="009A1B2F">
        <w:trPr>
          <w:trHeight w:val="232"/>
        </w:trPr>
        <w:tc>
          <w:tcPr>
            <w:tcW w:w="1924" w:type="dxa"/>
            <w:tcBorders>
              <w:top w:val="nil"/>
              <w:left w:val="single" w:sz="4" w:space="0" w:color="auto"/>
              <w:bottom w:val="nil"/>
              <w:right w:val="nil"/>
            </w:tcBorders>
            <w:shd w:val="clear" w:color="auto" w:fill="auto"/>
            <w:hideMark/>
          </w:tcPr>
          <w:p w14:paraId="56733320" w14:textId="77777777" w:rsidR="005B372A" w:rsidRPr="00C05886" w:rsidRDefault="005B372A" w:rsidP="002A6F07">
            <w:pPr>
              <w:spacing w:after="0" w:line="240" w:lineRule="auto"/>
              <w:rPr>
                <w:color w:val="000000"/>
                <w:sz w:val="20"/>
                <w:szCs w:val="20"/>
              </w:rPr>
            </w:pPr>
          </w:p>
        </w:tc>
        <w:tc>
          <w:tcPr>
            <w:tcW w:w="2075" w:type="dxa"/>
            <w:tcBorders>
              <w:top w:val="nil"/>
              <w:left w:val="nil"/>
              <w:bottom w:val="nil"/>
              <w:right w:val="nil"/>
            </w:tcBorders>
            <w:shd w:val="clear" w:color="auto" w:fill="auto"/>
            <w:hideMark/>
          </w:tcPr>
          <w:p w14:paraId="1C7D3815" w14:textId="77777777" w:rsidR="005B372A" w:rsidRPr="00C05886" w:rsidRDefault="005B372A" w:rsidP="002A6F07">
            <w:pPr>
              <w:spacing w:after="0" w:line="240" w:lineRule="auto"/>
              <w:rPr>
                <w:color w:val="000000"/>
                <w:sz w:val="20"/>
                <w:szCs w:val="20"/>
              </w:rPr>
            </w:pPr>
            <w:r w:rsidRPr="00C05886">
              <w:rPr>
                <w:color w:val="000000"/>
                <w:sz w:val="20"/>
                <w:szCs w:val="20"/>
              </w:rPr>
              <w:t>Between Subjects</w:t>
            </w:r>
          </w:p>
        </w:tc>
        <w:tc>
          <w:tcPr>
            <w:tcW w:w="1330" w:type="dxa"/>
            <w:tcBorders>
              <w:top w:val="nil"/>
              <w:left w:val="nil"/>
              <w:bottom w:val="nil"/>
              <w:right w:val="nil"/>
            </w:tcBorders>
            <w:shd w:val="clear" w:color="auto" w:fill="auto"/>
            <w:hideMark/>
          </w:tcPr>
          <w:p w14:paraId="0ADD2EDC" w14:textId="77777777" w:rsidR="005B372A" w:rsidRPr="00C05886" w:rsidRDefault="005B372A" w:rsidP="002A6F07">
            <w:pPr>
              <w:spacing w:after="0" w:line="240" w:lineRule="auto"/>
              <w:rPr>
                <w:color w:val="000000"/>
                <w:sz w:val="20"/>
                <w:szCs w:val="20"/>
              </w:rPr>
            </w:pPr>
            <w:r w:rsidRPr="00C05886">
              <w:rPr>
                <w:color w:val="000000"/>
                <w:sz w:val="20"/>
                <w:szCs w:val="20"/>
              </w:rPr>
              <w:t>1.2</w:t>
            </w:r>
          </w:p>
        </w:tc>
        <w:tc>
          <w:tcPr>
            <w:tcW w:w="1182" w:type="dxa"/>
            <w:tcBorders>
              <w:top w:val="nil"/>
              <w:left w:val="nil"/>
              <w:bottom w:val="nil"/>
              <w:right w:val="nil"/>
            </w:tcBorders>
            <w:shd w:val="clear" w:color="auto" w:fill="auto"/>
            <w:hideMark/>
          </w:tcPr>
          <w:p w14:paraId="625B6E5C" w14:textId="77777777" w:rsidR="005B372A" w:rsidRPr="00C05886" w:rsidRDefault="005B372A" w:rsidP="002A6F07">
            <w:pPr>
              <w:spacing w:after="0" w:line="240" w:lineRule="auto"/>
              <w:rPr>
                <w:color w:val="000000"/>
                <w:sz w:val="20"/>
                <w:szCs w:val="20"/>
              </w:rPr>
            </w:pPr>
            <w:r w:rsidRPr="00C05886">
              <w:rPr>
                <w:color w:val="000000"/>
                <w:sz w:val="20"/>
                <w:szCs w:val="20"/>
              </w:rPr>
              <w:t>0.31</w:t>
            </w:r>
          </w:p>
        </w:tc>
        <w:tc>
          <w:tcPr>
            <w:tcW w:w="2136" w:type="dxa"/>
            <w:tcBorders>
              <w:top w:val="nil"/>
              <w:left w:val="nil"/>
              <w:bottom w:val="nil"/>
              <w:right w:val="single" w:sz="4" w:space="0" w:color="auto"/>
            </w:tcBorders>
            <w:shd w:val="clear" w:color="auto" w:fill="auto"/>
            <w:hideMark/>
          </w:tcPr>
          <w:p w14:paraId="68A5A15A" w14:textId="77777777" w:rsidR="005B372A" w:rsidRPr="00C05886" w:rsidRDefault="005B372A" w:rsidP="002A6F07">
            <w:pPr>
              <w:spacing w:after="0" w:line="240" w:lineRule="auto"/>
              <w:rPr>
                <w:color w:val="000000"/>
                <w:sz w:val="20"/>
                <w:szCs w:val="20"/>
              </w:rPr>
            </w:pPr>
            <w:r w:rsidRPr="00C05886">
              <w:rPr>
                <w:color w:val="000000"/>
                <w:sz w:val="20"/>
                <w:szCs w:val="20"/>
              </w:rPr>
              <w:t>0.01</w:t>
            </w:r>
          </w:p>
        </w:tc>
      </w:tr>
      <w:tr w:rsidR="005B372A" w:rsidRPr="00C05886" w14:paraId="10EE609A" w14:textId="77777777" w:rsidTr="009A1B2F">
        <w:trPr>
          <w:trHeight w:val="232"/>
        </w:trPr>
        <w:tc>
          <w:tcPr>
            <w:tcW w:w="1924" w:type="dxa"/>
            <w:tcBorders>
              <w:top w:val="nil"/>
              <w:left w:val="single" w:sz="4" w:space="0" w:color="auto"/>
              <w:bottom w:val="nil"/>
              <w:right w:val="nil"/>
            </w:tcBorders>
            <w:shd w:val="clear" w:color="auto" w:fill="auto"/>
            <w:hideMark/>
          </w:tcPr>
          <w:p w14:paraId="6FB205AB" w14:textId="77777777" w:rsidR="005B372A" w:rsidRPr="00C05886" w:rsidRDefault="005B372A" w:rsidP="002A6F07">
            <w:pPr>
              <w:spacing w:after="0" w:line="240" w:lineRule="auto"/>
              <w:rPr>
                <w:color w:val="000000"/>
                <w:sz w:val="20"/>
                <w:szCs w:val="20"/>
              </w:rPr>
            </w:pPr>
          </w:p>
        </w:tc>
        <w:tc>
          <w:tcPr>
            <w:tcW w:w="2075" w:type="dxa"/>
            <w:tcBorders>
              <w:top w:val="nil"/>
              <w:left w:val="nil"/>
              <w:bottom w:val="nil"/>
              <w:right w:val="nil"/>
            </w:tcBorders>
            <w:shd w:val="clear" w:color="auto" w:fill="auto"/>
            <w:hideMark/>
          </w:tcPr>
          <w:p w14:paraId="1B9067CF" w14:textId="77777777" w:rsidR="005B372A" w:rsidRPr="00C05886" w:rsidRDefault="005B372A" w:rsidP="002A6F07">
            <w:pPr>
              <w:spacing w:after="0" w:line="240" w:lineRule="auto"/>
              <w:rPr>
                <w:color w:val="000000"/>
                <w:sz w:val="20"/>
                <w:szCs w:val="20"/>
              </w:rPr>
            </w:pPr>
            <w:r w:rsidRPr="00C05886">
              <w:rPr>
                <w:color w:val="000000"/>
                <w:sz w:val="20"/>
                <w:szCs w:val="20"/>
              </w:rPr>
              <w:t>Interaction</w:t>
            </w:r>
          </w:p>
        </w:tc>
        <w:tc>
          <w:tcPr>
            <w:tcW w:w="1330" w:type="dxa"/>
            <w:tcBorders>
              <w:top w:val="nil"/>
              <w:left w:val="nil"/>
              <w:bottom w:val="nil"/>
              <w:right w:val="nil"/>
            </w:tcBorders>
            <w:shd w:val="clear" w:color="auto" w:fill="auto"/>
            <w:hideMark/>
          </w:tcPr>
          <w:p w14:paraId="0DEB3F40" w14:textId="77777777" w:rsidR="005B372A" w:rsidRPr="00C05886" w:rsidRDefault="005B372A" w:rsidP="002A6F07">
            <w:pPr>
              <w:spacing w:after="0" w:line="240" w:lineRule="auto"/>
              <w:rPr>
                <w:color w:val="000000"/>
                <w:sz w:val="20"/>
                <w:szCs w:val="20"/>
              </w:rPr>
            </w:pPr>
            <w:r w:rsidRPr="00C05886">
              <w:rPr>
                <w:color w:val="000000"/>
                <w:sz w:val="20"/>
                <w:szCs w:val="20"/>
              </w:rPr>
              <w:t>1.02</w:t>
            </w:r>
          </w:p>
        </w:tc>
        <w:tc>
          <w:tcPr>
            <w:tcW w:w="1182" w:type="dxa"/>
            <w:tcBorders>
              <w:top w:val="nil"/>
              <w:left w:val="nil"/>
              <w:bottom w:val="nil"/>
              <w:right w:val="nil"/>
            </w:tcBorders>
            <w:shd w:val="clear" w:color="auto" w:fill="auto"/>
            <w:hideMark/>
          </w:tcPr>
          <w:p w14:paraId="14E645EE" w14:textId="77777777" w:rsidR="005B372A" w:rsidRPr="00C05886" w:rsidRDefault="005B372A" w:rsidP="002A6F07">
            <w:pPr>
              <w:spacing w:after="0" w:line="240" w:lineRule="auto"/>
              <w:rPr>
                <w:color w:val="000000"/>
                <w:sz w:val="20"/>
                <w:szCs w:val="20"/>
              </w:rPr>
            </w:pPr>
            <w:r w:rsidRPr="00C05886">
              <w:rPr>
                <w:color w:val="000000"/>
                <w:sz w:val="20"/>
                <w:szCs w:val="20"/>
              </w:rPr>
              <w:t>0.41</w:t>
            </w:r>
          </w:p>
        </w:tc>
        <w:tc>
          <w:tcPr>
            <w:tcW w:w="2136" w:type="dxa"/>
            <w:tcBorders>
              <w:top w:val="nil"/>
              <w:left w:val="nil"/>
              <w:bottom w:val="nil"/>
              <w:right w:val="single" w:sz="4" w:space="0" w:color="auto"/>
            </w:tcBorders>
            <w:shd w:val="clear" w:color="auto" w:fill="auto"/>
            <w:hideMark/>
          </w:tcPr>
          <w:p w14:paraId="61158078" w14:textId="77777777" w:rsidR="005B372A" w:rsidRPr="00C05886" w:rsidRDefault="005B372A" w:rsidP="002A6F07">
            <w:pPr>
              <w:spacing w:after="0" w:line="240" w:lineRule="auto"/>
              <w:rPr>
                <w:color w:val="000000"/>
                <w:sz w:val="20"/>
                <w:szCs w:val="20"/>
              </w:rPr>
            </w:pPr>
            <w:r w:rsidRPr="00C05886">
              <w:rPr>
                <w:color w:val="000000"/>
                <w:sz w:val="20"/>
                <w:szCs w:val="20"/>
              </w:rPr>
              <w:t>0.008</w:t>
            </w:r>
          </w:p>
        </w:tc>
      </w:tr>
      <w:tr w:rsidR="005B372A" w:rsidRPr="00C05886" w14:paraId="72426719" w14:textId="77777777" w:rsidTr="009A1B2F">
        <w:trPr>
          <w:trHeight w:val="232"/>
        </w:trPr>
        <w:tc>
          <w:tcPr>
            <w:tcW w:w="1924" w:type="dxa"/>
            <w:tcBorders>
              <w:top w:val="nil"/>
              <w:left w:val="single" w:sz="4" w:space="0" w:color="auto"/>
              <w:bottom w:val="nil"/>
              <w:right w:val="nil"/>
            </w:tcBorders>
            <w:shd w:val="clear" w:color="auto" w:fill="auto"/>
            <w:hideMark/>
          </w:tcPr>
          <w:p w14:paraId="23FCA1BB" w14:textId="77777777" w:rsidR="005B372A" w:rsidRPr="00C05886" w:rsidRDefault="005B372A" w:rsidP="002A6F07">
            <w:pPr>
              <w:spacing w:after="0" w:line="240" w:lineRule="auto"/>
              <w:rPr>
                <w:color w:val="000000"/>
                <w:sz w:val="20"/>
                <w:szCs w:val="20"/>
              </w:rPr>
            </w:pPr>
            <w:r w:rsidRPr="00C05886">
              <w:rPr>
                <w:color w:val="000000"/>
                <w:sz w:val="20"/>
                <w:szCs w:val="20"/>
              </w:rPr>
              <w:t>Positive Affect</w:t>
            </w:r>
          </w:p>
        </w:tc>
        <w:tc>
          <w:tcPr>
            <w:tcW w:w="2075" w:type="dxa"/>
            <w:tcBorders>
              <w:top w:val="nil"/>
              <w:left w:val="nil"/>
              <w:bottom w:val="nil"/>
              <w:right w:val="nil"/>
            </w:tcBorders>
            <w:shd w:val="clear" w:color="auto" w:fill="auto"/>
            <w:hideMark/>
          </w:tcPr>
          <w:p w14:paraId="2DD535BD" w14:textId="77777777" w:rsidR="005B372A" w:rsidRPr="00C05886" w:rsidRDefault="005B372A" w:rsidP="002A6F07">
            <w:pPr>
              <w:spacing w:after="0" w:line="240" w:lineRule="auto"/>
              <w:rPr>
                <w:color w:val="000000"/>
                <w:sz w:val="20"/>
                <w:szCs w:val="20"/>
              </w:rPr>
            </w:pPr>
            <w:r w:rsidRPr="00C05886">
              <w:rPr>
                <w:color w:val="000000"/>
                <w:sz w:val="20"/>
                <w:szCs w:val="20"/>
              </w:rPr>
              <w:t>Within-subjects</w:t>
            </w:r>
          </w:p>
        </w:tc>
        <w:tc>
          <w:tcPr>
            <w:tcW w:w="1330" w:type="dxa"/>
            <w:tcBorders>
              <w:top w:val="nil"/>
              <w:left w:val="nil"/>
              <w:bottom w:val="nil"/>
              <w:right w:val="nil"/>
            </w:tcBorders>
            <w:shd w:val="clear" w:color="auto" w:fill="auto"/>
            <w:hideMark/>
          </w:tcPr>
          <w:p w14:paraId="677B4CFA" w14:textId="77777777" w:rsidR="005B372A" w:rsidRPr="00C05886" w:rsidRDefault="005B372A" w:rsidP="002A6F07">
            <w:pPr>
              <w:spacing w:after="0" w:line="240" w:lineRule="auto"/>
              <w:rPr>
                <w:color w:val="000000"/>
                <w:sz w:val="20"/>
                <w:szCs w:val="20"/>
              </w:rPr>
            </w:pPr>
            <w:r w:rsidRPr="00C05886">
              <w:rPr>
                <w:color w:val="000000"/>
                <w:sz w:val="20"/>
                <w:szCs w:val="20"/>
              </w:rPr>
              <w:t>3.94</w:t>
            </w:r>
          </w:p>
        </w:tc>
        <w:tc>
          <w:tcPr>
            <w:tcW w:w="1182" w:type="dxa"/>
            <w:tcBorders>
              <w:top w:val="nil"/>
              <w:left w:val="nil"/>
              <w:bottom w:val="nil"/>
              <w:right w:val="nil"/>
            </w:tcBorders>
            <w:shd w:val="clear" w:color="auto" w:fill="auto"/>
            <w:hideMark/>
          </w:tcPr>
          <w:p w14:paraId="0045114E" w14:textId="77777777" w:rsidR="005B372A" w:rsidRPr="00C05886" w:rsidRDefault="005B372A" w:rsidP="002A6F07">
            <w:pPr>
              <w:spacing w:after="0" w:line="240" w:lineRule="auto"/>
              <w:rPr>
                <w:color w:val="000000"/>
                <w:sz w:val="20"/>
                <w:szCs w:val="20"/>
              </w:rPr>
            </w:pPr>
            <w:r w:rsidRPr="00C05886">
              <w:rPr>
                <w:color w:val="000000"/>
                <w:sz w:val="20"/>
                <w:szCs w:val="20"/>
              </w:rPr>
              <w:t>0.02</w:t>
            </w:r>
          </w:p>
        </w:tc>
        <w:tc>
          <w:tcPr>
            <w:tcW w:w="2136" w:type="dxa"/>
            <w:tcBorders>
              <w:top w:val="nil"/>
              <w:left w:val="nil"/>
              <w:bottom w:val="nil"/>
              <w:right w:val="single" w:sz="4" w:space="0" w:color="auto"/>
            </w:tcBorders>
            <w:shd w:val="clear" w:color="auto" w:fill="auto"/>
            <w:hideMark/>
          </w:tcPr>
          <w:p w14:paraId="74B581D3" w14:textId="77777777" w:rsidR="005B372A" w:rsidRPr="00C05886" w:rsidRDefault="005B372A" w:rsidP="002A6F07">
            <w:pPr>
              <w:spacing w:after="0" w:line="240" w:lineRule="auto"/>
              <w:rPr>
                <w:color w:val="000000"/>
                <w:sz w:val="20"/>
                <w:szCs w:val="20"/>
              </w:rPr>
            </w:pPr>
            <w:r w:rsidRPr="00C05886">
              <w:rPr>
                <w:color w:val="000000"/>
                <w:sz w:val="20"/>
                <w:szCs w:val="20"/>
              </w:rPr>
              <w:t>0.01</w:t>
            </w:r>
          </w:p>
        </w:tc>
      </w:tr>
      <w:tr w:rsidR="005B372A" w:rsidRPr="00C05886" w14:paraId="60A0278A" w14:textId="77777777" w:rsidTr="009A1B2F">
        <w:trPr>
          <w:trHeight w:val="232"/>
        </w:trPr>
        <w:tc>
          <w:tcPr>
            <w:tcW w:w="1924" w:type="dxa"/>
            <w:tcBorders>
              <w:top w:val="nil"/>
              <w:left w:val="single" w:sz="4" w:space="0" w:color="auto"/>
              <w:bottom w:val="nil"/>
              <w:right w:val="nil"/>
            </w:tcBorders>
            <w:shd w:val="clear" w:color="auto" w:fill="auto"/>
            <w:hideMark/>
          </w:tcPr>
          <w:p w14:paraId="787A2470" w14:textId="77777777" w:rsidR="005B372A" w:rsidRPr="00C05886" w:rsidRDefault="005B372A" w:rsidP="002A6F07">
            <w:pPr>
              <w:spacing w:after="0" w:line="240" w:lineRule="auto"/>
              <w:rPr>
                <w:color w:val="000000"/>
                <w:sz w:val="20"/>
                <w:szCs w:val="20"/>
              </w:rPr>
            </w:pPr>
          </w:p>
        </w:tc>
        <w:tc>
          <w:tcPr>
            <w:tcW w:w="2075" w:type="dxa"/>
            <w:tcBorders>
              <w:top w:val="nil"/>
              <w:left w:val="nil"/>
              <w:bottom w:val="nil"/>
              <w:right w:val="nil"/>
            </w:tcBorders>
            <w:shd w:val="clear" w:color="auto" w:fill="auto"/>
            <w:hideMark/>
          </w:tcPr>
          <w:p w14:paraId="00D4CE5C" w14:textId="77777777" w:rsidR="005B372A" w:rsidRPr="00C05886" w:rsidRDefault="005B372A" w:rsidP="002A6F07">
            <w:pPr>
              <w:spacing w:after="0" w:line="240" w:lineRule="auto"/>
              <w:rPr>
                <w:color w:val="000000"/>
                <w:sz w:val="20"/>
                <w:szCs w:val="20"/>
              </w:rPr>
            </w:pPr>
            <w:r w:rsidRPr="00C05886">
              <w:rPr>
                <w:color w:val="000000"/>
                <w:sz w:val="20"/>
                <w:szCs w:val="20"/>
              </w:rPr>
              <w:t>Between Subjects</w:t>
            </w:r>
          </w:p>
        </w:tc>
        <w:tc>
          <w:tcPr>
            <w:tcW w:w="1330" w:type="dxa"/>
            <w:tcBorders>
              <w:top w:val="nil"/>
              <w:left w:val="nil"/>
              <w:bottom w:val="nil"/>
              <w:right w:val="nil"/>
            </w:tcBorders>
            <w:shd w:val="clear" w:color="auto" w:fill="auto"/>
            <w:hideMark/>
          </w:tcPr>
          <w:p w14:paraId="7EFD41A9" w14:textId="77777777" w:rsidR="005B372A" w:rsidRPr="00C05886" w:rsidRDefault="005B372A" w:rsidP="002A6F07">
            <w:pPr>
              <w:spacing w:after="0" w:line="240" w:lineRule="auto"/>
              <w:rPr>
                <w:color w:val="000000"/>
                <w:sz w:val="20"/>
                <w:szCs w:val="20"/>
              </w:rPr>
            </w:pPr>
            <w:r w:rsidRPr="00C05886">
              <w:rPr>
                <w:color w:val="000000"/>
                <w:sz w:val="20"/>
                <w:szCs w:val="20"/>
              </w:rPr>
              <w:t>0.18</w:t>
            </w:r>
          </w:p>
        </w:tc>
        <w:tc>
          <w:tcPr>
            <w:tcW w:w="1182" w:type="dxa"/>
            <w:tcBorders>
              <w:top w:val="nil"/>
              <w:left w:val="nil"/>
              <w:bottom w:val="nil"/>
              <w:right w:val="nil"/>
            </w:tcBorders>
            <w:shd w:val="clear" w:color="auto" w:fill="auto"/>
            <w:hideMark/>
          </w:tcPr>
          <w:p w14:paraId="54CCF0F9" w14:textId="77777777" w:rsidR="005B372A" w:rsidRPr="00C05886" w:rsidRDefault="005B372A" w:rsidP="002A6F07">
            <w:pPr>
              <w:spacing w:after="0" w:line="240" w:lineRule="auto"/>
              <w:rPr>
                <w:color w:val="000000"/>
                <w:sz w:val="20"/>
                <w:szCs w:val="20"/>
              </w:rPr>
            </w:pPr>
            <w:r w:rsidRPr="00C05886">
              <w:rPr>
                <w:color w:val="000000"/>
                <w:sz w:val="20"/>
                <w:szCs w:val="20"/>
              </w:rPr>
              <w:t>0.91</w:t>
            </w:r>
          </w:p>
        </w:tc>
        <w:tc>
          <w:tcPr>
            <w:tcW w:w="2136" w:type="dxa"/>
            <w:tcBorders>
              <w:top w:val="nil"/>
              <w:left w:val="nil"/>
              <w:bottom w:val="nil"/>
              <w:right w:val="single" w:sz="4" w:space="0" w:color="auto"/>
            </w:tcBorders>
            <w:shd w:val="clear" w:color="auto" w:fill="auto"/>
            <w:hideMark/>
          </w:tcPr>
          <w:p w14:paraId="55455A25" w14:textId="77777777" w:rsidR="005B372A" w:rsidRPr="00C05886" w:rsidRDefault="005B372A" w:rsidP="002A6F07">
            <w:pPr>
              <w:spacing w:after="0" w:line="240" w:lineRule="auto"/>
              <w:rPr>
                <w:color w:val="000000"/>
                <w:sz w:val="20"/>
                <w:szCs w:val="20"/>
              </w:rPr>
            </w:pPr>
            <w:r w:rsidRPr="00C05886">
              <w:rPr>
                <w:color w:val="000000"/>
                <w:sz w:val="20"/>
                <w:szCs w:val="20"/>
              </w:rPr>
              <w:t>0.001</w:t>
            </w:r>
          </w:p>
        </w:tc>
      </w:tr>
      <w:tr w:rsidR="005B372A" w:rsidRPr="00C05886" w14:paraId="01F75034" w14:textId="77777777" w:rsidTr="009A1B2F">
        <w:trPr>
          <w:trHeight w:val="238"/>
        </w:trPr>
        <w:tc>
          <w:tcPr>
            <w:tcW w:w="1924" w:type="dxa"/>
            <w:tcBorders>
              <w:top w:val="nil"/>
              <w:left w:val="single" w:sz="4" w:space="0" w:color="auto"/>
              <w:bottom w:val="nil"/>
              <w:right w:val="nil"/>
            </w:tcBorders>
            <w:shd w:val="clear" w:color="auto" w:fill="auto"/>
            <w:hideMark/>
          </w:tcPr>
          <w:p w14:paraId="7B19BAC3" w14:textId="77777777" w:rsidR="005B372A" w:rsidRPr="00C05886" w:rsidRDefault="005B372A" w:rsidP="002A6F07">
            <w:pPr>
              <w:spacing w:after="0" w:line="240" w:lineRule="auto"/>
              <w:rPr>
                <w:color w:val="000000"/>
                <w:sz w:val="20"/>
                <w:szCs w:val="20"/>
              </w:rPr>
            </w:pPr>
          </w:p>
        </w:tc>
        <w:tc>
          <w:tcPr>
            <w:tcW w:w="2075" w:type="dxa"/>
            <w:tcBorders>
              <w:top w:val="nil"/>
              <w:left w:val="nil"/>
              <w:bottom w:val="nil"/>
              <w:right w:val="nil"/>
            </w:tcBorders>
            <w:shd w:val="clear" w:color="auto" w:fill="auto"/>
            <w:hideMark/>
          </w:tcPr>
          <w:p w14:paraId="251EBEAE" w14:textId="77777777" w:rsidR="005B372A" w:rsidRPr="00C05886" w:rsidRDefault="005B372A" w:rsidP="002A6F07">
            <w:pPr>
              <w:spacing w:after="0" w:line="240" w:lineRule="auto"/>
              <w:rPr>
                <w:color w:val="000000"/>
                <w:sz w:val="20"/>
                <w:szCs w:val="20"/>
              </w:rPr>
            </w:pPr>
            <w:r w:rsidRPr="00C05886">
              <w:rPr>
                <w:color w:val="000000"/>
                <w:sz w:val="20"/>
                <w:szCs w:val="20"/>
              </w:rPr>
              <w:t>Interaction</w:t>
            </w:r>
          </w:p>
        </w:tc>
        <w:tc>
          <w:tcPr>
            <w:tcW w:w="1330" w:type="dxa"/>
            <w:tcBorders>
              <w:top w:val="nil"/>
              <w:left w:val="nil"/>
              <w:bottom w:val="nil"/>
              <w:right w:val="nil"/>
            </w:tcBorders>
            <w:shd w:val="clear" w:color="auto" w:fill="auto"/>
            <w:hideMark/>
          </w:tcPr>
          <w:p w14:paraId="2785EC29" w14:textId="77777777" w:rsidR="005B372A" w:rsidRPr="00C05886" w:rsidRDefault="005B372A" w:rsidP="002A6F07">
            <w:pPr>
              <w:spacing w:after="0" w:line="240" w:lineRule="auto"/>
              <w:rPr>
                <w:color w:val="000000"/>
                <w:sz w:val="20"/>
                <w:szCs w:val="20"/>
              </w:rPr>
            </w:pPr>
            <w:r w:rsidRPr="00C05886">
              <w:rPr>
                <w:color w:val="000000"/>
                <w:sz w:val="20"/>
                <w:szCs w:val="20"/>
              </w:rPr>
              <w:t>1.18</w:t>
            </w:r>
          </w:p>
        </w:tc>
        <w:tc>
          <w:tcPr>
            <w:tcW w:w="1182" w:type="dxa"/>
            <w:tcBorders>
              <w:top w:val="nil"/>
              <w:left w:val="nil"/>
              <w:bottom w:val="nil"/>
              <w:right w:val="nil"/>
            </w:tcBorders>
            <w:shd w:val="clear" w:color="auto" w:fill="auto"/>
            <w:hideMark/>
          </w:tcPr>
          <w:p w14:paraId="57C1974B" w14:textId="77777777" w:rsidR="005B372A" w:rsidRPr="00C05886" w:rsidRDefault="005B372A" w:rsidP="002A6F07">
            <w:pPr>
              <w:spacing w:after="0" w:line="240" w:lineRule="auto"/>
              <w:rPr>
                <w:color w:val="000000"/>
                <w:sz w:val="20"/>
                <w:szCs w:val="20"/>
              </w:rPr>
            </w:pPr>
            <w:r w:rsidRPr="00C05886">
              <w:rPr>
                <w:color w:val="000000"/>
                <w:sz w:val="20"/>
                <w:szCs w:val="20"/>
              </w:rPr>
              <w:t>0.31</w:t>
            </w:r>
          </w:p>
        </w:tc>
        <w:tc>
          <w:tcPr>
            <w:tcW w:w="2136" w:type="dxa"/>
            <w:tcBorders>
              <w:top w:val="nil"/>
              <w:left w:val="nil"/>
              <w:bottom w:val="nil"/>
              <w:right w:val="single" w:sz="4" w:space="0" w:color="auto"/>
            </w:tcBorders>
            <w:shd w:val="clear" w:color="auto" w:fill="auto"/>
            <w:hideMark/>
          </w:tcPr>
          <w:p w14:paraId="38D5ED24" w14:textId="77777777" w:rsidR="005B372A" w:rsidRPr="00C05886" w:rsidRDefault="005B372A" w:rsidP="002A6F07">
            <w:pPr>
              <w:spacing w:after="0" w:line="240" w:lineRule="auto"/>
              <w:rPr>
                <w:color w:val="000000"/>
                <w:sz w:val="20"/>
                <w:szCs w:val="20"/>
              </w:rPr>
            </w:pPr>
            <w:r w:rsidRPr="00C05886">
              <w:rPr>
                <w:color w:val="000000"/>
                <w:sz w:val="20"/>
                <w:szCs w:val="20"/>
              </w:rPr>
              <w:t>0.01</w:t>
            </w:r>
          </w:p>
        </w:tc>
      </w:tr>
      <w:tr w:rsidR="005B372A" w:rsidRPr="00C05886" w14:paraId="4DF178A6" w14:textId="77777777" w:rsidTr="009A1B2F">
        <w:trPr>
          <w:trHeight w:val="119"/>
        </w:trPr>
        <w:tc>
          <w:tcPr>
            <w:tcW w:w="8647" w:type="dxa"/>
            <w:gridSpan w:val="5"/>
            <w:tcBorders>
              <w:top w:val="single" w:sz="8" w:space="0" w:color="auto"/>
              <w:left w:val="single" w:sz="4" w:space="0" w:color="auto"/>
              <w:bottom w:val="single" w:sz="8" w:space="0" w:color="auto"/>
              <w:right w:val="single" w:sz="4" w:space="0" w:color="auto"/>
            </w:tcBorders>
            <w:shd w:val="clear" w:color="auto" w:fill="auto"/>
            <w:hideMark/>
          </w:tcPr>
          <w:p w14:paraId="07CC915E" w14:textId="77777777" w:rsidR="005B372A" w:rsidRPr="00C05886" w:rsidRDefault="005B372A" w:rsidP="002A6F07">
            <w:pPr>
              <w:spacing w:after="0" w:line="240" w:lineRule="auto"/>
              <w:rPr>
                <w:b/>
                <w:bCs/>
                <w:color w:val="000000"/>
                <w:sz w:val="20"/>
                <w:szCs w:val="20"/>
              </w:rPr>
            </w:pPr>
            <w:r w:rsidRPr="00C05886">
              <w:rPr>
                <w:b/>
                <w:bCs/>
                <w:color w:val="000000"/>
                <w:sz w:val="20"/>
                <w:szCs w:val="20"/>
              </w:rPr>
              <w:t>Effect of the perceived level of biodiversity</w:t>
            </w:r>
          </w:p>
        </w:tc>
      </w:tr>
      <w:tr w:rsidR="005B372A" w:rsidRPr="00C05886" w14:paraId="1C330532" w14:textId="77777777" w:rsidTr="009A1B2F">
        <w:trPr>
          <w:trHeight w:val="232"/>
        </w:trPr>
        <w:tc>
          <w:tcPr>
            <w:tcW w:w="1924" w:type="dxa"/>
            <w:tcBorders>
              <w:top w:val="nil"/>
              <w:left w:val="single" w:sz="4" w:space="0" w:color="auto"/>
              <w:right w:val="nil"/>
            </w:tcBorders>
            <w:shd w:val="clear" w:color="auto" w:fill="auto"/>
            <w:hideMark/>
          </w:tcPr>
          <w:p w14:paraId="43AE5D4C" w14:textId="77777777" w:rsidR="005B372A" w:rsidRPr="00C05886" w:rsidRDefault="005B372A" w:rsidP="002A6F07">
            <w:pPr>
              <w:spacing w:after="0" w:line="240" w:lineRule="auto"/>
              <w:rPr>
                <w:color w:val="000000"/>
                <w:sz w:val="20"/>
                <w:szCs w:val="20"/>
              </w:rPr>
            </w:pPr>
            <w:r w:rsidRPr="00C05886">
              <w:rPr>
                <w:color w:val="000000"/>
                <w:sz w:val="20"/>
                <w:szCs w:val="20"/>
              </w:rPr>
              <w:t>Negative Affect</w:t>
            </w:r>
          </w:p>
        </w:tc>
        <w:tc>
          <w:tcPr>
            <w:tcW w:w="2075" w:type="dxa"/>
            <w:tcBorders>
              <w:top w:val="nil"/>
              <w:left w:val="nil"/>
              <w:bottom w:val="nil"/>
              <w:right w:val="nil"/>
            </w:tcBorders>
            <w:shd w:val="clear" w:color="auto" w:fill="auto"/>
            <w:hideMark/>
          </w:tcPr>
          <w:p w14:paraId="133E17D6" w14:textId="77777777" w:rsidR="005B372A" w:rsidRPr="00C05886" w:rsidRDefault="005B372A" w:rsidP="002A6F07">
            <w:pPr>
              <w:spacing w:after="0" w:line="240" w:lineRule="auto"/>
              <w:rPr>
                <w:color w:val="000000"/>
                <w:sz w:val="20"/>
                <w:szCs w:val="20"/>
              </w:rPr>
            </w:pPr>
            <w:r w:rsidRPr="00C05886">
              <w:rPr>
                <w:color w:val="000000"/>
                <w:sz w:val="20"/>
                <w:szCs w:val="20"/>
              </w:rPr>
              <w:t>Within-subjects</w:t>
            </w:r>
          </w:p>
        </w:tc>
        <w:tc>
          <w:tcPr>
            <w:tcW w:w="1330" w:type="dxa"/>
            <w:tcBorders>
              <w:top w:val="nil"/>
              <w:left w:val="nil"/>
              <w:bottom w:val="nil"/>
              <w:right w:val="nil"/>
            </w:tcBorders>
            <w:shd w:val="clear" w:color="auto" w:fill="auto"/>
            <w:hideMark/>
          </w:tcPr>
          <w:p w14:paraId="50251D72" w14:textId="77777777" w:rsidR="005B372A" w:rsidRPr="00C05886" w:rsidRDefault="005B372A" w:rsidP="002A6F07">
            <w:pPr>
              <w:spacing w:after="0" w:line="240" w:lineRule="auto"/>
              <w:rPr>
                <w:color w:val="000000"/>
                <w:sz w:val="20"/>
                <w:szCs w:val="20"/>
              </w:rPr>
            </w:pPr>
            <w:r w:rsidRPr="00C05886">
              <w:rPr>
                <w:color w:val="000000"/>
                <w:sz w:val="20"/>
                <w:szCs w:val="20"/>
              </w:rPr>
              <w:t>114.7</w:t>
            </w:r>
          </w:p>
        </w:tc>
        <w:tc>
          <w:tcPr>
            <w:tcW w:w="1182" w:type="dxa"/>
            <w:tcBorders>
              <w:top w:val="nil"/>
              <w:left w:val="nil"/>
              <w:bottom w:val="nil"/>
              <w:right w:val="nil"/>
            </w:tcBorders>
            <w:shd w:val="clear" w:color="auto" w:fill="auto"/>
            <w:hideMark/>
          </w:tcPr>
          <w:p w14:paraId="3AE77ACD" w14:textId="77777777" w:rsidR="005B372A" w:rsidRPr="00C05886" w:rsidRDefault="005B372A" w:rsidP="002A6F07">
            <w:pPr>
              <w:spacing w:after="0" w:line="240" w:lineRule="auto"/>
              <w:rPr>
                <w:color w:val="000000"/>
                <w:sz w:val="20"/>
                <w:szCs w:val="20"/>
              </w:rPr>
            </w:pPr>
            <w:r w:rsidRPr="00C05886">
              <w:rPr>
                <w:color w:val="000000"/>
                <w:sz w:val="20"/>
                <w:szCs w:val="20"/>
              </w:rPr>
              <w:t>&lt; 0.005</w:t>
            </w:r>
          </w:p>
        </w:tc>
        <w:tc>
          <w:tcPr>
            <w:tcW w:w="2136" w:type="dxa"/>
            <w:tcBorders>
              <w:top w:val="nil"/>
              <w:left w:val="nil"/>
              <w:bottom w:val="nil"/>
              <w:right w:val="single" w:sz="4" w:space="0" w:color="auto"/>
            </w:tcBorders>
            <w:shd w:val="clear" w:color="auto" w:fill="auto"/>
            <w:hideMark/>
          </w:tcPr>
          <w:p w14:paraId="5D5EE2E3" w14:textId="77777777" w:rsidR="005B372A" w:rsidRPr="00C05886" w:rsidRDefault="005B372A" w:rsidP="002A6F07">
            <w:pPr>
              <w:spacing w:after="0" w:line="240" w:lineRule="auto"/>
              <w:rPr>
                <w:color w:val="000000"/>
                <w:sz w:val="20"/>
                <w:szCs w:val="20"/>
              </w:rPr>
            </w:pPr>
            <w:r w:rsidRPr="00C05886">
              <w:rPr>
                <w:color w:val="000000"/>
                <w:sz w:val="20"/>
                <w:szCs w:val="20"/>
              </w:rPr>
              <w:t>0.24</w:t>
            </w:r>
          </w:p>
        </w:tc>
      </w:tr>
      <w:tr w:rsidR="005B372A" w:rsidRPr="00C05886" w14:paraId="22967C86" w14:textId="77777777" w:rsidTr="009A1B2F">
        <w:trPr>
          <w:trHeight w:val="232"/>
        </w:trPr>
        <w:tc>
          <w:tcPr>
            <w:tcW w:w="1924" w:type="dxa"/>
            <w:tcBorders>
              <w:left w:val="single" w:sz="4" w:space="0" w:color="auto"/>
              <w:right w:val="nil"/>
            </w:tcBorders>
            <w:shd w:val="clear" w:color="auto" w:fill="auto"/>
            <w:hideMark/>
          </w:tcPr>
          <w:p w14:paraId="6C5B03C3" w14:textId="77777777" w:rsidR="005B372A" w:rsidRPr="00C05886" w:rsidRDefault="005B372A" w:rsidP="002A6F07">
            <w:pPr>
              <w:spacing w:after="0" w:line="240" w:lineRule="auto"/>
              <w:rPr>
                <w:color w:val="000000"/>
                <w:sz w:val="20"/>
                <w:szCs w:val="20"/>
              </w:rPr>
            </w:pPr>
          </w:p>
        </w:tc>
        <w:tc>
          <w:tcPr>
            <w:tcW w:w="2075" w:type="dxa"/>
            <w:tcBorders>
              <w:top w:val="nil"/>
              <w:left w:val="nil"/>
              <w:bottom w:val="nil"/>
              <w:right w:val="nil"/>
            </w:tcBorders>
            <w:shd w:val="clear" w:color="auto" w:fill="auto"/>
            <w:hideMark/>
          </w:tcPr>
          <w:p w14:paraId="7AAC3D4F" w14:textId="77777777" w:rsidR="005B372A" w:rsidRPr="00C05886" w:rsidRDefault="005B372A" w:rsidP="002A6F07">
            <w:pPr>
              <w:spacing w:after="0" w:line="240" w:lineRule="auto"/>
              <w:rPr>
                <w:color w:val="000000"/>
                <w:sz w:val="20"/>
                <w:szCs w:val="20"/>
              </w:rPr>
            </w:pPr>
            <w:r w:rsidRPr="00C05886">
              <w:rPr>
                <w:color w:val="000000"/>
                <w:sz w:val="20"/>
                <w:szCs w:val="20"/>
              </w:rPr>
              <w:t>Between Subjects</w:t>
            </w:r>
          </w:p>
        </w:tc>
        <w:tc>
          <w:tcPr>
            <w:tcW w:w="1330" w:type="dxa"/>
            <w:tcBorders>
              <w:top w:val="nil"/>
              <w:left w:val="nil"/>
              <w:bottom w:val="nil"/>
              <w:right w:val="nil"/>
            </w:tcBorders>
            <w:shd w:val="clear" w:color="auto" w:fill="auto"/>
            <w:hideMark/>
          </w:tcPr>
          <w:p w14:paraId="3CB8E813" w14:textId="77777777" w:rsidR="005B372A" w:rsidRPr="00C05886" w:rsidRDefault="005B372A" w:rsidP="002A6F07">
            <w:pPr>
              <w:spacing w:after="0" w:line="240" w:lineRule="auto"/>
              <w:rPr>
                <w:color w:val="000000"/>
                <w:sz w:val="20"/>
                <w:szCs w:val="20"/>
              </w:rPr>
            </w:pPr>
            <w:r w:rsidRPr="00C05886">
              <w:rPr>
                <w:color w:val="000000"/>
                <w:sz w:val="20"/>
                <w:szCs w:val="20"/>
              </w:rPr>
              <w:t>3.43</w:t>
            </w:r>
          </w:p>
        </w:tc>
        <w:tc>
          <w:tcPr>
            <w:tcW w:w="1182" w:type="dxa"/>
            <w:tcBorders>
              <w:top w:val="nil"/>
              <w:left w:val="nil"/>
              <w:bottom w:val="nil"/>
              <w:right w:val="nil"/>
            </w:tcBorders>
            <w:shd w:val="clear" w:color="auto" w:fill="auto"/>
            <w:hideMark/>
          </w:tcPr>
          <w:p w14:paraId="1CABFBCB" w14:textId="77777777" w:rsidR="005B372A" w:rsidRPr="00C05886" w:rsidRDefault="005B372A" w:rsidP="002A6F07">
            <w:pPr>
              <w:spacing w:after="0" w:line="240" w:lineRule="auto"/>
              <w:rPr>
                <w:color w:val="000000"/>
                <w:sz w:val="20"/>
                <w:szCs w:val="20"/>
              </w:rPr>
            </w:pPr>
            <w:r w:rsidRPr="00C05886">
              <w:rPr>
                <w:color w:val="000000"/>
                <w:sz w:val="20"/>
                <w:szCs w:val="20"/>
              </w:rPr>
              <w:t>0.03</w:t>
            </w:r>
          </w:p>
        </w:tc>
        <w:tc>
          <w:tcPr>
            <w:tcW w:w="2136" w:type="dxa"/>
            <w:tcBorders>
              <w:top w:val="nil"/>
              <w:left w:val="nil"/>
              <w:bottom w:val="nil"/>
              <w:right w:val="single" w:sz="4" w:space="0" w:color="auto"/>
            </w:tcBorders>
            <w:shd w:val="clear" w:color="auto" w:fill="auto"/>
            <w:hideMark/>
          </w:tcPr>
          <w:p w14:paraId="0CE75AE3" w14:textId="77777777" w:rsidR="005B372A" w:rsidRPr="00C05886" w:rsidRDefault="005B372A" w:rsidP="002A6F07">
            <w:pPr>
              <w:spacing w:after="0" w:line="240" w:lineRule="auto"/>
              <w:rPr>
                <w:color w:val="000000"/>
                <w:sz w:val="20"/>
                <w:szCs w:val="20"/>
              </w:rPr>
            </w:pPr>
            <w:r w:rsidRPr="00C05886">
              <w:rPr>
                <w:color w:val="000000"/>
                <w:sz w:val="20"/>
                <w:szCs w:val="20"/>
              </w:rPr>
              <w:t>0.02</w:t>
            </w:r>
          </w:p>
        </w:tc>
      </w:tr>
      <w:tr w:rsidR="005B372A" w:rsidRPr="00C05886" w14:paraId="53575385" w14:textId="77777777" w:rsidTr="009A1B2F">
        <w:trPr>
          <w:trHeight w:val="232"/>
        </w:trPr>
        <w:tc>
          <w:tcPr>
            <w:tcW w:w="1924" w:type="dxa"/>
            <w:tcBorders>
              <w:left w:val="single" w:sz="4" w:space="0" w:color="auto"/>
              <w:right w:val="nil"/>
            </w:tcBorders>
            <w:shd w:val="clear" w:color="auto" w:fill="auto"/>
            <w:hideMark/>
          </w:tcPr>
          <w:p w14:paraId="0233F427" w14:textId="77777777" w:rsidR="005B372A" w:rsidRPr="00C05886" w:rsidRDefault="005B372A" w:rsidP="002A6F07">
            <w:pPr>
              <w:spacing w:after="0" w:line="240" w:lineRule="auto"/>
              <w:rPr>
                <w:color w:val="000000"/>
                <w:sz w:val="20"/>
                <w:szCs w:val="20"/>
              </w:rPr>
            </w:pPr>
          </w:p>
        </w:tc>
        <w:tc>
          <w:tcPr>
            <w:tcW w:w="2075" w:type="dxa"/>
            <w:tcBorders>
              <w:top w:val="nil"/>
              <w:left w:val="nil"/>
              <w:bottom w:val="nil"/>
              <w:right w:val="nil"/>
            </w:tcBorders>
            <w:shd w:val="clear" w:color="auto" w:fill="auto"/>
            <w:hideMark/>
          </w:tcPr>
          <w:p w14:paraId="1E2A3CFC" w14:textId="77777777" w:rsidR="005B372A" w:rsidRPr="00C05886" w:rsidRDefault="005B372A" w:rsidP="002A6F07">
            <w:pPr>
              <w:spacing w:after="0" w:line="240" w:lineRule="auto"/>
              <w:rPr>
                <w:color w:val="000000"/>
                <w:sz w:val="20"/>
                <w:szCs w:val="20"/>
              </w:rPr>
            </w:pPr>
            <w:r w:rsidRPr="00C05886">
              <w:rPr>
                <w:color w:val="000000"/>
                <w:sz w:val="20"/>
                <w:szCs w:val="20"/>
              </w:rPr>
              <w:t>Interaction</w:t>
            </w:r>
          </w:p>
        </w:tc>
        <w:tc>
          <w:tcPr>
            <w:tcW w:w="1330" w:type="dxa"/>
            <w:tcBorders>
              <w:top w:val="nil"/>
              <w:left w:val="nil"/>
              <w:bottom w:val="nil"/>
              <w:right w:val="nil"/>
            </w:tcBorders>
            <w:shd w:val="clear" w:color="auto" w:fill="auto"/>
            <w:hideMark/>
          </w:tcPr>
          <w:p w14:paraId="55724798" w14:textId="77777777" w:rsidR="005B372A" w:rsidRPr="00C05886" w:rsidRDefault="005B372A" w:rsidP="002A6F07">
            <w:pPr>
              <w:spacing w:after="0" w:line="240" w:lineRule="auto"/>
              <w:rPr>
                <w:color w:val="000000"/>
                <w:sz w:val="20"/>
                <w:szCs w:val="20"/>
              </w:rPr>
            </w:pPr>
            <w:r w:rsidRPr="00C05886">
              <w:rPr>
                <w:color w:val="000000"/>
                <w:sz w:val="20"/>
                <w:szCs w:val="20"/>
              </w:rPr>
              <w:t>1.24</w:t>
            </w:r>
          </w:p>
        </w:tc>
        <w:tc>
          <w:tcPr>
            <w:tcW w:w="1182" w:type="dxa"/>
            <w:tcBorders>
              <w:top w:val="nil"/>
              <w:left w:val="nil"/>
              <w:bottom w:val="nil"/>
              <w:right w:val="nil"/>
            </w:tcBorders>
            <w:shd w:val="clear" w:color="auto" w:fill="auto"/>
            <w:hideMark/>
          </w:tcPr>
          <w:p w14:paraId="1C317DF8" w14:textId="77777777" w:rsidR="005B372A" w:rsidRPr="00C05886" w:rsidRDefault="005B372A" w:rsidP="002A6F07">
            <w:pPr>
              <w:spacing w:after="0" w:line="240" w:lineRule="auto"/>
              <w:rPr>
                <w:color w:val="000000"/>
                <w:sz w:val="20"/>
                <w:szCs w:val="20"/>
              </w:rPr>
            </w:pPr>
            <w:r w:rsidRPr="00C05886">
              <w:rPr>
                <w:color w:val="000000"/>
                <w:sz w:val="20"/>
                <w:szCs w:val="20"/>
              </w:rPr>
              <w:t>0.29</w:t>
            </w:r>
          </w:p>
        </w:tc>
        <w:tc>
          <w:tcPr>
            <w:tcW w:w="2136" w:type="dxa"/>
            <w:tcBorders>
              <w:top w:val="nil"/>
              <w:left w:val="nil"/>
              <w:bottom w:val="nil"/>
              <w:right w:val="single" w:sz="4" w:space="0" w:color="auto"/>
            </w:tcBorders>
            <w:shd w:val="clear" w:color="auto" w:fill="auto"/>
            <w:hideMark/>
          </w:tcPr>
          <w:p w14:paraId="31BA4E37" w14:textId="77777777" w:rsidR="005B372A" w:rsidRPr="00C05886" w:rsidRDefault="005B372A" w:rsidP="002A6F07">
            <w:pPr>
              <w:spacing w:after="0" w:line="240" w:lineRule="auto"/>
              <w:rPr>
                <w:color w:val="000000"/>
                <w:sz w:val="20"/>
                <w:szCs w:val="20"/>
              </w:rPr>
            </w:pPr>
            <w:r w:rsidRPr="00C05886">
              <w:rPr>
                <w:color w:val="000000"/>
                <w:sz w:val="20"/>
                <w:szCs w:val="20"/>
              </w:rPr>
              <w:t>0.007</w:t>
            </w:r>
          </w:p>
        </w:tc>
      </w:tr>
      <w:tr w:rsidR="005B372A" w:rsidRPr="00C05886" w14:paraId="7D3DEB89" w14:textId="77777777" w:rsidTr="009A1B2F">
        <w:trPr>
          <w:trHeight w:val="232"/>
        </w:trPr>
        <w:tc>
          <w:tcPr>
            <w:tcW w:w="1924" w:type="dxa"/>
            <w:tcBorders>
              <w:left w:val="single" w:sz="4" w:space="0" w:color="auto"/>
              <w:right w:val="nil"/>
            </w:tcBorders>
            <w:shd w:val="clear" w:color="auto" w:fill="auto"/>
            <w:hideMark/>
          </w:tcPr>
          <w:p w14:paraId="582BF05A" w14:textId="77777777" w:rsidR="005B372A" w:rsidRPr="00C05886" w:rsidRDefault="005B372A" w:rsidP="002A6F07">
            <w:pPr>
              <w:spacing w:after="0" w:line="240" w:lineRule="auto"/>
              <w:rPr>
                <w:color w:val="000000"/>
                <w:sz w:val="20"/>
                <w:szCs w:val="20"/>
              </w:rPr>
            </w:pPr>
            <w:r w:rsidRPr="00C05886">
              <w:rPr>
                <w:color w:val="000000"/>
                <w:sz w:val="20"/>
                <w:szCs w:val="20"/>
              </w:rPr>
              <w:t>Positive Affect</w:t>
            </w:r>
          </w:p>
        </w:tc>
        <w:tc>
          <w:tcPr>
            <w:tcW w:w="2075" w:type="dxa"/>
            <w:tcBorders>
              <w:top w:val="nil"/>
              <w:left w:val="nil"/>
              <w:bottom w:val="nil"/>
              <w:right w:val="nil"/>
            </w:tcBorders>
            <w:shd w:val="clear" w:color="auto" w:fill="auto"/>
            <w:hideMark/>
          </w:tcPr>
          <w:p w14:paraId="28B0A123" w14:textId="77777777" w:rsidR="005B372A" w:rsidRPr="00C05886" w:rsidRDefault="005B372A" w:rsidP="002A6F07">
            <w:pPr>
              <w:spacing w:after="0" w:line="240" w:lineRule="auto"/>
              <w:rPr>
                <w:color w:val="000000"/>
                <w:sz w:val="20"/>
                <w:szCs w:val="20"/>
              </w:rPr>
            </w:pPr>
            <w:r w:rsidRPr="00C05886">
              <w:rPr>
                <w:color w:val="000000"/>
                <w:sz w:val="20"/>
                <w:szCs w:val="20"/>
              </w:rPr>
              <w:t>Within-subjects</w:t>
            </w:r>
          </w:p>
        </w:tc>
        <w:tc>
          <w:tcPr>
            <w:tcW w:w="1330" w:type="dxa"/>
            <w:tcBorders>
              <w:top w:val="nil"/>
              <w:left w:val="nil"/>
              <w:bottom w:val="nil"/>
              <w:right w:val="nil"/>
            </w:tcBorders>
            <w:shd w:val="clear" w:color="auto" w:fill="auto"/>
            <w:hideMark/>
          </w:tcPr>
          <w:p w14:paraId="1B227989" w14:textId="77777777" w:rsidR="005B372A" w:rsidRPr="00C05886" w:rsidRDefault="005B372A" w:rsidP="002A6F07">
            <w:pPr>
              <w:spacing w:after="0" w:line="240" w:lineRule="auto"/>
              <w:rPr>
                <w:color w:val="000000"/>
                <w:sz w:val="20"/>
                <w:szCs w:val="20"/>
              </w:rPr>
            </w:pPr>
            <w:r w:rsidRPr="00C05886">
              <w:rPr>
                <w:color w:val="000000"/>
                <w:sz w:val="20"/>
                <w:szCs w:val="20"/>
              </w:rPr>
              <w:t>3.13</w:t>
            </w:r>
          </w:p>
        </w:tc>
        <w:tc>
          <w:tcPr>
            <w:tcW w:w="1182" w:type="dxa"/>
            <w:tcBorders>
              <w:top w:val="nil"/>
              <w:left w:val="nil"/>
              <w:bottom w:val="nil"/>
              <w:right w:val="nil"/>
            </w:tcBorders>
            <w:shd w:val="clear" w:color="auto" w:fill="auto"/>
            <w:hideMark/>
          </w:tcPr>
          <w:p w14:paraId="149D2AA1" w14:textId="77777777" w:rsidR="005B372A" w:rsidRPr="00C05886" w:rsidRDefault="005B372A" w:rsidP="002A6F07">
            <w:pPr>
              <w:spacing w:after="0" w:line="240" w:lineRule="auto"/>
              <w:rPr>
                <w:color w:val="000000"/>
                <w:sz w:val="20"/>
                <w:szCs w:val="20"/>
              </w:rPr>
            </w:pPr>
            <w:r w:rsidRPr="00C05886">
              <w:rPr>
                <w:color w:val="000000"/>
                <w:sz w:val="20"/>
                <w:szCs w:val="20"/>
              </w:rPr>
              <w:t>0.04</w:t>
            </w:r>
          </w:p>
        </w:tc>
        <w:tc>
          <w:tcPr>
            <w:tcW w:w="2136" w:type="dxa"/>
            <w:tcBorders>
              <w:top w:val="nil"/>
              <w:left w:val="nil"/>
              <w:bottom w:val="nil"/>
              <w:right w:val="single" w:sz="4" w:space="0" w:color="auto"/>
            </w:tcBorders>
            <w:shd w:val="clear" w:color="auto" w:fill="auto"/>
            <w:hideMark/>
          </w:tcPr>
          <w:p w14:paraId="6C791C41" w14:textId="77777777" w:rsidR="005B372A" w:rsidRPr="00C05886" w:rsidRDefault="005B372A" w:rsidP="002A6F07">
            <w:pPr>
              <w:spacing w:after="0" w:line="240" w:lineRule="auto"/>
              <w:rPr>
                <w:color w:val="000000"/>
                <w:sz w:val="20"/>
                <w:szCs w:val="20"/>
              </w:rPr>
            </w:pPr>
            <w:r w:rsidRPr="00C05886">
              <w:rPr>
                <w:color w:val="000000"/>
                <w:sz w:val="20"/>
                <w:szCs w:val="20"/>
              </w:rPr>
              <w:t>0.008</w:t>
            </w:r>
          </w:p>
        </w:tc>
      </w:tr>
      <w:tr w:rsidR="005B372A" w:rsidRPr="00C05886" w14:paraId="60B84E63" w14:textId="77777777" w:rsidTr="009A1B2F">
        <w:trPr>
          <w:trHeight w:val="232"/>
        </w:trPr>
        <w:tc>
          <w:tcPr>
            <w:tcW w:w="1924" w:type="dxa"/>
            <w:tcBorders>
              <w:left w:val="single" w:sz="4" w:space="0" w:color="auto"/>
              <w:right w:val="nil"/>
            </w:tcBorders>
            <w:shd w:val="clear" w:color="auto" w:fill="auto"/>
            <w:hideMark/>
          </w:tcPr>
          <w:p w14:paraId="4B81E5C6" w14:textId="77777777" w:rsidR="005B372A" w:rsidRPr="00C05886" w:rsidRDefault="005B372A" w:rsidP="002A6F07">
            <w:pPr>
              <w:spacing w:after="0" w:line="240" w:lineRule="auto"/>
              <w:rPr>
                <w:color w:val="000000"/>
                <w:sz w:val="20"/>
                <w:szCs w:val="20"/>
              </w:rPr>
            </w:pPr>
          </w:p>
        </w:tc>
        <w:tc>
          <w:tcPr>
            <w:tcW w:w="2075" w:type="dxa"/>
            <w:tcBorders>
              <w:top w:val="nil"/>
              <w:left w:val="nil"/>
              <w:bottom w:val="nil"/>
              <w:right w:val="nil"/>
            </w:tcBorders>
            <w:shd w:val="clear" w:color="auto" w:fill="auto"/>
            <w:hideMark/>
          </w:tcPr>
          <w:p w14:paraId="5158B246" w14:textId="77777777" w:rsidR="005B372A" w:rsidRPr="00C05886" w:rsidRDefault="005B372A" w:rsidP="002A6F07">
            <w:pPr>
              <w:spacing w:after="0" w:line="240" w:lineRule="auto"/>
              <w:rPr>
                <w:color w:val="000000"/>
                <w:sz w:val="20"/>
                <w:szCs w:val="20"/>
              </w:rPr>
            </w:pPr>
            <w:r w:rsidRPr="00C05886">
              <w:rPr>
                <w:color w:val="000000"/>
                <w:sz w:val="20"/>
                <w:szCs w:val="20"/>
              </w:rPr>
              <w:t>Between Subjects</w:t>
            </w:r>
          </w:p>
        </w:tc>
        <w:tc>
          <w:tcPr>
            <w:tcW w:w="1330" w:type="dxa"/>
            <w:tcBorders>
              <w:top w:val="nil"/>
              <w:left w:val="nil"/>
              <w:bottom w:val="nil"/>
              <w:right w:val="nil"/>
            </w:tcBorders>
            <w:shd w:val="clear" w:color="auto" w:fill="auto"/>
            <w:hideMark/>
          </w:tcPr>
          <w:p w14:paraId="52BBFCFF" w14:textId="77777777" w:rsidR="005B372A" w:rsidRPr="00C05886" w:rsidRDefault="005B372A" w:rsidP="002A6F07">
            <w:pPr>
              <w:spacing w:after="0" w:line="240" w:lineRule="auto"/>
              <w:rPr>
                <w:color w:val="000000"/>
                <w:sz w:val="20"/>
                <w:szCs w:val="20"/>
              </w:rPr>
            </w:pPr>
            <w:r w:rsidRPr="00C05886">
              <w:rPr>
                <w:color w:val="000000"/>
                <w:sz w:val="20"/>
                <w:szCs w:val="20"/>
              </w:rPr>
              <w:t>6.93</w:t>
            </w:r>
          </w:p>
        </w:tc>
        <w:tc>
          <w:tcPr>
            <w:tcW w:w="1182" w:type="dxa"/>
            <w:tcBorders>
              <w:top w:val="nil"/>
              <w:left w:val="nil"/>
              <w:bottom w:val="nil"/>
              <w:right w:val="nil"/>
            </w:tcBorders>
            <w:shd w:val="clear" w:color="auto" w:fill="auto"/>
            <w:hideMark/>
          </w:tcPr>
          <w:p w14:paraId="10E5AD1D" w14:textId="77777777" w:rsidR="005B372A" w:rsidRPr="00C05886" w:rsidRDefault="005B372A" w:rsidP="002A6F07">
            <w:pPr>
              <w:spacing w:after="0" w:line="240" w:lineRule="auto"/>
              <w:rPr>
                <w:color w:val="000000"/>
                <w:sz w:val="20"/>
                <w:szCs w:val="20"/>
              </w:rPr>
            </w:pPr>
            <w:r w:rsidRPr="00C05886">
              <w:rPr>
                <w:color w:val="000000"/>
                <w:sz w:val="20"/>
                <w:szCs w:val="20"/>
              </w:rPr>
              <w:t>&lt; 0.005</w:t>
            </w:r>
          </w:p>
        </w:tc>
        <w:tc>
          <w:tcPr>
            <w:tcW w:w="2136" w:type="dxa"/>
            <w:tcBorders>
              <w:top w:val="nil"/>
              <w:left w:val="nil"/>
              <w:bottom w:val="nil"/>
              <w:right w:val="single" w:sz="4" w:space="0" w:color="auto"/>
            </w:tcBorders>
            <w:shd w:val="clear" w:color="auto" w:fill="auto"/>
            <w:hideMark/>
          </w:tcPr>
          <w:p w14:paraId="562EE948" w14:textId="77777777" w:rsidR="005B372A" w:rsidRPr="00C05886" w:rsidRDefault="005B372A" w:rsidP="002A6F07">
            <w:pPr>
              <w:spacing w:after="0" w:line="240" w:lineRule="auto"/>
              <w:rPr>
                <w:color w:val="000000"/>
                <w:sz w:val="20"/>
                <w:szCs w:val="20"/>
              </w:rPr>
            </w:pPr>
            <w:r w:rsidRPr="00C05886">
              <w:rPr>
                <w:color w:val="000000"/>
                <w:sz w:val="20"/>
                <w:szCs w:val="20"/>
              </w:rPr>
              <w:t>0.04</w:t>
            </w:r>
          </w:p>
        </w:tc>
      </w:tr>
      <w:tr w:rsidR="005B372A" w:rsidRPr="00C05886" w14:paraId="17726446" w14:textId="77777777" w:rsidTr="009A1B2F">
        <w:trPr>
          <w:trHeight w:val="238"/>
        </w:trPr>
        <w:tc>
          <w:tcPr>
            <w:tcW w:w="1924" w:type="dxa"/>
            <w:tcBorders>
              <w:left w:val="single" w:sz="4" w:space="0" w:color="auto"/>
              <w:bottom w:val="single" w:sz="8" w:space="0" w:color="000000"/>
              <w:right w:val="nil"/>
            </w:tcBorders>
            <w:shd w:val="clear" w:color="auto" w:fill="auto"/>
            <w:hideMark/>
          </w:tcPr>
          <w:p w14:paraId="19A42700" w14:textId="77777777" w:rsidR="005B372A" w:rsidRPr="00C05886" w:rsidRDefault="005B372A" w:rsidP="002A6F07">
            <w:pPr>
              <w:spacing w:after="0" w:line="240" w:lineRule="auto"/>
              <w:rPr>
                <w:color w:val="000000"/>
                <w:sz w:val="20"/>
                <w:szCs w:val="20"/>
              </w:rPr>
            </w:pPr>
          </w:p>
        </w:tc>
        <w:tc>
          <w:tcPr>
            <w:tcW w:w="2075" w:type="dxa"/>
            <w:tcBorders>
              <w:top w:val="nil"/>
              <w:left w:val="nil"/>
              <w:bottom w:val="nil"/>
              <w:right w:val="nil"/>
            </w:tcBorders>
            <w:shd w:val="clear" w:color="auto" w:fill="auto"/>
            <w:hideMark/>
          </w:tcPr>
          <w:p w14:paraId="4978E837" w14:textId="77777777" w:rsidR="005B372A" w:rsidRPr="00C05886" w:rsidRDefault="005B372A" w:rsidP="002A6F07">
            <w:pPr>
              <w:spacing w:after="0" w:line="240" w:lineRule="auto"/>
              <w:rPr>
                <w:color w:val="000000"/>
                <w:sz w:val="20"/>
                <w:szCs w:val="20"/>
              </w:rPr>
            </w:pPr>
            <w:r w:rsidRPr="00C05886">
              <w:rPr>
                <w:color w:val="000000"/>
                <w:sz w:val="20"/>
                <w:szCs w:val="20"/>
              </w:rPr>
              <w:t>Interaction</w:t>
            </w:r>
          </w:p>
        </w:tc>
        <w:tc>
          <w:tcPr>
            <w:tcW w:w="1330" w:type="dxa"/>
            <w:tcBorders>
              <w:top w:val="nil"/>
              <w:left w:val="nil"/>
              <w:bottom w:val="nil"/>
              <w:right w:val="nil"/>
            </w:tcBorders>
            <w:shd w:val="clear" w:color="auto" w:fill="auto"/>
            <w:hideMark/>
          </w:tcPr>
          <w:p w14:paraId="3E716F2E" w14:textId="77777777" w:rsidR="005B372A" w:rsidRPr="00C05886" w:rsidRDefault="005B372A" w:rsidP="002A6F07">
            <w:pPr>
              <w:spacing w:after="0" w:line="240" w:lineRule="auto"/>
              <w:rPr>
                <w:color w:val="000000"/>
                <w:sz w:val="20"/>
                <w:szCs w:val="20"/>
              </w:rPr>
            </w:pPr>
            <w:r w:rsidRPr="00C05886">
              <w:rPr>
                <w:color w:val="000000"/>
                <w:sz w:val="20"/>
                <w:szCs w:val="20"/>
              </w:rPr>
              <w:t>6.74</w:t>
            </w:r>
          </w:p>
        </w:tc>
        <w:tc>
          <w:tcPr>
            <w:tcW w:w="1182" w:type="dxa"/>
            <w:tcBorders>
              <w:top w:val="nil"/>
              <w:left w:val="nil"/>
              <w:bottom w:val="nil"/>
              <w:right w:val="nil"/>
            </w:tcBorders>
            <w:shd w:val="clear" w:color="auto" w:fill="auto"/>
            <w:hideMark/>
          </w:tcPr>
          <w:p w14:paraId="20C31274" w14:textId="77777777" w:rsidR="005B372A" w:rsidRPr="00C05886" w:rsidRDefault="005B372A" w:rsidP="002A6F07">
            <w:pPr>
              <w:spacing w:after="0" w:line="240" w:lineRule="auto"/>
              <w:rPr>
                <w:color w:val="000000"/>
                <w:sz w:val="20"/>
                <w:szCs w:val="20"/>
              </w:rPr>
            </w:pPr>
            <w:r w:rsidRPr="00C05886">
              <w:rPr>
                <w:color w:val="000000"/>
                <w:sz w:val="20"/>
                <w:szCs w:val="20"/>
              </w:rPr>
              <w:t>&lt; 0.005</w:t>
            </w:r>
          </w:p>
        </w:tc>
        <w:tc>
          <w:tcPr>
            <w:tcW w:w="2136" w:type="dxa"/>
            <w:tcBorders>
              <w:top w:val="nil"/>
              <w:left w:val="nil"/>
              <w:bottom w:val="nil"/>
              <w:right w:val="single" w:sz="4" w:space="0" w:color="auto"/>
            </w:tcBorders>
            <w:shd w:val="clear" w:color="auto" w:fill="auto"/>
            <w:hideMark/>
          </w:tcPr>
          <w:p w14:paraId="76A79E57" w14:textId="77777777" w:rsidR="005B372A" w:rsidRPr="00C05886" w:rsidRDefault="005B372A" w:rsidP="002A6F07">
            <w:pPr>
              <w:spacing w:after="0" w:line="240" w:lineRule="auto"/>
              <w:rPr>
                <w:color w:val="000000"/>
                <w:sz w:val="20"/>
                <w:szCs w:val="20"/>
              </w:rPr>
            </w:pPr>
            <w:r w:rsidRPr="00C05886">
              <w:rPr>
                <w:color w:val="000000"/>
                <w:sz w:val="20"/>
                <w:szCs w:val="20"/>
              </w:rPr>
              <w:t>0.03</w:t>
            </w:r>
          </w:p>
        </w:tc>
      </w:tr>
      <w:tr w:rsidR="005B372A" w:rsidRPr="00C05886" w14:paraId="5B52561C" w14:textId="77777777" w:rsidTr="009A1B2F">
        <w:trPr>
          <w:trHeight w:val="119"/>
        </w:trPr>
        <w:tc>
          <w:tcPr>
            <w:tcW w:w="8647" w:type="dxa"/>
            <w:gridSpan w:val="5"/>
            <w:tcBorders>
              <w:top w:val="single" w:sz="8" w:space="0" w:color="auto"/>
              <w:left w:val="single" w:sz="4" w:space="0" w:color="auto"/>
              <w:bottom w:val="single" w:sz="8" w:space="0" w:color="auto"/>
              <w:right w:val="single" w:sz="4" w:space="0" w:color="auto"/>
            </w:tcBorders>
            <w:shd w:val="clear" w:color="auto" w:fill="auto"/>
            <w:hideMark/>
          </w:tcPr>
          <w:p w14:paraId="1A7D7DDD" w14:textId="77777777" w:rsidR="005B372A" w:rsidRPr="00C05886" w:rsidRDefault="005B372A" w:rsidP="002A6F07">
            <w:pPr>
              <w:spacing w:after="0" w:line="240" w:lineRule="auto"/>
              <w:rPr>
                <w:b/>
                <w:bCs/>
                <w:color w:val="000000"/>
                <w:sz w:val="20"/>
                <w:szCs w:val="20"/>
              </w:rPr>
            </w:pPr>
            <w:r w:rsidRPr="00C05886">
              <w:rPr>
                <w:b/>
                <w:bCs/>
                <w:color w:val="000000"/>
                <w:sz w:val="20"/>
                <w:szCs w:val="20"/>
              </w:rPr>
              <w:t>Effect of noticing flowers</w:t>
            </w:r>
          </w:p>
        </w:tc>
      </w:tr>
      <w:tr w:rsidR="005B372A" w:rsidRPr="00C05886" w14:paraId="6DB6ABEB" w14:textId="77777777" w:rsidTr="009A1B2F">
        <w:trPr>
          <w:trHeight w:val="232"/>
        </w:trPr>
        <w:tc>
          <w:tcPr>
            <w:tcW w:w="1924" w:type="dxa"/>
            <w:tcBorders>
              <w:top w:val="nil"/>
              <w:left w:val="single" w:sz="4" w:space="0" w:color="auto"/>
              <w:right w:val="nil"/>
            </w:tcBorders>
            <w:shd w:val="clear" w:color="auto" w:fill="auto"/>
            <w:hideMark/>
          </w:tcPr>
          <w:p w14:paraId="00BE4D50" w14:textId="77777777" w:rsidR="005B372A" w:rsidRPr="00C05886" w:rsidRDefault="005B372A" w:rsidP="002A6F07">
            <w:pPr>
              <w:spacing w:after="0" w:line="240" w:lineRule="auto"/>
              <w:rPr>
                <w:color w:val="000000"/>
                <w:sz w:val="20"/>
                <w:szCs w:val="20"/>
              </w:rPr>
            </w:pPr>
            <w:r w:rsidRPr="00C05886">
              <w:rPr>
                <w:color w:val="000000"/>
                <w:sz w:val="20"/>
                <w:szCs w:val="20"/>
              </w:rPr>
              <w:t>Negative Affect</w:t>
            </w:r>
          </w:p>
        </w:tc>
        <w:tc>
          <w:tcPr>
            <w:tcW w:w="2075" w:type="dxa"/>
            <w:tcBorders>
              <w:top w:val="nil"/>
              <w:left w:val="nil"/>
              <w:bottom w:val="nil"/>
              <w:right w:val="nil"/>
            </w:tcBorders>
            <w:shd w:val="clear" w:color="auto" w:fill="auto"/>
            <w:hideMark/>
          </w:tcPr>
          <w:p w14:paraId="1FA8A113" w14:textId="77777777" w:rsidR="005B372A" w:rsidRPr="00C05886" w:rsidRDefault="005B372A" w:rsidP="002A6F07">
            <w:pPr>
              <w:spacing w:after="0" w:line="240" w:lineRule="auto"/>
              <w:rPr>
                <w:color w:val="000000"/>
                <w:sz w:val="20"/>
                <w:szCs w:val="20"/>
              </w:rPr>
            </w:pPr>
            <w:r w:rsidRPr="00C05886">
              <w:rPr>
                <w:color w:val="000000"/>
                <w:sz w:val="20"/>
                <w:szCs w:val="20"/>
              </w:rPr>
              <w:t>Within-subjects</w:t>
            </w:r>
          </w:p>
        </w:tc>
        <w:tc>
          <w:tcPr>
            <w:tcW w:w="1330" w:type="dxa"/>
            <w:tcBorders>
              <w:top w:val="nil"/>
              <w:left w:val="nil"/>
              <w:bottom w:val="nil"/>
              <w:right w:val="nil"/>
            </w:tcBorders>
            <w:shd w:val="clear" w:color="auto" w:fill="auto"/>
            <w:hideMark/>
          </w:tcPr>
          <w:p w14:paraId="2338136C" w14:textId="77777777" w:rsidR="005B372A" w:rsidRPr="00C05886" w:rsidRDefault="005B372A" w:rsidP="002A6F07">
            <w:pPr>
              <w:spacing w:after="0" w:line="240" w:lineRule="auto"/>
              <w:rPr>
                <w:color w:val="000000"/>
                <w:sz w:val="20"/>
                <w:szCs w:val="20"/>
              </w:rPr>
            </w:pPr>
            <w:r w:rsidRPr="00C05886">
              <w:rPr>
                <w:color w:val="000000"/>
                <w:sz w:val="20"/>
                <w:szCs w:val="20"/>
              </w:rPr>
              <w:t>60.45</w:t>
            </w:r>
          </w:p>
        </w:tc>
        <w:tc>
          <w:tcPr>
            <w:tcW w:w="1182" w:type="dxa"/>
            <w:tcBorders>
              <w:top w:val="nil"/>
              <w:left w:val="nil"/>
              <w:bottom w:val="nil"/>
              <w:right w:val="nil"/>
            </w:tcBorders>
            <w:shd w:val="clear" w:color="auto" w:fill="auto"/>
            <w:hideMark/>
          </w:tcPr>
          <w:p w14:paraId="394DDA15" w14:textId="77777777" w:rsidR="005B372A" w:rsidRPr="00C05886" w:rsidRDefault="005B372A" w:rsidP="002A6F07">
            <w:pPr>
              <w:spacing w:after="0" w:line="240" w:lineRule="auto"/>
              <w:rPr>
                <w:color w:val="000000"/>
                <w:sz w:val="20"/>
                <w:szCs w:val="20"/>
              </w:rPr>
            </w:pPr>
            <w:r w:rsidRPr="00C05886">
              <w:rPr>
                <w:color w:val="000000"/>
                <w:sz w:val="20"/>
                <w:szCs w:val="20"/>
              </w:rPr>
              <w:t>&lt; 0.005</w:t>
            </w:r>
          </w:p>
        </w:tc>
        <w:tc>
          <w:tcPr>
            <w:tcW w:w="2136" w:type="dxa"/>
            <w:tcBorders>
              <w:top w:val="nil"/>
              <w:left w:val="nil"/>
              <w:bottom w:val="nil"/>
              <w:right w:val="single" w:sz="4" w:space="0" w:color="auto"/>
            </w:tcBorders>
            <w:shd w:val="clear" w:color="auto" w:fill="auto"/>
            <w:hideMark/>
          </w:tcPr>
          <w:p w14:paraId="7AB43087" w14:textId="77777777" w:rsidR="005B372A" w:rsidRPr="00C05886" w:rsidRDefault="005B372A" w:rsidP="002A6F07">
            <w:pPr>
              <w:spacing w:after="0" w:line="240" w:lineRule="auto"/>
              <w:rPr>
                <w:color w:val="000000"/>
                <w:sz w:val="20"/>
                <w:szCs w:val="20"/>
              </w:rPr>
            </w:pPr>
            <w:r w:rsidRPr="00C05886">
              <w:rPr>
                <w:color w:val="000000"/>
                <w:sz w:val="20"/>
                <w:szCs w:val="20"/>
              </w:rPr>
              <w:t>0.14</w:t>
            </w:r>
          </w:p>
        </w:tc>
      </w:tr>
      <w:tr w:rsidR="005B372A" w:rsidRPr="00C05886" w14:paraId="53E38A28" w14:textId="77777777" w:rsidTr="009A1B2F">
        <w:trPr>
          <w:trHeight w:val="232"/>
        </w:trPr>
        <w:tc>
          <w:tcPr>
            <w:tcW w:w="1924" w:type="dxa"/>
            <w:tcBorders>
              <w:left w:val="single" w:sz="4" w:space="0" w:color="auto"/>
              <w:right w:val="nil"/>
            </w:tcBorders>
            <w:shd w:val="clear" w:color="auto" w:fill="auto"/>
            <w:hideMark/>
          </w:tcPr>
          <w:p w14:paraId="13EE4066" w14:textId="77777777" w:rsidR="005B372A" w:rsidRPr="00C05886" w:rsidRDefault="005B372A" w:rsidP="002A6F07">
            <w:pPr>
              <w:spacing w:after="0" w:line="240" w:lineRule="auto"/>
              <w:rPr>
                <w:color w:val="000000"/>
                <w:sz w:val="20"/>
                <w:szCs w:val="20"/>
              </w:rPr>
            </w:pPr>
          </w:p>
        </w:tc>
        <w:tc>
          <w:tcPr>
            <w:tcW w:w="2075" w:type="dxa"/>
            <w:tcBorders>
              <w:top w:val="nil"/>
              <w:left w:val="nil"/>
              <w:bottom w:val="nil"/>
              <w:right w:val="nil"/>
            </w:tcBorders>
            <w:shd w:val="clear" w:color="auto" w:fill="auto"/>
            <w:hideMark/>
          </w:tcPr>
          <w:p w14:paraId="36293D6E" w14:textId="77777777" w:rsidR="005B372A" w:rsidRPr="00C05886" w:rsidRDefault="005B372A" w:rsidP="002A6F07">
            <w:pPr>
              <w:spacing w:after="0" w:line="240" w:lineRule="auto"/>
              <w:rPr>
                <w:color w:val="000000"/>
                <w:sz w:val="20"/>
                <w:szCs w:val="20"/>
              </w:rPr>
            </w:pPr>
            <w:r w:rsidRPr="00C05886">
              <w:rPr>
                <w:color w:val="000000"/>
                <w:sz w:val="20"/>
                <w:szCs w:val="20"/>
              </w:rPr>
              <w:t>Between Subjects</w:t>
            </w:r>
          </w:p>
        </w:tc>
        <w:tc>
          <w:tcPr>
            <w:tcW w:w="1330" w:type="dxa"/>
            <w:tcBorders>
              <w:top w:val="nil"/>
              <w:left w:val="nil"/>
              <w:bottom w:val="nil"/>
              <w:right w:val="nil"/>
            </w:tcBorders>
            <w:shd w:val="clear" w:color="auto" w:fill="auto"/>
            <w:hideMark/>
          </w:tcPr>
          <w:p w14:paraId="67267D86" w14:textId="77777777" w:rsidR="005B372A" w:rsidRPr="00C05886" w:rsidRDefault="005B372A" w:rsidP="002A6F07">
            <w:pPr>
              <w:spacing w:after="0" w:line="240" w:lineRule="auto"/>
              <w:rPr>
                <w:color w:val="000000"/>
                <w:sz w:val="20"/>
                <w:szCs w:val="20"/>
              </w:rPr>
            </w:pPr>
            <w:r w:rsidRPr="00C05886">
              <w:rPr>
                <w:color w:val="000000"/>
                <w:sz w:val="20"/>
                <w:szCs w:val="20"/>
              </w:rPr>
              <w:t>0.73</w:t>
            </w:r>
          </w:p>
        </w:tc>
        <w:tc>
          <w:tcPr>
            <w:tcW w:w="1182" w:type="dxa"/>
            <w:tcBorders>
              <w:top w:val="nil"/>
              <w:left w:val="nil"/>
              <w:bottom w:val="nil"/>
              <w:right w:val="nil"/>
            </w:tcBorders>
            <w:shd w:val="clear" w:color="auto" w:fill="auto"/>
            <w:hideMark/>
          </w:tcPr>
          <w:p w14:paraId="4AAA7258" w14:textId="77777777" w:rsidR="005B372A" w:rsidRPr="00C05886" w:rsidRDefault="005B372A" w:rsidP="002A6F07">
            <w:pPr>
              <w:spacing w:after="0" w:line="240" w:lineRule="auto"/>
              <w:rPr>
                <w:color w:val="000000"/>
                <w:sz w:val="20"/>
                <w:szCs w:val="20"/>
              </w:rPr>
            </w:pPr>
            <w:r w:rsidRPr="00C05886">
              <w:rPr>
                <w:color w:val="000000"/>
                <w:sz w:val="20"/>
                <w:szCs w:val="20"/>
              </w:rPr>
              <w:t>0.79</w:t>
            </w:r>
          </w:p>
        </w:tc>
        <w:tc>
          <w:tcPr>
            <w:tcW w:w="2136" w:type="dxa"/>
            <w:tcBorders>
              <w:top w:val="nil"/>
              <w:left w:val="nil"/>
              <w:bottom w:val="nil"/>
              <w:right w:val="single" w:sz="4" w:space="0" w:color="auto"/>
            </w:tcBorders>
            <w:shd w:val="clear" w:color="auto" w:fill="auto"/>
            <w:hideMark/>
          </w:tcPr>
          <w:p w14:paraId="07F16CB1" w14:textId="77777777" w:rsidR="005B372A" w:rsidRPr="00C05886" w:rsidRDefault="005B372A" w:rsidP="002A6F07">
            <w:pPr>
              <w:spacing w:after="0" w:line="240" w:lineRule="auto"/>
              <w:rPr>
                <w:color w:val="000000"/>
                <w:sz w:val="20"/>
                <w:szCs w:val="20"/>
              </w:rPr>
            </w:pPr>
            <w:r w:rsidRPr="00C05886">
              <w:rPr>
                <w:color w:val="000000"/>
                <w:sz w:val="20"/>
                <w:szCs w:val="20"/>
              </w:rPr>
              <w:t>&lt; 0.005</w:t>
            </w:r>
          </w:p>
        </w:tc>
      </w:tr>
      <w:tr w:rsidR="005B372A" w:rsidRPr="00C05886" w14:paraId="372A62D8" w14:textId="77777777" w:rsidTr="009A1B2F">
        <w:trPr>
          <w:trHeight w:val="232"/>
        </w:trPr>
        <w:tc>
          <w:tcPr>
            <w:tcW w:w="1924" w:type="dxa"/>
            <w:tcBorders>
              <w:left w:val="single" w:sz="4" w:space="0" w:color="auto"/>
              <w:right w:val="nil"/>
            </w:tcBorders>
            <w:shd w:val="clear" w:color="auto" w:fill="auto"/>
            <w:hideMark/>
          </w:tcPr>
          <w:p w14:paraId="5B3801C9" w14:textId="77777777" w:rsidR="005B372A" w:rsidRPr="00C05886" w:rsidRDefault="005B372A" w:rsidP="002A6F07">
            <w:pPr>
              <w:spacing w:after="0" w:line="240" w:lineRule="auto"/>
              <w:rPr>
                <w:color w:val="000000"/>
                <w:sz w:val="20"/>
                <w:szCs w:val="20"/>
              </w:rPr>
            </w:pPr>
          </w:p>
        </w:tc>
        <w:tc>
          <w:tcPr>
            <w:tcW w:w="2075" w:type="dxa"/>
            <w:tcBorders>
              <w:top w:val="nil"/>
              <w:left w:val="nil"/>
              <w:bottom w:val="nil"/>
              <w:right w:val="nil"/>
            </w:tcBorders>
            <w:shd w:val="clear" w:color="auto" w:fill="auto"/>
            <w:hideMark/>
          </w:tcPr>
          <w:p w14:paraId="0EA97362" w14:textId="77777777" w:rsidR="005B372A" w:rsidRPr="00C05886" w:rsidRDefault="005B372A" w:rsidP="002A6F07">
            <w:pPr>
              <w:spacing w:after="0" w:line="240" w:lineRule="auto"/>
              <w:rPr>
                <w:color w:val="000000"/>
                <w:sz w:val="20"/>
                <w:szCs w:val="20"/>
              </w:rPr>
            </w:pPr>
            <w:r w:rsidRPr="00C05886">
              <w:rPr>
                <w:color w:val="000000"/>
                <w:sz w:val="20"/>
                <w:szCs w:val="20"/>
              </w:rPr>
              <w:t>Interaction</w:t>
            </w:r>
          </w:p>
        </w:tc>
        <w:tc>
          <w:tcPr>
            <w:tcW w:w="1330" w:type="dxa"/>
            <w:tcBorders>
              <w:top w:val="nil"/>
              <w:left w:val="nil"/>
              <w:bottom w:val="nil"/>
              <w:right w:val="nil"/>
            </w:tcBorders>
            <w:shd w:val="clear" w:color="auto" w:fill="auto"/>
            <w:hideMark/>
          </w:tcPr>
          <w:p w14:paraId="15BC37A4" w14:textId="77777777" w:rsidR="005B372A" w:rsidRPr="00C05886" w:rsidRDefault="005B372A" w:rsidP="002A6F07">
            <w:pPr>
              <w:spacing w:after="0" w:line="240" w:lineRule="auto"/>
              <w:rPr>
                <w:color w:val="000000"/>
                <w:sz w:val="20"/>
                <w:szCs w:val="20"/>
              </w:rPr>
            </w:pPr>
            <w:r w:rsidRPr="00C05886">
              <w:rPr>
                <w:color w:val="000000"/>
                <w:sz w:val="20"/>
                <w:szCs w:val="20"/>
              </w:rPr>
              <w:t>1.07</w:t>
            </w:r>
          </w:p>
        </w:tc>
        <w:tc>
          <w:tcPr>
            <w:tcW w:w="1182" w:type="dxa"/>
            <w:tcBorders>
              <w:top w:val="nil"/>
              <w:left w:val="nil"/>
              <w:bottom w:val="nil"/>
              <w:right w:val="nil"/>
            </w:tcBorders>
            <w:shd w:val="clear" w:color="auto" w:fill="auto"/>
            <w:hideMark/>
          </w:tcPr>
          <w:p w14:paraId="70AF5B87" w14:textId="77777777" w:rsidR="005B372A" w:rsidRPr="00C05886" w:rsidRDefault="005B372A" w:rsidP="002A6F07">
            <w:pPr>
              <w:spacing w:after="0" w:line="240" w:lineRule="auto"/>
              <w:rPr>
                <w:color w:val="000000"/>
                <w:sz w:val="20"/>
                <w:szCs w:val="20"/>
              </w:rPr>
            </w:pPr>
            <w:r w:rsidRPr="00C05886">
              <w:rPr>
                <w:color w:val="000000"/>
                <w:sz w:val="20"/>
                <w:szCs w:val="20"/>
              </w:rPr>
              <w:t>0.3</w:t>
            </w:r>
          </w:p>
        </w:tc>
        <w:tc>
          <w:tcPr>
            <w:tcW w:w="2136" w:type="dxa"/>
            <w:tcBorders>
              <w:top w:val="nil"/>
              <w:left w:val="nil"/>
              <w:bottom w:val="nil"/>
              <w:right w:val="single" w:sz="4" w:space="0" w:color="auto"/>
            </w:tcBorders>
            <w:shd w:val="clear" w:color="auto" w:fill="auto"/>
            <w:hideMark/>
          </w:tcPr>
          <w:p w14:paraId="125738CA" w14:textId="77777777" w:rsidR="005B372A" w:rsidRPr="00C05886" w:rsidRDefault="005B372A" w:rsidP="002A6F07">
            <w:pPr>
              <w:spacing w:after="0" w:line="240" w:lineRule="auto"/>
              <w:rPr>
                <w:color w:val="000000"/>
                <w:sz w:val="20"/>
                <w:szCs w:val="20"/>
              </w:rPr>
            </w:pPr>
            <w:r w:rsidRPr="00C05886">
              <w:rPr>
                <w:color w:val="000000"/>
                <w:sz w:val="20"/>
                <w:szCs w:val="20"/>
              </w:rPr>
              <w:t>0.003</w:t>
            </w:r>
          </w:p>
        </w:tc>
      </w:tr>
      <w:tr w:rsidR="005B372A" w:rsidRPr="00C05886" w14:paraId="29B42301" w14:textId="77777777" w:rsidTr="009A1B2F">
        <w:trPr>
          <w:trHeight w:val="232"/>
        </w:trPr>
        <w:tc>
          <w:tcPr>
            <w:tcW w:w="1924" w:type="dxa"/>
            <w:tcBorders>
              <w:left w:val="single" w:sz="4" w:space="0" w:color="auto"/>
              <w:right w:val="nil"/>
            </w:tcBorders>
            <w:shd w:val="clear" w:color="auto" w:fill="auto"/>
            <w:hideMark/>
          </w:tcPr>
          <w:p w14:paraId="701EBA8E" w14:textId="77777777" w:rsidR="005B372A" w:rsidRPr="00C05886" w:rsidRDefault="005B372A" w:rsidP="002A6F07">
            <w:pPr>
              <w:spacing w:after="0" w:line="240" w:lineRule="auto"/>
              <w:rPr>
                <w:color w:val="000000"/>
                <w:sz w:val="20"/>
                <w:szCs w:val="20"/>
              </w:rPr>
            </w:pPr>
            <w:r w:rsidRPr="00C05886">
              <w:rPr>
                <w:color w:val="000000"/>
                <w:sz w:val="20"/>
                <w:szCs w:val="20"/>
              </w:rPr>
              <w:t>Positive Affect</w:t>
            </w:r>
          </w:p>
        </w:tc>
        <w:tc>
          <w:tcPr>
            <w:tcW w:w="2075" w:type="dxa"/>
            <w:tcBorders>
              <w:top w:val="nil"/>
              <w:left w:val="nil"/>
              <w:bottom w:val="nil"/>
              <w:right w:val="nil"/>
            </w:tcBorders>
            <w:shd w:val="clear" w:color="auto" w:fill="auto"/>
            <w:hideMark/>
          </w:tcPr>
          <w:p w14:paraId="65E7BB5E" w14:textId="77777777" w:rsidR="005B372A" w:rsidRPr="00C05886" w:rsidRDefault="005B372A" w:rsidP="002A6F07">
            <w:pPr>
              <w:spacing w:after="0" w:line="240" w:lineRule="auto"/>
              <w:rPr>
                <w:color w:val="000000"/>
                <w:sz w:val="20"/>
                <w:szCs w:val="20"/>
              </w:rPr>
            </w:pPr>
            <w:r w:rsidRPr="00C05886">
              <w:rPr>
                <w:color w:val="000000"/>
                <w:sz w:val="20"/>
                <w:szCs w:val="20"/>
              </w:rPr>
              <w:t>Within-subjects</w:t>
            </w:r>
          </w:p>
        </w:tc>
        <w:tc>
          <w:tcPr>
            <w:tcW w:w="1330" w:type="dxa"/>
            <w:tcBorders>
              <w:top w:val="nil"/>
              <w:left w:val="nil"/>
              <w:bottom w:val="nil"/>
              <w:right w:val="nil"/>
            </w:tcBorders>
            <w:shd w:val="clear" w:color="auto" w:fill="auto"/>
            <w:hideMark/>
          </w:tcPr>
          <w:p w14:paraId="060BE0A4" w14:textId="77777777" w:rsidR="005B372A" w:rsidRPr="00C05886" w:rsidRDefault="005B372A" w:rsidP="002A6F07">
            <w:pPr>
              <w:spacing w:after="0" w:line="240" w:lineRule="auto"/>
              <w:rPr>
                <w:color w:val="000000"/>
                <w:sz w:val="20"/>
                <w:szCs w:val="20"/>
              </w:rPr>
            </w:pPr>
            <w:r w:rsidRPr="00C05886">
              <w:rPr>
                <w:color w:val="000000"/>
                <w:sz w:val="20"/>
                <w:szCs w:val="20"/>
              </w:rPr>
              <w:t>3.36</w:t>
            </w:r>
          </w:p>
        </w:tc>
        <w:tc>
          <w:tcPr>
            <w:tcW w:w="1182" w:type="dxa"/>
            <w:tcBorders>
              <w:top w:val="nil"/>
              <w:left w:val="nil"/>
              <w:bottom w:val="nil"/>
              <w:right w:val="nil"/>
            </w:tcBorders>
            <w:shd w:val="clear" w:color="auto" w:fill="auto"/>
            <w:hideMark/>
          </w:tcPr>
          <w:p w14:paraId="10B59EBD" w14:textId="77777777" w:rsidR="005B372A" w:rsidRPr="00C05886" w:rsidRDefault="005B372A" w:rsidP="002A6F07">
            <w:pPr>
              <w:spacing w:after="0" w:line="240" w:lineRule="auto"/>
              <w:rPr>
                <w:color w:val="000000"/>
                <w:sz w:val="20"/>
                <w:szCs w:val="20"/>
              </w:rPr>
            </w:pPr>
            <w:r w:rsidRPr="00C05886">
              <w:rPr>
                <w:color w:val="000000"/>
                <w:sz w:val="20"/>
                <w:szCs w:val="20"/>
              </w:rPr>
              <w:t>0.04</w:t>
            </w:r>
          </w:p>
        </w:tc>
        <w:tc>
          <w:tcPr>
            <w:tcW w:w="2136" w:type="dxa"/>
            <w:tcBorders>
              <w:top w:val="nil"/>
              <w:left w:val="nil"/>
              <w:bottom w:val="nil"/>
              <w:right w:val="single" w:sz="4" w:space="0" w:color="auto"/>
            </w:tcBorders>
            <w:shd w:val="clear" w:color="auto" w:fill="auto"/>
            <w:hideMark/>
          </w:tcPr>
          <w:p w14:paraId="2297841D" w14:textId="77777777" w:rsidR="005B372A" w:rsidRPr="00C05886" w:rsidRDefault="005B372A" w:rsidP="002A6F07">
            <w:pPr>
              <w:spacing w:after="0" w:line="240" w:lineRule="auto"/>
              <w:rPr>
                <w:color w:val="000000"/>
                <w:sz w:val="20"/>
                <w:szCs w:val="20"/>
              </w:rPr>
            </w:pPr>
            <w:r w:rsidRPr="00C05886">
              <w:rPr>
                <w:color w:val="000000"/>
                <w:sz w:val="20"/>
                <w:szCs w:val="20"/>
              </w:rPr>
              <w:t>0.009</w:t>
            </w:r>
          </w:p>
        </w:tc>
      </w:tr>
      <w:tr w:rsidR="005B372A" w:rsidRPr="00C05886" w14:paraId="6AD8C07C" w14:textId="77777777" w:rsidTr="009A1B2F">
        <w:trPr>
          <w:trHeight w:val="232"/>
        </w:trPr>
        <w:tc>
          <w:tcPr>
            <w:tcW w:w="1924" w:type="dxa"/>
            <w:tcBorders>
              <w:left w:val="single" w:sz="4" w:space="0" w:color="auto"/>
              <w:right w:val="nil"/>
            </w:tcBorders>
            <w:shd w:val="clear" w:color="auto" w:fill="auto"/>
            <w:hideMark/>
          </w:tcPr>
          <w:p w14:paraId="7EAFA85D" w14:textId="77777777" w:rsidR="005B372A" w:rsidRPr="00C05886" w:rsidRDefault="005B372A" w:rsidP="002A6F07">
            <w:pPr>
              <w:spacing w:after="0" w:line="240" w:lineRule="auto"/>
              <w:rPr>
                <w:color w:val="000000"/>
                <w:sz w:val="20"/>
                <w:szCs w:val="20"/>
              </w:rPr>
            </w:pPr>
          </w:p>
        </w:tc>
        <w:tc>
          <w:tcPr>
            <w:tcW w:w="2075" w:type="dxa"/>
            <w:tcBorders>
              <w:top w:val="nil"/>
              <w:left w:val="nil"/>
              <w:bottom w:val="nil"/>
              <w:right w:val="nil"/>
            </w:tcBorders>
            <w:shd w:val="clear" w:color="auto" w:fill="auto"/>
            <w:hideMark/>
          </w:tcPr>
          <w:p w14:paraId="33DAF12C" w14:textId="77777777" w:rsidR="005B372A" w:rsidRPr="00C05886" w:rsidRDefault="005B372A" w:rsidP="002A6F07">
            <w:pPr>
              <w:spacing w:after="0" w:line="240" w:lineRule="auto"/>
              <w:rPr>
                <w:color w:val="000000"/>
                <w:sz w:val="20"/>
                <w:szCs w:val="20"/>
              </w:rPr>
            </w:pPr>
            <w:r w:rsidRPr="00C05886">
              <w:rPr>
                <w:color w:val="000000"/>
                <w:sz w:val="20"/>
                <w:szCs w:val="20"/>
              </w:rPr>
              <w:t>Between Subjects</w:t>
            </w:r>
          </w:p>
        </w:tc>
        <w:tc>
          <w:tcPr>
            <w:tcW w:w="1330" w:type="dxa"/>
            <w:tcBorders>
              <w:top w:val="nil"/>
              <w:left w:val="nil"/>
              <w:bottom w:val="nil"/>
              <w:right w:val="nil"/>
            </w:tcBorders>
            <w:shd w:val="clear" w:color="auto" w:fill="auto"/>
            <w:hideMark/>
          </w:tcPr>
          <w:p w14:paraId="7162E259" w14:textId="77777777" w:rsidR="005B372A" w:rsidRPr="00C05886" w:rsidRDefault="005B372A" w:rsidP="002A6F07">
            <w:pPr>
              <w:spacing w:after="0" w:line="240" w:lineRule="auto"/>
              <w:rPr>
                <w:color w:val="000000"/>
                <w:sz w:val="20"/>
                <w:szCs w:val="20"/>
              </w:rPr>
            </w:pPr>
            <w:r w:rsidRPr="00C05886">
              <w:rPr>
                <w:color w:val="000000"/>
                <w:sz w:val="20"/>
                <w:szCs w:val="20"/>
              </w:rPr>
              <w:t>1.75</w:t>
            </w:r>
          </w:p>
        </w:tc>
        <w:tc>
          <w:tcPr>
            <w:tcW w:w="1182" w:type="dxa"/>
            <w:tcBorders>
              <w:top w:val="nil"/>
              <w:left w:val="nil"/>
              <w:bottom w:val="nil"/>
              <w:right w:val="nil"/>
            </w:tcBorders>
            <w:shd w:val="clear" w:color="auto" w:fill="auto"/>
            <w:hideMark/>
          </w:tcPr>
          <w:p w14:paraId="79926777" w14:textId="77777777" w:rsidR="005B372A" w:rsidRPr="00C05886" w:rsidRDefault="005B372A" w:rsidP="002A6F07">
            <w:pPr>
              <w:spacing w:after="0" w:line="240" w:lineRule="auto"/>
              <w:rPr>
                <w:color w:val="000000"/>
                <w:sz w:val="20"/>
                <w:szCs w:val="20"/>
              </w:rPr>
            </w:pPr>
            <w:r w:rsidRPr="00C05886">
              <w:rPr>
                <w:color w:val="000000"/>
                <w:sz w:val="20"/>
                <w:szCs w:val="20"/>
              </w:rPr>
              <w:t>0.19</w:t>
            </w:r>
          </w:p>
        </w:tc>
        <w:tc>
          <w:tcPr>
            <w:tcW w:w="2136" w:type="dxa"/>
            <w:tcBorders>
              <w:top w:val="nil"/>
              <w:left w:val="nil"/>
              <w:bottom w:val="nil"/>
              <w:right w:val="single" w:sz="4" w:space="0" w:color="auto"/>
            </w:tcBorders>
            <w:shd w:val="clear" w:color="auto" w:fill="auto"/>
            <w:hideMark/>
          </w:tcPr>
          <w:p w14:paraId="0098393E" w14:textId="77777777" w:rsidR="005B372A" w:rsidRPr="00C05886" w:rsidRDefault="005B372A" w:rsidP="002A6F07">
            <w:pPr>
              <w:spacing w:after="0" w:line="240" w:lineRule="auto"/>
              <w:rPr>
                <w:color w:val="000000"/>
                <w:sz w:val="20"/>
                <w:szCs w:val="20"/>
              </w:rPr>
            </w:pPr>
            <w:r w:rsidRPr="00C05886">
              <w:rPr>
                <w:color w:val="000000"/>
                <w:sz w:val="20"/>
                <w:szCs w:val="20"/>
              </w:rPr>
              <w:t>0.005</w:t>
            </w:r>
          </w:p>
        </w:tc>
      </w:tr>
      <w:tr w:rsidR="005B372A" w:rsidRPr="00C05886" w14:paraId="32C52DE0" w14:textId="77777777" w:rsidTr="009A1B2F">
        <w:trPr>
          <w:trHeight w:val="238"/>
        </w:trPr>
        <w:tc>
          <w:tcPr>
            <w:tcW w:w="1924" w:type="dxa"/>
            <w:tcBorders>
              <w:left w:val="single" w:sz="4" w:space="0" w:color="auto"/>
              <w:bottom w:val="single" w:sz="8" w:space="0" w:color="000000"/>
              <w:right w:val="nil"/>
            </w:tcBorders>
            <w:shd w:val="clear" w:color="auto" w:fill="auto"/>
            <w:hideMark/>
          </w:tcPr>
          <w:p w14:paraId="185D4166" w14:textId="77777777" w:rsidR="005B372A" w:rsidRPr="00C05886" w:rsidRDefault="005B372A" w:rsidP="002A6F07">
            <w:pPr>
              <w:spacing w:after="0" w:line="240" w:lineRule="auto"/>
              <w:rPr>
                <w:color w:val="000000"/>
                <w:sz w:val="20"/>
                <w:szCs w:val="20"/>
              </w:rPr>
            </w:pPr>
          </w:p>
        </w:tc>
        <w:tc>
          <w:tcPr>
            <w:tcW w:w="2075" w:type="dxa"/>
            <w:tcBorders>
              <w:top w:val="nil"/>
              <w:left w:val="nil"/>
              <w:bottom w:val="nil"/>
              <w:right w:val="nil"/>
            </w:tcBorders>
            <w:shd w:val="clear" w:color="auto" w:fill="auto"/>
            <w:hideMark/>
          </w:tcPr>
          <w:p w14:paraId="4CA297BB" w14:textId="77777777" w:rsidR="005B372A" w:rsidRPr="00C05886" w:rsidRDefault="005B372A" w:rsidP="002A6F07">
            <w:pPr>
              <w:spacing w:after="0" w:line="240" w:lineRule="auto"/>
              <w:rPr>
                <w:color w:val="000000"/>
                <w:sz w:val="20"/>
                <w:szCs w:val="20"/>
              </w:rPr>
            </w:pPr>
            <w:r w:rsidRPr="00C05886">
              <w:rPr>
                <w:color w:val="000000"/>
                <w:sz w:val="20"/>
                <w:szCs w:val="20"/>
              </w:rPr>
              <w:t>Interaction</w:t>
            </w:r>
          </w:p>
        </w:tc>
        <w:tc>
          <w:tcPr>
            <w:tcW w:w="1330" w:type="dxa"/>
            <w:tcBorders>
              <w:top w:val="nil"/>
              <w:left w:val="nil"/>
              <w:bottom w:val="nil"/>
              <w:right w:val="nil"/>
            </w:tcBorders>
            <w:shd w:val="clear" w:color="auto" w:fill="auto"/>
            <w:hideMark/>
          </w:tcPr>
          <w:p w14:paraId="14A3CB2F" w14:textId="77777777" w:rsidR="005B372A" w:rsidRPr="00C05886" w:rsidRDefault="005B372A" w:rsidP="002A6F07">
            <w:pPr>
              <w:spacing w:after="0" w:line="240" w:lineRule="auto"/>
              <w:rPr>
                <w:color w:val="000000"/>
                <w:sz w:val="20"/>
                <w:szCs w:val="20"/>
              </w:rPr>
            </w:pPr>
            <w:r w:rsidRPr="00C05886">
              <w:rPr>
                <w:color w:val="000000"/>
                <w:sz w:val="20"/>
                <w:szCs w:val="20"/>
              </w:rPr>
              <w:t>5.35</w:t>
            </w:r>
          </w:p>
        </w:tc>
        <w:tc>
          <w:tcPr>
            <w:tcW w:w="1182" w:type="dxa"/>
            <w:tcBorders>
              <w:top w:val="nil"/>
              <w:left w:val="nil"/>
              <w:bottom w:val="nil"/>
              <w:right w:val="nil"/>
            </w:tcBorders>
            <w:shd w:val="clear" w:color="auto" w:fill="auto"/>
            <w:hideMark/>
          </w:tcPr>
          <w:p w14:paraId="6AB69347" w14:textId="77777777" w:rsidR="005B372A" w:rsidRPr="00C05886" w:rsidRDefault="005B372A" w:rsidP="002A6F07">
            <w:pPr>
              <w:spacing w:after="0" w:line="240" w:lineRule="auto"/>
              <w:rPr>
                <w:color w:val="000000"/>
                <w:sz w:val="20"/>
                <w:szCs w:val="20"/>
              </w:rPr>
            </w:pPr>
            <w:r w:rsidRPr="00C05886">
              <w:rPr>
                <w:color w:val="000000"/>
                <w:sz w:val="20"/>
                <w:szCs w:val="20"/>
              </w:rPr>
              <w:t>0.005</w:t>
            </w:r>
          </w:p>
        </w:tc>
        <w:tc>
          <w:tcPr>
            <w:tcW w:w="2136" w:type="dxa"/>
            <w:tcBorders>
              <w:top w:val="nil"/>
              <w:left w:val="nil"/>
              <w:bottom w:val="nil"/>
              <w:right w:val="single" w:sz="4" w:space="0" w:color="auto"/>
            </w:tcBorders>
            <w:shd w:val="clear" w:color="auto" w:fill="auto"/>
            <w:hideMark/>
          </w:tcPr>
          <w:p w14:paraId="793CF663" w14:textId="77777777" w:rsidR="005B372A" w:rsidRPr="00C05886" w:rsidRDefault="005B372A" w:rsidP="002A6F07">
            <w:pPr>
              <w:spacing w:after="0" w:line="240" w:lineRule="auto"/>
              <w:rPr>
                <w:color w:val="000000"/>
                <w:sz w:val="20"/>
                <w:szCs w:val="20"/>
              </w:rPr>
            </w:pPr>
            <w:r w:rsidRPr="00C05886">
              <w:rPr>
                <w:color w:val="000000"/>
                <w:sz w:val="20"/>
                <w:szCs w:val="20"/>
              </w:rPr>
              <w:t>0.01</w:t>
            </w:r>
          </w:p>
        </w:tc>
      </w:tr>
      <w:tr w:rsidR="005B372A" w:rsidRPr="00C05886" w14:paraId="5E2B62B0" w14:textId="77777777" w:rsidTr="009A1B2F">
        <w:trPr>
          <w:trHeight w:val="119"/>
        </w:trPr>
        <w:tc>
          <w:tcPr>
            <w:tcW w:w="8647" w:type="dxa"/>
            <w:gridSpan w:val="5"/>
            <w:tcBorders>
              <w:top w:val="single" w:sz="8" w:space="0" w:color="auto"/>
              <w:left w:val="single" w:sz="4" w:space="0" w:color="auto"/>
              <w:bottom w:val="single" w:sz="8" w:space="0" w:color="auto"/>
              <w:right w:val="single" w:sz="4" w:space="0" w:color="auto"/>
            </w:tcBorders>
            <w:shd w:val="clear" w:color="auto" w:fill="auto"/>
            <w:hideMark/>
          </w:tcPr>
          <w:p w14:paraId="517DB23B" w14:textId="77777777" w:rsidR="005B372A" w:rsidRPr="00C05886" w:rsidRDefault="005B372A" w:rsidP="002A6F07">
            <w:pPr>
              <w:spacing w:after="0" w:line="240" w:lineRule="auto"/>
              <w:rPr>
                <w:b/>
                <w:bCs/>
                <w:color w:val="000000"/>
                <w:sz w:val="20"/>
                <w:szCs w:val="20"/>
              </w:rPr>
            </w:pPr>
            <w:r w:rsidRPr="00C05886">
              <w:rPr>
                <w:b/>
                <w:bCs/>
                <w:color w:val="000000"/>
                <w:sz w:val="20"/>
                <w:szCs w:val="20"/>
              </w:rPr>
              <w:t>Effect of noticing sounds</w:t>
            </w:r>
          </w:p>
        </w:tc>
      </w:tr>
      <w:tr w:rsidR="005B372A" w:rsidRPr="00C05886" w14:paraId="649C215F" w14:textId="77777777" w:rsidTr="009A1B2F">
        <w:trPr>
          <w:trHeight w:val="232"/>
        </w:trPr>
        <w:tc>
          <w:tcPr>
            <w:tcW w:w="1924" w:type="dxa"/>
            <w:tcBorders>
              <w:top w:val="nil"/>
              <w:left w:val="single" w:sz="4" w:space="0" w:color="auto"/>
              <w:right w:val="nil"/>
            </w:tcBorders>
            <w:shd w:val="clear" w:color="auto" w:fill="auto"/>
            <w:hideMark/>
          </w:tcPr>
          <w:p w14:paraId="4175F14C" w14:textId="77777777" w:rsidR="005B372A" w:rsidRPr="00C05886" w:rsidRDefault="005B372A" w:rsidP="002A6F07">
            <w:pPr>
              <w:spacing w:after="0" w:line="240" w:lineRule="auto"/>
              <w:rPr>
                <w:color w:val="000000"/>
                <w:sz w:val="20"/>
                <w:szCs w:val="20"/>
              </w:rPr>
            </w:pPr>
            <w:r w:rsidRPr="00C05886">
              <w:rPr>
                <w:color w:val="000000"/>
                <w:sz w:val="20"/>
                <w:szCs w:val="20"/>
              </w:rPr>
              <w:t>Negative Affect</w:t>
            </w:r>
          </w:p>
        </w:tc>
        <w:tc>
          <w:tcPr>
            <w:tcW w:w="2075" w:type="dxa"/>
            <w:tcBorders>
              <w:top w:val="nil"/>
              <w:left w:val="nil"/>
              <w:bottom w:val="nil"/>
              <w:right w:val="nil"/>
            </w:tcBorders>
            <w:shd w:val="clear" w:color="auto" w:fill="auto"/>
            <w:hideMark/>
          </w:tcPr>
          <w:p w14:paraId="64B6D802" w14:textId="77777777" w:rsidR="005B372A" w:rsidRPr="00C05886" w:rsidRDefault="005B372A" w:rsidP="002A6F07">
            <w:pPr>
              <w:spacing w:after="0" w:line="240" w:lineRule="auto"/>
              <w:rPr>
                <w:color w:val="000000"/>
                <w:sz w:val="20"/>
                <w:szCs w:val="20"/>
              </w:rPr>
            </w:pPr>
            <w:r w:rsidRPr="00C05886">
              <w:rPr>
                <w:color w:val="000000"/>
                <w:sz w:val="20"/>
                <w:szCs w:val="20"/>
              </w:rPr>
              <w:t>Within-subjects</w:t>
            </w:r>
          </w:p>
        </w:tc>
        <w:tc>
          <w:tcPr>
            <w:tcW w:w="1330" w:type="dxa"/>
            <w:tcBorders>
              <w:top w:val="nil"/>
              <w:left w:val="nil"/>
              <w:bottom w:val="nil"/>
              <w:right w:val="nil"/>
            </w:tcBorders>
            <w:shd w:val="clear" w:color="auto" w:fill="auto"/>
            <w:hideMark/>
          </w:tcPr>
          <w:p w14:paraId="5589B80A" w14:textId="77777777" w:rsidR="005B372A" w:rsidRPr="00C05886" w:rsidRDefault="005B372A" w:rsidP="002A6F07">
            <w:pPr>
              <w:spacing w:after="0" w:line="240" w:lineRule="auto"/>
              <w:rPr>
                <w:color w:val="000000"/>
                <w:sz w:val="20"/>
                <w:szCs w:val="20"/>
              </w:rPr>
            </w:pPr>
            <w:r w:rsidRPr="00C05886">
              <w:rPr>
                <w:color w:val="000000"/>
                <w:sz w:val="20"/>
                <w:szCs w:val="20"/>
              </w:rPr>
              <w:t>75.87</w:t>
            </w:r>
          </w:p>
        </w:tc>
        <w:tc>
          <w:tcPr>
            <w:tcW w:w="1182" w:type="dxa"/>
            <w:tcBorders>
              <w:top w:val="nil"/>
              <w:left w:val="nil"/>
              <w:bottom w:val="nil"/>
              <w:right w:val="nil"/>
            </w:tcBorders>
            <w:shd w:val="clear" w:color="auto" w:fill="auto"/>
            <w:hideMark/>
          </w:tcPr>
          <w:p w14:paraId="1F664661" w14:textId="77777777" w:rsidR="005B372A" w:rsidRPr="00C05886" w:rsidRDefault="005B372A" w:rsidP="002A6F07">
            <w:pPr>
              <w:spacing w:after="0" w:line="240" w:lineRule="auto"/>
              <w:rPr>
                <w:color w:val="000000"/>
                <w:sz w:val="20"/>
                <w:szCs w:val="20"/>
              </w:rPr>
            </w:pPr>
            <w:r w:rsidRPr="00C05886">
              <w:rPr>
                <w:color w:val="000000"/>
                <w:sz w:val="20"/>
                <w:szCs w:val="20"/>
              </w:rPr>
              <w:t>&lt; 0.005</w:t>
            </w:r>
          </w:p>
        </w:tc>
        <w:tc>
          <w:tcPr>
            <w:tcW w:w="2136" w:type="dxa"/>
            <w:tcBorders>
              <w:top w:val="nil"/>
              <w:left w:val="nil"/>
              <w:bottom w:val="nil"/>
              <w:right w:val="single" w:sz="4" w:space="0" w:color="auto"/>
            </w:tcBorders>
            <w:shd w:val="clear" w:color="auto" w:fill="auto"/>
            <w:hideMark/>
          </w:tcPr>
          <w:p w14:paraId="31A6BC8C" w14:textId="77777777" w:rsidR="005B372A" w:rsidRPr="00C05886" w:rsidRDefault="005B372A" w:rsidP="002A6F07">
            <w:pPr>
              <w:spacing w:after="0" w:line="240" w:lineRule="auto"/>
              <w:rPr>
                <w:color w:val="000000"/>
                <w:sz w:val="20"/>
                <w:szCs w:val="20"/>
              </w:rPr>
            </w:pPr>
            <w:r w:rsidRPr="00C05886">
              <w:rPr>
                <w:color w:val="000000"/>
                <w:sz w:val="20"/>
                <w:szCs w:val="20"/>
              </w:rPr>
              <w:t>0.17</w:t>
            </w:r>
          </w:p>
        </w:tc>
      </w:tr>
      <w:tr w:rsidR="005B372A" w:rsidRPr="00C05886" w14:paraId="4E5D6B1E" w14:textId="77777777" w:rsidTr="009A1B2F">
        <w:trPr>
          <w:trHeight w:val="232"/>
        </w:trPr>
        <w:tc>
          <w:tcPr>
            <w:tcW w:w="1924" w:type="dxa"/>
            <w:tcBorders>
              <w:left w:val="single" w:sz="4" w:space="0" w:color="auto"/>
              <w:right w:val="nil"/>
            </w:tcBorders>
            <w:shd w:val="clear" w:color="auto" w:fill="auto"/>
            <w:hideMark/>
          </w:tcPr>
          <w:p w14:paraId="54B92389" w14:textId="77777777" w:rsidR="005B372A" w:rsidRPr="00C05886" w:rsidRDefault="005B372A" w:rsidP="002A6F07">
            <w:pPr>
              <w:spacing w:after="0" w:line="240" w:lineRule="auto"/>
              <w:rPr>
                <w:color w:val="000000"/>
                <w:sz w:val="20"/>
                <w:szCs w:val="20"/>
              </w:rPr>
            </w:pPr>
          </w:p>
        </w:tc>
        <w:tc>
          <w:tcPr>
            <w:tcW w:w="2075" w:type="dxa"/>
            <w:tcBorders>
              <w:top w:val="nil"/>
              <w:left w:val="nil"/>
              <w:bottom w:val="nil"/>
              <w:right w:val="nil"/>
            </w:tcBorders>
            <w:shd w:val="clear" w:color="auto" w:fill="auto"/>
            <w:hideMark/>
          </w:tcPr>
          <w:p w14:paraId="5D95196E" w14:textId="77777777" w:rsidR="005B372A" w:rsidRPr="00C05886" w:rsidRDefault="005B372A" w:rsidP="002A6F07">
            <w:pPr>
              <w:spacing w:after="0" w:line="240" w:lineRule="auto"/>
              <w:rPr>
                <w:color w:val="000000"/>
                <w:sz w:val="20"/>
                <w:szCs w:val="20"/>
              </w:rPr>
            </w:pPr>
            <w:r w:rsidRPr="00C05886">
              <w:rPr>
                <w:color w:val="000000"/>
                <w:sz w:val="20"/>
                <w:szCs w:val="20"/>
              </w:rPr>
              <w:t>Between Subjects</w:t>
            </w:r>
          </w:p>
        </w:tc>
        <w:tc>
          <w:tcPr>
            <w:tcW w:w="1330" w:type="dxa"/>
            <w:tcBorders>
              <w:top w:val="nil"/>
              <w:left w:val="nil"/>
              <w:bottom w:val="nil"/>
              <w:right w:val="nil"/>
            </w:tcBorders>
            <w:shd w:val="clear" w:color="auto" w:fill="auto"/>
            <w:hideMark/>
          </w:tcPr>
          <w:p w14:paraId="3BFD88EC" w14:textId="77777777" w:rsidR="005B372A" w:rsidRPr="00C05886" w:rsidRDefault="005B372A" w:rsidP="002A6F07">
            <w:pPr>
              <w:spacing w:after="0" w:line="240" w:lineRule="auto"/>
              <w:rPr>
                <w:color w:val="000000"/>
                <w:sz w:val="20"/>
                <w:szCs w:val="20"/>
              </w:rPr>
            </w:pPr>
            <w:r w:rsidRPr="00C05886">
              <w:rPr>
                <w:color w:val="000000"/>
                <w:sz w:val="20"/>
                <w:szCs w:val="20"/>
              </w:rPr>
              <w:t>6.62</w:t>
            </w:r>
          </w:p>
        </w:tc>
        <w:tc>
          <w:tcPr>
            <w:tcW w:w="1182" w:type="dxa"/>
            <w:tcBorders>
              <w:top w:val="nil"/>
              <w:left w:val="nil"/>
              <w:bottom w:val="nil"/>
              <w:right w:val="nil"/>
            </w:tcBorders>
            <w:shd w:val="clear" w:color="auto" w:fill="auto"/>
            <w:hideMark/>
          </w:tcPr>
          <w:p w14:paraId="087A9829" w14:textId="77777777" w:rsidR="005B372A" w:rsidRPr="00C05886" w:rsidRDefault="005B372A" w:rsidP="002A6F07">
            <w:pPr>
              <w:spacing w:after="0" w:line="240" w:lineRule="auto"/>
              <w:rPr>
                <w:color w:val="000000"/>
                <w:sz w:val="20"/>
                <w:szCs w:val="20"/>
              </w:rPr>
            </w:pPr>
            <w:r w:rsidRPr="00C05886">
              <w:rPr>
                <w:color w:val="000000"/>
                <w:sz w:val="20"/>
                <w:szCs w:val="20"/>
              </w:rPr>
              <w:t>0.01</w:t>
            </w:r>
          </w:p>
        </w:tc>
        <w:tc>
          <w:tcPr>
            <w:tcW w:w="2136" w:type="dxa"/>
            <w:tcBorders>
              <w:top w:val="nil"/>
              <w:left w:val="nil"/>
              <w:bottom w:val="nil"/>
              <w:right w:val="single" w:sz="4" w:space="0" w:color="auto"/>
            </w:tcBorders>
            <w:shd w:val="clear" w:color="auto" w:fill="auto"/>
            <w:hideMark/>
          </w:tcPr>
          <w:p w14:paraId="622C08E0" w14:textId="77777777" w:rsidR="005B372A" w:rsidRPr="00C05886" w:rsidRDefault="005B372A" w:rsidP="002A6F07">
            <w:pPr>
              <w:spacing w:after="0" w:line="240" w:lineRule="auto"/>
              <w:rPr>
                <w:color w:val="000000"/>
                <w:sz w:val="20"/>
                <w:szCs w:val="20"/>
              </w:rPr>
            </w:pPr>
            <w:r w:rsidRPr="00C05886">
              <w:rPr>
                <w:color w:val="000000"/>
                <w:sz w:val="20"/>
                <w:szCs w:val="20"/>
              </w:rPr>
              <w:t>0.02</w:t>
            </w:r>
          </w:p>
        </w:tc>
      </w:tr>
      <w:tr w:rsidR="005B372A" w:rsidRPr="00C05886" w14:paraId="14FB49E4" w14:textId="77777777" w:rsidTr="009A1B2F">
        <w:trPr>
          <w:trHeight w:val="232"/>
        </w:trPr>
        <w:tc>
          <w:tcPr>
            <w:tcW w:w="1924" w:type="dxa"/>
            <w:tcBorders>
              <w:left w:val="single" w:sz="4" w:space="0" w:color="auto"/>
              <w:right w:val="nil"/>
            </w:tcBorders>
            <w:shd w:val="clear" w:color="auto" w:fill="auto"/>
            <w:hideMark/>
          </w:tcPr>
          <w:p w14:paraId="70E32D65" w14:textId="77777777" w:rsidR="005B372A" w:rsidRPr="00C05886" w:rsidRDefault="005B372A" w:rsidP="002A6F07">
            <w:pPr>
              <w:spacing w:after="0" w:line="240" w:lineRule="auto"/>
              <w:rPr>
                <w:color w:val="000000"/>
                <w:sz w:val="20"/>
                <w:szCs w:val="20"/>
              </w:rPr>
            </w:pPr>
          </w:p>
        </w:tc>
        <w:tc>
          <w:tcPr>
            <w:tcW w:w="2075" w:type="dxa"/>
            <w:tcBorders>
              <w:top w:val="nil"/>
              <w:left w:val="nil"/>
              <w:bottom w:val="nil"/>
              <w:right w:val="nil"/>
            </w:tcBorders>
            <w:shd w:val="clear" w:color="auto" w:fill="auto"/>
            <w:hideMark/>
          </w:tcPr>
          <w:p w14:paraId="5651712E" w14:textId="77777777" w:rsidR="005B372A" w:rsidRPr="00C05886" w:rsidRDefault="005B372A" w:rsidP="002A6F07">
            <w:pPr>
              <w:spacing w:after="0" w:line="240" w:lineRule="auto"/>
              <w:rPr>
                <w:color w:val="000000"/>
                <w:sz w:val="20"/>
                <w:szCs w:val="20"/>
              </w:rPr>
            </w:pPr>
            <w:r w:rsidRPr="00C05886">
              <w:rPr>
                <w:color w:val="000000"/>
                <w:sz w:val="20"/>
                <w:szCs w:val="20"/>
              </w:rPr>
              <w:t>Interaction</w:t>
            </w:r>
          </w:p>
        </w:tc>
        <w:tc>
          <w:tcPr>
            <w:tcW w:w="1330" w:type="dxa"/>
            <w:tcBorders>
              <w:top w:val="nil"/>
              <w:left w:val="nil"/>
              <w:bottom w:val="nil"/>
              <w:right w:val="nil"/>
            </w:tcBorders>
            <w:shd w:val="clear" w:color="auto" w:fill="auto"/>
            <w:hideMark/>
          </w:tcPr>
          <w:p w14:paraId="0D6FC45C" w14:textId="77777777" w:rsidR="005B372A" w:rsidRPr="00C05886" w:rsidRDefault="005B372A" w:rsidP="002A6F07">
            <w:pPr>
              <w:spacing w:after="0" w:line="240" w:lineRule="auto"/>
              <w:rPr>
                <w:color w:val="000000"/>
                <w:sz w:val="20"/>
                <w:szCs w:val="20"/>
              </w:rPr>
            </w:pPr>
            <w:r w:rsidRPr="00C05886">
              <w:rPr>
                <w:color w:val="000000"/>
                <w:sz w:val="20"/>
                <w:szCs w:val="20"/>
              </w:rPr>
              <w:t>0.21</w:t>
            </w:r>
          </w:p>
        </w:tc>
        <w:tc>
          <w:tcPr>
            <w:tcW w:w="1182" w:type="dxa"/>
            <w:tcBorders>
              <w:top w:val="nil"/>
              <w:left w:val="nil"/>
              <w:bottom w:val="nil"/>
              <w:right w:val="nil"/>
            </w:tcBorders>
            <w:shd w:val="clear" w:color="auto" w:fill="auto"/>
            <w:hideMark/>
          </w:tcPr>
          <w:p w14:paraId="13CCBE50" w14:textId="77777777" w:rsidR="005B372A" w:rsidRPr="00C05886" w:rsidRDefault="005B372A" w:rsidP="002A6F07">
            <w:pPr>
              <w:spacing w:after="0" w:line="240" w:lineRule="auto"/>
              <w:rPr>
                <w:color w:val="000000"/>
                <w:sz w:val="20"/>
                <w:szCs w:val="20"/>
              </w:rPr>
            </w:pPr>
            <w:r w:rsidRPr="00C05886">
              <w:rPr>
                <w:color w:val="000000"/>
                <w:sz w:val="20"/>
                <w:szCs w:val="20"/>
              </w:rPr>
              <w:t>0.79</w:t>
            </w:r>
          </w:p>
        </w:tc>
        <w:tc>
          <w:tcPr>
            <w:tcW w:w="2136" w:type="dxa"/>
            <w:tcBorders>
              <w:top w:val="nil"/>
              <w:left w:val="nil"/>
              <w:bottom w:val="nil"/>
              <w:right w:val="single" w:sz="4" w:space="0" w:color="auto"/>
            </w:tcBorders>
            <w:shd w:val="clear" w:color="auto" w:fill="auto"/>
            <w:hideMark/>
          </w:tcPr>
          <w:p w14:paraId="30ADC214" w14:textId="77777777" w:rsidR="005B372A" w:rsidRPr="00C05886" w:rsidRDefault="005B372A" w:rsidP="002A6F07">
            <w:pPr>
              <w:spacing w:after="0" w:line="240" w:lineRule="auto"/>
              <w:rPr>
                <w:color w:val="000000"/>
                <w:sz w:val="20"/>
                <w:szCs w:val="20"/>
              </w:rPr>
            </w:pPr>
            <w:r w:rsidRPr="00C05886">
              <w:rPr>
                <w:color w:val="000000"/>
                <w:sz w:val="20"/>
                <w:szCs w:val="20"/>
              </w:rPr>
              <w:t>0.001</w:t>
            </w:r>
          </w:p>
        </w:tc>
      </w:tr>
      <w:tr w:rsidR="005B372A" w:rsidRPr="00C05886" w14:paraId="79F2C2E1" w14:textId="77777777" w:rsidTr="009A1B2F">
        <w:trPr>
          <w:trHeight w:val="232"/>
        </w:trPr>
        <w:tc>
          <w:tcPr>
            <w:tcW w:w="1924" w:type="dxa"/>
            <w:tcBorders>
              <w:left w:val="single" w:sz="4" w:space="0" w:color="auto"/>
              <w:right w:val="nil"/>
            </w:tcBorders>
            <w:shd w:val="clear" w:color="auto" w:fill="auto"/>
            <w:hideMark/>
          </w:tcPr>
          <w:p w14:paraId="074E7464" w14:textId="77777777" w:rsidR="005B372A" w:rsidRPr="00C05886" w:rsidRDefault="005B372A" w:rsidP="002A6F07">
            <w:pPr>
              <w:spacing w:after="0" w:line="240" w:lineRule="auto"/>
              <w:rPr>
                <w:color w:val="000000"/>
                <w:sz w:val="20"/>
                <w:szCs w:val="20"/>
              </w:rPr>
            </w:pPr>
            <w:r w:rsidRPr="00C05886">
              <w:rPr>
                <w:color w:val="000000"/>
                <w:sz w:val="20"/>
                <w:szCs w:val="20"/>
              </w:rPr>
              <w:t>Positive Affect</w:t>
            </w:r>
          </w:p>
        </w:tc>
        <w:tc>
          <w:tcPr>
            <w:tcW w:w="2075" w:type="dxa"/>
            <w:tcBorders>
              <w:top w:val="nil"/>
              <w:left w:val="nil"/>
              <w:bottom w:val="nil"/>
              <w:right w:val="nil"/>
            </w:tcBorders>
            <w:shd w:val="clear" w:color="auto" w:fill="auto"/>
            <w:hideMark/>
          </w:tcPr>
          <w:p w14:paraId="67D3DB85" w14:textId="77777777" w:rsidR="005B372A" w:rsidRPr="00C05886" w:rsidRDefault="005B372A" w:rsidP="002A6F07">
            <w:pPr>
              <w:spacing w:after="0" w:line="240" w:lineRule="auto"/>
              <w:rPr>
                <w:color w:val="000000"/>
                <w:sz w:val="20"/>
                <w:szCs w:val="20"/>
              </w:rPr>
            </w:pPr>
            <w:r w:rsidRPr="00C05886">
              <w:rPr>
                <w:color w:val="000000"/>
                <w:sz w:val="20"/>
                <w:szCs w:val="20"/>
              </w:rPr>
              <w:t>Within-subjects</w:t>
            </w:r>
          </w:p>
        </w:tc>
        <w:tc>
          <w:tcPr>
            <w:tcW w:w="1330" w:type="dxa"/>
            <w:tcBorders>
              <w:top w:val="nil"/>
              <w:left w:val="nil"/>
              <w:bottom w:val="nil"/>
              <w:right w:val="nil"/>
            </w:tcBorders>
            <w:shd w:val="clear" w:color="auto" w:fill="auto"/>
            <w:hideMark/>
          </w:tcPr>
          <w:p w14:paraId="45996A30" w14:textId="77777777" w:rsidR="005B372A" w:rsidRPr="00C05886" w:rsidRDefault="005B372A" w:rsidP="002A6F07">
            <w:pPr>
              <w:spacing w:after="0" w:line="240" w:lineRule="auto"/>
              <w:rPr>
                <w:color w:val="000000"/>
                <w:sz w:val="20"/>
                <w:szCs w:val="20"/>
              </w:rPr>
            </w:pPr>
            <w:r w:rsidRPr="00C05886">
              <w:rPr>
                <w:color w:val="000000"/>
                <w:sz w:val="20"/>
                <w:szCs w:val="20"/>
              </w:rPr>
              <w:t>2.55</w:t>
            </w:r>
          </w:p>
        </w:tc>
        <w:tc>
          <w:tcPr>
            <w:tcW w:w="1182" w:type="dxa"/>
            <w:tcBorders>
              <w:top w:val="nil"/>
              <w:left w:val="nil"/>
              <w:bottom w:val="nil"/>
              <w:right w:val="nil"/>
            </w:tcBorders>
            <w:shd w:val="clear" w:color="auto" w:fill="auto"/>
            <w:hideMark/>
          </w:tcPr>
          <w:p w14:paraId="298B8A5B" w14:textId="77777777" w:rsidR="005B372A" w:rsidRPr="00C05886" w:rsidRDefault="005B372A" w:rsidP="002A6F07">
            <w:pPr>
              <w:spacing w:after="0" w:line="240" w:lineRule="auto"/>
              <w:rPr>
                <w:color w:val="000000"/>
                <w:sz w:val="20"/>
                <w:szCs w:val="20"/>
              </w:rPr>
            </w:pPr>
            <w:r w:rsidRPr="00C05886">
              <w:rPr>
                <w:color w:val="000000"/>
                <w:sz w:val="20"/>
                <w:szCs w:val="20"/>
              </w:rPr>
              <w:t>0.08</w:t>
            </w:r>
          </w:p>
        </w:tc>
        <w:tc>
          <w:tcPr>
            <w:tcW w:w="2136" w:type="dxa"/>
            <w:tcBorders>
              <w:top w:val="nil"/>
              <w:left w:val="nil"/>
              <w:bottom w:val="nil"/>
              <w:right w:val="single" w:sz="4" w:space="0" w:color="auto"/>
            </w:tcBorders>
            <w:shd w:val="clear" w:color="auto" w:fill="auto"/>
            <w:hideMark/>
          </w:tcPr>
          <w:p w14:paraId="69479382" w14:textId="77777777" w:rsidR="005B372A" w:rsidRPr="00C05886" w:rsidRDefault="005B372A" w:rsidP="002A6F07">
            <w:pPr>
              <w:spacing w:after="0" w:line="240" w:lineRule="auto"/>
              <w:rPr>
                <w:color w:val="000000"/>
                <w:sz w:val="20"/>
                <w:szCs w:val="20"/>
              </w:rPr>
            </w:pPr>
            <w:r w:rsidRPr="00C05886">
              <w:rPr>
                <w:color w:val="000000"/>
                <w:sz w:val="20"/>
                <w:szCs w:val="20"/>
              </w:rPr>
              <w:t>0.007</w:t>
            </w:r>
          </w:p>
        </w:tc>
      </w:tr>
      <w:tr w:rsidR="005B372A" w:rsidRPr="00C05886" w14:paraId="5877AB88" w14:textId="77777777" w:rsidTr="009A1B2F">
        <w:trPr>
          <w:trHeight w:val="232"/>
        </w:trPr>
        <w:tc>
          <w:tcPr>
            <w:tcW w:w="1924" w:type="dxa"/>
            <w:tcBorders>
              <w:left w:val="single" w:sz="4" w:space="0" w:color="auto"/>
              <w:right w:val="nil"/>
            </w:tcBorders>
            <w:shd w:val="clear" w:color="auto" w:fill="auto"/>
            <w:hideMark/>
          </w:tcPr>
          <w:p w14:paraId="712B3E14" w14:textId="77777777" w:rsidR="005B372A" w:rsidRPr="00C05886" w:rsidRDefault="005B372A" w:rsidP="002A6F07">
            <w:pPr>
              <w:spacing w:after="0" w:line="240" w:lineRule="auto"/>
              <w:rPr>
                <w:color w:val="000000"/>
                <w:sz w:val="20"/>
                <w:szCs w:val="20"/>
              </w:rPr>
            </w:pPr>
          </w:p>
        </w:tc>
        <w:tc>
          <w:tcPr>
            <w:tcW w:w="2075" w:type="dxa"/>
            <w:tcBorders>
              <w:top w:val="nil"/>
              <w:left w:val="nil"/>
              <w:bottom w:val="nil"/>
              <w:right w:val="nil"/>
            </w:tcBorders>
            <w:shd w:val="clear" w:color="auto" w:fill="auto"/>
            <w:hideMark/>
          </w:tcPr>
          <w:p w14:paraId="22F96759" w14:textId="77777777" w:rsidR="005B372A" w:rsidRPr="00C05886" w:rsidRDefault="005B372A" w:rsidP="002A6F07">
            <w:pPr>
              <w:spacing w:after="0" w:line="240" w:lineRule="auto"/>
              <w:rPr>
                <w:color w:val="000000"/>
                <w:sz w:val="20"/>
                <w:szCs w:val="20"/>
              </w:rPr>
            </w:pPr>
            <w:r w:rsidRPr="00C05886">
              <w:rPr>
                <w:color w:val="000000"/>
                <w:sz w:val="20"/>
                <w:szCs w:val="20"/>
              </w:rPr>
              <w:t>Between Subjects</w:t>
            </w:r>
          </w:p>
        </w:tc>
        <w:tc>
          <w:tcPr>
            <w:tcW w:w="1330" w:type="dxa"/>
            <w:tcBorders>
              <w:top w:val="nil"/>
              <w:left w:val="nil"/>
              <w:bottom w:val="nil"/>
              <w:right w:val="nil"/>
            </w:tcBorders>
            <w:shd w:val="clear" w:color="auto" w:fill="auto"/>
            <w:hideMark/>
          </w:tcPr>
          <w:p w14:paraId="54FE9254" w14:textId="77777777" w:rsidR="005B372A" w:rsidRPr="00C05886" w:rsidRDefault="005B372A" w:rsidP="002A6F07">
            <w:pPr>
              <w:spacing w:after="0" w:line="240" w:lineRule="auto"/>
              <w:rPr>
                <w:color w:val="000000"/>
                <w:sz w:val="20"/>
                <w:szCs w:val="20"/>
              </w:rPr>
            </w:pPr>
            <w:r w:rsidRPr="00C05886">
              <w:rPr>
                <w:color w:val="000000"/>
                <w:sz w:val="20"/>
                <w:szCs w:val="20"/>
              </w:rPr>
              <w:t>2.26</w:t>
            </w:r>
          </w:p>
        </w:tc>
        <w:tc>
          <w:tcPr>
            <w:tcW w:w="1182" w:type="dxa"/>
            <w:tcBorders>
              <w:top w:val="nil"/>
              <w:left w:val="nil"/>
              <w:bottom w:val="nil"/>
              <w:right w:val="nil"/>
            </w:tcBorders>
            <w:shd w:val="clear" w:color="auto" w:fill="auto"/>
            <w:hideMark/>
          </w:tcPr>
          <w:p w14:paraId="454087EB" w14:textId="77777777" w:rsidR="005B372A" w:rsidRPr="00C05886" w:rsidRDefault="005B372A" w:rsidP="002A6F07">
            <w:pPr>
              <w:spacing w:after="0" w:line="240" w:lineRule="auto"/>
              <w:rPr>
                <w:color w:val="000000"/>
                <w:sz w:val="20"/>
                <w:szCs w:val="20"/>
              </w:rPr>
            </w:pPr>
            <w:r w:rsidRPr="00C05886">
              <w:rPr>
                <w:color w:val="000000"/>
                <w:sz w:val="20"/>
                <w:szCs w:val="20"/>
              </w:rPr>
              <w:t>0.11</w:t>
            </w:r>
          </w:p>
        </w:tc>
        <w:tc>
          <w:tcPr>
            <w:tcW w:w="2136" w:type="dxa"/>
            <w:tcBorders>
              <w:top w:val="nil"/>
              <w:left w:val="nil"/>
              <w:bottom w:val="nil"/>
              <w:right w:val="single" w:sz="4" w:space="0" w:color="auto"/>
            </w:tcBorders>
            <w:shd w:val="clear" w:color="auto" w:fill="auto"/>
            <w:hideMark/>
          </w:tcPr>
          <w:p w14:paraId="57AB0F52" w14:textId="77777777" w:rsidR="005B372A" w:rsidRPr="00C05886" w:rsidRDefault="005B372A" w:rsidP="002A6F07">
            <w:pPr>
              <w:spacing w:after="0" w:line="240" w:lineRule="auto"/>
              <w:rPr>
                <w:color w:val="000000"/>
                <w:sz w:val="20"/>
                <w:szCs w:val="20"/>
              </w:rPr>
            </w:pPr>
            <w:r w:rsidRPr="00C05886">
              <w:rPr>
                <w:color w:val="000000"/>
                <w:sz w:val="20"/>
                <w:szCs w:val="20"/>
              </w:rPr>
              <w:t>0.007</w:t>
            </w:r>
          </w:p>
        </w:tc>
      </w:tr>
      <w:tr w:rsidR="005B372A" w:rsidRPr="00C05886" w14:paraId="6996F57E" w14:textId="77777777" w:rsidTr="009A1B2F">
        <w:trPr>
          <w:trHeight w:val="238"/>
        </w:trPr>
        <w:tc>
          <w:tcPr>
            <w:tcW w:w="1924" w:type="dxa"/>
            <w:tcBorders>
              <w:left w:val="single" w:sz="4" w:space="0" w:color="auto"/>
              <w:bottom w:val="single" w:sz="8" w:space="0" w:color="000000"/>
              <w:right w:val="nil"/>
            </w:tcBorders>
            <w:shd w:val="clear" w:color="auto" w:fill="auto"/>
            <w:hideMark/>
          </w:tcPr>
          <w:p w14:paraId="01FC6C15" w14:textId="77777777" w:rsidR="005B372A" w:rsidRPr="00C05886" w:rsidRDefault="005B372A" w:rsidP="002A6F07">
            <w:pPr>
              <w:spacing w:after="0" w:line="240" w:lineRule="auto"/>
              <w:rPr>
                <w:color w:val="000000"/>
                <w:sz w:val="20"/>
                <w:szCs w:val="20"/>
              </w:rPr>
            </w:pPr>
          </w:p>
        </w:tc>
        <w:tc>
          <w:tcPr>
            <w:tcW w:w="2075" w:type="dxa"/>
            <w:tcBorders>
              <w:top w:val="nil"/>
              <w:left w:val="nil"/>
              <w:bottom w:val="nil"/>
              <w:right w:val="nil"/>
            </w:tcBorders>
            <w:shd w:val="clear" w:color="auto" w:fill="auto"/>
            <w:hideMark/>
          </w:tcPr>
          <w:p w14:paraId="4BCB15C7" w14:textId="77777777" w:rsidR="005B372A" w:rsidRPr="00C05886" w:rsidRDefault="005B372A" w:rsidP="002A6F07">
            <w:pPr>
              <w:spacing w:after="0" w:line="240" w:lineRule="auto"/>
              <w:rPr>
                <w:color w:val="000000"/>
                <w:sz w:val="20"/>
                <w:szCs w:val="20"/>
              </w:rPr>
            </w:pPr>
            <w:r w:rsidRPr="00C05886">
              <w:rPr>
                <w:color w:val="000000"/>
                <w:sz w:val="20"/>
                <w:szCs w:val="20"/>
              </w:rPr>
              <w:t>Interaction</w:t>
            </w:r>
          </w:p>
        </w:tc>
        <w:tc>
          <w:tcPr>
            <w:tcW w:w="1330" w:type="dxa"/>
            <w:tcBorders>
              <w:top w:val="nil"/>
              <w:left w:val="nil"/>
              <w:bottom w:val="nil"/>
              <w:right w:val="nil"/>
            </w:tcBorders>
            <w:shd w:val="clear" w:color="auto" w:fill="auto"/>
            <w:hideMark/>
          </w:tcPr>
          <w:p w14:paraId="490F5D52" w14:textId="77777777" w:rsidR="005B372A" w:rsidRPr="00C05886" w:rsidRDefault="005B372A" w:rsidP="002A6F07">
            <w:pPr>
              <w:spacing w:after="0" w:line="240" w:lineRule="auto"/>
              <w:rPr>
                <w:color w:val="000000"/>
                <w:sz w:val="20"/>
                <w:szCs w:val="20"/>
              </w:rPr>
            </w:pPr>
            <w:r w:rsidRPr="00C05886">
              <w:rPr>
                <w:color w:val="000000"/>
                <w:sz w:val="20"/>
                <w:szCs w:val="20"/>
              </w:rPr>
              <w:t>2.57</w:t>
            </w:r>
          </w:p>
        </w:tc>
        <w:tc>
          <w:tcPr>
            <w:tcW w:w="1182" w:type="dxa"/>
            <w:tcBorders>
              <w:top w:val="nil"/>
              <w:left w:val="nil"/>
              <w:bottom w:val="nil"/>
              <w:right w:val="nil"/>
            </w:tcBorders>
            <w:shd w:val="clear" w:color="auto" w:fill="auto"/>
            <w:hideMark/>
          </w:tcPr>
          <w:p w14:paraId="6D7BDE17" w14:textId="77777777" w:rsidR="005B372A" w:rsidRPr="00C05886" w:rsidRDefault="005B372A" w:rsidP="002A6F07">
            <w:pPr>
              <w:spacing w:after="0" w:line="240" w:lineRule="auto"/>
              <w:rPr>
                <w:color w:val="000000"/>
                <w:sz w:val="20"/>
                <w:szCs w:val="20"/>
              </w:rPr>
            </w:pPr>
            <w:r w:rsidRPr="00C05886">
              <w:rPr>
                <w:color w:val="000000"/>
                <w:sz w:val="20"/>
                <w:szCs w:val="20"/>
              </w:rPr>
              <w:t>0.08</w:t>
            </w:r>
          </w:p>
        </w:tc>
        <w:tc>
          <w:tcPr>
            <w:tcW w:w="2136" w:type="dxa"/>
            <w:tcBorders>
              <w:top w:val="nil"/>
              <w:left w:val="nil"/>
              <w:bottom w:val="nil"/>
              <w:right w:val="single" w:sz="4" w:space="0" w:color="auto"/>
            </w:tcBorders>
            <w:shd w:val="clear" w:color="auto" w:fill="auto"/>
            <w:hideMark/>
          </w:tcPr>
          <w:p w14:paraId="44040740" w14:textId="77777777" w:rsidR="005B372A" w:rsidRPr="00C05886" w:rsidRDefault="005B372A" w:rsidP="002A6F07">
            <w:pPr>
              <w:spacing w:after="0" w:line="240" w:lineRule="auto"/>
              <w:rPr>
                <w:color w:val="000000"/>
                <w:sz w:val="20"/>
                <w:szCs w:val="20"/>
              </w:rPr>
            </w:pPr>
            <w:r w:rsidRPr="00C05886">
              <w:rPr>
                <w:color w:val="000000"/>
                <w:sz w:val="20"/>
                <w:szCs w:val="20"/>
              </w:rPr>
              <w:t>0.007</w:t>
            </w:r>
          </w:p>
        </w:tc>
      </w:tr>
      <w:tr w:rsidR="005B372A" w:rsidRPr="00C05886" w14:paraId="55720F8E" w14:textId="77777777" w:rsidTr="009A1B2F">
        <w:trPr>
          <w:trHeight w:val="119"/>
        </w:trPr>
        <w:tc>
          <w:tcPr>
            <w:tcW w:w="8647" w:type="dxa"/>
            <w:gridSpan w:val="5"/>
            <w:tcBorders>
              <w:top w:val="single" w:sz="8" w:space="0" w:color="auto"/>
              <w:left w:val="single" w:sz="4" w:space="0" w:color="auto"/>
              <w:bottom w:val="single" w:sz="8" w:space="0" w:color="auto"/>
              <w:right w:val="single" w:sz="4" w:space="0" w:color="auto"/>
            </w:tcBorders>
            <w:shd w:val="clear" w:color="auto" w:fill="auto"/>
            <w:hideMark/>
          </w:tcPr>
          <w:p w14:paraId="5F54DB68" w14:textId="77777777" w:rsidR="005B372A" w:rsidRPr="00C05886" w:rsidRDefault="005B372A" w:rsidP="002A6F07">
            <w:pPr>
              <w:spacing w:after="0" w:line="240" w:lineRule="auto"/>
              <w:rPr>
                <w:b/>
                <w:bCs/>
                <w:color w:val="000000"/>
                <w:sz w:val="20"/>
                <w:szCs w:val="20"/>
              </w:rPr>
            </w:pPr>
            <w:r w:rsidRPr="00C05886">
              <w:rPr>
                <w:b/>
                <w:bCs/>
                <w:color w:val="000000"/>
                <w:sz w:val="20"/>
                <w:szCs w:val="20"/>
              </w:rPr>
              <w:t>Effect of noticing trees</w:t>
            </w:r>
          </w:p>
        </w:tc>
      </w:tr>
      <w:tr w:rsidR="005B372A" w:rsidRPr="00C05886" w14:paraId="4B3530FA" w14:textId="77777777" w:rsidTr="009A1B2F">
        <w:trPr>
          <w:trHeight w:val="232"/>
        </w:trPr>
        <w:tc>
          <w:tcPr>
            <w:tcW w:w="1924" w:type="dxa"/>
            <w:tcBorders>
              <w:top w:val="nil"/>
              <w:left w:val="single" w:sz="4" w:space="0" w:color="auto"/>
              <w:right w:val="nil"/>
            </w:tcBorders>
            <w:shd w:val="clear" w:color="auto" w:fill="auto"/>
            <w:hideMark/>
          </w:tcPr>
          <w:p w14:paraId="13CB8E35" w14:textId="77777777" w:rsidR="005B372A" w:rsidRPr="00C05886" w:rsidRDefault="005B372A" w:rsidP="002A6F07">
            <w:pPr>
              <w:spacing w:after="0" w:line="240" w:lineRule="auto"/>
              <w:rPr>
                <w:color w:val="000000"/>
                <w:sz w:val="20"/>
                <w:szCs w:val="20"/>
              </w:rPr>
            </w:pPr>
            <w:r w:rsidRPr="00C05886">
              <w:rPr>
                <w:color w:val="000000"/>
                <w:sz w:val="20"/>
                <w:szCs w:val="20"/>
              </w:rPr>
              <w:t>Negative Affect</w:t>
            </w:r>
          </w:p>
        </w:tc>
        <w:tc>
          <w:tcPr>
            <w:tcW w:w="2075" w:type="dxa"/>
            <w:tcBorders>
              <w:top w:val="nil"/>
              <w:left w:val="nil"/>
              <w:bottom w:val="nil"/>
              <w:right w:val="nil"/>
            </w:tcBorders>
            <w:shd w:val="clear" w:color="auto" w:fill="auto"/>
            <w:hideMark/>
          </w:tcPr>
          <w:p w14:paraId="031B5602" w14:textId="77777777" w:rsidR="005B372A" w:rsidRPr="00C05886" w:rsidRDefault="005B372A" w:rsidP="002A6F07">
            <w:pPr>
              <w:spacing w:after="0" w:line="240" w:lineRule="auto"/>
              <w:rPr>
                <w:color w:val="000000"/>
                <w:sz w:val="20"/>
                <w:szCs w:val="20"/>
              </w:rPr>
            </w:pPr>
            <w:r w:rsidRPr="00C05886">
              <w:rPr>
                <w:color w:val="000000"/>
                <w:sz w:val="20"/>
                <w:szCs w:val="20"/>
              </w:rPr>
              <w:t>Within-subjects</w:t>
            </w:r>
          </w:p>
        </w:tc>
        <w:tc>
          <w:tcPr>
            <w:tcW w:w="1330" w:type="dxa"/>
            <w:tcBorders>
              <w:top w:val="nil"/>
              <w:left w:val="nil"/>
              <w:bottom w:val="nil"/>
              <w:right w:val="nil"/>
            </w:tcBorders>
            <w:shd w:val="clear" w:color="auto" w:fill="auto"/>
            <w:hideMark/>
          </w:tcPr>
          <w:p w14:paraId="4ABF3A88" w14:textId="77777777" w:rsidR="005B372A" w:rsidRPr="00C05886" w:rsidRDefault="005B372A" w:rsidP="002A6F07">
            <w:pPr>
              <w:spacing w:after="0" w:line="240" w:lineRule="auto"/>
              <w:rPr>
                <w:color w:val="000000"/>
                <w:sz w:val="20"/>
                <w:szCs w:val="20"/>
              </w:rPr>
            </w:pPr>
            <w:r w:rsidRPr="00C05886">
              <w:rPr>
                <w:color w:val="000000"/>
                <w:sz w:val="20"/>
                <w:szCs w:val="20"/>
              </w:rPr>
              <w:t>45.43</w:t>
            </w:r>
          </w:p>
        </w:tc>
        <w:tc>
          <w:tcPr>
            <w:tcW w:w="1182" w:type="dxa"/>
            <w:tcBorders>
              <w:top w:val="nil"/>
              <w:left w:val="nil"/>
              <w:bottom w:val="nil"/>
              <w:right w:val="nil"/>
            </w:tcBorders>
            <w:shd w:val="clear" w:color="auto" w:fill="auto"/>
            <w:hideMark/>
          </w:tcPr>
          <w:p w14:paraId="253548E7" w14:textId="77777777" w:rsidR="005B372A" w:rsidRPr="00C05886" w:rsidRDefault="005B372A" w:rsidP="002A6F07">
            <w:pPr>
              <w:spacing w:after="0" w:line="240" w:lineRule="auto"/>
              <w:rPr>
                <w:color w:val="000000"/>
                <w:sz w:val="20"/>
                <w:szCs w:val="20"/>
              </w:rPr>
            </w:pPr>
            <w:r w:rsidRPr="00C05886">
              <w:rPr>
                <w:color w:val="000000"/>
                <w:sz w:val="20"/>
                <w:szCs w:val="20"/>
              </w:rPr>
              <w:t>&lt; 0.01</w:t>
            </w:r>
          </w:p>
        </w:tc>
        <w:tc>
          <w:tcPr>
            <w:tcW w:w="2136" w:type="dxa"/>
            <w:tcBorders>
              <w:top w:val="nil"/>
              <w:left w:val="nil"/>
              <w:bottom w:val="nil"/>
              <w:right w:val="single" w:sz="4" w:space="0" w:color="auto"/>
            </w:tcBorders>
            <w:shd w:val="clear" w:color="auto" w:fill="auto"/>
            <w:hideMark/>
          </w:tcPr>
          <w:p w14:paraId="083A9A11" w14:textId="77777777" w:rsidR="005B372A" w:rsidRPr="00C05886" w:rsidRDefault="005B372A" w:rsidP="002A6F07">
            <w:pPr>
              <w:spacing w:after="0" w:line="240" w:lineRule="auto"/>
              <w:rPr>
                <w:color w:val="000000"/>
                <w:sz w:val="20"/>
                <w:szCs w:val="20"/>
              </w:rPr>
            </w:pPr>
            <w:r w:rsidRPr="00C05886">
              <w:rPr>
                <w:color w:val="000000"/>
                <w:sz w:val="20"/>
                <w:szCs w:val="20"/>
              </w:rPr>
              <w:t>0.11</w:t>
            </w:r>
          </w:p>
        </w:tc>
      </w:tr>
      <w:tr w:rsidR="005B372A" w:rsidRPr="00C05886" w14:paraId="486A8FE8" w14:textId="77777777" w:rsidTr="009A1B2F">
        <w:trPr>
          <w:trHeight w:val="232"/>
        </w:trPr>
        <w:tc>
          <w:tcPr>
            <w:tcW w:w="1924" w:type="dxa"/>
            <w:tcBorders>
              <w:left w:val="single" w:sz="4" w:space="0" w:color="auto"/>
              <w:right w:val="nil"/>
            </w:tcBorders>
            <w:shd w:val="clear" w:color="auto" w:fill="auto"/>
            <w:hideMark/>
          </w:tcPr>
          <w:p w14:paraId="52A4C681" w14:textId="77777777" w:rsidR="005B372A" w:rsidRPr="00C05886" w:rsidRDefault="005B372A" w:rsidP="002A6F07">
            <w:pPr>
              <w:spacing w:after="0" w:line="240" w:lineRule="auto"/>
              <w:rPr>
                <w:color w:val="000000"/>
                <w:sz w:val="20"/>
                <w:szCs w:val="20"/>
              </w:rPr>
            </w:pPr>
          </w:p>
        </w:tc>
        <w:tc>
          <w:tcPr>
            <w:tcW w:w="2075" w:type="dxa"/>
            <w:tcBorders>
              <w:top w:val="nil"/>
              <w:left w:val="nil"/>
              <w:bottom w:val="nil"/>
              <w:right w:val="nil"/>
            </w:tcBorders>
            <w:shd w:val="clear" w:color="auto" w:fill="auto"/>
            <w:hideMark/>
          </w:tcPr>
          <w:p w14:paraId="16601AFB" w14:textId="77777777" w:rsidR="005B372A" w:rsidRPr="00C05886" w:rsidRDefault="005B372A" w:rsidP="002A6F07">
            <w:pPr>
              <w:spacing w:after="0" w:line="240" w:lineRule="auto"/>
              <w:rPr>
                <w:color w:val="000000"/>
                <w:sz w:val="20"/>
                <w:szCs w:val="20"/>
              </w:rPr>
            </w:pPr>
            <w:r w:rsidRPr="00C05886">
              <w:rPr>
                <w:color w:val="000000"/>
                <w:sz w:val="20"/>
                <w:szCs w:val="20"/>
              </w:rPr>
              <w:t>Between Subjects</w:t>
            </w:r>
          </w:p>
        </w:tc>
        <w:tc>
          <w:tcPr>
            <w:tcW w:w="1330" w:type="dxa"/>
            <w:tcBorders>
              <w:top w:val="nil"/>
              <w:left w:val="nil"/>
              <w:bottom w:val="nil"/>
              <w:right w:val="nil"/>
            </w:tcBorders>
            <w:shd w:val="clear" w:color="auto" w:fill="auto"/>
            <w:hideMark/>
          </w:tcPr>
          <w:p w14:paraId="7FF7DA09" w14:textId="77777777" w:rsidR="005B372A" w:rsidRPr="00C05886" w:rsidRDefault="005B372A" w:rsidP="002A6F07">
            <w:pPr>
              <w:spacing w:after="0" w:line="240" w:lineRule="auto"/>
              <w:rPr>
                <w:color w:val="000000"/>
                <w:sz w:val="20"/>
                <w:szCs w:val="20"/>
              </w:rPr>
            </w:pPr>
            <w:r w:rsidRPr="00C05886">
              <w:rPr>
                <w:color w:val="000000"/>
                <w:sz w:val="20"/>
                <w:szCs w:val="20"/>
              </w:rPr>
              <w:t>3.85</w:t>
            </w:r>
          </w:p>
        </w:tc>
        <w:tc>
          <w:tcPr>
            <w:tcW w:w="1182" w:type="dxa"/>
            <w:tcBorders>
              <w:top w:val="nil"/>
              <w:left w:val="nil"/>
              <w:bottom w:val="nil"/>
              <w:right w:val="nil"/>
            </w:tcBorders>
            <w:shd w:val="clear" w:color="auto" w:fill="auto"/>
            <w:hideMark/>
          </w:tcPr>
          <w:p w14:paraId="627476B7" w14:textId="77777777" w:rsidR="005B372A" w:rsidRPr="00C05886" w:rsidRDefault="005B372A" w:rsidP="002A6F07">
            <w:pPr>
              <w:spacing w:after="0" w:line="240" w:lineRule="auto"/>
              <w:rPr>
                <w:color w:val="000000"/>
                <w:sz w:val="20"/>
                <w:szCs w:val="20"/>
              </w:rPr>
            </w:pPr>
            <w:r w:rsidRPr="00C05886">
              <w:rPr>
                <w:color w:val="000000"/>
                <w:sz w:val="20"/>
                <w:szCs w:val="20"/>
              </w:rPr>
              <w:t>0.05</w:t>
            </w:r>
          </w:p>
        </w:tc>
        <w:tc>
          <w:tcPr>
            <w:tcW w:w="2136" w:type="dxa"/>
            <w:tcBorders>
              <w:top w:val="nil"/>
              <w:left w:val="nil"/>
              <w:bottom w:val="nil"/>
              <w:right w:val="single" w:sz="4" w:space="0" w:color="auto"/>
            </w:tcBorders>
            <w:shd w:val="clear" w:color="auto" w:fill="auto"/>
            <w:hideMark/>
          </w:tcPr>
          <w:p w14:paraId="28FB369B" w14:textId="77777777" w:rsidR="005B372A" w:rsidRPr="00C05886" w:rsidRDefault="005B372A" w:rsidP="002A6F07">
            <w:pPr>
              <w:spacing w:after="0" w:line="240" w:lineRule="auto"/>
              <w:rPr>
                <w:color w:val="000000"/>
                <w:sz w:val="20"/>
                <w:szCs w:val="20"/>
              </w:rPr>
            </w:pPr>
            <w:r w:rsidRPr="00C05886">
              <w:rPr>
                <w:color w:val="000000"/>
                <w:sz w:val="20"/>
                <w:szCs w:val="20"/>
              </w:rPr>
              <w:t>0.01</w:t>
            </w:r>
          </w:p>
        </w:tc>
      </w:tr>
      <w:tr w:rsidR="005B372A" w:rsidRPr="00C05886" w14:paraId="0CB04760" w14:textId="77777777" w:rsidTr="009A1B2F">
        <w:trPr>
          <w:trHeight w:val="232"/>
        </w:trPr>
        <w:tc>
          <w:tcPr>
            <w:tcW w:w="1924" w:type="dxa"/>
            <w:tcBorders>
              <w:left w:val="single" w:sz="4" w:space="0" w:color="auto"/>
              <w:right w:val="nil"/>
            </w:tcBorders>
            <w:shd w:val="clear" w:color="auto" w:fill="auto"/>
            <w:hideMark/>
          </w:tcPr>
          <w:p w14:paraId="3B1F8894" w14:textId="77777777" w:rsidR="005B372A" w:rsidRPr="00C05886" w:rsidRDefault="005B372A" w:rsidP="002A6F07">
            <w:pPr>
              <w:spacing w:after="0" w:line="240" w:lineRule="auto"/>
              <w:rPr>
                <w:color w:val="000000"/>
                <w:sz w:val="20"/>
                <w:szCs w:val="20"/>
              </w:rPr>
            </w:pPr>
          </w:p>
        </w:tc>
        <w:tc>
          <w:tcPr>
            <w:tcW w:w="2075" w:type="dxa"/>
            <w:tcBorders>
              <w:top w:val="nil"/>
              <w:left w:val="nil"/>
              <w:bottom w:val="nil"/>
              <w:right w:val="nil"/>
            </w:tcBorders>
            <w:shd w:val="clear" w:color="auto" w:fill="auto"/>
            <w:hideMark/>
          </w:tcPr>
          <w:p w14:paraId="43C772AD" w14:textId="77777777" w:rsidR="005B372A" w:rsidRPr="00C05886" w:rsidRDefault="005B372A" w:rsidP="002A6F07">
            <w:pPr>
              <w:spacing w:after="0" w:line="240" w:lineRule="auto"/>
              <w:rPr>
                <w:color w:val="000000"/>
                <w:sz w:val="20"/>
                <w:szCs w:val="20"/>
              </w:rPr>
            </w:pPr>
            <w:r w:rsidRPr="00C05886">
              <w:rPr>
                <w:color w:val="000000"/>
                <w:sz w:val="20"/>
                <w:szCs w:val="20"/>
              </w:rPr>
              <w:t>Interaction</w:t>
            </w:r>
          </w:p>
        </w:tc>
        <w:tc>
          <w:tcPr>
            <w:tcW w:w="1330" w:type="dxa"/>
            <w:tcBorders>
              <w:top w:val="nil"/>
              <w:left w:val="nil"/>
              <w:bottom w:val="nil"/>
              <w:right w:val="nil"/>
            </w:tcBorders>
            <w:shd w:val="clear" w:color="auto" w:fill="auto"/>
            <w:hideMark/>
          </w:tcPr>
          <w:p w14:paraId="558739AD" w14:textId="77777777" w:rsidR="005B372A" w:rsidRPr="00C05886" w:rsidRDefault="005B372A" w:rsidP="002A6F07">
            <w:pPr>
              <w:spacing w:after="0" w:line="240" w:lineRule="auto"/>
              <w:rPr>
                <w:color w:val="000000"/>
                <w:sz w:val="20"/>
                <w:szCs w:val="20"/>
              </w:rPr>
            </w:pPr>
            <w:r w:rsidRPr="00C05886">
              <w:rPr>
                <w:color w:val="000000"/>
                <w:sz w:val="20"/>
                <w:szCs w:val="20"/>
              </w:rPr>
              <w:t>0.15</w:t>
            </w:r>
          </w:p>
        </w:tc>
        <w:tc>
          <w:tcPr>
            <w:tcW w:w="1182" w:type="dxa"/>
            <w:tcBorders>
              <w:top w:val="nil"/>
              <w:left w:val="nil"/>
              <w:bottom w:val="nil"/>
              <w:right w:val="nil"/>
            </w:tcBorders>
            <w:shd w:val="clear" w:color="auto" w:fill="auto"/>
            <w:hideMark/>
          </w:tcPr>
          <w:p w14:paraId="3FBC9217" w14:textId="77777777" w:rsidR="005B372A" w:rsidRPr="00C05886" w:rsidRDefault="005B372A" w:rsidP="002A6F07">
            <w:pPr>
              <w:spacing w:after="0" w:line="240" w:lineRule="auto"/>
              <w:rPr>
                <w:color w:val="000000"/>
                <w:sz w:val="20"/>
                <w:szCs w:val="20"/>
              </w:rPr>
            </w:pPr>
            <w:r w:rsidRPr="00C05886">
              <w:rPr>
                <w:color w:val="000000"/>
                <w:sz w:val="20"/>
                <w:szCs w:val="20"/>
              </w:rPr>
              <w:t>0.7</w:t>
            </w:r>
          </w:p>
        </w:tc>
        <w:tc>
          <w:tcPr>
            <w:tcW w:w="2136" w:type="dxa"/>
            <w:tcBorders>
              <w:top w:val="nil"/>
              <w:left w:val="nil"/>
              <w:bottom w:val="nil"/>
              <w:right w:val="single" w:sz="4" w:space="0" w:color="auto"/>
            </w:tcBorders>
            <w:shd w:val="clear" w:color="auto" w:fill="auto"/>
            <w:hideMark/>
          </w:tcPr>
          <w:p w14:paraId="403D59F1" w14:textId="77777777" w:rsidR="005B372A" w:rsidRPr="00C05886" w:rsidRDefault="005B372A" w:rsidP="002A6F07">
            <w:pPr>
              <w:spacing w:after="0" w:line="240" w:lineRule="auto"/>
              <w:rPr>
                <w:color w:val="000000"/>
                <w:sz w:val="20"/>
                <w:szCs w:val="20"/>
              </w:rPr>
            </w:pPr>
            <w:r w:rsidRPr="00C05886">
              <w:rPr>
                <w:color w:val="000000"/>
                <w:sz w:val="20"/>
                <w:szCs w:val="20"/>
              </w:rPr>
              <w:t>&lt; 0.005</w:t>
            </w:r>
          </w:p>
        </w:tc>
      </w:tr>
      <w:tr w:rsidR="005B372A" w:rsidRPr="00C05886" w14:paraId="50A173A9" w14:textId="77777777" w:rsidTr="009A1B2F">
        <w:trPr>
          <w:trHeight w:val="232"/>
        </w:trPr>
        <w:tc>
          <w:tcPr>
            <w:tcW w:w="1924" w:type="dxa"/>
            <w:tcBorders>
              <w:left w:val="single" w:sz="4" w:space="0" w:color="auto"/>
              <w:right w:val="nil"/>
            </w:tcBorders>
            <w:shd w:val="clear" w:color="auto" w:fill="auto"/>
            <w:hideMark/>
          </w:tcPr>
          <w:p w14:paraId="61AED2AA" w14:textId="77777777" w:rsidR="005B372A" w:rsidRPr="00C05886" w:rsidRDefault="005B372A" w:rsidP="002A6F07">
            <w:pPr>
              <w:spacing w:after="0" w:line="240" w:lineRule="auto"/>
              <w:rPr>
                <w:color w:val="000000"/>
                <w:sz w:val="20"/>
                <w:szCs w:val="20"/>
              </w:rPr>
            </w:pPr>
            <w:r w:rsidRPr="00C05886">
              <w:rPr>
                <w:color w:val="000000"/>
                <w:sz w:val="20"/>
                <w:szCs w:val="20"/>
              </w:rPr>
              <w:t>Positive Affect</w:t>
            </w:r>
          </w:p>
        </w:tc>
        <w:tc>
          <w:tcPr>
            <w:tcW w:w="2075" w:type="dxa"/>
            <w:tcBorders>
              <w:top w:val="nil"/>
              <w:left w:val="nil"/>
              <w:bottom w:val="nil"/>
              <w:right w:val="nil"/>
            </w:tcBorders>
            <w:shd w:val="clear" w:color="auto" w:fill="auto"/>
            <w:hideMark/>
          </w:tcPr>
          <w:p w14:paraId="0AD4A4B8" w14:textId="77777777" w:rsidR="005B372A" w:rsidRPr="00C05886" w:rsidRDefault="005B372A" w:rsidP="002A6F07">
            <w:pPr>
              <w:spacing w:after="0" w:line="240" w:lineRule="auto"/>
              <w:rPr>
                <w:color w:val="000000"/>
                <w:sz w:val="20"/>
                <w:szCs w:val="20"/>
              </w:rPr>
            </w:pPr>
            <w:r w:rsidRPr="00C05886">
              <w:rPr>
                <w:color w:val="000000"/>
                <w:sz w:val="20"/>
                <w:szCs w:val="20"/>
              </w:rPr>
              <w:t>Within-subjects</w:t>
            </w:r>
          </w:p>
        </w:tc>
        <w:tc>
          <w:tcPr>
            <w:tcW w:w="1330" w:type="dxa"/>
            <w:tcBorders>
              <w:top w:val="nil"/>
              <w:left w:val="nil"/>
              <w:bottom w:val="nil"/>
              <w:right w:val="nil"/>
            </w:tcBorders>
            <w:shd w:val="clear" w:color="auto" w:fill="auto"/>
            <w:hideMark/>
          </w:tcPr>
          <w:p w14:paraId="1ABFDBF8" w14:textId="77777777" w:rsidR="005B372A" w:rsidRPr="00C05886" w:rsidRDefault="005B372A" w:rsidP="002A6F07">
            <w:pPr>
              <w:spacing w:after="0" w:line="240" w:lineRule="auto"/>
              <w:rPr>
                <w:color w:val="000000"/>
                <w:sz w:val="20"/>
                <w:szCs w:val="20"/>
              </w:rPr>
            </w:pPr>
            <w:r w:rsidRPr="00C05886">
              <w:rPr>
                <w:color w:val="000000"/>
                <w:sz w:val="20"/>
                <w:szCs w:val="20"/>
              </w:rPr>
              <w:t>2.4</w:t>
            </w:r>
          </w:p>
        </w:tc>
        <w:tc>
          <w:tcPr>
            <w:tcW w:w="1182" w:type="dxa"/>
            <w:tcBorders>
              <w:top w:val="nil"/>
              <w:left w:val="nil"/>
              <w:bottom w:val="nil"/>
              <w:right w:val="nil"/>
            </w:tcBorders>
            <w:shd w:val="clear" w:color="auto" w:fill="auto"/>
            <w:hideMark/>
          </w:tcPr>
          <w:p w14:paraId="4D668A9E" w14:textId="77777777" w:rsidR="005B372A" w:rsidRPr="00C05886" w:rsidRDefault="005B372A" w:rsidP="002A6F07">
            <w:pPr>
              <w:spacing w:after="0" w:line="240" w:lineRule="auto"/>
              <w:rPr>
                <w:color w:val="000000"/>
                <w:sz w:val="20"/>
                <w:szCs w:val="20"/>
              </w:rPr>
            </w:pPr>
            <w:r w:rsidRPr="00C05886">
              <w:rPr>
                <w:color w:val="000000"/>
                <w:sz w:val="20"/>
                <w:szCs w:val="20"/>
              </w:rPr>
              <w:t>0.01</w:t>
            </w:r>
          </w:p>
        </w:tc>
        <w:tc>
          <w:tcPr>
            <w:tcW w:w="2136" w:type="dxa"/>
            <w:tcBorders>
              <w:top w:val="nil"/>
              <w:left w:val="nil"/>
              <w:right w:val="single" w:sz="4" w:space="0" w:color="auto"/>
            </w:tcBorders>
            <w:shd w:val="clear" w:color="auto" w:fill="auto"/>
            <w:hideMark/>
          </w:tcPr>
          <w:p w14:paraId="71E09AD9" w14:textId="77777777" w:rsidR="005B372A" w:rsidRPr="00C05886" w:rsidRDefault="005B372A" w:rsidP="002A6F07">
            <w:pPr>
              <w:spacing w:after="0" w:line="240" w:lineRule="auto"/>
              <w:rPr>
                <w:color w:val="000000"/>
                <w:sz w:val="20"/>
                <w:szCs w:val="20"/>
              </w:rPr>
            </w:pPr>
            <w:r w:rsidRPr="00C05886">
              <w:rPr>
                <w:color w:val="000000"/>
                <w:sz w:val="20"/>
                <w:szCs w:val="20"/>
              </w:rPr>
              <w:t>0.006</w:t>
            </w:r>
          </w:p>
        </w:tc>
      </w:tr>
      <w:tr w:rsidR="005B372A" w:rsidRPr="00C05886" w14:paraId="1C6920E1" w14:textId="77777777" w:rsidTr="009A1B2F">
        <w:trPr>
          <w:trHeight w:val="232"/>
        </w:trPr>
        <w:tc>
          <w:tcPr>
            <w:tcW w:w="1924" w:type="dxa"/>
            <w:tcBorders>
              <w:left w:val="single" w:sz="4" w:space="0" w:color="auto"/>
              <w:right w:val="nil"/>
            </w:tcBorders>
            <w:shd w:val="clear" w:color="auto" w:fill="auto"/>
            <w:hideMark/>
          </w:tcPr>
          <w:p w14:paraId="5CDF0BE9" w14:textId="77777777" w:rsidR="005B372A" w:rsidRPr="00C05886" w:rsidRDefault="005B372A" w:rsidP="002A6F07">
            <w:pPr>
              <w:spacing w:after="0" w:line="240" w:lineRule="auto"/>
              <w:rPr>
                <w:color w:val="000000"/>
                <w:sz w:val="20"/>
                <w:szCs w:val="20"/>
              </w:rPr>
            </w:pPr>
          </w:p>
        </w:tc>
        <w:tc>
          <w:tcPr>
            <w:tcW w:w="2075" w:type="dxa"/>
            <w:tcBorders>
              <w:top w:val="nil"/>
              <w:left w:val="nil"/>
              <w:bottom w:val="nil"/>
              <w:right w:val="nil"/>
            </w:tcBorders>
            <w:shd w:val="clear" w:color="auto" w:fill="auto"/>
            <w:hideMark/>
          </w:tcPr>
          <w:p w14:paraId="73D8CA99" w14:textId="77777777" w:rsidR="005B372A" w:rsidRPr="00C05886" w:rsidRDefault="005B372A" w:rsidP="002A6F07">
            <w:pPr>
              <w:spacing w:after="0" w:line="240" w:lineRule="auto"/>
              <w:rPr>
                <w:color w:val="000000"/>
                <w:sz w:val="20"/>
                <w:szCs w:val="20"/>
              </w:rPr>
            </w:pPr>
            <w:r w:rsidRPr="00C05886">
              <w:rPr>
                <w:color w:val="000000"/>
                <w:sz w:val="20"/>
                <w:szCs w:val="20"/>
              </w:rPr>
              <w:t>Between Subjects</w:t>
            </w:r>
          </w:p>
        </w:tc>
        <w:tc>
          <w:tcPr>
            <w:tcW w:w="1330" w:type="dxa"/>
            <w:tcBorders>
              <w:top w:val="nil"/>
              <w:left w:val="nil"/>
              <w:bottom w:val="nil"/>
              <w:right w:val="nil"/>
            </w:tcBorders>
            <w:shd w:val="clear" w:color="auto" w:fill="auto"/>
            <w:hideMark/>
          </w:tcPr>
          <w:p w14:paraId="5EE1516E" w14:textId="77777777" w:rsidR="005B372A" w:rsidRPr="00C05886" w:rsidRDefault="005B372A" w:rsidP="002A6F07">
            <w:pPr>
              <w:spacing w:after="0" w:line="240" w:lineRule="auto"/>
              <w:rPr>
                <w:color w:val="000000"/>
                <w:sz w:val="20"/>
                <w:szCs w:val="20"/>
              </w:rPr>
            </w:pPr>
            <w:r w:rsidRPr="00C05886">
              <w:rPr>
                <w:color w:val="000000"/>
                <w:sz w:val="20"/>
                <w:szCs w:val="20"/>
              </w:rPr>
              <w:t>1.56</w:t>
            </w:r>
          </w:p>
        </w:tc>
        <w:tc>
          <w:tcPr>
            <w:tcW w:w="1182" w:type="dxa"/>
            <w:tcBorders>
              <w:top w:val="nil"/>
              <w:left w:val="nil"/>
              <w:bottom w:val="nil"/>
              <w:right w:val="nil"/>
            </w:tcBorders>
            <w:shd w:val="clear" w:color="auto" w:fill="auto"/>
            <w:hideMark/>
          </w:tcPr>
          <w:p w14:paraId="04FDE0ED" w14:textId="77777777" w:rsidR="005B372A" w:rsidRPr="00C05886" w:rsidRDefault="005B372A" w:rsidP="002A6F07">
            <w:pPr>
              <w:spacing w:after="0" w:line="240" w:lineRule="auto"/>
              <w:rPr>
                <w:color w:val="000000"/>
                <w:sz w:val="20"/>
                <w:szCs w:val="20"/>
              </w:rPr>
            </w:pPr>
            <w:r w:rsidRPr="00C05886">
              <w:rPr>
                <w:color w:val="000000"/>
                <w:sz w:val="20"/>
                <w:szCs w:val="20"/>
              </w:rPr>
              <w:t>0.21</w:t>
            </w:r>
          </w:p>
        </w:tc>
        <w:tc>
          <w:tcPr>
            <w:tcW w:w="2136" w:type="dxa"/>
            <w:tcBorders>
              <w:top w:val="nil"/>
              <w:left w:val="nil"/>
              <w:bottom w:val="nil"/>
              <w:right w:val="single" w:sz="4" w:space="0" w:color="auto"/>
            </w:tcBorders>
            <w:shd w:val="clear" w:color="auto" w:fill="auto"/>
            <w:hideMark/>
          </w:tcPr>
          <w:p w14:paraId="1AAA9028" w14:textId="77777777" w:rsidR="005B372A" w:rsidRPr="00C05886" w:rsidRDefault="005B372A" w:rsidP="002A6F07">
            <w:pPr>
              <w:spacing w:after="0" w:line="240" w:lineRule="auto"/>
              <w:rPr>
                <w:color w:val="000000"/>
                <w:sz w:val="20"/>
                <w:szCs w:val="20"/>
              </w:rPr>
            </w:pPr>
            <w:r w:rsidRPr="00C05886">
              <w:rPr>
                <w:color w:val="000000"/>
                <w:sz w:val="20"/>
                <w:szCs w:val="20"/>
              </w:rPr>
              <w:t>0.004</w:t>
            </w:r>
          </w:p>
        </w:tc>
      </w:tr>
      <w:tr w:rsidR="005B372A" w:rsidRPr="00C05886" w14:paraId="7C27F9F2" w14:textId="77777777" w:rsidTr="009A1B2F">
        <w:trPr>
          <w:trHeight w:val="238"/>
        </w:trPr>
        <w:tc>
          <w:tcPr>
            <w:tcW w:w="1924" w:type="dxa"/>
            <w:tcBorders>
              <w:left w:val="single" w:sz="4" w:space="0" w:color="auto"/>
              <w:bottom w:val="single" w:sz="8" w:space="0" w:color="000000"/>
              <w:right w:val="nil"/>
            </w:tcBorders>
            <w:shd w:val="clear" w:color="auto" w:fill="auto"/>
            <w:hideMark/>
          </w:tcPr>
          <w:p w14:paraId="081F231F" w14:textId="77777777" w:rsidR="005B372A" w:rsidRPr="00C05886" w:rsidRDefault="005B372A" w:rsidP="002A6F07">
            <w:pPr>
              <w:spacing w:after="0" w:line="240" w:lineRule="auto"/>
              <w:rPr>
                <w:color w:val="000000"/>
                <w:sz w:val="20"/>
                <w:szCs w:val="20"/>
              </w:rPr>
            </w:pPr>
          </w:p>
        </w:tc>
        <w:tc>
          <w:tcPr>
            <w:tcW w:w="2075" w:type="dxa"/>
            <w:tcBorders>
              <w:top w:val="nil"/>
              <w:left w:val="nil"/>
              <w:bottom w:val="nil"/>
              <w:right w:val="nil"/>
            </w:tcBorders>
            <w:shd w:val="clear" w:color="auto" w:fill="auto"/>
            <w:hideMark/>
          </w:tcPr>
          <w:p w14:paraId="2D930566" w14:textId="77777777" w:rsidR="005B372A" w:rsidRPr="00C05886" w:rsidRDefault="005B372A" w:rsidP="002A6F07">
            <w:pPr>
              <w:spacing w:after="0" w:line="240" w:lineRule="auto"/>
              <w:rPr>
                <w:color w:val="000000"/>
                <w:sz w:val="20"/>
                <w:szCs w:val="20"/>
              </w:rPr>
            </w:pPr>
            <w:r w:rsidRPr="00C05886">
              <w:rPr>
                <w:color w:val="000000"/>
                <w:sz w:val="20"/>
                <w:szCs w:val="20"/>
              </w:rPr>
              <w:t>Interaction</w:t>
            </w:r>
          </w:p>
        </w:tc>
        <w:tc>
          <w:tcPr>
            <w:tcW w:w="1330" w:type="dxa"/>
            <w:tcBorders>
              <w:top w:val="nil"/>
              <w:left w:val="nil"/>
              <w:bottom w:val="nil"/>
              <w:right w:val="nil"/>
            </w:tcBorders>
            <w:shd w:val="clear" w:color="auto" w:fill="auto"/>
            <w:hideMark/>
          </w:tcPr>
          <w:p w14:paraId="7C42E92D" w14:textId="77777777" w:rsidR="005B372A" w:rsidRPr="00C05886" w:rsidRDefault="005B372A" w:rsidP="002A6F07">
            <w:pPr>
              <w:spacing w:after="0" w:line="240" w:lineRule="auto"/>
              <w:rPr>
                <w:color w:val="000000"/>
                <w:sz w:val="20"/>
                <w:szCs w:val="20"/>
              </w:rPr>
            </w:pPr>
            <w:r w:rsidRPr="00C05886">
              <w:rPr>
                <w:color w:val="000000"/>
                <w:sz w:val="20"/>
                <w:szCs w:val="20"/>
              </w:rPr>
              <w:t>4.38</w:t>
            </w:r>
          </w:p>
        </w:tc>
        <w:tc>
          <w:tcPr>
            <w:tcW w:w="1182" w:type="dxa"/>
            <w:tcBorders>
              <w:top w:val="nil"/>
              <w:left w:val="nil"/>
              <w:bottom w:val="nil"/>
              <w:right w:val="nil"/>
            </w:tcBorders>
            <w:shd w:val="clear" w:color="auto" w:fill="auto"/>
            <w:hideMark/>
          </w:tcPr>
          <w:p w14:paraId="2DF85C5C" w14:textId="77777777" w:rsidR="005B372A" w:rsidRPr="00C05886" w:rsidRDefault="005B372A" w:rsidP="002A6F07">
            <w:pPr>
              <w:spacing w:after="0" w:line="240" w:lineRule="auto"/>
              <w:rPr>
                <w:color w:val="000000"/>
                <w:sz w:val="20"/>
                <w:szCs w:val="20"/>
              </w:rPr>
            </w:pPr>
            <w:r w:rsidRPr="00C05886">
              <w:rPr>
                <w:color w:val="000000"/>
                <w:sz w:val="20"/>
                <w:szCs w:val="20"/>
              </w:rPr>
              <w:t>0.01</w:t>
            </w:r>
          </w:p>
        </w:tc>
        <w:tc>
          <w:tcPr>
            <w:tcW w:w="2136" w:type="dxa"/>
            <w:tcBorders>
              <w:top w:val="nil"/>
              <w:left w:val="nil"/>
              <w:bottom w:val="nil"/>
              <w:right w:val="single" w:sz="4" w:space="0" w:color="auto"/>
            </w:tcBorders>
            <w:shd w:val="clear" w:color="auto" w:fill="auto"/>
            <w:hideMark/>
          </w:tcPr>
          <w:p w14:paraId="2BFBF663" w14:textId="77777777" w:rsidR="005B372A" w:rsidRPr="00C05886" w:rsidRDefault="005B372A" w:rsidP="002A6F07">
            <w:pPr>
              <w:spacing w:after="0" w:line="240" w:lineRule="auto"/>
              <w:rPr>
                <w:color w:val="000000"/>
                <w:sz w:val="20"/>
                <w:szCs w:val="20"/>
              </w:rPr>
            </w:pPr>
            <w:r w:rsidRPr="00C05886">
              <w:rPr>
                <w:color w:val="000000"/>
                <w:sz w:val="20"/>
                <w:szCs w:val="20"/>
              </w:rPr>
              <w:t>0.01</w:t>
            </w:r>
          </w:p>
        </w:tc>
      </w:tr>
      <w:tr w:rsidR="005B372A" w:rsidRPr="00C05886" w14:paraId="0F46DCAB" w14:textId="77777777" w:rsidTr="009A1B2F">
        <w:trPr>
          <w:trHeight w:val="119"/>
        </w:trPr>
        <w:tc>
          <w:tcPr>
            <w:tcW w:w="8647" w:type="dxa"/>
            <w:gridSpan w:val="5"/>
            <w:tcBorders>
              <w:top w:val="single" w:sz="8" w:space="0" w:color="auto"/>
              <w:left w:val="single" w:sz="4" w:space="0" w:color="auto"/>
              <w:bottom w:val="single" w:sz="8" w:space="0" w:color="auto"/>
              <w:right w:val="single" w:sz="4" w:space="0" w:color="auto"/>
            </w:tcBorders>
            <w:shd w:val="clear" w:color="auto" w:fill="auto"/>
            <w:hideMark/>
          </w:tcPr>
          <w:p w14:paraId="24ACABC8" w14:textId="77777777" w:rsidR="005B372A" w:rsidRPr="00C05886" w:rsidRDefault="005B372A" w:rsidP="002A6F07">
            <w:pPr>
              <w:spacing w:after="0" w:line="240" w:lineRule="auto"/>
              <w:rPr>
                <w:b/>
                <w:bCs/>
                <w:color w:val="000000"/>
                <w:sz w:val="20"/>
                <w:szCs w:val="20"/>
              </w:rPr>
            </w:pPr>
            <w:r w:rsidRPr="00C05886">
              <w:rPr>
                <w:b/>
                <w:bCs/>
                <w:color w:val="000000"/>
                <w:sz w:val="20"/>
                <w:szCs w:val="20"/>
              </w:rPr>
              <w:t>Effect of the time spent outdoor as a child</w:t>
            </w:r>
          </w:p>
        </w:tc>
      </w:tr>
      <w:tr w:rsidR="005B372A" w:rsidRPr="00C05886" w14:paraId="506D0294" w14:textId="77777777" w:rsidTr="009A1B2F">
        <w:trPr>
          <w:trHeight w:val="232"/>
        </w:trPr>
        <w:tc>
          <w:tcPr>
            <w:tcW w:w="1924" w:type="dxa"/>
            <w:tcBorders>
              <w:top w:val="nil"/>
              <w:left w:val="single" w:sz="4" w:space="0" w:color="auto"/>
              <w:right w:val="nil"/>
            </w:tcBorders>
            <w:shd w:val="clear" w:color="auto" w:fill="auto"/>
            <w:hideMark/>
          </w:tcPr>
          <w:p w14:paraId="2C8C4AC3" w14:textId="77777777" w:rsidR="005B372A" w:rsidRPr="00C05886" w:rsidRDefault="005B372A" w:rsidP="002A6F07">
            <w:pPr>
              <w:spacing w:after="0" w:line="240" w:lineRule="auto"/>
              <w:rPr>
                <w:color w:val="000000"/>
                <w:sz w:val="20"/>
                <w:szCs w:val="20"/>
              </w:rPr>
            </w:pPr>
            <w:r w:rsidRPr="00C05886">
              <w:rPr>
                <w:color w:val="000000"/>
                <w:sz w:val="20"/>
                <w:szCs w:val="20"/>
              </w:rPr>
              <w:t>Negative Affect</w:t>
            </w:r>
          </w:p>
        </w:tc>
        <w:tc>
          <w:tcPr>
            <w:tcW w:w="2075" w:type="dxa"/>
            <w:tcBorders>
              <w:top w:val="nil"/>
              <w:left w:val="nil"/>
              <w:bottom w:val="nil"/>
              <w:right w:val="nil"/>
            </w:tcBorders>
            <w:shd w:val="clear" w:color="auto" w:fill="auto"/>
            <w:hideMark/>
          </w:tcPr>
          <w:p w14:paraId="1D1CEEFD" w14:textId="77777777" w:rsidR="005B372A" w:rsidRPr="00C05886" w:rsidRDefault="005B372A" w:rsidP="002A6F07">
            <w:pPr>
              <w:spacing w:after="0" w:line="240" w:lineRule="auto"/>
              <w:rPr>
                <w:color w:val="000000"/>
                <w:sz w:val="20"/>
                <w:szCs w:val="20"/>
              </w:rPr>
            </w:pPr>
            <w:r w:rsidRPr="00C05886">
              <w:rPr>
                <w:color w:val="000000"/>
                <w:sz w:val="20"/>
                <w:szCs w:val="20"/>
              </w:rPr>
              <w:t>Within-subjects</w:t>
            </w:r>
          </w:p>
        </w:tc>
        <w:tc>
          <w:tcPr>
            <w:tcW w:w="1330" w:type="dxa"/>
            <w:tcBorders>
              <w:top w:val="nil"/>
              <w:left w:val="nil"/>
              <w:bottom w:val="nil"/>
              <w:right w:val="nil"/>
            </w:tcBorders>
            <w:shd w:val="clear" w:color="auto" w:fill="auto"/>
            <w:hideMark/>
          </w:tcPr>
          <w:p w14:paraId="7A0912B5" w14:textId="77777777" w:rsidR="005B372A" w:rsidRPr="00C05886" w:rsidRDefault="005B372A" w:rsidP="002A6F07">
            <w:pPr>
              <w:spacing w:after="0" w:line="240" w:lineRule="auto"/>
              <w:rPr>
                <w:color w:val="000000"/>
                <w:sz w:val="20"/>
                <w:szCs w:val="20"/>
              </w:rPr>
            </w:pPr>
            <w:r w:rsidRPr="00C05886">
              <w:rPr>
                <w:color w:val="000000"/>
                <w:sz w:val="20"/>
                <w:szCs w:val="20"/>
              </w:rPr>
              <w:t>93.61</w:t>
            </w:r>
          </w:p>
        </w:tc>
        <w:tc>
          <w:tcPr>
            <w:tcW w:w="1182" w:type="dxa"/>
            <w:tcBorders>
              <w:top w:val="nil"/>
              <w:left w:val="nil"/>
              <w:bottom w:val="nil"/>
              <w:right w:val="nil"/>
            </w:tcBorders>
            <w:shd w:val="clear" w:color="auto" w:fill="auto"/>
            <w:hideMark/>
          </w:tcPr>
          <w:p w14:paraId="491FAFCD" w14:textId="77777777" w:rsidR="005B372A" w:rsidRPr="00C05886" w:rsidRDefault="005B372A" w:rsidP="002A6F07">
            <w:pPr>
              <w:spacing w:after="0" w:line="240" w:lineRule="auto"/>
              <w:rPr>
                <w:color w:val="000000"/>
                <w:sz w:val="20"/>
                <w:szCs w:val="20"/>
              </w:rPr>
            </w:pPr>
            <w:r w:rsidRPr="00C05886">
              <w:rPr>
                <w:color w:val="000000"/>
                <w:sz w:val="20"/>
                <w:szCs w:val="20"/>
              </w:rPr>
              <w:t>&lt; 0.005</w:t>
            </w:r>
          </w:p>
        </w:tc>
        <w:tc>
          <w:tcPr>
            <w:tcW w:w="2136" w:type="dxa"/>
            <w:tcBorders>
              <w:top w:val="nil"/>
              <w:left w:val="nil"/>
              <w:bottom w:val="nil"/>
              <w:right w:val="single" w:sz="4" w:space="0" w:color="auto"/>
            </w:tcBorders>
            <w:shd w:val="clear" w:color="auto" w:fill="auto"/>
            <w:hideMark/>
          </w:tcPr>
          <w:p w14:paraId="5FA823A9" w14:textId="77777777" w:rsidR="005B372A" w:rsidRPr="00C05886" w:rsidRDefault="005B372A" w:rsidP="002A6F07">
            <w:pPr>
              <w:spacing w:after="0" w:line="240" w:lineRule="auto"/>
              <w:rPr>
                <w:color w:val="000000"/>
                <w:sz w:val="20"/>
                <w:szCs w:val="20"/>
              </w:rPr>
            </w:pPr>
            <w:r w:rsidRPr="00C05886">
              <w:rPr>
                <w:color w:val="000000"/>
                <w:sz w:val="20"/>
                <w:szCs w:val="20"/>
              </w:rPr>
              <w:t>0.2</w:t>
            </w:r>
          </w:p>
        </w:tc>
      </w:tr>
      <w:tr w:rsidR="005B372A" w:rsidRPr="00C05886" w14:paraId="02FB59F0" w14:textId="77777777" w:rsidTr="009A1B2F">
        <w:trPr>
          <w:trHeight w:val="232"/>
        </w:trPr>
        <w:tc>
          <w:tcPr>
            <w:tcW w:w="1924" w:type="dxa"/>
            <w:tcBorders>
              <w:left w:val="single" w:sz="4" w:space="0" w:color="auto"/>
              <w:right w:val="nil"/>
            </w:tcBorders>
            <w:shd w:val="clear" w:color="auto" w:fill="auto"/>
            <w:hideMark/>
          </w:tcPr>
          <w:p w14:paraId="0108CF19" w14:textId="77777777" w:rsidR="005B372A" w:rsidRPr="00C05886" w:rsidRDefault="005B372A" w:rsidP="002A6F07">
            <w:pPr>
              <w:spacing w:after="0" w:line="240" w:lineRule="auto"/>
              <w:rPr>
                <w:color w:val="000000"/>
                <w:sz w:val="20"/>
                <w:szCs w:val="20"/>
              </w:rPr>
            </w:pPr>
          </w:p>
        </w:tc>
        <w:tc>
          <w:tcPr>
            <w:tcW w:w="2075" w:type="dxa"/>
            <w:tcBorders>
              <w:top w:val="nil"/>
              <w:left w:val="nil"/>
              <w:bottom w:val="nil"/>
              <w:right w:val="nil"/>
            </w:tcBorders>
            <w:shd w:val="clear" w:color="auto" w:fill="auto"/>
            <w:hideMark/>
          </w:tcPr>
          <w:p w14:paraId="49FD91B4" w14:textId="77777777" w:rsidR="005B372A" w:rsidRPr="00C05886" w:rsidRDefault="005B372A" w:rsidP="002A6F07">
            <w:pPr>
              <w:spacing w:after="0" w:line="240" w:lineRule="auto"/>
              <w:rPr>
                <w:color w:val="000000"/>
                <w:sz w:val="20"/>
                <w:szCs w:val="20"/>
              </w:rPr>
            </w:pPr>
            <w:r w:rsidRPr="00C05886">
              <w:rPr>
                <w:color w:val="000000"/>
                <w:sz w:val="20"/>
                <w:szCs w:val="20"/>
              </w:rPr>
              <w:t>Between Subjects</w:t>
            </w:r>
          </w:p>
        </w:tc>
        <w:tc>
          <w:tcPr>
            <w:tcW w:w="1330" w:type="dxa"/>
            <w:tcBorders>
              <w:top w:val="nil"/>
              <w:left w:val="nil"/>
              <w:bottom w:val="nil"/>
              <w:right w:val="nil"/>
            </w:tcBorders>
            <w:shd w:val="clear" w:color="auto" w:fill="auto"/>
            <w:hideMark/>
          </w:tcPr>
          <w:p w14:paraId="1FCB72E5" w14:textId="77777777" w:rsidR="005B372A" w:rsidRPr="00C05886" w:rsidRDefault="005B372A" w:rsidP="002A6F07">
            <w:pPr>
              <w:spacing w:after="0" w:line="240" w:lineRule="auto"/>
              <w:rPr>
                <w:color w:val="000000"/>
                <w:sz w:val="20"/>
                <w:szCs w:val="20"/>
              </w:rPr>
            </w:pPr>
            <w:r w:rsidRPr="00C05886">
              <w:rPr>
                <w:color w:val="000000"/>
                <w:sz w:val="20"/>
                <w:szCs w:val="20"/>
              </w:rPr>
              <w:t>1.42</w:t>
            </w:r>
          </w:p>
        </w:tc>
        <w:tc>
          <w:tcPr>
            <w:tcW w:w="1182" w:type="dxa"/>
            <w:tcBorders>
              <w:top w:val="nil"/>
              <w:left w:val="nil"/>
              <w:bottom w:val="nil"/>
              <w:right w:val="nil"/>
            </w:tcBorders>
            <w:shd w:val="clear" w:color="auto" w:fill="auto"/>
            <w:hideMark/>
          </w:tcPr>
          <w:p w14:paraId="5B038B97" w14:textId="77777777" w:rsidR="005B372A" w:rsidRPr="00C05886" w:rsidRDefault="005B372A" w:rsidP="002A6F07">
            <w:pPr>
              <w:spacing w:after="0" w:line="240" w:lineRule="auto"/>
              <w:rPr>
                <w:color w:val="000000"/>
                <w:sz w:val="20"/>
                <w:szCs w:val="20"/>
              </w:rPr>
            </w:pPr>
            <w:r w:rsidRPr="00C05886">
              <w:rPr>
                <w:color w:val="000000"/>
                <w:sz w:val="20"/>
                <w:szCs w:val="20"/>
              </w:rPr>
              <w:t>0.24</w:t>
            </w:r>
          </w:p>
        </w:tc>
        <w:tc>
          <w:tcPr>
            <w:tcW w:w="2136" w:type="dxa"/>
            <w:tcBorders>
              <w:top w:val="nil"/>
              <w:left w:val="nil"/>
              <w:bottom w:val="nil"/>
              <w:right w:val="single" w:sz="4" w:space="0" w:color="auto"/>
            </w:tcBorders>
            <w:shd w:val="clear" w:color="auto" w:fill="auto"/>
            <w:hideMark/>
          </w:tcPr>
          <w:p w14:paraId="320EF5E0" w14:textId="77777777" w:rsidR="005B372A" w:rsidRPr="00C05886" w:rsidRDefault="005B372A" w:rsidP="002A6F07">
            <w:pPr>
              <w:spacing w:after="0" w:line="240" w:lineRule="auto"/>
              <w:rPr>
                <w:color w:val="000000"/>
                <w:sz w:val="20"/>
                <w:szCs w:val="20"/>
              </w:rPr>
            </w:pPr>
            <w:r w:rsidRPr="00C05886">
              <w:rPr>
                <w:color w:val="000000"/>
                <w:sz w:val="20"/>
                <w:szCs w:val="20"/>
              </w:rPr>
              <w:t>0.008</w:t>
            </w:r>
          </w:p>
        </w:tc>
      </w:tr>
      <w:tr w:rsidR="005B372A" w:rsidRPr="00C05886" w14:paraId="7157FE42" w14:textId="77777777" w:rsidTr="009A1B2F">
        <w:trPr>
          <w:trHeight w:val="232"/>
        </w:trPr>
        <w:tc>
          <w:tcPr>
            <w:tcW w:w="1924" w:type="dxa"/>
            <w:tcBorders>
              <w:left w:val="single" w:sz="4" w:space="0" w:color="auto"/>
              <w:right w:val="nil"/>
            </w:tcBorders>
            <w:shd w:val="clear" w:color="auto" w:fill="auto"/>
            <w:hideMark/>
          </w:tcPr>
          <w:p w14:paraId="7FB5EB34" w14:textId="77777777" w:rsidR="005B372A" w:rsidRPr="00C05886" w:rsidRDefault="005B372A" w:rsidP="002A6F07">
            <w:pPr>
              <w:spacing w:after="0" w:line="240" w:lineRule="auto"/>
              <w:rPr>
                <w:color w:val="000000"/>
                <w:sz w:val="20"/>
                <w:szCs w:val="20"/>
              </w:rPr>
            </w:pPr>
          </w:p>
        </w:tc>
        <w:tc>
          <w:tcPr>
            <w:tcW w:w="2075" w:type="dxa"/>
            <w:tcBorders>
              <w:top w:val="nil"/>
              <w:left w:val="nil"/>
              <w:bottom w:val="nil"/>
              <w:right w:val="nil"/>
            </w:tcBorders>
            <w:shd w:val="clear" w:color="auto" w:fill="auto"/>
            <w:hideMark/>
          </w:tcPr>
          <w:p w14:paraId="010D31BE" w14:textId="77777777" w:rsidR="005B372A" w:rsidRPr="00C05886" w:rsidRDefault="005B372A" w:rsidP="002A6F07">
            <w:pPr>
              <w:spacing w:after="0" w:line="240" w:lineRule="auto"/>
              <w:rPr>
                <w:color w:val="000000"/>
                <w:sz w:val="20"/>
                <w:szCs w:val="20"/>
              </w:rPr>
            </w:pPr>
            <w:r w:rsidRPr="00C05886">
              <w:rPr>
                <w:color w:val="000000"/>
                <w:sz w:val="20"/>
                <w:szCs w:val="20"/>
              </w:rPr>
              <w:t>Interaction</w:t>
            </w:r>
          </w:p>
        </w:tc>
        <w:tc>
          <w:tcPr>
            <w:tcW w:w="1330" w:type="dxa"/>
            <w:tcBorders>
              <w:top w:val="nil"/>
              <w:left w:val="nil"/>
              <w:bottom w:val="nil"/>
              <w:right w:val="nil"/>
            </w:tcBorders>
            <w:shd w:val="clear" w:color="auto" w:fill="auto"/>
            <w:hideMark/>
          </w:tcPr>
          <w:p w14:paraId="7239F633" w14:textId="77777777" w:rsidR="005B372A" w:rsidRPr="00C05886" w:rsidRDefault="005B372A" w:rsidP="002A6F07">
            <w:pPr>
              <w:spacing w:after="0" w:line="240" w:lineRule="auto"/>
              <w:rPr>
                <w:color w:val="000000"/>
                <w:sz w:val="20"/>
                <w:szCs w:val="20"/>
              </w:rPr>
            </w:pPr>
            <w:r w:rsidRPr="00C05886">
              <w:rPr>
                <w:color w:val="000000"/>
                <w:sz w:val="20"/>
                <w:szCs w:val="20"/>
              </w:rPr>
              <w:t>0.37</w:t>
            </w:r>
          </w:p>
        </w:tc>
        <w:tc>
          <w:tcPr>
            <w:tcW w:w="1182" w:type="dxa"/>
            <w:tcBorders>
              <w:top w:val="nil"/>
              <w:left w:val="nil"/>
              <w:bottom w:val="nil"/>
              <w:right w:val="nil"/>
            </w:tcBorders>
            <w:shd w:val="clear" w:color="auto" w:fill="auto"/>
            <w:hideMark/>
          </w:tcPr>
          <w:p w14:paraId="34A6FADD" w14:textId="77777777" w:rsidR="005B372A" w:rsidRPr="00C05886" w:rsidRDefault="005B372A" w:rsidP="002A6F07">
            <w:pPr>
              <w:spacing w:after="0" w:line="240" w:lineRule="auto"/>
              <w:rPr>
                <w:color w:val="000000"/>
                <w:sz w:val="20"/>
                <w:szCs w:val="20"/>
              </w:rPr>
            </w:pPr>
            <w:r w:rsidRPr="00C05886">
              <w:rPr>
                <w:color w:val="000000"/>
                <w:sz w:val="20"/>
                <w:szCs w:val="20"/>
              </w:rPr>
              <w:t>0.81</w:t>
            </w:r>
          </w:p>
        </w:tc>
        <w:tc>
          <w:tcPr>
            <w:tcW w:w="2136" w:type="dxa"/>
            <w:tcBorders>
              <w:top w:val="nil"/>
              <w:left w:val="nil"/>
              <w:bottom w:val="nil"/>
              <w:right w:val="single" w:sz="4" w:space="0" w:color="auto"/>
            </w:tcBorders>
            <w:shd w:val="clear" w:color="auto" w:fill="auto"/>
            <w:hideMark/>
          </w:tcPr>
          <w:p w14:paraId="04F2CABA" w14:textId="77777777" w:rsidR="005B372A" w:rsidRPr="00C05886" w:rsidRDefault="005B372A" w:rsidP="002A6F07">
            <w:pPr>
              <w:spacing w:after="0" w:line="240" w:lineRule="auto"/>
              <w:rPr>
                <w:color w:val="000000"/>
                <w:sz w:val="20"/>
                <w:szCs w:val="20"/>
              </w:rPr>
            </w:pPr>
            <w:r w:rsidRPr="00C05886">
              <w:rPr>
                <w:color w:val="000000"/>
                <w:sz w:val="20"/>
                <w:szCs w:val="20"/>
              </w:rPr>
              <w:t>0.2</w:t>
            </w:r>
          </w:p>
        </w:tc>
      </w:tr>
      <w:tr w:rsidR="005B372A" w:rsidRPr="00C05886" w14:paraId="3D58E0EF" w14:textId="77777777" w:rsidTr="009A1B2F">
        <w:trPr>
          <w:trHeight w:val="232"/>
        </w:trPr>
        <w:tc>
          <w:tcPr>
            <w:tcW w:w="1924" w:type="dxa"/>
            <w:tcBorders>
              <w:left w:val="single" w:sz="4" w:space="0" w:color="auto"/>
              <w:right w:val="nil"/>
            </w:tcBorders>
            <w:shd w:val="clear" w:color="auto" w:fill="auto"/>
            <w:hideMark/>
          </w:tcPr>
          <w:p w14:paraId="57C22F1F" w14:textId="77777777" w:rsidR="005B372A" w:rsidRPr="00C05886" w:rsidRDefault="005B372A" w:rsidP="002A6F07">
            <w:pPr>
              <w:spacing w:after="0" w:line="240" w:lineRule="auto"/>
              <w:rPr>
                <w:color w:val="000000"/>
                <w:sz w:val="20"/>
                <w:szCs w:val="20"/>
              </w:rPr>
            </w:pPr>
            <w:r w:rsidRPr="00C05886">
              <w:rPr>
                <w:color w:val="000000"/>
                <w:sz w:val="20"/>
                <w:szCs w:val="20"/>
              </w:rPr>
              <w:t>Positive Affect</w:t>
            </w:r>
          </w:p>
        </w:tc>
        <w:tc>
          <w:tcPr>
            <w:tcW w:w="2075" w:type="dxa"/>
            <w:tcBorders>
              <w:top w:val="nil"/>
              <w:left w:val="nil"/>
              <w:bottom w:val="nil"/>
              <w:right w:val="nil"/>
            </w:tcBorders>
            <w:shd w:val="clear" w:color="auto" w:fill="auto"/>
            <w:hideMark/>
          </w:tcPr>
          <w:p w14:paraId="4F96AFEC" w14:textId="77777777" w:rsidR="005B372A" w:rsidRPr="00C05886" w:rsidRDefault="005B372A" w:rsidP="002A6F07">
            <w:pPr>
              <w:spacing w:after="0" w:line="240" w:lineRule="auto"/>
              <w:rPr>
                <w:color w:val="000000"/>
                <w:sz w:val="20"/>
                <w:szCs w:val="20"/>
              </w:rPr>
            </w:pPr>
            <w:r w:rsidRPr="00C05886">
              <w:rPr>
                <w:color w:val="000000"/>
                <w:sz w:val="20"/>
                <w:szCs w:val="20"/>
              </w:rPr>
              <w:t>Within-subjects</w:t>
            </w:r>
          </w:p>
        </w:tc>
        <w:tc>
          <w:tcPr>
            <w:tcW w:w="1330" w:type="dxa"/>
            <w:tcBorders>
              <w:top w:val="nil"/>
              <w:left w:val="nil"/>
              <w:bottom w:val="nil"/>
              <w:right w:val="nil"/>
            </w:tcBorders>
            <w:shd w:val="clear" w:color="auto" w:fill="auto"/>
            <w:hideMark/>
          </w:tcPr>
          <w:p w14:paraId="62E7CDA5" w14:textId="77777777" w:rsidR="005B372A" w:rsidRPr="00C05886" w:rsidRDefault="005B372A" w:rsidP="002A6F07">
            <w:pPr>
              <w:spacing w:after="0" w:line="240" w:lineRule="auto"/>
              <w:rPr>
                <w:color w:val="000000"/>
                <w:sz w:val="20"/>
                <w:szCs w:val="20"/>
              </w:rPr>
            </w:pPr>
            <w:r w:rsidRPr="00C05886">
              <w:rPr>
                <w:color w:val="000000"/>
                <w:sz w:val="20"/>
                <w:szCs w:val="20"/>
              </w:rPr>
              <w:t>3.39</w:t>
            </w:r>
          </w:p>
        </w:tc>
        <w:tc>
          <w:tcPr>
            <w:tcW w:w="1182" w:type="dxa"/>
            <w:tcBorders>
              <w:top w:val="nil"/>
              <w:left w:val="nil"/>
              <w:bottom w:val="nil"/>
              <w:right w:val="nil"/>
            </w:tcBorders>
            <w:shd w:val="clear" w:color="auto" w:fill="auto"/>
            <w:hideMark/>
          </w:tcPr>
          <w:p w14:paraId="71C915C5" w14:textId="77777777" w:rsidR="005B372A" w:rsidRPr="00C05886" w:rsidRDefault="005B372A" w:rsidP="002A6F07">
            <w:pPr>
              <w:spacing w:after="0" w:line="240" w:lineRule="auto"/>
              <w:rPr>
                <w:color w:val="000000"/>
                <w:sz w:val="20"/>
                <w:szCs w:val="20"/>
              </w:rPr>
            </w:pPr>
            <w:r w:rsidRPr="00C05886">
              <w:rPr>
                <w:color w:val="000000"/>
                <w:sz w:val="20"/>
                <w:szCs w:val="20"/>
              </w:rPr>
              <w:t>0.03</w:t>
            </w:r>
          </w:p>
        </w:tc>
        <w:tc>
          <w:tcPr>
            <w:tcW w:w="2136" w:type="dxa"/>
            <w:tcBorders>
              <w:top w:val="nil"/>
              <w:left w:val="nil"/>
              <w:bottom w:val="nil"/>
              <w:right w:val="single" w:sz="4" w:space="0" w:color="auto"/>
            </w:tcBorders>
            <w:shd w:val="clear" w:color="auto" w:fill="auto"/>
            <w:hideMark/>
          </w:tcPr>
          <w:p w14:paraId="4A5516CF" w14:textId="77777777" w:rsidR="005B372A" w:rsidRPr="00C05886" w:rsidRDefault="005B372A" w:rsidP="002A6F07">
            <w:pPr>
              <w:spacing w:after="0" w:line="240" w:lineRule="auto"/>
              <w:rPr>
                <w:color w:val="000000"/>
                <w:sz w:val="20"/>
                <w:szCs w:val="20"/>
              </w:rPr>
            </w:pPr>
            <w:r w:rsidRPr="00C05886">
              <w:rPr>
                <w:color w:val="000000"/>
                <w:sz w:val="20"/>
                <w:szCs w:val="20"/>
              </w:rPr>
              <w:t>0.009</w:t>
            </w:r>
          </w:p>
        </w:tc>
      </w:tr>
      <w:tr w:rsidR="005B372A" w:rsidRPr="00C05886" w14:paraId="2B81C641" w14:textId="77777777" w:rsidTr="009A1B2F">
        <w:trPr>
          <w:trHeight w:val="232"/>
        </w:trPr>
        <w:tc>
          <w:tcPr>
            <w:tcW w:w="1924" w:type="dxa"/>
            <w:tcBorders>
              <w:left w:val="single" w:sz="4" w:space="0" w:color="auto"/>
              <w:right w:val="nil"/>
            </w:tcBorders>
            <w:shd w:val="clear" w:color="auto" w:fill="auto"/>
            <w:hideMark/>
          </w:tcPr>
          <w:p w14:paraId="15BA1395" w14:textId="77777777" w:rsidR="005B372A" w:rsidRPr="00C05886" w:rsidRDefault="005B372A" w:rsidP="002A6F07">
            <w:pPr>
              <w:spacing w:after="0" w:line="240" w:lineRule="auto"/>
              <w:rPr>
                <w:color w:val="000000"/>
                <w:sz w:val="20"/>
                <w:szCs w:val="20"/>
              </w:rPr>
            </w:pPr>
          </w:p>
        </w:tc>
        <w:tc>
          <w:tcPr>
            <w:tcW w:w="2075" w:type="dxa"/>
            <w:tcBorders>
              <w:top w:val="nil"/>
              <w:left w:val="nil"/>
              <w:bottom w:val="nil"/>
              <w:right w:val="nil"/>
            </w:tcBorders>
            <w:shd w:val="clear" w:color="auto" w:fill="auto"/>
            <w:hideMark/>
          </w:tcPr>
          <w:p w14:paraId="1E8DFE0B" w14:textId="77777777" w:rsidR="005B372A" w:rsidRPr="00C05886" w:rsidRDefault="005B372A" w:rsidP="002A6F07">
            <w:pPr>
              <w:spacing w:after="0" w:line="240" w:lineRule="auto"/>
              <w:rPr>
                <w:color w:val="000000"/>
                <w:sz w:val="20"/>
                <w:szCs w:val="20"/>
              </w:rPr>
            </w:pPr>
            <w:r w:rsidRPr="00C05886">
              <w:rPr>
                <w:color w:val="000000"/>
                <w:sz w:val="20"/>
                <w:szCs w:val="20"/>
              </w:rPr>
              <w:t>Between Subjects</w:t>
            </w:r>
          </w:p>
        </w:tc>
        <w:tc>
          <w:tcPr>
            <w:tcW w:w="1330" w:type="dxa"/>
            <w:tcBorders>
              <w:top w:val="nil"/>
              <w:left w:val="nil"/>
              <w:bottom w:val="nil"/>
              <w:right w:val="nil"/>
            </w:tcBorders>
            <w:shd w:val="clear" w:color="auto" w:fill="auto"/>
            <w:hideMark/>
          </w:tcPr>
          <w:p w14:paraId="4857A757" w14:textId="77777777" w:rsidR="005B372A" w:rsidRPr="00C05886" w:rsidRDefault="005B372A" w:rsidP="002A6F07">
            <w:pPr>
              <w:spacing w:after="0" w:line="240" w:lineRule="auto"/>
              <w:rPr>
                <w:color w:val="000000"/>
                <w:sz w:val="20"/>
                <w:szCs w:val="20"/>
              </w:rPr>
            </w:pPr>
            <w:r w:rsidRPr="00C05886">
              <w:rPr>
                <w:color w:val="000000"/>
                <w:sz w:val="20"/>
                <w:szCs w:val="20"/>
              </w:rPr>
              <w:t>1.74</w:t>
            </w:r>
          </w:p>
        </w:tc>
        <w:tc>
          <w:tcPr>
            <w:tcW w:w="1182" w:type="dxa"/>
            <w:tcBorders>
              <w:top w:val="nil"/>
              <w:left w:val="nil"/>
              <w:bottom w:val="nil"/>
              <w:right w:val="nil"/>
            </w:tcBorders>
            <w:shd w:val="clear" w:color="auto" w:fill="auto"/>
            <w:hideMark/>
          </w:tcPr>
          <w:p w14:paraId="65BB890C" w14:textId="77777777" w:rsidR="005B372A" w:rsidRPr="00C05886" w:rsidRDefault="005B372A" w:rsidP="002A6F07">
            <w:pPr>
              <w:spacing w:after="0" w:line="240" w:lineRule="auto"/>
              <w:rPr>
                <w:color w:val="000000"/>
                <w:sz w:val="20"/>
                <w:szCs w:val="20"/>
              </w:rPr>
            </w:pPr>
            <w:r w:rsidRPr="00C05886">
              <w:rPr>
                <w:color w:val="000000"/>
                <w:sz w:val="20"/>
                <w:szCs w:val="20"/>
              </w:rPr>
              <w:t>0.18</w:t>
            </w:r>
          </w:p>
        </w:tc>
        <w:tc>
          <w:tcPr>
            <w:tcW w:w="2136" w:type="dxa"/>
            <w:tcBorders>
              <w:top w:val="nil"/>
              <w:left w:val="nil"/>
              <w:bottom w:val="nil"/>
              <w:right w:val="single" w:sz="4" w:space="0" w:color="auto"/>
            </w:tcBorders>
            <w:shd w:val="clear" w:color="auto" w:fill="auto"/>
            <w:hideMark/>
          </w:tcPr>
          <w:p w14:paraId="66858665" w14:textId="77777777" w:rsidR="005B372A" w:rsidRPr="00C05886" w:rsidRDefault="005B372A" w:rsidP="002A6F07">
            <w:pPr>
              <w:spacing w:after="0" w:line="240" w:lineRule="auto"/>
              <w:rPr>
                <w:color w:val="000000"/>
                <w:sz w:val="20"/>
                <w:szCs w:val="20"/>
              </w:rPr>
            </w:pPr>
            <w:r w:rsidRPr="00C05886">
              <w:rPr>
                <w:color w:val="000000"/>
                <w:sz w:val="20"/>
                <w:szCs w:val="20"/>
              </w:rPr>
              <w:t>0.009</w:t>
            </w:r>
          </w:p>
        </w:tc>
      </w:tr>
      <w:tr w:rsidR="005B372A" w:rsidRPr="00C05886" w14:paraId="7F3DBC74" w14:textId="77777777" w:rsidTr="009A1B2F">
        <w:trPr>
          <w:trHeight w:val="238"/>
        </w:trPr>
        <w:tc>
          <w:tcPr>
            <w:tcW w:w="1924" w:type="dxa"/>
            <w:tcBorders>
              <w:left w:val="single" w:sz="4" w:space="0" w:color="auto"/>
              <w:bottom w:val="single" w:sz="8" w:space="0" w:color="000000"/>
              <w:right w:val="nil"/>
            </w:tcBorders>
            <w:shd w:val="clear" w:color="auto" w:fill="auto"/>
            <w:hideMark/>
          </w:tcPr>
          <w:p w14:paraId="2C9F853B" w14:textId="77777777" w:rsidR="005B372A" w:rsidRPr="00C05886" w:rsidRDefault="005B372A" w:rsidP="002A6F07">
            <w:pPr>
              <w:spacing w:after="0" w:line="240" w:lineRule="auto"/>
              <w:rPr>
                <w:color w:val="000000"/>
                <w:sz w:val="20"/>
                <w:szCs w:val="20"/>
              </w:rPr>
            </w:pPr>
          </w:p>
        </w:tc>
        <w:tc>
          <w:tcPr>
            <w:tcW w:w="2075" w:type="dxa"/>
            <w:tcBorders>
              <w:top w:val="nil"/>
              <w:left w:val="nil"/>
              <w:bottom w:val="nil"/>
              <w:right w:val="nil"/>
            </w:tcBorders>
            <w:shd w:val="clear" w:color="auto" w:fill="auto"/>
            <w:hideMark/>
          </w:tcPr>
          <w:p w14:paraId="7EC6E532" w14:textId="77777777" w:rsidR="005B372A" w:rsidRPr="00C05886" w:rsidRDefault="005B372A" w:rsidP="002A6F07">
            <w:pPr>
              <w:spacing w:after="0" w:line="240" w:lineRule="auto"/>
              <w:rPr>
                <w:color w:val="000000"/>
                <w:sz w:val="20"/>
                <w:szCs w:val="20"/>
              </w:rPr>
            </w:pPr>
            <w:r w:rsidRPr="00C05886">
              <w:rPr>
                <w:color w:val="000000"/>
                <w:sz w:val="20"/>
                <w:szCs w:val="20"/>
              </w:rPr>
              <w:t>Interaction</w:t>
            </w:r>
          </w:p>
        </w:tc>
        <w:tc>
          <w:tcPr>
            <w:tcW w:w="1330" w:type="dxa"/>
            <w:tcBorders>
              <w:top w:val="nil"/>
              <w:left w:val="nil"/>
              <w:bottom w:val="nil"/>
              <w:right w:val="nil"/>
            </w:tcBorders>
            <w:shd w:val="clear" w:color="auto" w:fill="auto"/>
            <w:hideMark/>
          </w:tcPr>
          <w:p w14:paraId="2F53BB48" w14:textId="77777777" w:rsidR="005B372A" w:rsidRPr="00C05886" w:rsidRDefault="005B372A" w:rsidP="002A6F07">
            <w:pPr>
              <w:spacing w:after="0" w:line="240" w:lineRule="auto"/>
              <w:rPr>
                <w:color w:val="000000"/>
                <w:sz w:val="20"/>
                <w:szCs w:val="20"/>
              </w:rPr>
            </w:pPr>
            <w:r w:rsidRPr="00C05886">
              <w:rPr>
                <w:color w:val="000000"/>
                <w:sz w:val="20"/>
                <w:szCs w:val="20"/>
              </w:rPr>
              <w:t>0.36</w:t>
            </w:r>
          </w:p>
        </w:tc>
        <w:tc>
          <w:tcPr>
            <w:tcW w:w="1182" w:type="dxa"/>
            <w:tcBorders>
              <w:top w:val="nil"/>
              <w:left w:val="nil"/>
              <w:bottom w:val="nil"/>
              <w:right w:val="nil"/>
            </w:tcBorders>
            <w:shd w:val="clear" w:color="auto" w:fill="auto"/>
            <w:hideMark/>
          </w:tcPr>
          <w:p w14:paraId="3A448668" w14:textId="77777777" w:rsidR="005B372A" w:rsidRPr="00C05886" w:rsidRDefault="005B372A" w:rsidP="002A6F07">
            <w:pPr>
              <w:spacing w:after="0" w:line="240" w:lineRule="auto"/>
              <w:rPr>
                <w:color w:val="000000"/>
                <w:sz w:val="20"/>
                <w:szCs w:val="20"/>
              </w:rPr>
            </w:pPr>
            <w:r w:rsidRPr="00C05886">
              <w:rPr>
                <w:color w:val="000000"/>
                <w:sz w:val="20"/>
                <w:szCs w:val="20"/>
              </w:rPr>
              <w:t>0.83</w:t>
            </w:r>
          </w:p>
        </w:tc>
        <w:tc>
          <w:tcPr>
            <w:tcW w:w="2136" w:type="dxa"/>
            <w:tcBorders>
              <w:top w:val="nil"/>
              <w:left w:val="nil"/>
              <w:bottom w:val="nil"/>
              <w:right w:val="single" w:sz="4" w:space="0" w:color="auto"/>
            </w:tcBorders>
            <w:shd w:val="clear" w:color="auto" w:fill="auto"/>
            <w:hideMark/>
          </w:tcPr>
          <w:p w14:paraId="71E52808" w14:textId="77777777" w:rsidR="005B372A" w:rsidRPr="00C05886" w:rsidRDefault="005B372A" w:rsidP="002A6F07">
            <w:pPr>
              <w:spacing w:after="0" w:line="240" w:lineRule="auto"/>
              <w:rPr>
                <w:color w:val="000000"/>
                <w:sz w:val="20"/>
                <w:szCs w:val="20"/>
              </w:rPr>
            </w:pPr>
            <w:r w:rsidRPr="00C05886">
              <w:rPr>
                <w:color w:val="000000"/>
                <w:sz w:val="20"/>
                <w:szCs w:val="20"/>
              </w:rPr>
              <w:t>0.002</w:t>
            </w:r>
          </w:p>
        </w:tc>
      </w:tr>
      <w:tr w:rsidR="005B372A" w:rsidRPr="00C05886" w14:paraId="374A73D6" w14:textId="77777777" w:rsidTr="009A1B2F">
        <w:trPr>
          <w:trHeight w:val="119"/>
        </w:trPr>
        <w:tc>
          <w:tcPr>
            <w:tcW w:w="8647" w:type="dxa"/>
            <w:gridSpan w:val="5"/>
            <w:tcBorders>
              <w:top w:val="single" w:sz="8" w:space="0" w:color="auto"/>
              <w:left w:val="single" w:sz="4" w:space="0" w:color="auto"/>
              <w:bottom w:val="single" w:sz="8" w:space="0" w:color="auto"/>
              <w:right w:val="single" w:sz="4" w:space="0" w:color="auto"/>
            </w:tcBorders>
            <w:shd w:val="clear" w:color="auto" w:fill="auto"/>
            <w:hideMark/>
          </w:tcPr>
          <w:p w14:paraId="7E73B096" w14:textId="77777777" w:rsidR="005B372A" w:rsidRPr="00C05886" w:rsidRDefault="005B372A" w:rsidP="002A6F07">
            <w:pPr>
              <w:spacing w:after="0" w:line="240" w:lineRule="auto"/>
              <w:rPr>
                <w:b/>
                <w:bCs/>
                <w:color w:val="000000"/>
                <w:sz w:val="20"/>
                <w:szCs w:val="20"/>
              </w:rPr>
            </w:pPr>
            <w:r w:rsidRPr="00C05886">
              <w:rPr>
                <w:b/>
                <w:bCs/>
                <w:color w:val="000000"/>
                <w:sz w:val="20"/>
                <w:szCs w:val="20"/>
              </w:rPr>
              <w:t>Effect of Nature Connectedness</w:t>
            </w:r>
          </w:p>
        </w:tc>
      </w:tr>
      <w:tr w:rsidR="005B372A" w:rsidRPr="00C05886" w14:paraId="3F8BE961" w14:textId="77777777" w:rsidTr="009A1B2F">
        <w:trPr>
          <w:trHeight w:val="232"/>
        </w:trPr>
        <w:tc>
          <w:tcPr>
            <w:tcW w:w="1924" w:type="dxa"/>
            <w:tcBorders>
              <w:top w:val="nil"/>
              <w:left w:val="single" w:sz="4" w:space="0" w:color="auto"/>
              <w:right w:val="nil"/>
            </w:tcBorders>
            <w:shd w:val="clear" w:color="auto" w:fill="auto"/>
            <w:hideMark/>
          </w:tcPr>
          <w:p w14:paraId="3E4AB0A2" w14:textId="77777777" w:rsidR="005B372A" w:rsidRPr="00C05886" w:rsidRDefault="005B372A" w:rsidP="002A6F07">
            <w:pPr>
              <w:spacing w:after="0" w:line="240" w:lineRule="auto"/>
              <w:rPr>
                <w:color w:val="000000"/>
                <w:sz w:val="20"/>
                <w:szCs w:val="20"/>
              </w:rPr>
            </w:pPr>
            <w:r w:rsidRPr="00C05886">
              <w:rPr>
                <w:color w:val="000000"/>
                <w:sz w:val="20"/>
                <w:szCs w:val="20"/>
              </w:rPr>
              <w:t>Negative Affect</w:t>
            </w:r>
          </w:p>
        </w:tc>
        <w:tc>
          <w:tcPr>
            <w:tcW w:w="2075" w:type="dxa"/>
            <w:tcBorders>
              <w:top w:val="nil"/>
              <w:left w:val="nil"/>
              <w:bottom w:val="nil"/>
              <w:right w:val="nil"/>
            </w:tcBorders>
            <w:shd w:val="clear" w:color="auto" w:fill="auto"/>
            <w:hideMark/>
          </w:tcPr>
          <w:p w14:paraId="5267132A" w14:textId="77777777" w:rsidR="005B372A" w:rsidRPr="00C05886" w:rsidRDefault="005B372A" w:rsidP="002A6F07">
            <w:pPr>
              <w:spacing w:after="0" w:line="240" w:lineRule="auto"/>
              <w:rPr>
                <w:color w:val="000000"/>
                <w:sz w:val="20"/>
                <w:szCs w:val="20"/>
              </w:rPr>
            </w:pPr>
            <w:r w:rsidRPr="00C05886">
              <w:rPr>
                <w:color w:val="000000"/>
                <w:sz w:val="20"/>
                <w:szCs w:val="20"/>
              </w:rPr>
              <w:t>Within-subjects</w:t>
            </w:r>
          </w:p>
        </w:tc>
        <w:tc>
          <w:tcPr>
            <w:tcW w:w="1330" w:type="dxa"/>
            <w:tcBorders>
              <w:top w:val="nil"/>
              <w:left w:val="nil"/>
              <w:bottom w:val="nil"/>
              <w:right w:val="nil"/>
            </w:tcBorders>
            <w:shd w:val="clear" w:color="auto" w:fill="auto"/>
            <w:hideMark/>
          </w:tcPr>
          <w:p w14:paraId="575703B4" w14:textId="77777777" w:rsidR="005B372A" w:rsidRPr="00C05886" w:rsidRDefault="005B372A" w:rsidP="002A6F07">
            <w:pPr>
              <w:spacing w:after="0" w:line="240" w:lineRule="auto"/>
              <w:rPr>
                <w:color w:val="000000"/>
                <w:sz w:val="20"/>
                <w:szCs w:val="20"/>
              </w:rPr>
            </w:pPr>
            <w:r w:rsidRPr="00C05886">
              <w:rPr>
                <w:color w:val="000000"/>
                <w:sz w:val="20"/>
                <w:szCs w:val="20"/>
              </w:rPr>
              <w:t>74.89</w:t>
            </w:r>
          </w:p>
        </w:tc>
        <w:tc>
          <w:tcPr>
            <w:tcW w:w="1182" w:type="dxa"/>
            <w:tcBorders>
              <w:top w:val="nil"/>
              <w:left w:val="nil"/>
              <w:bottom w:val="nil"/>
              <w:right w:val="nil"/>
            </w:tcBorders>
            <w:shd w:val="clear" w:color="auto" w:fill="auto"/>
            <w:hideMark/>
          </w:tcPr>
          <w:p w14:paraId="4035FB3D" w14:textId="77777777" w:rsidR="005B372A" w:rsidRPr="00C05886" w:rsidRDefault="005B372A" w:rsidP="002A6F07">
            <w:pPr>
              <w:spacing w:after="0" w:line="240" w:lineRule="auto"/>
              <w:rPr>
                <w:color w:val="000000"/>
                <w:sz w:val="20"/>
                <w:szCs w:val="20"/>
              </w:rPr>
            </w:pPr>
            <w:r w:rsidRPr="00C05886">
              <w:rPr>
                <w:color w:val="000000"/>
                <w:sz w:val="20"/>
                <w:szCs w:val="20"/>
              </w:rPr>
              <w:t>&lt; 0.005</w:t>
            </w:r>
          </w:p>
        </w:tc>
        <w:tc>
          <w:tcPr>
            <w:tcW w:w="2136" w:type="dxa"/>
            <w:tcBorders>
              <w:top w:val="nil"/>
              <w:left w:val="nil"/>
              <w:bottom w:val="nil"/>
              <w:right w:val="single" w:sz="4" w:space="0" w:color="auto"/>
            </w:tcBorders>
            <w:shd w:val="clear" w:color="auto" w:fill="auto"/>
            <w:hideMark/>
          </w:tcPr>
          <w:p w14:paraId="71F42DBF" w14:textId="77777777" w:rsidR="005B372A" w:rsidRPr="00C05886" w:rsidRDefault="005B372A" w:rsidP="002A6F07">
            <w:pPr>
              <w:spacing w:after="0" w:line="240" w:lineRule="auto"/>
              <w:rPr>
                <w:color w:val="000000"/>
                <w:sz w:val="20"/>
                <w:szCs w:val="20"/>
              </w:rPr>
            </w:pPr>
            <w:r w:rsidRPr="00C05886">
              <w:rPr>
                <w:color w:val="000000"/>
                <w:sz w:val="20"/>
                <w:szCs w:val="20"/>
              </w:rPr>
              <w:t>0.17</w:t>
            </w:r>
          </w:p>
        </w:tc>
      </w:tr>
      <w:tr w:rsidR="005B372A" w:rsidRPr="00C05886" w14:paraId="0210400C" w14:textId="77777777" w:rsidTr="009A1B2F">
        <w:trPr>
          <w:trHeight w:val="50"/>
        </w:trPr>
        <w:tc>
          <w:tcPr>
            <w:tcW w:w="1924" w:type="dxa"/>
            <w:tcBorders>
              <w:left w:val="single" w:sz="4" w:space="0" w:color="auto"/>
              <w:right w:val="nil"/>
            </w:tcBorders>
            <w:shd w:val="clear" w:color="auto" w:fill="auto"/>
            <w:hideMark/>
          </w:tcPr>
          <w:p w14:paraId="758504C7" w14:textId="77777777" w:rsidR="005B372A" w:rsidRPr="00C05886" w:rsidRDefault="005B372A" w:rsidP="002A6F07">
            <w:pPr>
              <w:spacing w:after="0" w:line="240" w:lineRule="auto"/>
              <w:rPr>
                <w:color w:val="000000"/>
                <w:sz w:val="20"/>
                <w:szCs w:val="20"/>
              </w:rPr>
            </w:pPr>
          </w:p>
        </w:tc>
        <w:tc>
          <w:tcPr>
            <w:tcW w:w="2075" w:type="dxa"/>
            <w:tcBorders>
              <w:top w:val="nil"/>
              <w:left w:val="nil"/>
              <w:bottom w:val="nil"/>
              <w:right w:val="nil"/>
            </w:tcBorders>
            <w:shd w:val="clear" w:color="auto" w:fill="auto"/>
            <w:hideMark/>
          </w:tcPr>
          <w:p w14:paraId="0B153EA2" w14:textId="77777777" w:rsidR="005B372A" w:rsidRPr="00C05886" w:rsidRDefault="005B372A" w:rsidP="002A6F07">
            <w:pPr>
              <w:spacing w:after="0" w:line="240" w:lineRule="auto"/>
              <w:rPr>
                <w:color w:val="000000"/>
                <w:sz w:val="20"/>
                <w:szCs w:val="20"/>
              </w:rPr>
            </w:pPr>
            <w:r w:rsidRPr="00C05886">
              <w:rPr>
                <w:color w:val="000000"/>
                <w:sz w:val="20"/>
                <w:szCs w:val="20"/>
              </w:rPr>
              <w:t>Between Subjects</w:t>
            </w:r>
          </w:p>
        </w:tc>
        <w:tc>
          <w:tcPr>
            <w:tcW w:w="1330" w:type="dxa"/>
            <w:tcBorders>
              <w:top w:val="nil"/>
              <w:left w:val="nil"/>
              <w:bottom w:val="nil"/>
              <w:right w:val="nil"/>
            </w:tcBorders>
            <w:shd w:val="clear" w:color="auto" w:fill="auto"/>
            <w:hideMark/>
          </w:tcPr>
          <w:p w14:paraId="4910758A" w14:textId="77777777" w:rsidR="005B372A" w:rsidRPr="00C05886" w:rsidRDefault="005B372A" w:rsidP="002A6F07">
            <w:pPr>
              <w:spacing w:after="0" w:line="240" w:lineRule="auto"/>
              <w:rPr>
                <w:color w:val="000000"/>
                <w:sz w:val="20"/>
                <w:szCs w:val="20"/>
              </w:rPr>
            </w:pPr>
            <w:r w:rsidRPr="00C05886">
              <w:rPr>
                <w:color w:val="000000"/>
                <w:sz w:val="20"/>
                <w:szCs w:val="20"/>
              </w:rPr>
              <w:t>0.49</w:t>
            </w:r>
          </w:p>
        </w:tc>
        <w:tc>
          <w:tcPr>
            <w:tcW w:w="1182" w:type="dxa"/>
            <w:tcBorders>
              <w:top w:val="nil"/>
              <w:left w:val="nil"/>
              <w:bottom w:val="nil"/>
              <w:right w:val="nil"/>
            </w:tcBorders>
            <w:shd w:val="clear" w:color="auto" w:fill="auto"/>
            <w:hideMark/>
          </w:tcPr>
          <w:p w14:paraId="1779FAD0" w14:textId="77777777" w:rsidR="005B372A" w:rsidRPr="00C05886" w:rsidRDefault="005B372A" w:rsidP="002A6F07">
            <w:pPr>
              <w:spacing w:after="0" w:line="240" w:lineRule="auto"/>
              <w:rPr>
                <w:color w:val="000000"/>
                <w:sz w:val="20"/>
                <w:szCs w:val="20"/>
              </w:rPr>
            </w:pPr>
            <w:r w:rsidRPr="00C05886">
              <w:rPr>
                <w:color w:val="000000"/>
                <w:sz w:val="20"/>
                <w:szCs w:val="20"/>
              </w:rPr>
              <w:t>0.81</w:t>
            </w:r>
          </w:p>
        </w:tc>
        <w:tc>
          <w:tcPr>
            <w:tcW w:w="2136" w:type="dxa"/>
            <w:tcBorders>
              <w:top w:val="nil"/>
              <w:left w:val="nil"/>
              <w:bottom w:val="nil"/>
              <w:right w:val="single" w:sz="4" w:space="0" w:color="auto"/>
            </w:tcBorders>
            <w:shd w:val="clear" w:color="auto" w:fill="auto"/>
            <w:hideMark/>
          </w:tcPr>
          <w:p w14:paraId="3D97C292" w14:textId="77777777" w:rsidR="005B372A" w:rsidRPr="00C05886" w:rsidRDefault="005B372A" w:rsidP="002A6F07">
            <w:pPr>
              <w:spacing w:after="0" w:line="240" w:lineRule="auto"/>
              <w:rPr>
                <w:color w:val="000000"/>
                <w:sz w:val="20"/>
                <w:szCs w:val="20"/>
              </w:rPr>
            </w:pPr>
            <w:r w:rsidRPr="00C05886">
              <w:rPr>
                <w:color w:val="000000"/>
                <w:sz w:val="20"/>
                <w:szCs w:val="20"/>
              </w:rPr>
              <w:t>0.008</w:t>
            </w:r>
          </w:p>
        </w:tc>
      </w:tr>
      <w:tr w:rsidR="005B372A" w:rsidRPr="00C05886" w14:paraId="66DC077B" w14:textId="77777777" w:rsidTr="009A1B2F">
        <w:trPr>
          <w:trHeight w:val="232"/>
        </w:trPr>
        <w:tc>
          <w:tcPr>
            <w:tcW w:w="1924" w:type="dxa"/>
            <w:tcBorders>
              <w:left w:val="single" w:sz="4" w:space="0" w:color="auto"/>
              <w:bottom w:val="nil"/>
              <w:right w:val="nil"/>
            </w:tcBorders>
            <w:shd w:val="clear" w:color="auto" w:fill="auto"/>
            <w:hideMark/>
          </w:tcPr>
          <w:p w14:paraId="4475BA24" w14:textId="77777777" w:rsidR="005B372A" w:rsidRPr="00C05886" w:rsidRDefault="005B372A" w:rsidP="002A6F07">
            <w:pPr>
              <w:spacing w:after="0" w:line="240" w:lineRule="auto"/>
              <w:rPr>
                <w:color w:val="000000"/>
                <w:sz w:val="20"/>
                <w:szCs w:val="20"/>
              </w:rPr>
            </w:pPr>
          </w:p>
        </w:tc>
        <w:tc>
          <w:tcPr>
            <w:tcW w:w="2075" w:type="dxa"/>
            <w:tcBorders>
              <w:top w:val="nil"/>
              <w:left w:val="nil"/>
              <w:bottom w:val="nil"/>
              <w:right w:val="nil"/>
            </w:tcBorders>
            <w:shd w:val="clear" w:color="auto" w:fill="auto"/>
            <w:hideMark/>
          </w:tcPr>
          <w:p w14:paraId="7372D03E" w14:textId="77777777" w:rsidR="005B372A" w:rsidRPr="00C05886" w:rsidRDefault="005B372A" w:rsidP="002A6F07">
            <w:pPr>
              <w:spacing w:after="0" w:line="240" w:lineRule="auto"/>
              <w:rPr>
                <w:color w:val="000000"/>
                <w:sz w:val="20"/>
                <w:szCs w:val="20"/>
              </w:rPr>
            </w:pPr>
            <w:r w:rsidRPr="00C05886">
              <w:rPr>
                <w:color w:val="000000"/>
                <w:sz w:val="20"/>
                <w:szCs w:val="20"/>
              </w:rPr>
              <w:t>Interaction</w:t>
            </w:r>
          </w:p>
        </w:tc>
        <w:tc>
          <w:tcPr>
            <w:tcW w:w="1330" w:type="dxa"/>
            <w:tcBorders>
              <w:top w:val="nil"/>
              <w:left w:val="nil"/>
              <w:bottom w:val="nil"/>
              <w:right w:val="nil"/>
            </w:tcBorders>
            <w:shd w:val="clear" w:color="auto" w:fill="auto"/>
            <w:hideMark/>
          </w:tcPr>
          <w:p w14:paraId="16ABD136" w14:textId="77777777" w:rsidR="005B372A" w:rsidRPr="00C05886" w:rsidRDefault="005B372A" w:rsidP="002A6F07">
            <w:pPr>
              <w:spacing w:after="0" w:line="240" w:lineRule="auto"/>
              <w:rPr>
                <w:color w:val="000000"/>
                <w:sz w:val="20"/>
                <w:szCs w:val="20"/>
              </w:rPr>
            </w:pPr>
            <w:r w:rsidRPr="00C05886">
              <w:rPr>
                <w:color w:val="000000"/>
                <w:sz w:val="20"/>
                <w:szCs w:val="20"/>
              </w:rPr>
              <w:t>0.65</w:t>
            </w:r>
          </w:p>
        </w:tc>
        <w:tc>
          <w:tcPr>
            <w:tcW w:w="1182" w:type="dxa"/>
            <w:tcBorders>
              <w:top w:val="nil"/>
              <w:left w:val="nil"/>
              <w:bottom w:val="nil"/>
              <w:right w:val="nil"/>
            </w:tcBorders>
            <w:shd w:val="clear" w:color="auto" w:fill="auto"/>
            <w:hideMark/>
          </w:tcPr>
          <w:p w14:paraId="5885D3AA" w14:textId="77777777" w:rsidR="005B372A" w:rsidRPr="00C05886" w:rsidRDefault="005B372A" w:rsidP="002A6F07">
            <w:pPr>
              <w:spacing w:after="0" w:line="240" w:lineRule="auto"/>
              <w:rPr>
                <w:color w:val="000000"/>
                <w:sz w:val="20"/>
                <w:szCs w:val="20"/>
              </w:rPr>
            </w:pPr>
            <w:r w:rsidRPr="00C05886">
              <w:rPr>
                <w:color w:val="000000"/>
                <w:sz w:val="20"/>
                <w:szCs w:val="20"/>
              </w:rPr>
              <w:t>0.69</w:t>
            </w:r>
          </w:p>
        </w:tc>
        <w:tc>
          <w:tcPr>
            <w:tcW w:w="2136" w:type="dxa"/>
            <w:tcBorders>
              <w:top w:val="nil"/>
              <w:left w:val="nil"/>
              <w:bottom w:val="nil"/>
              <w:right w:val="single" w:sz="4" w:space="0" w:color="auto"/>
            </w:tcBorders>
            <w:shd w:val="clear" w:color="auto" w:fill="auto"/>
            <w:hideMark/>
          </w:tcPr>
          <w:p w14:paraId="211612CD" w14:textId="77777777" w:rsidR="005B372A" w:rsidRPr="00C05886" w:rsidRDefault="005B372A" w:rsidP="002A6F07">
            <w:pPr>
              <w:spacing w:after="0" w:line="240" w:lineRule="auto"/>
              <w:rPr>
                <w:color w:val="000000"/>
                <w:sz w:val="20"/>
                <w:szCs w:val="20"/>
              </w:rPr>
            </w:pPr>
            <w:r w:rsidRPr="00C05886">
              <w:rPr>
                <w:color w:val="000000"/>
                <w:sz w:val="20"/>
                <w:szCs w:val="20"/>
              </w:rPr>
              <w:t>0.01</w:t>
            </w:r>
          </w:p>
        </w:tc>
      </w:tr>
      <w:tr w:rsidR="005B372A" w:rsidRPr="00C05886" w14:paraId="5B5A211E" w14:textId="77777777" w:rsidTr="009A1B2F">
        <w:trPr>
          <w:trHeight w:val="232"/>
        </w:trPr>
        <w:tc>
          <w:tcPr>
            <w:tcW w:w="1924" w:type="dxa"/>
            <w:tcBorders>
              <w:top w:val="nil"/>
              <w:left w:val="single" w:sz="4" w:space="0" w:color="auto"/>
              <w:right w:val="nil"/>
            </w:tcBorders>
            <w:shd w:val="clear" w:color="auto" w:fill="auto"/>
            <w:hideMark/>
          </w:tcPr>
          <w:p w14:paraId="2217DEB0" w14:textId="77777777" w:rsidR="005B372A" w:rsidRPr="00C05886" w:rsidRDefault="005B372A" w:rsidP="002A6F07">
            <w:pPr>
              <w:spacing w:after="0" w:line="240" w:lineRule="auto"/>
              <w:rPr>
                <w:color w:val="000000"/>
                <w:sz w:val="20"/>
                <w:szCs w:val="20"/>
              </w:rPr>
            </w:pPr>
            <w:r w:rsidRPr="00C05886">
              <w:rPr>
                <w:color w:val="000000"/>
                <w:sz w:val="20"/>
                <w:szCs w:val="20"/>
              </w:rPr>
              <w:t>Positive Affect</w:t>
            </w:r>
          </w:p>
        </w:tc>
        <w:tc>
          <w:tcPr>
            <w:tcW w:w="2075" w:type="dxa"/>
            <w:tcBorders>
              <w:top w:val="nil"/>
              <w:left w:val="nil"/>
              <w:bottom w:val="nil"/>
              <w:right w:val="nil"/>
            </w:tcBorders>
            <w:shd w:val="clear" w:color="auto" w:fill="auto"/>
            <w:hideMark/>
          </w:tcPr>
          <w:p w14:paraId="08C6DA16" w14:textId="77777777" w:rsidR="005B372A" w:rsidRPr="00C05886" w:rsidRDefault="005B372A" w:rsidP="002A6F07">
            <w:pPr>
              <w:spacing w:after="0" w:line="240" w:lineRule="auto"/>
              <w:rPr>
                <w:color w:val="000000"/>
                <w:sz w:val="20"/>
                <w:szCs w:val="20"/>
              </w:rPr>
            </w:pPr>
            <w:r w:rsidRPr="00C05886">
              <w:rPr>
                <w:color w:val="000000"/>
                <w:sz w:val="20"/>
                <w:szCs w:val="20"/>
              </w:rPr>
              <w:t>Within-subjects</w:t>
            </w:r>
          </w:p>
        </w:tc>
        <w:tc>
          <w:tcPr>
            <w:tcW w:w="1330" w:type="dxa"/>
            <w:tcBorders>
              <w:top w:val="nil"/>
              <w:left w:val="nil"/>
              <w:bottom w:val="nil"/>
              <w:right w:val="nil"/>
            </w:tcBorders>
            <w:shd w:val="clear" w:color="auto" w:fill="auto"/>
            <w:hideMark/>
          </w:tcPr>
          <w:p w14:paraId="4FA930CB" w14:textId="77777777" w:rsidR="005B372A" w:rsidRPr="00C05886" w:rsidRDefault="005B372A" w:rsidP="002A6F07">
            <w:pPr>
              <w:spacing w:after="0" w:line="240" w:lineRule="auto"/>
              <w:rPr>
                <w:color w:val="000000"/>
                <w:sz w:val="20"/>
                <w:szCs w:val="20"/>
              </w:rPr>
            </w:pPr>
            <w:r w:rsidRPr="00C05886">
              <w:rPr>
                <w:color w:val="000000"/>
                <w:sz w:val="20"/>
                <w:szCs w:val="20"/>
              </w:rPr>
              <w:t>6.18</w:t>
            </w:r>
          </w:p>
        </w:tc>
        <w:tc>
          <w:tcPr>
            <w:tcW w:w="1182" w:type="dxa"/>
            <w:tcBorders>
              <w:top w:val="nil"/>
              <w:left w:val="nil"/>
              <w:bottom w:val="nil"/>
              <w:right w:val="nil"/>
            </w:tcBorders>
            <w:shd w:val="clear" w:color="auto" w:fill="auto"/>
            <w:hideMark/>
          </w:tcPr>
          <w:p w14:paraId="28C1BB6E" w14:textId="77777777" w:rsidR="005B372A" w:rsidRPr="00C05886" w:rsidRDefault="005B372A" w:rsidP="002A6F07">
            <w:pPr>
              <w:spacing w:after="0" w:line="240" w:lineRule="auto"/>
              <w:rPr>
                <w:color w:val="000000"/>
                <w:sz w:val="20"/>
                <w:szCs w:val="20"/>
              </w:rPr>
            </w:pPr>
            <w:r w:rsidRPr="00C05886">
              <w:rPr>
                <w:color w:val="000000"/>
                <w:sz w:val="20"/>
                <w:szCs w:val="20"/>
              </w:rPr>
              <w:t>&lt; 0.005</w:t>
            </w:r>
          </w:p>
        </w:tc>
        <w:tc>
          <w:tcPr>
            <w:tcW w:w="2136" w:type="dxa"/>
            <w:tcBorders>
              <w:top w:val="nil"/>
              <w:left w:val="nil"/>
              <w:bottom w:val="nil"/>
              <w:right w:val="single" w:sz="4" w:space="0" w:color="auto"/>
            </w:tcBorders>
            <w:shd w:val="clear" w:color="auto" w:fill="auto"/>
            <w:hideMark/>
          </w:tcPr>
          <w:p w14:paraId="2B404314" w14:textId="77777777" w:rsidR="005B372A" w:rsidRPr="00C05886" w:rsidRDefault="005B372A" w:rsidP="002A6F07">
            <w:pPr>
              <w:spacing w:after="0" w:line="240" w:lineRule="auto"/>
              <w:rPr>
                <w:color w:val="000000"/>
                <w:sz w:val="20"/>
                <w:szCs w:val="20"/>
              </w:rPr>
            </w:pPr>
            <w:r w:rsidRPr="00C05886">
              <w:rPr>
                <w:color w:val="000000"/>
                <w:sz w:val="20"/>
                <w:szCs w:val="20"/>
              </w:rPr>
              <w:t>0.016</w:t>
            </w:r>
          </w:p>
        </w:tc>
      </w:tr>
      <w:tr w:rsidR="005B372A" w:rsidRPr="00C05886" w14:paraId="388B6BDD" w14:textId="77777777" w:rsidTr="009A1B2F">
        <w:trPr>
          <w:trHeight w:val="232"/>
        </w:trPr>
        <w:tc>
          <w:tcPr>
            <w:tcW w:w="1924" w:type="dxa"/>
            <w:tcBorders>
              <w:left w:val="single" w:sz="4" w:space="0" w:color="auto"/>
              <w:right w:val="nil"/>
            </w:tcBorders>
            <w:shd w:val="clear" w:color="auto" w:fill="auto"/>
            <w:hideMark/>
          </w:tcPr>
          <w:p w14:paraId="2BB56759" w14:textId="77777777" w:rsidR="005B372A" w:rsidRPr="00C05886" w:rsidRDefault="005B372A" w:rsidP="002A6F07">
            <w:pPr>
              <w:spacing w:after="0" w:line="240" w:lineRule="auto"/>
              <w:rPr>
                <w:color w:val="000000"/>
                <w:sz w:val="20"/>
                <w:szCs w:val="20"/>
              </w:rPr>
            </w:pPr>
          </w:p>
        </w:tc>
        <w:tc>
          <w:tcPr>
            <w:tcW w:w="2075" w:type="dxa"/>
            <w:tcBorders>
              <w:top w:val="nil"/>
              <w:left w:val="nil"/>
              <w:right w:val="nil"/>
            </w:tcBorders>
            <w:shd w:val="clear" w:color="auto" w:fill="auto"/>
            <w:hideMark/>
          </w:tcPr>
          <w:p w14:paraId="694A86F0" w14:textId="77777777" w:rsidR="005B372A" w:rsidRPr="00C05886" w:rsidRDefault="005B372A" w:rsidP="002A6F07">
            <w:pPr>
              <w:spacing w:after="0" w:line="240" w:lineRule="auto"/>
              <w:rPr>
                <w:color w:val="000000"/>
                <w:sz w:val="20"/>
                <w:szCs w:val="20"/>
              </w:rPr>
            </w:pPr>
            <w:r w:rsidRPr="00C05886">
              <w:rPr>
                <w:color w:val="000000"/>
                <w:sz w:val="20"/>
                <w:szCs w:val="20"/>
              </w:rPr>
              <w:t>Between Subjects</w:t>
            </w:r>
          </w:p>
        </w:tc>
        <w:tc>
          <w:tcPr>
            <w:tcW w:w="1330" w:type="dxa"/>
            <w:tcBorders>
              <w:top w:val="nil"/>
              <w:left w:val="nil"/>
              <w:right w:val="nil"/>
            </w:tcBorders>
            <w:shd w:val="clear" w:color="auto" w:fill="auto"/>
            <w:hideMark/>
          </w:tcPr>
          <w:p w14:paraId="6B279B92" w14:textId="77777777" w:rsidR="005B372A" w:rsidRPr="00C05886" w:rsidRDefault="005B372A" w:rsidP="002A6F07">
            <w:pPr>
              <w:spacing w:after="0" w:line="240" w:lineRule="auto"/>
              <w:rPr>
                <w:color w:val="000000"/>
                <w:sz w:val="20"/>
                <w:szCs w:val="20"/>
              </w:rPr>
            </w:pPr>
            <w:r w:rsidRPr="00C05886">
              <w:rPr>
                <w:color w:val="000000"/>
                <w:sz w:val="20"/>
                <w:szCs w:val="20"/>
              </w:rPr>
              <w:t>2.95</w:t>
            </w:r>
          </w:p>
        </w:tc>
        <w:tc>
          <w:tcPr>
            <w:tcW w:w="1182" w:type="dxa"/>
            <w:tcBorders>
              <w:top w:val="nil"/>
              <w:left w:val="nil"/>
              <w:right w:val="nil"/>
            </w:tcBorders>
            <w:shd w:val="clear" w:color="auto" w:fill="auto"/>
            <w:hideMark/>
          </w:tcPr>
          <w:p w14:paraId="69882FF0" w14:textId="77777777" w:rsidR="005B372A" w:rsidRPr="00C05886" w:rsidRDefault="005B372A" w:rsidP="002A6F07">
            <w:pPr>
              <w:spacing w:after="0" w:line="240" w:lineRule="auto"/>
              <w:rPr>
                <w:color w:val="000000"/>
                <w:sz w:val="20"/>
                <w:szCs w:val="20"/>
              </w:rPr>
            </w:pPr>
            <w:r w:rsidRPr="00C05886">
              <w:rPr>
                <w:color w:val="000000"/>
                <w:sz w:val="20"/>
                <w:szCs w:val="20"/>
              </w:rPr>
              <w:t>0.008</w:t>
            </w:r>
          </w:p>
        </w:tc>
        <w:tc>
          <w:tcPr>
            <w:tcW w:w="2136" w:type="dxa"/>
            <w:tcBorders>
              <w:top w:val="nil"/>
              <w:left w:val="nil"/>
              <w:right w:val="single" w:sz="4" w:space="0" w:color="auto"/>
            </w:tcBorders>
            <w:shd w:val="clear" w:color="auto" w:fill="auto"/>
            <w:hideMark/>
          </w:tcPr>
          <w:p w14:paraId="28A40CCA" w14:textId="77777777" w:rsidR="005B372A" w:rsidRPr="00C05886" w:rsidRDefault="005B372A" w:rsidP="002A6F07">
            <w:pPr>
              <w:spacing w:after="0" w:line="240" w:lineRule="auto"/>
              <w:rPr>
                <w:color w:val="000000"/>
                <w:sz w:val="20"/>
                <w:szCs w:val="20"/>
              </w:rPr>
            </w:pPr>
            <w:r w:rsidRPr="00C05886">
              <w:rPr>
                <w:color w:val="000000"/>
                <w:sz w:val="20"/>
                <w:szCs w:val="20"/>
              </w:rPr>
              <w:t>0.05</w:t>
            </w:r>
          </w:p>
        </w:tc>
      </w:tr>
      <w:tr w:rsidR="005B372A" w:rsidRPr="00C05886" w14:paraId="54D5F694" w14:textId="77777777" w:rsidTr="009A1B2F">
        <w:trPr>
          <w:trHeight w:val="232"/>
        </w:trPr>
        <w:tc>
          <w:tcPr>
            <w:tcW w:w="1924" w:type="dxa"/>
            <w:tcBorders>
              <w:left w:val="single" w:sz="4" w:space="0" w:color="auto"/>
              <w:bottom w:val="single" w:sz="4" w:space="0" w:color="auto"/>
              <w:right w:val="nil"/>
            </w:tcBorders>
            <w:shd w:val="clear" w:color="auto" w:fill="auto"/>
            <w:hideMark/>
          </w:tcPr>
          <w:p w14:paraId="57B5C5E4" w14:textId="77777777" w:rsidR="005B372A" w:rsidRPr="00C05886" w:rsidRDefault="005B372A" w:rsidP="002A6F07">
            <w:pPr>
              <w:spacing w:after="0" w:line="240" w:lineRule="auto"/>
              <w:rPr>
                <w:color w:val="000000"/>
                <w:sz w:val="20"/>
                <w:szCs w:val="20"/>
              </w:rPr>
            </w:pPr>
          </w:p>
        </w:tc>
        <w:tc>
          <w:tcPr>
            <w:tcW w:w="2075" w:type="dxa"/>
            <w:tcBorders>
              <w:top w:val="nil"/>
              <w:left w:val="nil"/>
              <w:bottom w:val="single" w:sz="4" w:space="0" w:color="auto"/>
              <w:right w:val="nil"/>
            </w:tcBorders>
            <w:shd w:val="clear" w:color="auto" w:fill="auto"/>
            <w:hideMark/>
          </w:tcPr>
          <w:p w14:paraId="7375960A" w14:textId="77777777" w:rsidR="005B372A" w:rsidRPr="00C05886" w:rsidRDefault="005B372A" w:rsidP="002A6F07">
            <w:pPr>
              <w:spacing w:after="0" w:line="240" w:lineRule="auto"/>
              <w:rPr>
                <w:color w:val="000000"/>
                <w:sz w:val="20"/>
                <w:szCs w:val="20"/>
              </w:rPr>
            </w:pPr>
            <w:r w:rsidRPr="00C05886">
              <w:rPr>
                <w:color w:val="000000"/>
                <w:sz w:val="20"/>
                <w:szCs w:val="20"/>
              </w:rPr>
              <w:t>Interaction</w:t>
            </w:r>
          </w:p>
        </w:tc>
        <w:tc>
          <w:tcPr>
            <w:tcW w:w="1330" w:type="dxa"/>
            <w:tcBorders>
              <w:top w:val="nil"/>
              <w:left w:val="nil"/>
              <w:bottom w:val="single" w:sz="4" w:space="0" w:color="auto"/>
              <w:right w:val="nil"/>
            </w:tcBorders>
            <w:shd w:val="clear" w:color="auto" w:fill="auto"/>
            <w:hideMark/>
          </w:tcPr>
          <w:p w14:paraId="0109F227" w14:textId="77777777" w:rsidR="005B372A" w:rsidRPr="00C05886" w:rsidRDefault="005B372A" w:rsidP="002A6F07">
            <w:pPr>
              <w:spacing w:after="0" w:line="240" w:lineRule="auto"/>
              <w:rPr>
                <w:color w:val="000000"/>
                <w:sz w:val="20"/>
                <w:szCs w:val="20"/>
              </w:rPr>
            </w:pPr>
            <w:r w:rsidRPr="00C05886">
              <w:rPr>
                <w:color w:val="000000"/>
                <w:sz w:val="20"/>
                <w:szCs w:val="20"/>
              </w:rPr>
              <w:t>1.46</w:t>
            </w:r>
          </w:p>
        </w:tc>
        <w:tc>
          <w:tcPr>
            <w:tcW w:w="1182" w:type="dxa"/>
            <w:tcBorders>
              <w:top w:val="nil"/>
              <w:left w:val="nil"/>
              <w:bottom w:val="single" w:sz="4" w:space="0" w:color="auto"/>
              <w:right w:val="nil"/>
            </w:tcBorders>
            <w:shd w:val="clear" w:color="auto" w:fill="auto"/>
            <w:hideMark/>
          </w:tcPr>
          <w:p w14:paraId="759B60A9" w14:textId="77777777" w:rsidR="005B372A" w:rsidRPr="00C05886" w:rsidRDefault="005B372A" w:rsidP="002A6F07">
            <w:pPr>
              <w:spacing w:after="0" w:line="240" w:lineRule="auto"/>
              <w:rPr>
                <w:color w:val="000000"/>
                <w:sz w:val="20"/>
                <w:szCs w:val="20"/>
              </w:rPr>
            </w:pPr>
            <w:r w:rsidRPr="00C05886">
              <w:rPr>
                <w:color w:val="000000"/>
                <w:sz w:val="20"/>
                <w:szCs w:val="20"/>
              </w:rPr>
              <w:t>0.12</w:t>
            </w:r>
          </w:p>
        </w:tc>
        <w:tc>
          <w:tcPr>
            <w:tcW w:w="2136" w:type="dxa"/>
            <w:tcBorders>
              <w:top w:val="nil"/>
              <w:left w:val="nil"/>
              <w:bottom w:val="single" w:sz="4" w:space="0" w:color="auto"/>
              <w:right w:val="single" w:sz="4" w:space="0" w:color="auto"/>
            </w:tcBorders>
            <w:shd w:val="clear" w:color="auto" w:fill="auto"/>
            <w:hideMark/>
          </w:tcPr>
          <w:p w14:paraId="64D830D3" w14:textId="77777777" w:rsidR="005B372A" w:rsidRPr="00C05886" w:rsidRDefault="005B372A" w:rsidP="002A6F07">
            <w:pPr>
              <w:spacing w:after="0" w:line="240" w:lineRule="auto"/>
              <w:rPr>
                <w:color w:val="000000"/>
                <w:sz w:val="20"/>
                <w:szCs w:val="20"/>
              </w:rPr>
            </w:pPr>
            <w:r w:rsidRPr="00C05886">
              <w:rPr>
                <w:color w:val="000000"/>
                <w:sz w:val="20"/>
                <w:szCs w:val="20"/>
              </w:rPr>
              <w:t>0.02</w:t>
            </w:r>
          </w:p>
        </w:tc>
      </w:tr>
    </w:tbl>
    <w:p w14:paraId="2F616322" w14:textId="77777777" w:rsidR="005B372A" w:rsidRPr="00C05886" w:rsidRDefault="005B372A">
      <w:pPr>
        <w:spacing w:line="480" w:lineRule="auto"/>
      </w:pPr>
    </w:p>
    <w:p w14:paraId="4624E140" w14:textId="77777777" w:rsidR="005B372A" w:rsidRPr="00C05886" w:rsidRDefault="005B372A">
      <w:pPr>
        <w:spacing w:after="0" w:line="480" w:lineRule="auto"/>
      </w:pPr>
      <w:r w:rsidRPr="00C05886">
        <w:lastRenderedPageBreak/>
        <w:t xml:space="preserve">Pooling data across the conditions showed that Positive affect (PA) scores changed with time (p = 0.02). Post hoc tests showed that PA scores were statistically lower after the stressor (p = 0.014) but not after the relaxing video (p = 0.14), compared to the baseline (Fig 3, right). There was no significant difference in the PA scores before and after the condition videos. </w:t>
      </w:r>
      <w:sdt>
        <w:sdtPr>
          <w:tag w:val="goog_rdk_96"/>
          <w:id w:val="821244274"/>
        </w:sdtPr>
        <w:sdtContent/>
      </w:sdt>
      <w:sdt>
        <w:sdtPr>
          <w:tag w:val="goog_rdk_97"/>
          <w:id w:val="1113796100"/>
        </w:sdtPr>
        <w:sdtContent/>
      </w:sdt>
      <w:r w:rsidRPr="00C05886">
        <w:t>There were no significant differences between any of the experimental groups at any stage (p = 0.91), i.e. the amount of additional biodiversity or natural sounds were not affecting the Positive Affect scores, compared to a control.</w:t>
      </w:r>
    </w:p>
    <w:p w14:paraId="0FE21C2F" w14:textId="5B29E075" w:rsidR="005B372A" w:rsidRPr="00C05886" w:rsidRDefault="00000000" w:rsidP="004F190A">
      <w:pPr>
        <w:keepNext/>
        <w:spacing w:after="0" w:line="480" w:lineRule="auto"/>
      </w:pPr>
      <w:sdt>
        <w:sdtPr>
          <w:tag w:val="goog_rdk_98"/>
          <w:id w:val="-1068485523"/>
        </w:sdtPr>
        <w:sdtContent/>
      </w:sdt>
      <w:r w:rsidR="007E760B" w:rsidRPr="00134B49">
        <w:rPr>
          <w:noProof/>
        </w:rPr>
        <w:drawing>
          <wp:inline distT="0" distB="0" distL="0" distR="0" wp14:anchorId="3C616AED" wp14:editId="004FE509">
            <wp:extent cx="2844000" cy="3139200"/>
            <wp:effectExtent l="0" t="0" r="13970" b="4445"/>
            <wp:docPr id="17" name="Chart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r w:rsidR="007E760B" w:rsidRPr="00134B49">
        <w:rPr>
          <w:noProof/>
        </w:rPr>
        <w:drawing>
          <wp:inline distT="0" distB="0" distL="0" distR="0" wp14:anchorId="7094DBD1" wp14:editId="19C1CFAC">
            <wp:extent cx="2844000" cy="3138170"/>
            <wp:effectExtent l="0" t="0" r="13970" b="5080"/>
            <wp:docPr id="1460151636" name="Chart 1460151636"/>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705FF8EF" w14:textId="41136A63" w:rsidR="005B372A" w:rsidRPr="00C05886" w:rsidRDefault="005B372A" w:rsidP="004F190A">
      <w:pPr>
        <w:pStyle w:val="Caption"/>
        <w:rPr>
          <w:i w:val="0"/>
          <w:iCs w:val="0"/>
          <w:color w:val="000000"/>
        </w:rPr>
      </w:pPr>
      <w:r w:rsidRPr="00C05886">
        <w:rPr>
          <w:b/>
          <w:bCs/>
          <w:i w:val="0"/>
          <w:iCs w:val="0"/>
          <w:color w:val="000000"/>
        </w:rPr>
        <w:t xml:space="preserve">Fig </w:t>
      </w:r>
      <w:r w:rsidR="002F3B20" w:rsidRPr="00C05886">
        <w:rPr>
          <w:b/>
          <w:bCs/>
          <w:i w:val="0"/>
          <w:iCs w:val="0"/>
          <w:color w:val="000000"/>
        </w:rPr>
        <w:t>3</w:t>
      </w:r>
      <w:r w:rsidRPr="00C05886">
        <w:rPr>
          <w:b/>
          <w:bCs/>
          <w:i w:val="0"/>
          <w:iCs w:val="0"/>
          <w:color w:val="000000"/>
        </w:rPr>
        <w:t>.</w:t>
      </w:r>
      <w:r w:rsidRPr="00C05886">
        <w:rPr>
          <w:i w:val="0"/>
          <w:iCs w:val="0"/>
          <w:color w:val="000000"/>
        </w:rPr>
        <w:t xml:space="preserve"> Mean Negative Affect (Left) and Positive Affect (Right) scores by condition group at the three stages of the procedure. Means without common letters are statistically different at p&lt;0.05. Error bars represent +/- 1 standard error.</w:t>
      </w:r>
    </w:p>
    <w:p w14:paraId="2CDDDC11" w14:textId="77777777" w:rsidR="005B372A" w:rsidRPr="00C05886" w:rsidRDefault="005B372A" w:rsidP="005B372A">
      <w:pPr>
        <w:pStyle w:val="Heading3"/>
      </w:pPr>
      <w:bookmarkStart w:id="99" w:name="_Toc179962347"/>
      <w:r w:rsidRPr="00C05886">
        <w:t>Perceived level of biodiversity</w:t>
      </w:r>
      <w:bookmarkEnd w:id="99"/>
    </w:p>
    <w:p w14:paraId="565039BD" w14:textId="77777777" w:rsidR="005B372A" w:rsidRPr="00C05886" w:rsidRDefault="005B372A">
      <w:pPr>
        <w:spacing w:line="480" w:lineRule="auto"/>
        <w:rPr>
          <w:color w:val="000000"/>
        </w:rPr>
      </w:pPr>
      <w:r w:rsidRPr="00C05886">
        <w:rPr>
          <w:i/>
          <w:color w:val="000000"/>
        </w:rPr>
        <w:t>Perceptions</w:t>
      </w:r>
      <w:r w:rsidRPr="00C05886">
        <w:rPr>
          <w:color w:val="000000"/>
        </w:rPr>
        <w:t xml:space="preserve"> of the biodiversity shown in the videos showed an overall significant effect on both Negative and Positive Affect scores </w:t>
      </w:r>
      <w:r w:rsidRPr="00C05886">
        <w:t>(NA p=0.03; PA p &lt; 0.005, Table 3)</w:t>
      </w:r>
      <w:r w:rsidRPr="00C05886">
        <w:rPr>
          <w:color w:val="000000"/>
        </w:rPr>
        <w:t xml:space="preserve">. </w:t>
      </w:r>
      <w:r w:rsidRPr="00C05886">
        <w:t>P</w:t>
      </w:r>
      <w:r w:rsidRPr="00C05886">
        <w:rPr>
          <w:color w:val="000000"/>
        </w:rPr>
        <w:t xml:space="preserve">ost hoc tests showed that those who deemed the environment as “very good” for biodiversity had overall lower NA scores than those who rated it “neutral or bad” (p = 0.048) and overall higher PA scores than those who rated the environment “neutral or bad” (p = 0.008) or “good” (p=0.001). The greatest reductions in NA between the post-stress and post-video stages were associated with those respondents who </w:t>
      </w:r>
      <w:r w:rsidRPr="00C05886">
        <w:rPr>
          <w:color w:val="000000"/>
        </w:rPr>
        <w:lastRenderedPageBreak/>
        <w:t xml:space="preserve">thought the sites were ‘good’ or ‘very good’ in terms of biodiversity (Fig 4, Left). Conversely, PA scores continued to decrease after the video for those who considered the environment “bad or neutral”, but PA increased in those who thought the environment was “very good” in biodiversity (Fig 4, Right).   </w:t>
      </w:r>
    </w:p>
    <w:p w14:paraId="5EC3DF06" w14:textId="3CC3DF90" w:rsidR="005B372A" w:rsidRPr="00C05886" w:rsidRDefault="005B372A" w:rsidP="008E6E74">
      <w:pPr>
        <w:keepNext/>
        <w:spacing w:line="480" w:lineRule="auto"/>
      </w:pPr>
      <w:r w:rsidRPr="00134B49">
        <w:rPr>
          <w:noProof/>
          <w14:ligatures w14:val="standardContextual"/>
        </w:rPr>
        <w:drawing>
          <wp:inline distT="0" distB="0" distL="0" distR="0" wp14:anchorId="7995A0A1" wp14:editId="7C402A0F">
            <wp:extent cx="2844000" cy="3132000"/>
            <wp:effectExtent l="0" t="0" r="13970" b="11430"/>
            <wp:docPr id="622115194" name="Chart 622115194">
              <a:extLst xmlns:a="http://schemas.openxmlformats.org/drawingml/2006/main">
                <a:ext uri="{FF2B5EF4-FFF2-40B4-BE49-F238E27FC236}">
                  <a16:creationId xmlns:a16="http://schemas.microsoft.com/office/drawing/2014/main" id="{CE5499C8-3415-7209-7024-7D926A2BAB6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r w:rsidRPr="00134B49">
        <w:rPr>
          <w:noProof/>
          <w14:ligatures w14:val="standardContextual"/>
        </w:rPr>
        <w:drawing>
          <wp:inline distT="0" distB="0" distL="0" distR="0" wp14:anchorId="41645E45" wp14:editId="4281576E">
            <wp:extent cx="2844000" cy="3132000"/>
            <wp:effectExtent l="0" t="0" r="13970" b="11430"/>
            <wp:docPr id="1924540726" name="Chart 1924540726">
              <a:extLst xmlns:a="http://schemas.openxmlformats.org/drawingml/2006/main">
                <a:ext uri="{FF2B5EF4-FFF2-40B4-BE49-F238E27FC236}">
                  <a16:creationId xmlns:a16="http://schemas.microsoft.com/office/drawing/2014/main" id="{6C0B6DCE-0011-9F7E-F2D3-2A1363AEA8D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1B4FE171" w14:textId="14277856" w:rsidR="005B372A" w:rsidRPr="00C05886" w:rsidRDefault="005B372A" w:rsidP="008E6E74">
      <w:pPr>
        <w:pStyle w:val="Caption"/>
        <w:rPr>
          <w:i w:val="0"/>
          <w:iCs w:val="0"/>
          <w:color w:val="auto"/>
        </w:rPr>
      </w:pPr>
      <w:r w:rsidRPr="00C05886">
        <w:rPr>
          <w:b/>
          <w:bCs/>
          <w:i w:val="0"/>
          <w:iCs w:val="0"/>
          <w:color w:val="auto"/>
        </w:rPr>
        <w:t xml:space="preserve">Fig </w:t>
      </w:r>
      <w:r w:rsidR="002F3B20" w:rsidRPr="00C05886">
        <w:rPr>
          <w:b/>
          <w:bCs/>
          <w:i w:val="0"/>
          <w:iCs w:val="0"/>
          <w:color w:val="auto"/>
        </w:rPr>
        <w:t>4</w:t>
      </w:r>
      <w:r w:rsidRPr="00C05886">
        <w:rPr>
          <w:b/>
          <w:bCs/>
          <w:i w:val="0"/>
          <w:iCs w:val="0"/>
          <w:color w:val="auto"/>
        </w:rPr>
        <w:t>.</w:t>
      </w:r>
      <w:r w:rsidRPr="00C05886">
        <w:rPr>
          <w:i w:val="0"/>
          <w:iCs w:val="0"/>
          <w:color w:val="auto"/>
        </w:rPr>
        <w:t xml:space="preserve"> Changes in Negative Affect (Left) and Positive Affect (Right) scores after the video stage for those groups who perceived the biodiversity as ‘Bad/Neutral’, ‘Good’ or ‘Very Good’. Letters denote statistical differences.</w:t>
      </w:r>
    </w:p>
    <w:p w14:paraId="628873FB" w14:textId="77777777" w:rsidR="005B372A" w:rsidRPr="00C05886" w:rsidRDefault="005B372A" w:rsidP="005B372A">
      <w:pPr>
        <w:pStyle w:val="Heading3"/>
      </w:pPr>
      <w:bookmarkStart w:id="100" w:name="_Toc179962348"/>
      <w:r w:rsidRPr="00C05886">
        <w:t>Appreciating individual elements of nature</w:t>
      </w:r>
      <w:bookmarkEnd w:id="100"/>
    </w:p>
    <w:p w14:paraId="27D64C69" w14:textId="77777777" w:rsidR="005B372A" w:rsidRPr="00C05886" w:rsidRDefault="005B372A">
      <w:pPr>
        <w:spacing w:after="0" w:line="480" w:lineRule="auto"/>
      </w:pPr>
      <w:r w:rsidRPr="00C05886">
        <w:t xml:space="preserve">A large number of participants (208 individuals - 59%) commented on their </w:t>
      </w:r>
      <w:sdt>
        <w:sdtPr>
          <w:tag w:val="goog_rdk_102"/>
          <w:id w:val="454299645"/>
        </w:sdtPr>
        <w:sdtContent/>
      </w:sdt>
      <w:r w:rsidRPr="00C05886">
        <w:t xml:space="preserve">perceptions of biodiversity and natural features after watching the videos. Sounds were mentioned most frequently (N = 55, including wind, water and birds), then flowers (N = 35) and trees (N = 33) (S1 Appendix). </w:t>
      </w:r>
    </w:p>
    <w:p w14:paraId="633E2505" w14:textId="77777777" w:rsidR="005B372A" w:rsidRPr="00C05886" w:rsidRDefault="00000000">
      <w:pPr>
        <w:spacing w:line="480" w:lineRule="auto"/>
      </w:pPr>
      <w:sdt>
        <w:sdtPr>
          <w:tag w:val="goog_rdk_103"/>
          <w:id w:val="-1878079964"/>
        </w:sdtPr>
        <w:sdtContent/>
      </w:sdt>
      <w:r w:rsidR="005B372A" w:rsidRPr="00C05886">
        <w:t xml:space="preserve">There was little overall difference in both Affect scores between those who mentioned noticing the flowers and the rest of the participants (NA p = 0.79; PA p = 0.19, Table 3). However, there was a significant interaction (p=0.005) for Positive Affect. Those individuals who specifically commented about the flowers reported enhanced Positive Affect scores after watching the videos (Fig 5). Since all those who provided comments also perceived the biodiversity to be “good” or “very good”, those </w:t>
      </w:r>
      <w:r w:rsidR="005B372A" w:rsidRPr="00C05886">
        <w:lastRenderedPageBreak/>
        <w:t xml:space="preserve">who noticed the flowers were compared with those who did not (i.e. controlling for the effect of perceived biodiversity). The interaction was again significant (p = 0.045), confirming that </w:t>
      </w:r>
      <w:sdt>
        <w:sdtPr>
          <w:tag w:val="goog_rdk_104"/>
          <w:id w:val="-1914386071"/>
        </w:sdtPr>
        <w:sdtContent/>
      </w:sdt>
      <w:r w:rsidR="005B372A" w:rsidRPr="00C05886">
        <w:t xml:space="preserve">those who noticed the flowers showed significantly higher Positive Affect compared with those who noticed other things. </w:t>
      </w:r>
    </w:p>
    <w:p w14:paraId="621F1897" w14:textId="258C88D8" w:rsidR="005B372A" w:rsidRPr="00C05886" w:rsidRDefault="005B372A" w:rsidP="000466A0">
      <w:pPr>
        <w:keepNext/>
        <w:spacing w:line="480" w:lineRule="auto"/>
      </w:pPr>
      <w:r w:rsidRPr="00134B49">
        <w:rPr>
          <w:noProof/>
          <w14:ligatures w14:val="standardContextual"/>
        </w:rPr>
        <w:drawing>
          <wp:inline distT="0" distB="0" distL="0" distR="0" wp14:anchorId="1B6A9D50" wp14:editId="6421CD8B">
            <wp:extent cx="2844000" cy="3132000"/>
            <wp:effectExtent l="0" t="0" r="13970" b="11430"/>
            <wp:docPr id="6" name="Chart 6">
              <a:extLst xmlns:a="http://schemas.openxmlformats.org/drawingml/2006/main">
                <a:ext uri="{FF2B5EF4-FFF2-40B4-BE49-F238E27FC236}">
                  <a16:creationId xmlns:a16="http://schemas.microsoft.com/office/drawing/2014/main" id="{6FB67129-8D76-AD97-8E0D-A1F52FF2E52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5DFF48A6" w14:textId="4246ACBC" w:rsidR="005B372A" w:rsidRPr="00C05886" w:rsidRDefault="005B372A" w:rsidP="000466A0">
      <w:pPr>
        <w:pStyle w:val="Caption"/>
        <w:rPr>
          <w:i w:val="0"/>
          <w:iCs w:val="0"/>
          <w:color w:val="auto"/>
        </w:rPr>
      </w:pPr>
      <w:r w:rsidRPr="00C05886">
        <w:rPr>
          <w:b/>
          <w:bCs/>
          <w:i w:val="0"/>
          <w:iCs w:val="0"/>
          <w:color w:val="auto"/>
        </w:rPr>
        <w:t xml:space="preserve">Fig </w:t>
      </w:r>
      <w:r w:rsidR="002F3B20" w:rsidRPr="00C05886">
        <w:rPr>
          <w:b/>
          <w:bCs/>
          <w:i w:val="0"/>
          <w:iCs w:val="0"/>
          <w:color w:val="auto"/>
        </w:rPr>
        <w:t>5</w:t>
      </w:r>
      <w:r w:rsidRPr="00C05886">
        <w:rPr>
          <w:i w:val="0"/>
          <w:iCs w:val="0"/>
        </w:rPr>
        <w:t xml:space="preserve">. </w:t>
      </w:r>
      <w:r w:rsidRPr="00C05886">
        <w:rPr>
          <w:i w:val="0"/>
          <w:iCs w:val="0"/>
          <w:color w:val="auto"/>
        </w:rPr>
        <w:t>Changes in Mean Positive Affect scores after the video stage by those who mentioned the flowers and those who did not. Letters denote statistical differences.</w:t>
      </w:r>
    </w:p>
    <w:p w14:paraId="2592E272" w14:textId="77777777" w:rsidR="005B372A" w:rsidRPr="00C05886" w:rsidRDefault="005B372A">
      <w:pPr>
        <w:spacing w:line="480" w:lineRule="auto"/>
      </w:pPr>
      <w:r w:rsidRPr="00C05886">
        <w:t>Participants who commented on natural sounds, including both the sound of the breeze and birdsong, reported significantly lower NA scores (p = 0.01) than the rest of the participants. The overall difference in PA scores, on the other hand, was non-significant (p = 0.11).</w:t>
      </w:r>
    </w:p>
    <w:p w14:paraId="0F05F699" w14:textId="77777777" w:rsidR="005B372A" w:rsidRPr="00C05886" w:rsidRDefault="005B372A">
      <w:pPr>
        <w:spacing w:line="480" w:lineRule="auto"/>
      </w:pPr>
      <w:r w:rsidRPr="00C05886">
        <w:t>Participants who noticed the trees reported both lower Negative Affect (p = 0.05, Table 3) and lower Positive Affect scores overall (p = 0.21), compared to the other participants. The analysis of Positive Affect highlighted a significant interaction (p = 0.01). Participants who noticed the trees showed significantly higher scores in Positive Affect after the video, compared to the rest of the participants. However, when controlling for the effect of perceived biodiversity (see above) the interaction was no longer significant (p = 0.09).</w:t>
      </w:r>
    </w:p>
    <w:p w14:paraId="72D2147C" w14:textId="77777777" w:rsidR="005B372A" w:rsidRPr="00C05886" w:rsidRDefault="005B372A" w:rsidP="005B372A">
      <w:pPr>
        <w:pStyle w:val="Heading3"/>
      </w:pPr>
      <w:bookmarkStart w:id="101" w:name="_Toc179962349"/>
      <w:r w:rsidRPr="00C05886">
        <w:lastRenderedPageBreak/>
        <w:t>Time spent outdoors and nature connectedness</w:t>
      </w:r>
      <w:bookmarkEnd w:id="101"/>
    </w:p>
    <w:p w14:paraId="0068CF23" w14:textId="77777777" w:rsidR="005B372A" w:rsidRPr="00C05886" w:rsidRDefault="005B372A">
      <w:pPr>
        <w:spacing w:line="480" w:lineRule="auto"/>
      </w:pPr>
      <w:r w:rsidRPr="00C05886">
        <w:t>The time spent outdoors during childhood did not have a significant effect on the scores for Negative or Positive Affect (NA p = 0.24; PA p = 0.18, Table 3).</w:t>
      </w:r>
    </w:p>
    <w:p w14:paraId="4FDF2F61" w14:textId="77777777" w:rsidR="005B372A" w:rsidRPr="00C05886" w:rsidRDefault="005B372A">
      <w:pPr>
        <w:spacing w:line="480" w:lineRule="auto"/>
      </w:pPr>
      <w:r w:rsidRPr="00C05886">
        <w:t xml:space="preserve">The level of Nature Connectedness had no influence on NA scores (p = 0.81), but showed a significant overall effect on PA scores </w:t>
      </w:r>
      <w:sdt>
        <w:sdtPr>
          <w:tag w:val="goog_rdk_106"/>
          <w:id w:val="-1772619385"/>
        </w:sdtPr>
        <w:sdtContent/>
      </w:sdt>
      <w:r w:rsidRPr="00C05886">
        <w:t>(p = 0.008). Those moderately connected to nature had significantly higher PA scores than those who considered themselves poorly connected (INS = 5 vs INS = 1; p = 0.049).  The least nature-connected participants reported decreasing PA scores throughout the procedure.</w:t>
      </w:r>
    </w:p>
    <w:p w14:paraId="402988E3" w14:textId="77777777" w:rsidR="005B372A" w:rsidRPr="00C05886" w:rsidRDefault="005B372A" w:rsidP="005B372A">
      <w:pPr>
        <w:pStyle w:val="Heading2"/>
      </w:pPr>
      <w:bookmarkStart w:id="102" w:name="_heading=h.1fob9te" w:colFirst="0" w:colLast="0"/>
      <w:bookmarkStart w:id="103" w:name="_Toc179962350"/>
      <w:bookmarkEnd w:id="102"/>
      <w:r w:rsidRPr="00C05886">
        <w:t>Discussion</w:t>
      </w:r>
      <w:bookmarkEnd w:id="103"/>
      <w:r w:rsidRPr="00C05886">
        <w:t xml:space="preserve"> </w:t>
      </w:r>
    </w:p>
    <w:p w14:paraId="14753CDE" w14:textId="77777777" w:rsidR="005B372A" w:rsidRPr="00C05886" w:rsidRDefault="005B372A" w:rsidP="005B372A">
      <w:pPr>
        <w:pStyle w:val="Heading3"/>
      </w:pPr>
      <w:bookmarkStart w:id="104" w:name="_Toc179962351"/>
      <w:r w:rsidRPr="00C05886">
        <w:t>Emotional responses to green space via video</w:t>
      </w:r>
      <w:bookmarkEnd w:id="104"/>
      <w:r w:rsidRPr="00C05886">
        <w:t xml:space="preserve"> </w:t>
      </w:r>
    </w:p>
    <w:p w14:paraId="70ACC04D" w14:textId="4F6B5E1A" w:rsidR="005B372A" w:rsidRPr="00C05886" w:rsidRDefault="00783734">
      <w:pPr>
        <w:spacing w:line="480" w:lineRule="auto"/>
        <w:rPr>
          <w:color w:val="000000"/>
        </w:rPr>
      </w:pPr>
      <w:r w:rsidRPr="00C05886">
        <w:rPr>
          <w:color w:val="000000"/>
        </w:rPr>
        <w:t xml:space="preserve">This research supports the notion that exposure to green space (a video of urban woodland space) reduces feelings of negative emotion (Negative Affect), but does not necessarily increase positive emotions (uplift – Positive Affect) per se.  Scores for Negative Affect were lower after the video than at the start of the procedure or immediately after an annoying noise (stressor). This confirms previous findings that viewing green space reduces psychological stress [4,5], including situations where the exposure is through video alone [47,67,68]. Previous studies with video have indicated no difference based on the type of green space being viewed [44], but </w:t>
      </w:r>
      <w:proofErr w:type="spellStart"/>
      <w:r w:rsidRPr="00C05886">
        <w:rPr>
          <w:color w:val="000000"/>
        </w:rPr>
        <w:t>Tyrväinen</w:t>
      </w:r>
      <w:proofErr w:type="spellEnd"/>
      <w:r w:rsidRPr="00C05886">
        <w:rPr>
          <w:color w:val="000000"/>
        </w:rPr>
        <w:t xml:space="preserve"> et al. [69] working with real in vivo urban spaces, suggested that typology mattered (urban woodlands being marginally more restorative than urban parks, with both typologies being better than a city centre location). It is possible that real locations stimulate stronger emotional responses than virtual ones [51], but real locations expose people to additional variables, other than those solely linked to the green </w:t>
      </w:r>
      <w:r w:rsidR="00E350ED">
        <w:rPr>
          <w:color w:val="000000"/>
        </w:rPr>
        <w:t>spaces</w:t>
      </w:r>
      <w:r w:rsidR="00E350ED" w:rsidRPr="00C05886">
        <w:rPr>
          <w:color w:val="000000"/>
        </w:rPr>
        <w:t xml:space="preserve"> </w:t>
      </w:r>
      <w:r w:rsidRPr="00C05886">
        <w:rPr>
          <w:color w:val="000000"/>
        </w:rPr>
        <w:t xml:space="preserve">– not least different experiences whilst travelling to experimental locations. This study attempted to limit such variables, by focussing on one location and systematically altering the natural elements within. Whilst all our ‘green’ scenarios were equally restorative (lowering Negative Affect), none </w:t>
      </w:r>
      <w:r w:rsidRPr="00C05886">
        <w:rPr>
          <w:color w:val="000000"/>
        </w:rPr>
        <w:lastRenderedPageBreak/>
        <w:t>actually strongly stimulated joy (Positive Affect scores being lower after both the stressor and the video, compared to the baseline). This suggests our landscapes were providing a calming influence, but not necessarily stimulating strong feelings of excitement or joy</w:t>
      </w:r>
      <w:r w:rsidR="005B372A" w:rsidRPr="00C05886">
        <w:rPr>
          <w:color w:val="000000"/>
        </w:rPr>
        <w:t xml:space="preserve">.  </w:t>
      </w:r>
    </w:p>
    <w:p w14:paraId="2E5A37E5" w14:textId="77777777" w:rsidR="005B372A" w:rsidRPr="00C05886" w:rsidRDefault="005B372A" w:rsidP="005B372A">
      <w:pPr>
        <w:pStyle w:val="Heading3"/>
      </w:pPr>
      <w:bookmarkStart w:id="105" w:name="_Toc179962352"/>
      <w:r w:rsidRPr="00C05886">
        <w:t>Biodiversity levels and emotions</w:t>
      </w:r>
      <w:bookmarkEnd w:id="105"/>
    </w:p>
    <w:p w14:paraId="30F6B67F" w14:textId="77777777" w:rsidR="00783734" w:rsidRPr="00C05886" w:rsidRDefault="00783734" w:rsidP="00783734">
      <w:pPr>
        <w:spacing w:line="480" w:lineRule="auto"/>
        <w:rPr>
          <w:color w:val="000000"/>
        </w:rPr>
      </w:pPr>
      <w:r w:rsidRPr="00C05886">
        <w:rPr>
          <w:color w:val="000000"/>
        </w:rPr>
        <w:t>Increasing the levels of plant biodiversity and inferring greater avian biodiversity through birdsong, had no additional significant effect on the affective response. In essence, there was no additional benefit from increasing these aspects of biodiversity to the green space. These results do not support our initial hypotheses that increased biodiversity improves the emotional (and potentially health) outcomes. Despite artificially altering distinct visual levels in plant (+21 species vs +4 species vs base) and sound levels of avian diversity (6 species vs none), we observed similar changes in the Affect scores as observed with the control treatment. Thus, for the sample population as a whole, the data does not support the notion that increased plant diversity corresponds to enhanced Positive Affect, and reduced Negative Affect, after a stressful event. Similarly, introducing background natural sounds (bird song and water) did not enhance Positive, or reduce Negative, Affect. Our findings are in line with those previous studies where either an increase in biodiversity [32,70] – or optimal biodiversity [71] – did not increase the health outcomes.</w:t>
      </w:r>
    </w:p>
    <w:p w14:paraId="03C3F02B" w14:textId="77777777" w:rsidR="00783734" w:rsidRPr="00C05886" w:rsidRDefault="00783734" w:rsidP="00783734">
      <w:pPr>
        <w:spacing w:line="480" w:lineRule="auto"/>
        <w:rPr>
          <w:color w:val="000000"/>
        </w:rPr>
      </w:pPr>
      <w:r w:rsidRPr="00C05886">
        <w:rPr>
          <w:color w:val="000000"/>
        </w:rPr>
        <w:t xml:space="preserve">This contrasts with the relationships between Positive Affect and biodiversity that have been found in other studies though.  For instance, Wolf et al. [18] exposed their participants to videos with high vs low tree diversity and high vs low bird diversity. In both cases, they found a statistically significant effect for biodiversity and a higher post-video Positive Affect was associated with the high biodiversity conditions. Cameron et al. [19] also found significant positive correlations for both avian diversity and habitat diversity and the positive emotions reported by park visitors in Sheffield. </w:t>
      </w:r>
    </w:p>
    <w:p w14:paraId="5084CEE5" w14:textId="0EE166C9" w:rsidR="005B372A" w:rsidRPr="00C05886" w:rsidRDefault="00783734" w:rsidP="00783734">
      <w:pPr>
        <w:spacing w:line="480" w:lineRule="auto"/>
        <w:rPr>
          <w:color w:val="000000"/>
        </w:rPr>
      </w:pPr>
      <w:r w:rsidRPr="00C05886">
        <w:rPr>
          <w:color w:val="000000"/>
        </w:rPr>
        <w:t xml:space="preserve">The absence of a direct biodiversity effect in this study could be due to non-exposure to the condition, rather than a non-response. It could be argued that the introduced species were not </w:t>
      </w:r>
      <w:r w:rsidRPr="00C05886">
        <w:rPr>
          <w:color w:val="000000"/>
        </w:rPr>
        <w:lastRenderedPageBreak/>
        <w:t>noticeable enough. However, the addition of brightly coloured, flowering plants was far from subtle. Comparing the Control condition with the High plant increase condition (Fig 1) it is evident that the plants stand out from the background. The same can be said for the avian diversity, where a rich soundscape was compared with the sound of the wind. It is possible, however, that the participants may not have paid much attention to the planting around them, focusing instead on the rest of the woodland. This would explain why, despite their actual differences in species, all videos received similar ratings of perceived biodiversity (S1 Appendix). This “nature myopia” has already been noted in previous experiments with flower meadows, where the participants hardly noticed the difference in species, compared with control sites; nonetheless, those exposed to highly diverse meadows expressed a stronger preference [40] and higher site satisfaction [30] compared to controls</w:t>
      </w:r>
      <w:r w:rsidR="005B372A" w:rsidRPr="00C05886">
        <w:rPr>
          <w:color w:val="000000"/>
        </w:rPr>
        <w:t>.</w:t>
      </w:r>
    </w:p>
    <w:p w14:paraId="1202029C" w14:textId="77777777" w:rsidR="005B372A" w:rsidRPr="00C05886" w:rsidRDefault="005B372A" w:rsidP="005B372A">
      <w:pPr>
        <w:pStyle w:val="Heading3"/>
      </w:pPr>
      <w:bookmarkStart w:id="106" w:name="_Toc179962353"/>
      <w:r w:rsidRPr="00C05886">
        <w:t>Perceived biodiversity and affective response</w:t>
      </w:r>
      <w:bookmarkEnd w:id="106"/>
    </w:p>
    <w:p w14:paraId="6380EAFD" w14:textId="77777777" w:rsidR="00783734" w:rsidRPr="00C05886" w:rsidRDefault="00783734" w:rsidP="00783734">
      <w:pPr>
        <w:spacing w:line="480" w:lineRule="auto"/>
        <w:rPr>
          <w:color w:val="000000"/>
        </w:rPr>
      </w:pPr>
      <w:r w:rsidRPr="00C05886">
        <w:rPr>
          <w:color w:val="000000"/>
        </w:rPr>
        <w:t>In contrast to data on real biodiversity, the perceived level of biodiversity was associated with increased Positive Affect scores. Those who perceived the environment as more biodiverse showed an increase in their Positive Affect after the video. These results align with previous research which hypothesised a predominant role for subjective perceptions of biodiversity over the actual species richness of the location [23,32,33]. In other words, what was visually perceived to be more diverse was more strongly associated with the Positive Affect scores than the actual diversity.</w:t>
      </w:r>
    </w:p>
    <w:p w14:paraId="63C3E61E" w14:textId="77777777" w:rsidR="00783734" w:rsidRPr="00C05886" w:rsidRDefault="00783734" w:rsidP="00783734">
      <w:pPr>
        <w:spacing w:line="480" w:lineRule="auto"/>
        <w:rPr>
          <w:color w:val="000000"/>
        </w:rPr>
      </w:pPr>
      <w:r w:rsidRPr="00C05886">
        <w:rPr>
          <w:color w:val="000000"/>
        </w:rPr>
        <w:t xml:space="preserve">However, only half of the commenters (108 out of 208) associated their high perceptions of biodiversity with elements related to species richness (i.e. trees, birds, flowers) when asked. Fewer could narrow down their perceptions to birds (18 comments) or flowers (35 comments) which were experimentally designed to be evident. Those participants who noticed flowers, trees or sounds showed improved Affect scores after watching the video (i.e. reduced Negative Affect and increased Positive Affect). These participants received something more from the experience by engaging with the local species richness (i.e. trees) and the species we had introduced (i.e. flowers and birdsongs). </w:t>
      </w:r>
      <w:r w:rsidRPr="00C05886">
        <w:rPr>
          <w:color w:val="000000"/>
        </w:rPr>
        <w:lastRenderedPageBreak/>
        <w:t xml:space="preserve">This suggests that noticing biodiversity could be a necessary step to receive extra emotional recovery after a stressful event. </w:t>
      </w:r>
    </w:p>
    <w:p w14:paraId="6D5FF08D" w14:textId="77777777" w:rsidR="00783734" w:rsidRPr="00C05886" w:rsidRDefault="00783734" w:rsidP="00783734">
      <w:pPr>
        <w:spacing w:line="480" w:lineRule="auto"/>
        <w:rPr>
          <w:color w:val="000000"/>
        </w:rPr>
      </w:pPr>
      <w:r w:rsidRPr="00C05886">
        <w:rPr>
          <w:color w:val="000000"/>
        </w:rPr>
        <w:t>Research shows that actively noticing nature is more beneficial than passive exposure. Randomised controlled trials such as the Noticing Nature Intervention [72] and its replications [73,74] showed that participants who were tasked to notice nature for two weeks reported higher Positive Affect, compared with participants who did not receive instructions. This increase in Positive Affect was independent of other well-being-related variables, such as Nature Connectedness and engagement with beauty. Similarly, noticing nature with all senses during a forest bathing session [75] improved Positive Affect as much as a session of Compassionate Mind Training, which is a more established intervention to improve well-being.</w:t>
      </w:r>
    </w:p>
    <w:p w14:paraId="0B31D7F3" w14:textId="149C4165" w:rsidR="005B372A" w:rsidRPr="00C05886" w:rsidRDefault="00783734" w:rsidP="00783734">
      <w:pPr>
        <w:spacing w:line="480" w:lineRule="auto"/>
        <w:rPr>
          <w:color w:val="000000"/>
        </w:rPr>
      </w:pPr>
      <w:r w:rsidRPr="00C05886">
        <w:rPr>
          <w:color w:val="000000"/>
        </w:rPr>
        <w:t>Among the natural elements that participants used to evaluate the video’s biodiversity, flowers deserve a special mention. Flowers were the only biodiversity element correctly noticed by participants (i.e. there were no comments about flowers in the control condition). Noticing flowers was associated with improved Positive Affect, even when the effect of the perceived biodiversity was statistically controlled. Flowering plants are known to elicit positive emotions [76–78], especially when the flower coverage exceeds a certain percentage (e.g. 27% [79]). Although in this case it is difficult to estimate the scene coverage, due to its three-dimensional nature, if the participants spent most of the condition time looking at the planted flowers, this could have prompted the increase in Positive Affect</w:t>
      </w:r>
      <w:r w:rsidR="005B372A" w:rsidRPr="00C05886">
        <w:rPr>
          <w:color w:val="000000"/>
        </w:rPr>
        <w:t>.</w:t>
      </w:r>
    </w:p>
    <w:p w14:paraId="123647AB" w14:textId="77777777" w:rsidR="005B372A" w:rsidRPr="00C05886" w:rsidRDefault="005B372A" w:rsidP="005B372A">
      <w:pPr>
        <w:pStyle w:val="Heading3"/>
      </w:pPr>
      <w:bookmarkStart w:id="107" w:name="_Toc179962354"/>
      <w:r w:rsidRPr="00C05886">
        <w:t>Limitations and recommendations for future research</w:t>
      </w:r>
      <w:bookmarkEnd w:id="107"/>
    </w:p>
    <w:p w14:paraId="1A69FDAE" w14:textId="77777777" w:rsidR="00783734" w:rsidRPr="00C05886" w:rsidRDefault="00783734" w:rsidP="00783734">
      <w:pPr>
        <w:spacing w:line="480" w:lineRule="auto"/>
        <w:rPr>
          <w:color w:val="000000"/>
        </w:rPr>
      </w:pPr>
      <w:r w:rsidRPr="00C05886">
        <w:rPr>
          <w:color w:val="000000"/>
        </w:rPr>
        <w:t xml:space="preserve">As the study was conducted online, there are limitations in estimating how much the participants engaged with the experimental procedure. Although metadata provided a measure of control on some of the factors (e.g. individuality of the response, type of device used), it is challenging to say whether the participants followed the recommendations provided. Using a 360-degree video </w:t>
      </w:r>
      <w:r w:rsidRPr="00C05886">
        <w:rPr>
          <w:color w:val="000000"/>
        </w:rPr>
        <w:lastRenderedPageBreak/>
        <w:t xml:space="preserve">increased the simulation of “being there” but at the cost of some control over the condition. Since the participants could point the camera in any direction, some could have chosen to look at the tree canopy for the entire video, without noticing the ground flowers. Furthermore, participants did not receive any instructions other than to “look around”. It is possible that the differences in Positive Affect between commenters and non-commenters (who represented over 40% of the sample) might be explained by boredom with the lengthy procedure. However, even though boredom was mentioned in the comments by 30 participants, the completion rate suggests that most of the participants did their best to engage with the experiment. </w:t>
      </w:r>
    </w:p>
    <w:p w14:paraId="0008E9A8" w14:textId="6F35AC3D" w:rsidR="005B372A" w:rsidRPr="00C05886" w:rsidRDefault="00783734" w:rsidP="00783734">
      <w:pPr>
        <w:spacing w:line="480" w:lineRule="auto"/>
        <w:rPr>
          <w:color w:val="000000"/>
        </w:rPr>
      </w:pPr>
      <w:r w:rsidRPr="00C05886">
        <w:rPr>
          <w:color w:val="000000"/>
        </w:rPr>
        <w:t>There were notable differences in results from people who noticed elements of nature and those who did not (or did not report doing so). Future research should focus on this aspect. How much do we need to notice nature – to gain a restorative benefit? Are there differences due to more nuanced demographics? Future research could take a stratified approach to determine if nature engagement/knowledge impacts on well-being. Asking people to notice nature seems to help with engagement and subsequently well-being [72–74], but how do background levels of nature literacy impact on emotional responses? It may well be that both a complete lack of knowledge/interest (not noticing or valuing what is seen) or high levels of nature knowledge (e.g. in conservation workers with consequential understanding of negative factors – biodiversity declines, habitat loss etc.) act negatively in terms of promoting well-being. Perhaps only those with a moderate understanding of nature actually have the capacity to receive the health benefits? These factors need testing</w:t>
      </w:r>
      <w:r w:rsidR="005B372A" w:rsidRPr="00C05886">
        <w:rPr>
          <w:color w:val="000000"/>
        </w:rPr>
        <w:t xml:space="preserve">. </w:t>
      </w:r>
    </w:p>
    <w:bookmarkStart w:id="108" w:name="_Toc179962355"/>
    <w:p w14:paraId="70F877B8" w14:textId="77777777" w:rsidR="005B372A" w:rsidRPr="00C05886" w:rsidRDefault="00000000" w:rsidP="005B372A">
      <w:pPr>
        <w:pStyle w:val="Heading3"/>
      </w:pPr>
      <w:sdt>
        <w:sdtPr>
          <w:tag w:val="goog_rdk_154"/>
          <w:id w:val="-1638330774"/>
        </w:sdtPr>
        <w:sdtContent/>
      </w:sdt>
      <w:r w:rsidR="005B372A" w:rsidRPr="00C05886">
        <w:t>Conclusions</w:t>
      </w:r>
      <w:bookmarkEnd w:id="108"/>
    </w:p>
    <w:p w14:paraId="0715B5B3" w14:textId="0209AC8C" w:rsidR="005B372A" w:rsidRPr="00C05886" w:rsidRDefault="00783734">
      <w:pPr>
        <w:spacing w:line="480" w:lineRule="auto"/>
        <w:rPr>
          <w:color w:val="000000"/>
        </w:rPr>
      </w:pPr>
      <w:r w:rsidRPr="00C05886">
        <w:rPr>
          <w:color w:val="000000"/>
        </w:rPr>
        <w:t xml:space="preserve">This study explored the impact of biodiversity on emotional responses but differed from many previous studies by artificially manipulating, in a controlled manner, the amount of biodiversity on view or inferred through sound.  Although the study noted that being in a </w:t>
      </w:r>
      <w:proofErr w:type="gramStart"/>
      <w:r w:rsidRPr="00C05886">
        <w:rPr>
          <w:color w:val="000000"/>
        </w:rPr>
        <w:t xml:space="preserve">green (woodland) space </w:t>
      </w:r>
      <w:r w:rsidRPr="00C05886">
        <w:rPr>
          <w:color w:val="000000"/>
        </w:rPr>
        <w:lastRenderedPageBreak/>
        <w:t>decreased negative emotions</w:t>
      </w:r>
      <w:proofErr w:type="gramEnd"/>
      <w:r w:rsidRPr="00C05886">
        <w:rPr>
          <w:color w:val="000000"/>
        </w:rPr>
        <w:t xml:space="preserve">, there was no significant additional benefit due to increased biodiversity. Being exposed to green space (and different levels of biodiversity) had little impact on the Positive Affect participants reported, but perceiving the location as more biodiverse had a greater effect. Those participants who had positive perceptions about the environment (e.g. how biodiverse they thought it was) and their engagement with it (by noticing and appreciating its elements) reported more Positive Affect. Noticing biodiversity, therefore, could be a key factor in eliciting positive emotions, however, fewer than 10% of participants indicated they noticed any additional plantings (flowering plants). If perceiving and engaging with biodiversity is necessary to receive an extra boost to mental well-being, a lack of noticing may be preventing many people from gaining the maximum mental health benefit from their green space. In essence, whilst acknowledging some psychological recovery provided by green space in general, one may have to “notice” the good things in nature to optimise those benefits. This data has important implications for policymakers, because not only do urban green spaces need to be engaging and biodiverse, but certain educational processes may need to be included before citizens reap the health benefits such places can elicit. In essence, “nature blindness” may undermine the </w:t>
      </w:r>
      <w:proofErr w:type="spellStart"/>
      <w:r w:rsidRPr="00C05886">
        <w:rPr>
          <w:color w:val="000000"/>
        </w:rPr>
        <w:t>salutogenic</w:t>
      </w:r>
      <w:proofErr w:type="spellEnd"/>
      <w:r w:rsidRPr="00C05886">
        <w:rPr>
          <w:color w:val="000000"/>
        </w:rPr>
        <w:t xml:space="preserve"> potential of many green spaces</w:t>
      </w:r>
      <w:r w:rsidR="005B372A" w:rsidRPr="00C05886">
        <w:rPr>
          <w:color w:val="000000"/>
        </w:rPr>
        <w:t>.</w:t>
      </w:r>
      <w:bookmarkEnd w:id="83"/>
      <w:r w:rsidR="005B372A" w:rsidRPr="00C05886">
        <w:rPr>
          <w:color w:val="000000"/>
        </w:rPr>
        <w:t xml:space="preserve"> </w:t>
      </w:r>
    </w:p>
    <w:p w14:paraId="66E84BD9" w14:textId="77777777" w:rsidR="005B372A" w:rsidRPr="00C05886" w:rsidRDefault="005B372A" w:rsidP="005B372A">
      <w:pPr>
        <w:pStyle w:val="Heading3"/>
      </w:pPr>
      <w:bookmarkStart w:id="109" w:name="_Toc179962356"/>
      <w:r w:rsidRPr="00C05886">
        <w:t>Supporting information</w:t>
      </w:r>
      <w:bookmarkEnd w:id="109"/>
    </w:p>
    <w:p w14:paraId="78B2AA08" w14:textId="77777777" w:rsidR="005B372A" w:rsidRPr="00C05886" w:rsidRDefault="005B372A" w:rsidP="009A1B2F">
      <w:pPr>
        <w:rPr>
          <w:b/>
          <w:bCs/>
        </w:rPr>
      </w:pPr>
      <w:r w:rsidRPr="00C05886">
        <w:rPr>
          <w:b/>
          <w:bCs/>
        </w:rPr>
        <w:t xml:space="preserve">S1 Appendix. Supporting Information. </w:t>
      </w:r>
      <w:r w:rsidRPr="00C05886">
        <w:t>Species lists, codes description and perceived biodiversity crosstabulation.</w:t>
      </w:r>
    </w:p>
    <w:p w14:paraId="7931EBD0" w14:textId="77777777" w:rsidR="005B372A" w:rsidRPr="00C05886" w:rsidRDefault="005B372A" w:rsidP="009A1B2F">
      <w:pPr>
        <w:rPr>
          <w:b/>
          <w:bCs/>
        </w:rPr>
      </w:pPr>
      <w:r w:rsidRPr="00C05886">
        <w:rPr>
          <w:b/>
          <w:bCs/>
        </w:rPr>
        <w:t>S2 Dataset. Dataset and statistics outputs.</w:t>
      </w:r>
    </w:p>
    <w:p w14:paraId="0B3094F5" w14:textId="77777777" w:rsidR="005B372A" w:rsidRPr="00C05886" w:rsidRDefault="005B372A" w:rsidP="00E176BB"/>
    <w:p w14:paraId="61CF415C" w14:textId="77777777" w:rsidR="005B372A" w:rsidRPr="00C05886" w:rsidRDefault="005B372A" w:rsidP="005B372A">
      <w:pPr>
        <w:pStyle w:val="Heading3"/>
      </w:pPr>
      <w:bookmarkStart w:id="110" w:name="_Toc179962357"/>
      <w:r w:rsidRPr="00C05886">
        <w:t>Acknowledgements</w:t>
      </w:r>
      <w:bookmarkEnd w:id="110"/>
    </w:p>
    <w:p w14:paraId="670B55C3" w14:textId="77777777" w:rsidR="005B372A" w:rsidRPr="00C05886" w:rsidRDefault="005B372A" w:rsidP="00E176BB">
      <w:r w:rsidRPr="00C05886">
        <w:t>The authors would like to thank Ms Liwen Zhang and Mr John Land for their comments on the manuscript.</w:t>
      </w:r>
    </w:p>
    <w:p w14:paraId="38E616E5" w14:textId="71E6E4BF" w:rsidR="005B372A" w:rsidRPr="00C05886" w:rsidRDefault="005B372A" w:rsidP="005B372A">
      <w:pPr>
        <w:pStyle w:val="Heading3"/>
      </w:pPr>
      <w:bookmarkStart w:id="111" w:name="_Toc179962358"/>
      <w:r w:rsidRPr="00C05886">
        <w:lastRenderedPageBreak/>
        <w:t>References</w:t>
      </w:r>
      <w:bookmarkEnd w:id="111"/>
    </w:p>
    <w:p w14:paraId="01DEB08B" w14:textId="77777777" w:rsidR="00950AF3" w:rsidRPr="00C05886" w:rsidRDefault="00950AF3" w:rsidP="00950AF3">
      <w:pPr>
        <w:spacing w:line="276" w:lineRule="auto"/>
      </w:pPr>
      <w:r w:rsidRPr="00C05886">
        <w:t xml:space="preserve">1. </w:t>
      </w:r>
      <w:r w:rsidRPr="00C05886">
        <w:tab/>
        <w:t xml:space="preserve">Van Den Berg M, Van Poppel M, Van Kamp I, </w:t>
      </w:r>
      <w:proofErr w:type="spellStart"/>
      <w:r w:rsidRPr="00C05886">
        <w:t>Andrusaityte</w:t>
      </w:r>
      <w:proofErr w:type="spellEnd"/>
      <w:r w:rsidRPr="00C05886">
        <w:t xml:space="preserve"> S, </w:t>
      </w:r>
      <w:proofErr w:type="spellStart"/>
      <w:r w:rsidRPr="00C05886">
        <w:t>Balseviciene</w:t>
      </w:r>
      <w:proofErr w:type="spellEnd"/>
      <w:r w:rsidRPr="00C05886">
        <w:t xml:space="preserve"> B, </w:t>
      </w:r>
      <w:proofErr w:type="spellStart"/>
      <w:r w:rsidRPr="00C05886">
        <w:t>Cirach</w:t>
      </w:r>
      <w:proofErr w:type="spellEnd"/>
      <w:r w:rsidRPr="00C05886">
        <w:t xml:space="preserve"> M, et al. Visiting green space is associated with mental health and vitality: A cross-sectional study in four </w:t>
      </w:r>
      <w:proofErr w:type="spellStart"/>
      <w:r w:rsidRPr="00C05886">
        <w:t>european</w:t>
      </w:r>
      <w:proofErr w:type="spellEnd"/>
      <w:r w:rsidRPr="00C05886">
        <w:t xml:space="preserve"> cities. Health Place. 2016;38: 8–15. </w:t>
      </w:r>
      <w:proofErr w:type="gramStart"/>
      <w:r w:rsidRPr="00C05886">
        <w:t>doi:10.1016/j.healthplace</w:t>
      </w:r>
      <w:proofErr w:type="gramEnd"/>
      <w:r w:rsidRPr="00C05886">
        <w:t>.2016.01.003</w:t>
      </w:r>
    </w:p>
    <w:p w14:paraId="572766F6" w14:textId="77777777" w:rsidR="00950AF3" w:rsidRPr="00C05886" w:rsidRDefault="00950AF3" w:rsidP="00950AF3">
      <w:pPr>
        <w:spacing w:line="276" w:lineRule="auto"/>
      </w:pPr>
      <w:r w:rsidRPr="00C05886">
        <w:t xml:space="preserve">2. </w:t>
      </w:r>
      <w:r w:rsidRPr="00C05886">
        <w:tab/>
        <w:t xml:space="preserve">Wood L, Hooper P, Foster S, Bull F. Public green spaces and positive mental health – investigating the relationship between access, quantity and types of parks and mental wellbeing. Health Place. 2017;48: 63–71. </w:t>
      </w:r>
      <w:proofErr w:type="spellStart"/>
      <w:proofErr w:type="gramStart"/>
      <w:r w:rsidRPr="00C05886">
        <w:t>doi:https</w:t>
      </w:r>
      <w:proofErr w:type="spellEnd"/>
      <w:r w:rsidRPr="00C05886">
        <w:t>://doi.org/10.1016/j.healthplace.2017.09.002</w:t>
      </w:r>
      <w:proofErr w:type="gramEnd"/>
    </w:p>
    <w:p w14:paraId="1DA5DA7E" w14:textId="77777777" w:rsidR="00950AF3" w:rsidRPr="00C05886" w:rsidRDefault="00950AF3" w:rsidP="00950AF3">
      <w:pPr>
        <w:spacing w:line="276" w:lineRule="auto"/>
      </w:pPr>
      <w:r w:rsidRPr="00C05886">
        <w:t xml:space="preserve">3. </w:t>
      </w:r>
      <w:r w:rsidRPr="00C05886">
        <w:tab/>
        <w:t xml:space="preserve">Vanaken G-J, </w:t>
      </w:r>
      <w:proofErr w:type="spellStart"/>
      <w:r w:rsidRPr="00C05886">
        <w:t>Danckaerts</w:t>
      </w:r>
      <w:proofErr w:type="spellEnd"/>
      <w:r w:rsidRPr="00C05886">
        <w:t xml:space="preserve"> M. Impact of Green Space Exposure on Children’s and Adolescents’ Mental Health: A Systematic Review. Int J Environ Res Public Health. 2018;15. doi:10.3390/ijerph15122668</w:t>
      </w:r>
    </w:p>
    <w:p w14:paraId="7EBBC632" w14:textId="77777777" w:rsidR="00950AF3" w:rsidRPr="00C05886" w:rsidRDefault="00950AF3" w:rsidP="00950AF3">
      <w:pPr>
        <w:spacing w:line="276" w:lineRule="auto"/>
      </w:pPr>
      <w:r w:rsidRPr="00C05886">
        <w:t xml:space="preserve">4. </w:t>
      </w:r>
      <w:r w:rsidRPr="00C05886">
        <w:tab/>
        <w:t xml:space="preserve">Frumkin H, Bratman G, Breslow S, Cochran B, Kahn P, Lawler J, et al. Nature Contact and Human Health: A Research Agenda. Environ Health </w:t>
      </w:r>
      <w:proofErr w:type="spellStart"/>
      <w:r w:rsidRPr="00C05886">
        <w:t>Perspect</w:t>
      </w:r>
      <w:proofErr w:type="spellEnd"/>
      <w:r w:rsidRPr="00C05886">
        <w:t xml:space="preserve"> Online. 2017;125. doi:10.1289/EHP1663</w:t>
      </w:r>
    </w:p>
    <w:p w14:paraId="04AF75BD" w14:textId="77777777" w:rsidR="00950AF3" w:rsidRPr="00C05886" w:rsidRDefault="00950AF3" w:rsidP="00950AF3">
      <w:pPr>
        <w:spacing w:line="276" w:lineRule="auto"/>
      </w:pPr>
      <w:r w:rsidRPr="00C05886">
        <w:t xml:space="preserve">5. </w:t>
      </w:r>
      <w:r w:rsidRPr="00C05886">
        <w:tab/>
        <w:t xml:space="preserve">Kondo MC, Jacoby SF, South EC. Does spending time outdoors reduce stress? A review of real-time stress response to outdoor environments. Health Place. 2018;51: 136–150. </w:t>
      </w:r>
      <w:proofErr w:type="gramStart"/>
      <w:r w:rsidRPr="00C05886">
        <w:t>doi:10.1016/j.healthplace</w:t>
      </w:r>
      <w:proofErr w:type="gramEnd"/>
      <w:r w:rsidRPr="00C05886">
        <w:t>.2018.03.001</w:t>
      </w:r>
    </w:p>
    <w:p w14:paraId="5A4473A7" w14:textId="77777777" w:rsidR="00950AF3" w:rsidRPr="00C05886" w:rsidRDefault="00950AF3" w:rsidP="00950AF3">
      <w:pPr>
        <w:spacing w:line="276" w:lineRule="auto"/>
      </w:pPr>
      <w:r w:rsidRPr="00C05886">
        <w:t xml:space="preserve">6. </w:t>
      </w:r>
      <w:r w:rsidRPr="00C05886">
        <w:tab/>
      </w:r>
      <w:proofErr w:type="spellStart"/>
      <w:r w:rsidRPr="00C05886">
        <w:t>Markevych</w:t>
      </w:r>
      <w:proofErr w:type="spellEnd"/>
      <w:r w:rsidRPr="00C05886">
        <w:t xml:space="preserve"> I, </w:t>
      </w:r>
      <w:proofErr w:type="spellStart"/>
      <w:r w:rsidRPr="00C05886">
        <w:t>Schoierer</w:t>
      </w:r>
      <w:proofErr w:type="spellEnd"/>
      <w:r w:rsidRPr="00C05886">
        <w:t xml:space="preserve"> J, Hartig T, Chudnovsky A, Hystad P, </w:t>
      </w:r>
      <w:proofErr w:type="spellStart"/>
      <w:r w:rsidRPr="00C05886">
        <w:t>Dzhambov</w:t>
      </w:r>
      <w:proofErr w:type="spellEnd"/>
      <w:r w:rsidRPr="00C05886">
        <w:t xml:space="preserve"> AM, et al. Exploring pathways linking greenspace to health: Theoretical and methodological guidance. Environ Res. 2017;158. </w:t>
      </w:r>
      <w:proofErr w:type="gramStart"/>
      <w:r w:rsidRPr="00C05886">
        <w:t>doi:10.1016/j.envres</w:t>
      </w:r>
      <w:proofErr w:type="gramEnd"/>
      <w:r w:rsidRPr="00C05886">
        <w:t>.2017.06.028</w:t>
      </w:r>
    </w:p>
    <w:p w14:paraId="0F15BD04" w14:textId="77777777" w:rsidR="00950AF3" w:rsidRPr="00C05886" w:rsidRDefault="00950AF3" w:rsidP="00950AF3">
      <w:pPr>
        <w:spacing w:line="276" w:lineRule="auto"/>
      </w:pPr>
      <w:r w:rsidRPr="00C05886">
        <w:t xml:space="preserve">7. </w:t>
      </w:r>
      <w:r w:rsidRPr="00C05886">
        <w:tab/>
        <w:t xml:space="preserve">Yao W, Zhang X, Gong Q. The effect of exposure to the natural environment on stress reduction: A meta-analysis. Urban For Urban Green. 2021;57: 1–12. </w:t>
      </w:r>
      <w:proofErr w:type="spellStart"/>
      <w:proofErr w:type="gramStart"/>
      <w:r w:rsidRPr="00C05886">
        <w:t>doi:https</w:t>
      </w:r>
      <w:proofErr w:type="spellEnd"/>
      <w:r w:rsidRPr="00C05886">
        <w:t>://doi.org/10.1016/j.ufug.2020.126932</w:t>
      </w:r>
      <w:proofErr w:type="gramEnd"/>
    </w:p>
    <w:p w14:paraId="5000F2C8" w14:textId="77777777" w:rsidR="00950AF3" w:rsidRPr="00C05886" w:rsidRDefault="00950AF3" w:rsidP="00950AF3">
      <w:pPr>
        <w:spacing w:line="276" w:lineRule="auto"/>
      </w:pPr>
      <w:r w:rsidRPr="00C05886">
        <w:t xml:space="preserve">8. </w:t>
      </w:r>
      <w:r w:rsidRPr="00C05886">
        <w:tab/>
        <w:t>Kaplan S. The restorative benefits of nature: Toward an integrative framework. J Environ Psychol. 1995;15: 169–182. doi:10.1016/0272-4944(95)90001-2</w:t>
      </w:r>
    </w:p>
    <w:p w14:paraId="4F6EC290" w14:textId="77777777" w:rsidR="00950AF3" w:rsidRPr="00C05886" w:rsidRDefault="00950AF3" w:rsidP="00950AF3">
      <w:pPr>
        <w:spacing w:line="276" w:lineRule="auto"/>
      </w:pPr>
      <w:r w:rsidRPr="00C05886">
        <w:t xml:space="preserve">9. </w:t>
      </w:r>
      <w:r w:rsidRPr="00C05886">
        <w:tab/>
        <w:t xml:space="preserve">Ulrich RS, Simons RF, Losito BD, Fiorito E, Miles MA, </w:t>
      </w:r>
      <w:proofErr w:type="spellStart"/>
      <w:r w:rsidRPr="00C05886">
        <w:t>Zelson</w:t>
      </w:r>
      <w:proofErr w:type="spellEnd"/>
      <w:r w:rsidRPr="00C05886">
        <w:t xml:space="preserve"> M. Stress recovery during exposure to natural and urban environments. J Environ Psychol. 1991;11: 201–230. doi:10.1016/S0272-4944(05)80184-7</w:t>
      </w:r>
    </w:p>
    <w:p w14:paraId="672AFB55" w14:textId="77777777" w:rsidR="00950AF3" w:rsidRPr="00C05886" w:rsidRDefault="00950AF3" w:rsidP="00950AF3">
      <w:pPr>
        <w:spacing w:line="276" w:lineRule="auto"/>
      </w:pPr>
      <w:r w:rsidRPr="00C05886">
        <w:t xml:space="preserve">10. </w:t>
      </w:r>
      <w:r w:rsidRPr="00C05886">
        <w:tab/>
        <w:t xml:space="preserve">Kellert SR, Wilson EO. The Biophilia hypothesis. Kellert SR, Wilson EO, editors. Washington, D.C.: Washington, </w:t>
      </w:r>
      <w:proofErr w:type="gramStart"/>
      <w:r w:rsidRPr="00C05886">
        <w:t>D.C. :</w:t>
      </w:r>
      <w:proofErr w:type="gramEnd"/>
      <w:r w:rsidRPr="00C05886">
        <w:t xml:space="preserve"> Island Press, 1993; 1993. </w:t>
      </w:r>
    </w:p>
    <w:p w14:paraId="76F8D0BB" w14:textId="77777777" w:rsidR="00950AF3" w:rsidRPr="00C05886" w:rsidRDefault="00950AF3" w:rsidP="00950AF3">
      <w:pPr>
        <w:spacing w:line="276" w:lineRule="auto"/>
      </w:pPr>
      <w:r w:rsidRPr="00C05886">
        <w:t xml:space="preserve">11. </w:t>
      </w:r>
      <w:r w:rsidRPr="00C05886">
        <w:tab/>
        <w:t xml:space="preserve">Li Q, Kobayashi M, Wakayama Y, Inagaki H, Katsumata M, Hirata Y, et al. Effect of Phytoncide from Trees on Human Natural Killer Cell Function. Int J </w:t>
      </w:r>
      <w:proofErr w:type="spellStart"/>
      <w:r w:rsidRPr="00C05886">
        <w:t>Immunopathol</w:t>
      </w:r>
      <w:proofErr w:type="spellEnd"/>
      <w:r w:rsidRPr="00C05886">
        <w:t xml:space="preserve"> </w:t>
      </w:r>
      <w:proofErr w:type="spellStart"/>
      <w:r w:rsidRPr="00C05886">
        <w:t>Pharmacol</w:t>
      </w:r>
      <w:proofErr w:type="spellEnd"/>
      <w:r w:rsidRPr="00C05886">
        <w:t>. 2009;22: 951–959. doi:10.1177/039463200902200410</w:t>
      </w:r>
    </w:p>
    <w:p w14:paraId="426C8281" w14:textId="77777777" w:rsidR="00950AF3" w:rsidRPr="00C05886" w:rsidRDefault="00950AF3" w:rsidP="00950AF3">
      <w:pPr>
        <w:spacing w:line="276" w:lineRule="auto"/>
      </w:pPr>
      <w:r w:rsidRPr="00C05886">
        <w:t xml:space="preserve">12. </w:t>
      </w:r>
      <w:r w:rsidRPr="00C05886">
        <w:tab/>
      </w:r>
      <w:proofErr w:type="spellStart"/>
      <w:r w:rsidRPr="00C05886">
        <w:t>Haahtela</w:t>
      </w:r>
      <w:proofErr w:type="spellEnd"/>
      <w:r w:rsidRPr="00C05886">
        <w:t xml:space="preserve"> T. A biodiversity hypothesis. Allergy. 2019;74: 1445–1456. doi:10.1111/all.13763</w:t>
      </w:r>
    </w:p>
    <w:p w14:paraId="57D77058" w14:textId="77777777" w:rsidR="00950AF3" w:rsidRPr="00C05886" w:rsidRDefault="00950AF3" w:rsidP="00950AF3">
      <w:pPr>
        <w:spacing w:line="276" w:lineRule="auto"/>
      </w:pPr>
      <w:r w:rsidRPr="00C05886">
        <w:t xml:space="preserve">13. </w:t>
      </w:r>
      <w:r w:rsidRPr="00C05886">
        <w:tab/>
        <w:t>Robinson JM, Cando-</w:t>
      </w:r>
      <w:proofErr w:type="spellStart"/>
      <w:r w:rsidRPr="00C05886">
        <w:t>Dumancela</w:t>
      </w:r>
      <w:proofErr w:type="spellEnd"/>
      <w:r w:rsidRPr="00C05886">
        <w:t xml:space="preserve"> C, </w:t>
      </w:r>
      <w:proofErr w:type="spellStart"/>
      <w:r w:rsidRPr="00C05886">
        <w:t>Antwis</w:t>
      </w:r>
      <w:proofErr w:type="spellEnd"/>
      <w:r w:rsidRPr="00C05886">
        <w:t xml:space="preserve"> RE, Cameron R, Liddicoat C, Poudel R, et al. Exposure to airborne bacteria depends upon vertical stratification and vegetation complexity. Sci Rep. 2021;11: 9516. doi:10.1038/s41598-021-89065-y</w:t>
      </w:r>
    </w:p>
    <w:p w14:paraId="7EFDC5DE" w14:textId="77777777" w:rsidR="00950AF3" w:rsidRPr="00C05886" w:rsidRDefault="00950AF3" w:rsidP="00950AF3">
      <w:pPr>
        <w:spacing w:line="276" w:lineRule="auto"/>
      </w:pPr>
      <w:r w:rsidRPr="00C05886">
        <w:lastRenderedPageBreak/>
        <w:t xml:space="preserve">14. </w:t>
      </w:r>
      <w:r w:rsidRPr="00C05886">
        <w:tab/>
        <w:t xml:space="preserve">Cracknell D, White MP, Pahl S, Depledge MH. A preliminary investigation into the restorative potential of public aquaria exhibits: a UK student-based study. </w:t>
      </w:r>
      <w:proofErr w:type="spellStart"/>
      <w:r w:rsidRPr="00C05886">
        <w:t>Landsc</w:t>
      </w:r>
      <w:proofErr w:type="spellEnd"/>
      <w:r w:rsidRPr="00C05886">
        <w:t xml:space="preserve"> Res. 2017;42: 18–32. doi:10.1080/01426397.2016.1243236</w:t>
      </w:r>
    </w:p>
    <w:p w14:paraId="689CD70C" w14:textId="77777777" w:rsidR="00950AF3" w:rsidRPr="00C05886" w:rsidRDefault="00950AF3" w:rsidP="00950AF3">
      <w:pPr>
        <w:spacing w:line="276" w:lineRule="auto"/>
      </w:pPr>
      <w:r w:rsidRPr="00C05886">
        <w:t xml:space="preserve">15. </w:t>
      </w:r>
      <w:r w:rsidRPr="00C05886">
        <w:tab/>
        <w:t xml:space="preserve">Wood E, </w:t>
      </w:r>
      <w:proofErr w:type="spellStart"/>
      <w:r w:rsidRPr="00C05886">
        <w:t>Harsant</w:t>
      </w:r>
      <w:proofErr w:type="spellEnd"/>
      <w:r w:rsidRPr="00C05886">
        <w:t xml:space="preserve"> A, </w:t>
      </w:r>
      <w:proofErr w:type="spellStart"/>
      <w:r w:rsidRPr="00C05886">
        <w:t>Dallimer</w:t>
      </w:r>
      <w:proofErr w:type="spellEnd"/>
      <w:r w:rsidRPr="00C05886">
        <w:t xml:space="preserve"> M, de Chavez AC, </w:t>
      </w:r>
      <w:proofErr w:type="spellStart"/>
      <w:r w:rsidRPr="00C05886">
        <w:t>McEachan</w:t>
      </w:r>
      <w:proofErr w:type="spellEnd"/>
      <w:r w:rsidRPr="00C05886">
        <w:t xml:space="preserve"> RRC, Hassall C. Not all green space is created equal: Biodiversity predicts psychological restorative benefits from urban green space. Front Psychol. 2018;9. doi:10.3389/fpsyg.2018.02320</w:t>
      </w:r>
    </w:p>
    <w:p w14:paraId="63F2DBDF" w14:textId="77777777" w:rsidR="00950AF3" w:rsidRPr="00C05886" w:rsidRDefault="00950AF3" w:rsidP="00950AF3">
      <w:pPr>
        <w:spacing w:line="276" w:lineRule="auto"/>
      </w:pPr>
      <w:r w:rsidRPr="00C05886">
        <w:t xml:space="preserve">16. </w:t>
      </w:r>
      <w:r w:rsidRPr="00C05886">
        <w:tab/>
        <w:t xml:space="preserve">Marselle MR, Hartig T, Cox DTC, De Bell S, Knapp S, Lindley S, et al. Pathways linking biodiversity to human health: A conceptual framework. Environ Int. 2021;150: 106420. </w:t>
      </w:r>
      <w:proofErr w:type="gramStart"/>
      <w:r w:rsidRPr="00C05886">
        <w:t>doi:10.1016/j.envint</w:t>
      </w:r>
      <w:proofErr w:type="gramEnd"/>
      <w:r w:rsidRPr="00C05886">
        <w:t>.2021.106420</w:t>
      </w:r>
    </w:p>
    <w:p w14:paraId="76E9E528" w14:textId="77777777" w:rsidR="00950AF3" w:rsidRPr="00C05886" w:rsidRDefault="00950AF3" w:rsidP="00950AF3">
      <w:pPr>
        <w:spacing w:line="276" w:lineRule="auto"/>
      </w:pPr>
      <w:r w:rsidRPr="00C05886">
        <w:t xml:space="preserve">17. </w:t>
      </w:r>
      <w:r w:rsidRPr="00C05886">
        <w:tab/>
        <w:t xml:space="preserve">Fuller RA, Irvine KN, Devine-Wright P, Warren PH, Gaston KJ. Psychological benefits of greenspace increase with biodiversity. Fuller RA, editor. </w:t>
      </w:r>
      <w:proofErr w:type="spellStart"/>
      <w:r w:rsidRPr="00C05886">
        <w:t>Biol</w:t>
      </w:r>
      <w:proofErr w:type="spellEnd"/>
      <w:r w:rsidRPr="00C05886">
        <w:t xml:space="preserve"> Lett. 2007;3: 390–394. doi:10.1098/rsbl.2007.0149</w:t>
      </w:r>
    </w:p>
    <w:p w14:paraId="060925FF" w14:textId="77777777" w:rsidR="00950AF3" w:rsidRPr="00C05886" w:rsidRDefault="00950AF3" w:rsidP="00950AF3">
      <w:pPr>
        <w:spacing w:line="276" w:lineRule="auto"/>
      </w:pPr>
      <w:r w:rsidRPr="00C05886">
        <w:t xml:space="preserve">18. </w:t>
      </w:r>
      <w:r w:rsidRPr="00C05886">
        <w:tab/>
        <w:t xml:space="preserve">Wolf LJ, Zu Ermgassen S, Balmford A, White M, Weinstein N. Is Variety the Spice of Life? An Experimental Investigation into the Effects of Species Richness on Self-Reported Mental Well-Being. Wolf LJ, editor. </w:t>
      </w:r>
      <w:proofErr w:type="spellStart"/>
      <w:r w:rsidRPr="00C05886">
        <w:t>PloS</w:t>
      </w:r>
      <w:proofErr w:type="spellEnd"/>
      <w:r w:rsidRPr="00C05886">
        <w:t xml:space="preserve"> One. 2017;12: e0170225–e0170225. </w:t>
      </w:r>
      <w:proofErr w:type="gramStart"/>
      <w:r w:rsidRPr="00C05886">
        <w:t>doi:10.1371/journal.pone</w:t>
      </w:r>
      <w:proofErr w:type="gramEnd"/>
      <w:r w:rsidRPr="00C05886">
        <w:t>.0170225</w:t>
      </w:r>
    </w:p>
    <w:p w14:paraId="280361DC" w14:textId="77777777" w:rsidR="00950AF3" w:rsidRPr="00C05886" w:rsidRDefault="00950AF3" w:rsidP="00950AF3">
      <w:pPr>
        <w:spacing w:line="276" w:lineRule="auto"/>
      </w:pPr>
      <w:r w:rsidRPr="00C05886">
        <w:t xml:space="preserve">19. </w:t>
      </w:r>
      <w:r w:rsidRPr="00C05886">
        <w:tab/>
        <w:t xml:space="preserve">Cameron RWF, Brindley P, Mears M, McEwan K, Ferguson F, Sheffield D, et al. Where the wild things are! Do urban green spaces with greater avian biodiversity promote more positive emotions in humans? Urban </w:t>
      </w:r>
      <w:proofErr w:type="spellStart"/>
      <w:r w:rsidRPr="00C05886">
        <w:t>Ecosyst</w:t>
      </w:r>
      <w:proofErr w:type="spellEnd"/>
      <w:r w:rsidRPr="00C05886">
        <w:t>. 2020. doi:10.1007/s11252-020-00929-z</w:t>
      </w:r>
    </w:p>
    <w:p w14:paraId="24CDED92" w14:textId="77777777" w:rsidR="00950AF3" w:rsidRPr="00C05886" w:rsidRDefault="00950AF3" w:rsidP="00950AF3">
      <w:pPr>
        <w:spacing w:line="276" w:lineRule="auto"/>
      </w:pPr>
      <w:r w:rsidRPr="00C05886">
        <w:t xml:space="preserve">20. </w:t>
      </w:r>
      <w:r w:rsidRPr="00C05886">
        <w:tab/>
        <w:t xml:space="preserve">Carrus G, Scopelliti M, </w:t>
      </w:r>
      <w:proofErr w:type="spellStart"/>
      <w:r w:rsidRPr="00C05886">
        <w:t>Lafortezza</w:t>
      </w:r>
      <w:proofErr w:type="spellEnd"/>
      <w:r w:rsidRPr="00C05886">
        <w:t xml:space="preserve"> R, Colangelo G, Ferrini F, </w:t>
      </w:r>
      <w:proofErr w:type="spellStart"/>
      <w:r w:rsidRPr="00C05886">
        <w:t>Salbitano</w:t>
      </w:r>
      <w:proofErr w:type="spellEnd"/>
      <w:r w:rsidRPr="00C05886">
        <w:t xml:space="preserve"> F, et al. Go greener, feel better? The positive effects of biodiversity on the well-being of individuals visiting urban and peri-urban green areas. </w:t>
      </w:r>
      <w:proofErr w:type="spellStart"/>
      <w:r w:rsidRPr="00C05886">
        <w:t>Landsc</w:t>
      </w:r>
      <w:proofErr w:type="spellEnd"/>
      <w:r w:rsidRPr="00C05886">
        <w:t xml:space="preserve"> Urban Plan. 2015;134: 221–228. </w:t>
      </w:r>
      <w:proofErr w:type="gramStart"/>
      <w:r w:rsidRPr="00C05886">
        <w:t>doi:10.1016/j.landurbplan</w:t>
      </w:r>
      <w:proofErr w:type="gramEnd"/>
      <w:r w:rsidRPr="00C05886">
        <w:t>.2014.10.022</w:t>
      </w:r>
    </w:p>
    <w:p w14:paraId="0B1FB9CE" w14:textId="77777777" w:rsidR="00950AF3" w:rsidRPr="00C05886" w:rsidRDefault="00950AF3" w:rsidP="00950AF3">
      <w:pPr>
        <w:spacing w:line="276" w:lineRule="auto"/>
      </w:pPr>
      <w:r w:rsidRPr="00C05886">
        <w:t xml:space="preserve">21. </w:t>
      </w:r>
      <w:r w:rsidRPr="00C05886">
        <w:tab/>
        <w:t xml:space="preserve">Scopelliti M, Carrus G, Cini F, Mastandrea S, Ferrini F, </w:t>
      </w:r>
      <w:proofErr w:type="spellStart"/>
      <w:r w:rsidRPr="00C05886">
        <w:t>Lafortezza</w:t>
      </w:r>
      <w:proofErr w:type="spellEnd"/>
      <w:r w:rsidRPr="00C05886">
        <w:t xml:space="preserve"> R, et al. Biodiversity, perceived </w:t>
      </w:r>
      <w:proofErr w:type="spellStart"/>
      <w:r w:rsidRPr="00C05886">
        <w:t>restorativeness</w:t>
      </w:r>
      <w:proofErr w:type="spellEnd"/>
      <w:r w:rsidRPr="00C05886">
        <w:t xml:space="preserve">, and benefits of nature: A study on the psychological processes and outcomes of on-site experiences in urban and peri-urban green areas in Italy. In: Kabisch S, Kunath A, Schweizer-Rie P, </w:t>
      </w:r>
      <w:proofErr w:type="spellStart"/>
      <w:r w:rsidRPr="00C05886">
        <w:t>Steinführer</w:t>
      </w:r>
      <w:proofErr w:type="spellEnd"/>
      <w:r w:rsidRPr="00C05886">
        <w:t xml:space="preserve"> A, editors. Vulnerability, risks, and complexity: Impacts of global change on human habitats. Hogrefe Publishing; 2012. pp. 255–269. </w:t>
      </w:r>
    </w:p>
    <w:p w14:paraId="5B27DD6A" w14:textId="77777777" w:rsidR="00950AF3" w:rsidRPr="00C05886" w:rsidRDefault="00950AF3" w:rsidP="00950AF3">
      <w:pPr>
        <w:spacing w:line="276" w:lineRule="auto"/>
      </w:pPr>
      <w:r w:rsidRPr="00C05886">
        <w:t xml:space="preserve">22. </w:t>
      </w:r>
      <w:r w:rsidRPr="00C05886">
        <w:tab/>
        <w:t>Lindemann-Matthies P, Matthies D. The influence of plant species richness on stress recovery of humans. Web Ecol. 2018;18: 121–128. doi:10.5194/we-18-121-2018</w:t>
      </w:r>
    </w:p>
    <w:p w14:paraId="23661396" w14:textId="77777777" w:rsidR="00950AF3" w:rsidRPr="00C05886" w:rsidRDefault="00950AF3" w:rsidP="00950AF3">
      <w:pPr>
        <w:spacing w:line="276" w:lineRule="auto"/>
      </w:pPr>
      <w:r w:rsidRPr="00C05886">
        <w:t xml:space="preserve">23. </w:t>
      </w:r>
      <w:r w:rsidRPr="00C05886">
        <w:tab/>
        <w:t xml:space="preserve">Nghiem TPL, Wong KL, </w:t>
      </w:r>
      <w:proofErr w:type="spellStart"/>
      <w:r w:rsidRPr="00C05886">
        <w:t>Jeevanandam</w:t>
      </w:r>
      <w:proofErr w:type="spellEnd"/>
      <w:r w:rsidRPr="00C05886">
        <w:t xml:space="preserve"> L, Chang C </w:t>
      </w:r>
      <w:proofErr w:type="spellStart"/>
      <w:r w:rsidRPr="00C05886">
        <w:t>c</w:t>
      </w:r>
      <w:proofErr w:type="spellEnd"/>
      <w:r w:rsidRPr="00C05886">
        <w:t xml:space="preserve">., Tan LYC, Goh Y, et al. Biodiverse urban forests, happy people: experimental evidence linking perceived biodiversity, restoration, and emotional wellbeing. Urban For Urban Green. 2021; 127030. </w:t>
      </w:r>
      <w:proofErr w:type="gramStart"/>
      <w:r w:rsidRPr="00C05886">
        <w:t>doi:10.1016/j.ufug</w:t>
      </w:r>
      <w:proofErr w:type="gramEnd"/>
      <w:r w:rsidRPr="00C05886">
        <w:t>.2021.127030</w:t>
      </w:r>
    </w:p>
    <w:p w14:paraId="1E0A206F" w14:textId="77777777" w:rsidR="00950AF3" w:rsidRPr="00C05886" w:rsidRDefault="00950AF3" w:rsidP="00950AF3">
      <w:pPr>
        <w:spacing w:line="276" w:lineRule="auto"/>
      </w:pPr>
      <w:r w:rsidRPr="00C05886">
        <w:t xml:space="preserve">24. </w:t>
      </w:r>
      <w:r w:rsidRPr="00C05886">
        <w:tab/>
        <w:t xml:space="preserve">Lovell R, Wheeler BW, Higgins SL, Irvine KN, Depledge MH. A Systematic Review of the Health and Well-Being Benefits of Biodiverse Environments. J </w:t>
      </w:r>
      <w:proofErr w:type="spellStart"/>
      <w:r w:rsidRPr="00C05886">
        <w:t>Toxicol</w:t>
      </w:r>
      <w:proofErr w:type="spellEnd"/>
      <w:r w:rsidRPr="00C05886">
        <w:t xml:space="preserve"> Environ Health - Part B Crit Rev. 2014;17: 1–20. doi:10.1080/10937404.2013.856361</w:t>
      </w:r>
    </w:p>
    <w:p w14:paraId="058B0BFC" w14:textId="77777777" w:rsidR="00950AF3" w:rsidRPr="00C05886" w:rsidRDefault="00950AF3" w:rsidP="00950AF3">
      <w:pPr>
        <w:spacing w:line="276" w:lineRule="auto"/>
      </w:pPr>
      <w:r w:rsidRPr="00C05886">
        <w:t xml:space="preserve">25. </w:t>
      </w:r>
      <w:r w:rsidRPr="00C05886">
        <w:tab/>
        <w:t xml:space="preserve">Marselle MR, Martens D, </w:t>
      </w:r>
      <w:proofErr w:type="spellStart"/>
      <w:r w:rsidRPr="00C05886">
        <w:t>Dallimer</w:t>
      </w:r>
      <w:proofErr w:type="spellEnd"/>
      <w:r w:rsidRPr="00C05886">
        <w:t xml:space="preserve"> M, Irvine KN. Review of the Mental Health and Well-being Benefits of Biodiversity. In: Marselle MR, Stadler J, Korn H, Irvine KN, Bonn A, editors. Biodiversity </w:t>
      </w:r>
      <w:r w:rsidRPr="00C05886">
        <w:lastRenderedPageBreak/>
        <w:t>and Health in the Face of Climate Change. Cham: Springer International Publishing; 2019. pp. 175–211. doi:10.1007/978-3-030-02318-8_9</w:t>
      </w:r>
    </w:p>
    <w:p w14:paraId="425764DD" w14:textId="77777777" w:rsidR="00950AF3" w:rsidRPr="00C05886" w:rsidRDefault="00950AF3" w:rsidP="00950AF3">
      <w:pPr>
        <w:spacing w:line="276" w:lineRule="auto"/>
      </w:pPr>
      <w:r w:rsidRPr="00C05886">
        <w:t xml:space="preserve">26. </w:t>
      </w:r>
      <w:r w:rsidRPr="00C05886">
        <w:tab/>
      </w:r>
      <w:proofErr w:type="spellStart"/>
      <w:r w:rsidRPr="00C05886">
        <w:t>Botzat</w:t>
      </w:r>
      <w:proofErr w:type="spellEnd"/>
      <w:r w:rsidRPr="00C05886">
        <w:t xml:space="preserve"> A, Fischer LK, </w:t>
      </w:r>
      <w:proofErr w:type="spellStart"/>
      <w:r w:rsidRPr="00C05886">
        <w:t>Kowarik</w:t>
      </w:r>
      <w:proofErr w:type="spellEnd"/>
      <w:r w:rsidRPr="00C05886">
        <w:t xml:space="preserve"> I. Unexploited opportunities in understanding liveable and biodiverse cities. A review on urban biodiversity perception and valuation. Glob Environ Change. 2016;39: 220–233. </w:t>
      </w:r>
      <w:proofErr w:type="gramStart"/>
      <w:r w:rsidRPr="00C05886">
        <w:t>doi:10.1016/j.gloenvcha</w:t>
      </w:r>
      <w:proofErr w:type="gramEnd"/>
      <w:r w:rsidRPr="00C05886">
        <w:t>.2016.04.008</w:t>
      </w:r>
    </w:p>
    <w:p w14:paraId="2DC55378" w14:textId="77777777" w:rsidR="00950AF3" w:rsidRPr="00C05886" w:rsidRDefault="00950AF3" w:rsidP="00950AF3">
      <w:pPr>
        <w:spacing w:line="276" w:lineRule="auto"/>
      </w:pPr>
      <w:r w:rsidRPr="00C05886">
        <w:t xml:space="preserve">27. </w:t>
      </w:r>
      <w:r w:rsidRPr="00C05886">
        <w:tab/>
        <w:t xml:space="preserve">Hedin M, Hahs AK, Mata L, Lee K. Connecting Biodiversity </w:t>
      </w:r>
      <w:proofErr w:type="gramStart"/>
      <w:r w:rsidRPr="00C05886">
        <w:t>With</w:t>
      </w:r>
      <w:proofErr w:type="gramEnd"/>
      <w:r w:rsidRPr="00C05886">
        <w:t xml:space="preserve"> Mental Health and Wellbeing — A Review of Methods and Disciplinary Perspectives. Front </w:t>
      </w:r>
      <w:proofErr w:type="spellStart"/>
      <w:r w:rsidRPr="00C05886">
        <w:t>Ecol</w:t>
      </w:r>
      <w:proofErr w:type="spellEnd"/>
      <w:r w:rsidRPr="00C05886">
        <w:t xml:space="preserve"> </w:t>
      </w:r>
      <w:proofErr w:type="spellStart"/>
      <w:r w:rsidRPr="00C05886">
        <w:t>Evol</w:t>
      </w:r>
      <w:proofErr w:type="spellEnd"/>
      <w:r w:rsidRPr="00C05886">
        <w:t>. 2022;10. Available: https://www.frontiersin.org/articles/10.3389/fevo.2022.865727</w:t>
      </w:r>
    </w:p>
    <w:p w14:paraId="061FECA0" w14:textId="77777777" w:rsidR="00950AF3" w:rsidRPr="00C05886" w:rsidRDefault="00950AF3" w:rsidP="00950AF3">
      <w:pPr>
        <w:spacing w:line="276" w:lineRule="auto"/>
      </w:pPr>
      <w:r w:rsidRPr="00C05886">
        <w:t xml:space="preserve">28. </w:t>
      </w:r>
      <w:r w:rsidRPr="00C05886">
        <w:tab/>
        <w:t>Hussain RI, Walcher R, Eder R, Allex B, Wallner P, Hutter H-P, et al. Management of mountainous meadows associated with biodiversity attributes, perceived health benefits and cultural ecosystem services. Sci Rep. 2019;9. doi:10.1038/s41598-019-51571-5</w:t>
      </w:r>
    </w:p>
    <w:p w14:paraId="11C57B49" w14:textId="77777777" w:rsidR="00950AF3" w:rsidRPr="00C05886" w:rsidRDefault="00950AF3" w:rsidP="00950AF3">
      <w:pPr>
        <w:spacing w:line="276" w:lineRule="auto"/>
      </w:pPr>
      <w:r w:rsidRPr="00C05886">
        <w:t xml:space="preserve">29. </w:t>
      </w:r>
      <w:r w:rsidRPr="00C05886">
        <w:tab/>
        <w:t xml:space="preserve">Simkin J, Ojala A, </w:t>
      </w:r>
      <w:proofErr w:type="spellStart"/>
      <w:r w:rsidRPr="00C05886">
        <w:t>Tyrväinen</w:t>
      </w:r>
      <w:proofErr w:type="spellEnd"/>
      <w:r w:rsidRPr="00C05886">
        <w:t xml:space="preserve"> L. Restorative effects of mature and young commercial forests, pristine old-growth forest and urban recreation forest - A field experiment. Urban For Urban Green. 2020;48: 126567. </w:t>
      </w:r>
      <w:proofErr w:type="gramStart"/>
      <w:r w:rsidRPr="00C05886">
        <w:t>doi:10.1016/j.ufug</w:t>
      </w:r>
      <w:proofErr w:type="gramEnd"/>
      <w:r w:rsidRPr="00C05886">
        <w:t>.2019.126567</w:t>
      </w:r>
    </w:p>
    <w:p w14:paraId="60176C18" w14:textId="77777777" w:rsidR="00950AF3" w:rsidRPr="00C05886" w:rsidRDefault="00950AF3" w:rsidP="00950AF3">
      <w:pPr>
        <w:spacing w:line="276" w:lineRule="auto"/>
      </w:pPr>
      <w:r w:rsidRPr="00C05886">
        <w:t xml:space="preserve">30. </w:t>
      </w:r>
      <w:r w:rsidRPr="00C05886">
        <w:tab/>
      </w:r>
      <w:proofErr w:type="spellStart"/>
      <w:r w:rsidRPr="00C05886">
        <w:t>Southon</w:t>
      </w:r>
      <w:proofErr w:type="spellEnd"/>
      <w:r w:rsidRPr="00C05886">
        <w:t xml:space="preserve"> GE, Jorgensen A, Dunnett N, Hoyle H, Evans KL. Perceived species-richness in urban green spaces: Cues, accuracy and well-being impacts. </w:t>
      </w:r>
      <w:proofErr w:type="spellStart"/>
      <w:r w:rsidRPr="00C05886">
        <w:t>Landsc</w:t>
      </w:r>
      <w:proofErr w:type="spellEnd"/>
      <w:r w:rsidRPr="00C05886">
        <w:t xml:space="preserve"> Urban Plan. 2018;172: 1–10. </w:t>
      </w:r>
      <w:proofErr w:type="gramStart"/>
      <w:r w:rsidRPr="00C05886">
        <w:t>doi:10.1016/j.landurbplan</w:t>
      </w:r>
      <w:proofErr w:type="gramEnd"/>
      <w:r w:rsidRPr="00C05886">
        <w:t>.2017.12.002</w:t>
      </w:r>
    </w:p>
    <w:p w14:paraId="7D9AC6FB" w14:textId="77777777" w:rsidR="00950AF3" w:rsidRPr="00C05886" w:rsidRDefault="00950AF3" w:rsidP="00950AF3">
      <w:pPr>
        <w:spacing w:line="276" w:lineRule="auto"/>
      </w:pPr>
      <w:r w:rsidRPr="00C05886">
        <w:t xml:space="preserve">31. </w:t>
      </w:r>
      <w:r w:rsidRPr="00C05886">
        <w:tab/>
      </w:r>
      <w:proofErr w:type="spellStart"/>
      <w:r w:rsidRPr="00C05886">
        <w:t>Schebella</w:t>
      </w:r>
      <w:proofErr w:type="spellEnd"/>
      <w:r w:rsidRPr="00C05886">
        <w:t xml:space="preserve"> MF, Weber D, Schultz L, Weinstein P. The Nature of Reality: Human Stress Recovery during Exposure to Biodiverse, Multisensory Virtual Environments. Int J Environ Res Public Health. 2020;17. doi:10.3390/ijerph17010056</w:t>
      </w:r>
    </w:p>
    <w:p w14:paraId="35D08B76" w14:textId="77777777" w:rsidR="00950AF3" w:rsidRPr="00C05886" w:rsidRDefault="00950AF3" w:rsidP="00950AF3">
      <w:pPr>
        <w:spacing w:line="276" w:lineRule="auto"/>
      </w:pPr>
      <w:r w:rsidRPr="00C05886">
        <w:t xml:space="preserve">32. </w:t>
      </w:r>
      <w:r w:rsidRPr="00C05886">
        <w:tab/>
      </w:r>
      <w:proofErr w:type="spellStart"/>
      <w:r w:rsidRPr="00C05886">
        <w:t>Dallimer</w:t>
      </w:r>
      <w:proofErr w:type="spellEnd"/>
      <w:r w:rsidRPr="00C05886">
        <w:t xml:space="preserve"> M, Irvine KN, Skinner AMJJ, Davies ZG, Rouquette JR, Maltby LL, et al. Biodiversity and the Feel-Good Factor: Understanding Associations between Self-Reported Human Well-being and Species Richness. </w:t>
      </w:r>
      <w:proofErr w:type="spellStart"/>
      <w:r w:rsidRPr="00C05886">
        <w:t>BioScience</w:t>
      </w:r>
      <w:proofErr w:type="spellEnd"/>
      <w:r w:rsidRPr="00C05886">
        <w:t>. 2012;62: 47–55. doi:10.1525/bio.2012.62.1.9</w:t>
      </w:r>
    </w:p>
    <w:p w14:paraId="1C830683" w14:textId="77777777" w:rsidR="00950AF3" w:rsidRPr="00C05886" w:rsidRDefault="00950AF3" w:rsidP="00950AF3">
      <w:pPr>
        <w:spacing w:line="276" w:lineRule="auto"/>
      </w:pPr>
      <w:r w:rsidRPr="00C05886">
        <w:t xml:space="preserve">33. </w:t>
      </w:r>
      <w:r w:rsidRPr="00C05886">
        <w:tab/>
        <w:t xml:space="preserve">Gonçalves P, Grilo F, Mendes RC, </w:t>
      </w:r>
      <w:proofErr w:type="spellStart"/>
      <w:r w:rsidRPr="00C05886">
        <w:t>Vierikko</w:t>
      </w:r>
      <w:proofErr w:type="spellEnd"/>
      <w:r w:rsidRPr="00C05886">
        <w:t xml:space="preserve"> K, Elands B, Marques TA, et al. What’s biodiversity got to do with it? Perceptions of biodiversity and </w:t>
      </w:r>
      <w:proofErr w:type="spellStart"/>
      <w:r w:rsidRPr="00C05886">
        <w:t>restorativeness</w:t>
      </w:r>
      <w:proofErr w:type="spellEnd"/>
      <w:r w:rsidRPr="00C05886">
        <w:t xml:space="preserve"> in urban parks. </w:t>
      </w:r>
      <w:proofErr w:type="spellStart"/>
      <w:r w:rsidRPr="00C05886">
        <w:t>Ecol</w:t>
      </w:r>
      <w:proofErr w:type="spellEnd"/>
      <w:r w:rsidRPr="00C05886">
        <w:t xml:space="preserve"> Soc. 2021;26. doi:10.5751/ES-12598-260325</w:t>
      </w:r>
    </w:p>
    <w:p w14:paraId="699D7E7E" w14:textId="77777777" w:rsidR="00950AF3" w:rsidRPr="00C05886" w:rsidRDefault="00950AF3" w:rsidP="00950AF3">
      <w:pPr>
        <w:spacing w:line="276" w:lineRule="auto"/>
      </w:pPr>
      <w:r w:rsidRPr="00C05886">
        <w:t xml:space="preserve">34. </w:t>
      </w:r>
      <w:r w:rsidRPr="00C05886">
        <w:tab/>
        <w:t xml:space="preserve">Hoyle H, Norton B, Dunnett N, Richards JP, Russell JM, Warren P. Plant species or flower colour diversity? Identifying the drivers of public and invertebrate response to designed annual meadows. </w:t>
      </w:r>
      <w:proofErr w:type="spellStart"/>
      <w:r w:rsidRPr="00C05886">
        <w:t>Landsc</w:t>
      </w:r>
      <w:proofErr w:type="spellEnd"/>
      <w:r w:rsidRPr="00C05886">
        <w:t xml:space="preserve"> Urban Plan. 2018;180: 103–113. </w:t>
      </w:r>
      <w:proofErr w:type="gramStart"/>
      <w:r w:rsidRPr="00C05886">
        <w:t>doi:10.1016/j.landurbplan</w:t>
      </w:r>
      <w:proofErr w:type="gramEnd"/>
      <w:r w:rsidRPr="00C05886">
        <w:t>.2018.08.017</w:t>
      </w:r>
    </w:p>
    <w:p w14:paraId="5A0A9CBC" w14:textId="77777777" w:rsidR="00950AF3" w:rsidRPr="00C05886" w:rsidRDefault="00950AF3" w:rsidP="00950AF3">
      <w:pPr>
        <w:spacing w:line="276" w:lineRule="auto"/>
      </w:pPr>
      <w:r w:rsidRPr="00C05886">
        <w:t xml:space="preserve">35. </w:t>
      </w:r>
      <w:r w:rsidRPr="00C05886">
        <w:tab/>
        <w:t xml:space="preserve">Benfield JA, Taff BD, Newman P, Smyth J. Natural sound facilitates mood recovery. Ecopsychology. 2014;6: 183–188. </w:t>
      </w:r>
    </w:p>
    <w:p w14:paraId="642BC6E4" w14:textId="77777777" w:rsidR="00950AF3" w:rsidRPr="00C05886" w:rsidRDefault="00950AF3" w:rsidP="00950AF3">
      <w:pPr>
        <w:spacing w:line="276" w:lineRule="auto"/>
      </w:pPr>
      <w:r w:rsidRPr="00C05886">
        <w:t xml:space="preserve">36. </w:t>
      </w:r>
      <w:r w:rsidRPr="00C05886">
        <w:tab/>
        <w:t>Hedblom M, Gunnarsson B, Iravani B, Knez I, Schaefer M, Thorsson P, et al. Reduction of physiological stress by urban green space in a multisensory virtual experiment. Sci Rep. 2019;9: 1–11. doi:10.1038/s41598-019-46099-7</w:t>
      </w:r>
    </w:p>
    <w:p w14:paraId="7E79F68F" w14:textId="77777777" w:rsidR="00950AF3" w:rsidRPr="00C05886" w:rsidRDefault="00950AF3" w:rsidP="00950AF3">
      <w:pPr>
        <w:spacing w:line="276" w:lineRule="auto"/>
      </w:pPr>
      <w:r w:rsidRPr="00C05886">
        <w:t xml:space="preserve">37. </w:t>
      </w:r>
      <w:r w:rsidRPr="00C05886">
        <w:tab/>
        <w:t xml:space="preserve">Austen GE, </w:t>
      </w:r>
      <w:proofErr w:type="spellStart"/>
      <w:r w:rsidRPr="00C05886">
        <w:t>Dallimer</w:t>
      </w:r>
      <w:proofErr w:type="spellEnd"/>
      <w:r w:rsidRPr="00C05886">
        <w:t xml:space="preserve"> M, Irvine KN, Maund PR, Fish RD, Davies ZG. Exploring shared public perspectives on biodiversity attributes. People Nat. 2021;3: 901–913. doi:10.1002/pan3.10237</w:t>
      </w:r>
    </w:p>
    <w:p w14:paraId="27F4D512" w14:textId="77777777" w:rsidR="00950AF3" w:rsidRPr="00C05886" w:rsidRDefault="00950AF3" w:rsidP="00950AF3">
      <w:pPr>
        <w:spacing w:line="276" w:lineRule="auto"/>
      </w:pPr>
      <w:r w:rsidRPr="00C05886">
        <w:lastRenderedPageBreak/>
        <w:t xml:space="preserve">38. </w:t>
      </w:r>
      <w:r w:rsidRPr="00C05886">
        <w:tab/>
        <w:t xml:space="preserve">Fisher JC, Irvine KN, Bicknell JE, Hayes WM, Fernandes D, Mistry J, et al. Perceived biodiversity, sound, naturalness and safety enhance the restorative quality and wellbeing benefits of green and blue space in a neotropical city. Sci Total Environ. 2021;755: 143095. </w:t>
      </w:r>
      <w:proofErr w:type="gramStart"/>
      <w:r w:rsidRPr="00C05886">
        <w:t>doi:10.1016/j.scitotenv</w:t>
      </w:r>
      <w:proofErr w:type="gramEnd"/>
      <w:r w:rsidRPr="00C05886">
        <w:t>.2020.143095</w:t>
      </w:r>
    </w:p>
    <w:p w14:paraId="769ED699" w14:textId="77777777" w:rsidR="00950AF3" w:rsidRPr="00C05886" w:rsidRDefault="00950AF3" w:rsidP="00950AF3">
      <w:pPr>
        <w:spacing w:line="276" w:lineRule="auto"/>
      </w:pPr>
      <w:r w:rsidRPr="00C05886">
        <w:t xml:space="preserve">39. </w:t>
      </w:r>
      <w:r w:rsidRPr="00C05886">
        <w:tab/>
        <w:t>Lindemann-Matthies P, Bose E. How Many Species Are There? Public Understanding and Awareness of Biodiversity in Switzerland. Hum Ecol. 2008;36: 731–742. doi:10.1007/s10745-008-9194-1</w:t>
      </w:r>
    </w:p>
    <w:p w14:paraId="469B9B3A" w14:textId="77777777" w:rsidR="00950AF3" w:rsidRPr="00C05886" w:rsidRDefault="00950AF3" w:rsidP="00950AF3">
      <w:pPr>
        <w:spacing w:line="276" w:lineRule="auto"/>
      </w:pPr>
      <w:r w:rsidRPr="00C05886">
        <w:t xml:space="preserve">40. </w:t>
      </w:r>
      <w:r w:rsidRPr="00C05886">
        <w:tab/>
        <w:t xml:space="preserve">Shwartz A, </w:t>
      </w:r>
      <w:proofErr w:type="spellStart"/>
      <w:r w:rsidRPr="00C05886">
        <w:t>Turbé</w:t>
      </w:r>
      <w:proofErr w:type="spellEnd"/>
      <w:r w:rsidRPr="00C05886">
        <w:t xml:space="preserve"> A, Simon L, Julliard R. Enhancing urban biodiversity and its influence on city-dwellers: An experiment. </w:t>
      </w:r>
      <w:proofErr w:type="spellStart"/>
      <w:r w:rsidRPr="00C05886">
        <w:t>Biol</w:t>
      </w:r>
      <w:proofErr w:type="spellEnd"/>
      <w:r w:rsidRPr="00C05886">
        <w:t xml:space="preserve"> </w:t>
      </w:r>
      <w:proofErr w:type="spellStart"/>
      <w:r w:rsidRPr="00C05886">
        <w:t>Conserv</w:t>
      </w:r>
      <w:proofErr w:type="spellEnd"/>
      <w:r w:rsidRPr="00C05886">
        <w:t xml:space="preserve">. 2014;171: 82–90. </w:t>
      </w:r>
      <w:proofErr w:type="gramStart"/>
      <w:r w:rsidRPr="00C05886">
        <w:t>doi:10.1016/j.biocon</w:t>
      </w:r>
      <w:proofErr w:type="gramEnd"/>
      <w:r w:rsidRPr="00C05886">
        <w:t>.2014.01.009</w:t>
      </w:r>
    </w:p>
    <w:p w14:paraId="5A9ECC6C" w14:textId="77777777" w:rsidR="00950AF3" w:rsidRPr="00C05886" w:rsidRDefault="00950AF3" w:rsidP="00950AF3">
      <w:pPr>
        <w:spacing w:line="276" w:lineRule="auto"/>
      </w:pPr>
      <w:r w:rsidRPr="00C05886">
        <w:t xml:space="preserve">41. </w:t>
      </w:r>
      <w:r w:rsidRPr="00C05886">
        <w:tab/>
      </w:r>
      <w:proofErr w:type="spellStart"/>
      <w:r w:rsidRPr="00C05886">
        <w:t>Gyllin</w:t>
      </w:r>
      <w:proofErr w:type="spellEnd"/>
      <w:r w:rsidRPr="00C05886">
        <w:t xml:space="preserve"> M, Grahn P. A semantic model for assessing the experience of urban biodiversity. Urban For Urban Green. 2005;3: 149–161. </w:t>
      </w:r>
      <w:proofErr w:type="gramStart"/>
      <w:r w:rsidRPr="00C05886">
        <w:t>doi:10.1016/j.ufug</w:t>
      </w:r>
      <w:proofErr w:type="gramEnd"/>
      <w:r w:rsidRPr="00C05886">
        <w:t>.2005.04.004</w:t>
      </w:r>
    </w:p>
    <w:p w14:paraId="19152899" w14:textId="77777777" w:rsidR="00950AF3" w:rsidRPr="00C05886" w:rsidRDefault="00950AF3" w:rsidP="00950AF3">
      <w:pPr>
        <w:spacing w:line="276" w:lineRule="auto"/>
      </w:pPr>
      <w:r w:rsidRPr="00C05886">
        <w:t xml:space="preserve">42. </w:t>
      </w:r>
      <w:r w:rsidRPr="00C05886">
        <w:tab/>
        <w:t xml:space="preserve">Berto R. Exposure to restorative environments helps restore attentional capacity. J Environ Psychol. 2005;25: 249–259. </w:t>
      </w:r>
      <w:proofErr w:type="spellStart"/>
      <w:proofErr w:type="gramStart"/>
      <w:r w:rsidRPr="00C05886">
        <w:t>doi:https</w:t>
      </w:r>
      <w:proofErr w:type="spellEnd"/>
      <w:r w:rsidRPr="00C05886">
        <w:t>://doi.org/10.1016/j.jenvp.2005.07.001</w:t>
      </w:r>
      <w:proofErr w:type="gramEnd"/>
    </w:p>
    <w:p w14:paraId="5BC3357F" w14:textId="77777777" w:rsidR="00950AF3" w:rsidRPr="00C05886" w:rsidRDefault="00950AF3" w:rsidP="00950AF3">
      <w:pPr>
        <w:spacing w:line="276" w:lineRule="auto"/>
      </w:pPr>
      <w:r w:rsidRPr="00C05886">
        <w:t xml:space="preserve">43. </w:t>
      </w:r>
      <w:r w:rsidRPr="00C05886">
        <w:tab/>
        <w:t xml:space="preserve">Johansson M, </w:t>
      </w:r>
      <w:proofErr w:type="spellStart"/>
      <w:r w:rsidRPr="00C05886">
        <w:t>Gyllin</w:t>
      </w:r>
      <w:proofErr w:type="spellEnd"/>
      <w:r w:rsidRPr="00C05886">
        <w:t xml:space="preserve"> M, Witzell J, Küller M. Does biological quality matter? Direct and reflected appraisal of biodiversity in temperate deciduous broad-leaf forest. Urban For Urban Green. 2014;13: 28–37. </w:t>
      </w:r>
      <w:proofErr w:type="spellStart"/>
      <w:proofErr w:type="gramStart"/>
      <w:r w:rsidRPr="00C05886">
        <w:t>doi:https</w:t>
      </w:r>
      <w:proofErr w:type="spellEnd"/>
      <w:r w:rsidRPr="00C05886">
        <w:t>://doi.org/10.1016/j.ufug.2013.10.009</w:t>
      </w:r>
      <w:proofErr w:type="gramEnd"/>
    </w:p>
    <w:p w14:paraId="6AE820A7" w14:textId="77777777" w:rsidR="00950AF3" w:rsidRPr="00C05886" w:rsidRDefault="00950AF3" w:rsidP="00950AF3">
      <w:pPr>
        <w:spacing w:line="276" w:lineRule="auto"/>
      </w:pPr>
      <w:r w:rsidRPr="00C05886">
        <w:t xml:space="preserve">44. </w:t>
      </w:r>
      <w:r w:rsidRPr="00C05886">
        <w:tab/>
        <w:t xml:space="preserve">Van Den Berg AE, Jorgensen A, Wilson ER. Evaluating restoration in urban green spaces: Does setting type make a difference? </w:t>
      </w:r>
      <w:proofErr w:type="spellStart"/>
      <w:r w:rsidRPr="00C05886">
        <w:t>Landsc</w:t>
      </w:r>
      <w:proofErr w:type="spellEnd"/>
      <w:r w:rsidRPr="00C05886">
        <w:t xml:space="preserve"> Urban Plan. 2014;127: 173–181. </w:t>
      </w:r>
      <w:proofErr w:type="gramStart"/>
      <w:r w:rsidRPr="00C05886">
        <w:t>doi:10.1016/j.landurbplan</w:t>
      </w:r>
      <w:proofErr w:type="gramEnd"/>
      <w:r w:rsidRPr="00C05886">
        <w:t>.2014.04.012</w:t>
      </w:r>
    </w:p>
    <w:p w14:paraId="66398680" w14:textId="77777777" w:rsidR="00950AF3" w:rsidRPr="00C05886" w:rsidRDefault="00950AF3" w:rsidP="00950AF3">
      <w:pPr>
        <w:spacing w:line="276" w:lineRule="auto"/>
      </w:pPr>
      <w:r w:rsidRPr="00C05886">
        <w:t xml:space="preserve">45. </w:t>
      </w:r>
      <w:r w:rsidRPr="00C05886">
        <w:tab/>
        <w:t xml:space="preserve">Wang X, </w:t>
      </w:r>
      <w:proofErr w:type="spellStart"/>
      <w:r w:rsidRPr="00C05886">
        <w:t>Rodiek</w:t>
      </w:r>
      <w:proofErr w:type="spellEnd"/>
      <w:r w:rsidRPr="00C05886">
        <w:t xml:space="preserve"> S, Wu C, Chen Y, Li Y. Stress recovery and restorative effects of viewing different urban park scenes in Shanghai, China. Urban For Urban Green. 2016;15: 112–122. </w:t>
      </w:r>
      <w:proofErr w:type="gramStart"/>
      <w:r w:rsidRPr="00C05886">
        <w:t>doi:10.1016/j.ufug</w:t>
      </w:r>
      <w:proofErr w:type="gramEnd"/>
      <w:r w:rsidRPr="00C05886">
        <w:t>.2015.12.003</w:t>
      </w:r>
    </w:p>
    <w:p w14:paraId="47E9C2A1" w14:textId="77777777" w:rsidR="00950AF3" w:rsidRPr="00C05886" w:rsidRDefault="00950AF3" w:rsidP="00950AF3">
      <w:pPr>
        <w:spacing w:line="276" w:lineRule="auto"/>
      </w:pPr>
      <w:r w:rsidRPr="00C05886">
        <w:t xml:space="preserve">46. </w:t>
      </w:r>
      <w:r w:rsidRPr="00C05886">
        <w:tab/>
        <w:t xml:space="preserve">Wilkie S, Clouston L. Environment preference and environment type congruence: Effects on perceived restoration potential and restoration outcomes. Urban For Urban Green. 2015;14: 368–376. </w:t>
      </w:r>
      <w:proofErr w:type="gramStart"/>
      <w:r w:rsidRPr="00C05886">
        <w:t>doi:10.1016/j.ufug</w:t>
      </w:r>
      <w:proofErr w:type="gramEnd"/>
      <w:r w:rsidRPr="00C05886">
        <w:t>.2015.03.002</w:t>
      </w:r>
    </w:p>
    <w:p w14:paraId="6DDC6411" w14:textId="77777777" w:rsidR="00950AF3" w:rsidRPr="00C05886" w:rsidRDefault="00950AF3" w:rsidP="00950AF3">
      <w:pPr>
        <w:spacing w:line="276" w:lineRule="auto"/>
      </w:pPr>
      <w:r w:rsidRPr="00C05886">
        <w:t xml:space="preserve">47. </w:t>
      </w:r>
      <w:r w:rsidRPr="00C05886">
        <w:tab/>
        <w:t xml:space="preserve">Browning M, Mimnaugh KJ, van Riper CJ, Laurent HK, LaValle SM. Can Simulated Nature Support Mental Health? Comparing Short, Single-Doses of 360-Degree Nature Videos in Virtual Reality </w:t>
      </w:r>
      <w:proofErr w:type="gramStart"/>
      <w:r w:rsidRPr="00C05886">
        <w:t>With</w:t>
      </w:r>
      <w:proofErr w:type="gramEnd"/>
      <w:r w:rsidRPr="00C05886">
        <w:t xml:space="preserve"> the Outdoors. Front Psychol. 2020;10. doi:10.3389/fpsyg.2019.02667</w:t>
      </w:r>
    </w:p>
    <w:p w14:paraId="3AF7C840" w14:textId="77777777" w:rsidR="00950AF3" w:rsidRPr="00C05886" w:rsidRDefault="00950AF3" w:rsidP="00950AF3">
      <w:pPr>
        <w:spacing w:line="276" w:lineRule="auto"/>
      </w:pPr>
      <w:r w:rsidRPr="00C05886">
        <w:t xml:space="preserve">48. </w:t>
      </w:r>
      <w:r w:rsidRPr="00C05886">
        <w:tab/>
        <w:t xml:space="preserve">Sneed JC, Deringer SA, Hanley A. Nature Connection and 360-Degree Video: An Exploratory Study </w:t>
      </w:r>
      <w:proofErr w:type="gramStart"/>
      <w:r w:rsidRPr="00C05886">
        <w:t>With</w:t>
      </w:r>
      <w:proofErr w:type="gramEnd"/>
      <w:r w:rsidRPr="00C05886">
        <w:t xml:space="preserve"> Immersive Technology. J Exp Educ. 2021; 10538259211001568. doi:10.1177/10538259211001568</w:t>
      </w:r>
    </w:p>
    <w:p w14:paraId="4ECA24A1" w14:textId="77777777" w:rsidR="00950AF3" w:rsidRPr="00C05886" w:rsidRDefault="00950AF3" w:rsidP="00950AF3">
      <w:pPr>
        <w:spacing w:line="276" w:lineRule="auto"/>
      </w:pPr>
      <w:r w:rsidRPr="00C05886">
        <w:t xml:space="preserve">49. </w:t>
      </w:r>
      <w:r w:rsidRPr="00C05886">
        <w:tab/>
        <w:t xml:space="preserve">Wagler A, Hanus MD. Comparing Virtual Reality Tourism to Real-Life Experience: Effects of Presence and Engagement on Attitude and Enjoyment. </w:t>
      </w:r>
      <w:proofErr w:type="spellStart"/>
      <w:r w:rsidRPr="00C05886">
        <w:t>Commun</w:t>
      </w:r>
      <w:proofErr w:type="spellEnd"/>
      <w:r w:rsidRPr="00C05886">
        <w:t xml:space="preserve"> Res Rep. 2018;35: 456–464. doi:10.1080/08824096.2018.1525350</w:t>
      </w:r>
    </w:p>
    <w:p w14:paraId="3BEC051D" w14:textId="77777777" w:rsidR="00950AF3" w:rsidRPr="00C05886" w:rsidRDefault="00950AF3" w:rsidP="00950AF3">
      <w:pPr>
        <w:spacing w:line="276" w:lineRule="auto"/>
      </w:pPr>
      <w:r w:rsidRPr="00C05886">
        <w:lastRenderedPageBreak/>
        <w:t xml:space="preserve">50. </w:t>
      </w:r>
      <w:r w:rsidRPr="00C05886">
        <w:tab/>
        <w:t xml:space="preserve">Chirico A, </w:t>
      </w:r>
      <w:proofErr w:type="spellStart"/>
      <w:r w:rsidRPr="00C05886">
        <w:t>Gaggioli</w:t>
      </w:r>
      <w:proofErr w:type="spellEnd"/>
      <w:r w:rsidRPr="00C05886">
        <w:t xml:space="preserve"> A. When Virtual Feels Real: Comparing Emotional Responses and Presence in Virtual and Natural Environments. Cyberpsychology </w:t>
      </w:r>
      <w:proofErr w:type="spellStart"/>
      <w:r w:rsidRPr="00C05886">
        <w:t>Behav</w:t>
      </w:r>
      <w:proofErr w:type="spellEnd"/>
      <w:r w:rsidRPr="00C05886">
        <w:t xml:space="preserve"> Soc </w:t>
      </w:r>
      <w:proofErr w:type="spellStart"/>
      <w:r w:rsidRPr="00C05886">
        <w:t>Netw</w:t>
      </w:r>
      <w:proofErr w:type="spellEnd"/>
      <w:r w:rsidRPr="00C05886">
        <w:t>. 2019;22: 220–226. doi:10.1089/cyber.2018.0393</w:t>
      </w:r>
    </w:p>
    <w:p w14:paraId="688CEE18" w14:textId="77777777" w:rsidR="00950AF3" w:rsidRPr="00C05886" w:rsidRDefault="00950AF3" w:rsidP="00950AF3">
      <w:pPr>
        <w:spacing w:line="276" w:lineRule="auto"/>
      </w:pPr>
      <w:r w:rsidRPr="00C05886">
        <w:t xml:space="preserve">51. </w:t>
      </w:r>
      <w:r w:rsidRPr="00C05886">
        <w:tab/>
        <w:t xml:space="preserve">Browning M, Shipley N, </w:t>
      </w:r>
      <w:proofErr w:type="spellStart"/>
      <w:r w:rsidRPr="00C05886">
        <w:t>McAnirlin</w:t>
      </w:r>
      <w:proofErr w:type="spellEnd"/>
      <w:r w:rsidRPr="00C05886">
        <w:t xml:space="preserve"> O, Becker D, Yu C-P, Hartig T, et al. An Actual Natural Setting Improves Mood Better Than Its Virtual Counterpart: A Meta-Analysis of Experimental Data. Front Psychol. 2020;11: 1–12. doi:10.3389/fpsyg.2020.02200</w:t>
      </w:r>
    </w:p>
    <w:p w14:paraId="0196F048" w14:textId="77777777" w:rsidR="00950AF3" w:rsidRPr="00C05886" w:rsidRDefault="00950AF3" w:rsidP="00950AF3">
      <w:pPr>
        <w:spacing w:line="276" w:lineRule="auto"/>
      </w:pPr>
      <w:r w:rsidRPr="00C05886">
        <w:t xml:space="preserve">52. </w:t>
      </w:r>
      <w:r w:rsidRPr="00C05886">
        <w:tab/>
      </w:r>
      <w:proofErr w:type="spellStart"/>
      <w:r w:rsidRPr="00C05886">
        <w:t>Mcmahan</w:t>
      </w:r>
      <w:proofErr w:type="spellEnd"/>
      <w:r w:rsidRPr="00C05886">
        <w:t xml:space="preserve"> EA, Estes D. The effect of contact with natural environments on positive and negative affect: A meta-analysis. J Posit Psychol. 2015;10: 507–519. doi:10.1080/17439760.2014.994224</w:t>
      </w:r>
    </w:p>
    <w:p w14:paraId="168C9A4E" w14:textId="77777777" w:rsidR="00950AF3" w:rsidRPr="00C05886" w:rsidRDefault="00950AF3" w:rsidP="00950AF3">
      <w:pPr>
        <w:spacing w:line="276" w:lineRule="auto"/>
      </w:pPr>
      <w:r w:rsidRPr="00C05886">
        <w:t xml:space="preserve">53. </w:t>
      </w:r>
      <w:r w:rsidRPr="00C05886">
        <w:tab/>
        <w:t xml:space="preserve">Kjellgren A, Buhrkall H. A comparison of the restorative effect of a natural environment with that of a simulated natural environment. J Environ Psychol. 2010;30: 464–472. </w:t>
      </w:r>
      <w:proofErr w:type="spellStart"/>
      <w:proofErr w:type="gramStart"/>
      <w:r w:rsidRPr="00C05886">
        <w:t>doi:https</w:t>
      </w:r>
      <w:proofErr w:type="spellEnd"/>
      <w:r w:rsidRPr="00C05886">
        <w:t>://doi.org/10.1016/j.jenvp.2010.01.011</w:t>
      </w:r>
      <w:proofErr w:type="gramEnd"/>
    </w:p>
    <w:p w14:paraId="2B0852E4" w14:textId="77777777" w:rsidR="00950AF3" w:rsidRPr="00C05886" w:rsidRDefault="00950AF3" w:rsidP="00950AF3">
      <w:pPr>
        <w:spacing w:line="276" w:lineRule="auto"/>
      </w:pPr>
      <w:r w:rsidRPr="00C05886">
        <w:t xml:space="preserve">54. </w:t>
      </w:r>
      <w:r w:rsidRPr="00C05886">
        <w:tab/>
        <w:t>Thompson ER. Development and validation of an internationally reliable short-form of the Positive and Negative Affect Schedule (PANAS). J Cross-Cult Psychol. 2007;38: 227–242. doi:10.1177/0022022106297301</w:t>
      </w:r>
    </w:p>
    <w:p w14:paraId="7960CEC7" w14:textId="77777777" w:rsidR="00950AF3" w:rsidRPr="00C05886" w:rsidRDefault="00950AF3" w:rsidP="00950AF3">
      <w:pPr>
        <w:spacing w:line="276" w:lineRule="auto"/>
      </w:pPr>
      <w:r w:rsidRPr="00C05886">
        <w:t xml:space="preserve">55. </w:t>
      </w:r>
      <w:r w:rsidRPr="00C05886">
        <w:tab/>
        <w:t xml:space="preserve">Gross JJ, </w:t>
      </w:r>
      <w:proofErr w:type="spellStart"/>
      <w:r w:rsidRPr="00C05886">
        <w:t>Uusberg</w:t>
      </w:r>
      <w:proofErr w:type="spellEnd"/>
      <w:r w:rsidRPr="00C05886">
        <w:t xml:space="preserve"> H, </w:t>
      </w:r>
      <w:proofErr w:type="spellStart"/>
      <w:r w:rsidRPr="00C05886">
        <w:t>Uusberg</w:t>
      </w:r>
      <w:proofErr w:type="spellEnd"/>
      <w:r w:rsidRPr="00C05886">
        <w:t xml:space="preserve"> A. Mental illness and well-being: an affect regulation perspective. World Psychiatry. 2019;18: 130–139. doi:10.1002/wps.20618</w:t>
      </w:r>
    </w:p>
    <w:p w14:paraId="11E9979A" w14:textId="77777777" w:rsidR="00950AF3" w:rsidRPr="00C05886" w:rsidRDefault="00950AF3" w:rsidP="00950AF3">
      <w:pPr>
        <w:spacing w:line="276" w:lineRule="auto"/>
      </w:pPr>
      <w:r w:rsidRPr="00C05886">
        <w:t xml:space="preserve">56. </w:t>
      </w:r>
      <w:r w:rsidRPr="00C05886">
        <w:tab/>
        <w:t xml:space="preserve">Richardson M, McEwan K, Maratos F, Sheffield D. Joy and Calm: How an Evolutionary Functional Model of Affect Regulation Informs Positive Emotions in Nature. </w:t>
      </w:r>
      <w:proofErr w:type="spellStart"/>
      <w:r w:rsidRPr="00C05886">
        <w:t>Evol</w:t>
      </w:r>
      <w:proofErr w:type="spellEnd"/>
      <w:r w:rsidRPr="00C05886">
        <w:t xml:space="preserve"> </w:t>
      </w:r>
      <w:proofErr w:type="spellStart"/>
      <w:r w:rsidRPr="00C05886">
        <w:t>Psychol</w:t>
      </w:r>
      <w:proofErr w:type="spellEnd"/>
      <w:r w:rsidRPr="00C05886">
        <w:t xml:space="preserve"> Sci. 2016;2: 308–320. doi:10.1007/s40806-016-0065-5</w:t>
      </w:r>
    </w:p>
    <w:p w14:paraId="4969AF02" w14:textId="77777777" w:rsidR="00950AF3" w:rsidRPr="00C05886" w:rsidRDefault="00950AF3" w:rsidP="00950AF3">
      <w:pPr>
        <w:spacing w:line="276" w:lineRule="auto"/>
      </w:pPr>
      <w:r w:rsidRPr="00C05886">
        <w:t xml:space="preserve">57. </w:t>
      </w:r>
      <w:r w:rsidRPr="00C05886">
        <w:tab/>
        <w:t xml:space="preserve">McManus MD, Siegel JT, Nakamura J. The predictive power of low-arousal positive affect. </w:t>
      </w:r>
      <w:proofErr w:type="spellStart"/>
      <w:r w:rsidRPr="00C05886">
        <w:t>Motiv</w:t>
      </w:r>
      <w:proofErr w:type="spellEnd"/>
      <w:r w:rsidRPr="00C05886">
        <w:t xml:space="preserve"> </w:t>
      </w:r>
      <w:proofErr w:type="spellStart"/>
      <w:r w:rsidRPr="00C05886">
        <w:t>Emot</w:t>
      </w:r>
      <w:proofErr w:type="spellEnd"/>
      <w:r w:rsidRPr="00C05886">
        <w:t>. 2019;43: 130–144. doi:10.1007/s11031-018-9719-x</w:t>
      </w:r>
    </w:p>
    <w:p w14:paraId="766BC52D" w14:textId="77777777" w:rsidR="00950AF3" w:rsidRPr="00C05886" w:rsidRDefault="00950AF3" w:rsidP="00950AF3">
      <w:pPr>
        <w:spacing w:line="276" w:lineRule="auto"/>
      </w:pPr>
      <w:r w:rsidRPr="00C05886">
        <w:t xml:space="preserve">58. </w:t>
      </w:r>
      <w:r w:rsidRPr="00C05886">
        <w:tab/>
        <w:t>Brown G, Reed P. Validation of a Forest Values Typology for Use in National Forest Planning. For Sci. 2000;46: 240–247. doi:10.1093/</w:t>
      </w:r>
      <w:proofErr w:type="spellStart"/>
      <w:r w:rsidRPr="00C05886">
        <w:t>forestscience</w:t>
      </w:r>
      <w:proofErr w:type="spellEnd"/>
      <w:r w:rsidRPr="00C05886">
        <w:t>/46.2.240</w:t>
      </w:r>
    </w:p>
    <w:p w14:paraId="1F784D4E" w14:textId="77777777" w:rsidR="00950AF3" w:rsidRPr="00C05886" w:rsidRDefault="00950AF3" w:rsidP="00950AF3">
      <w:pPr>
        <w:spacing w:line="276" w:lineRule="auto"/>
      </w:pPr>
      <w:r w:rsidRPr="00C05886">
        <w:t xml:space="preserve">59. </w:t>
      </w:r>
      <w:r w:rsidRPr="00C05886">
        <w:tab/>
        <w:t xml:space="preserve">van Riper CJ, Kyle GT, Sherrouse BC, Bagstad KJ, Sutton SG. Toward an integrated understanding of perceived biodiversity values and environmental conditions in a national park. </w:t>
      </w:r>
      <w:proofErr w:type="spellStart"/>
      <w:r w:rsidRPr="00C05886">
        <w:t>Ecol</w:t>
      </w:r>
      <w:proofErr w:type="spellEnd"/>
      <w:r w:rsidRPr="00C05886">
        <w:t xml:space="preserve"> Indic. 2017;72: 278–287. </w:t>
      </w:r>
      <w:proofErr w:type="gramStart"/>
      <w:r w:rsidRPr="00C05886">
        <w:t>doi:10.1016/j.ecolind</w:t>
      </w:r>
      <w:proofErr w:type="gramEnd"/>
      <w:r w:rsidRPr="00C05886">
        <w:t>.2016.07.029</w:t>
      </w:r>
    </w:p>
    <w:p w14:paraId="653A69D9" w14:textId="77777777" w:rsidR="00950AF3" w:rsidRPr="00C05886" w:rsidRDefault="00950AF3" w:rsidP="00950AF3">
      <w:pPr>
        <w:spacing w:line="276" w:lineRule="auto"/>
      </w:pPr>
      <w:r w:rsidRPr="00C05886">
        <w:t xml:space="preserve">60. </w:t>
      </w:r>
      <w:r w:rsidRPr="00C05886">
        <w:tab/>
        <w:t xml:space="preserve">Schultz PW. Inclusion with nature: The psychology of human-nature relations. Psychology of sustainable development. Springer; 2002. pp. 61–78. </w:t>
      </w:r>
    </w:p>
    <w:p w14:paraId="0CFB92BC" w14:textId="77777777" w:rsidR="00950AF3" w:rsidRPr="00C05886" w:rsidRDefault="00950AF3" w:rsidP="00950AF3">
      <w:pPr>
        <w:spacing w:line="276" w:lineRule="auto"/>
      </w:pPr>
      <w:r w:rsidRPr="00C05886">
        <w:t xml:space="preserve">61. </w:t>
      </w:r>
      <w:r w:rsidRPr="00C05886">
        <w:tab/>
        <w:t xml:space="preserve">Mayer FS, Frantz CM. The connectedness to nature scale: A measure of individuals’ feeling in community with nature. J Environ Psychol. 2004;24: 503–515. </w:t>
      </w:r>
      <w:proofErr w:type="gramStart"/>
      <w:r w:rsidRPr="00C05886">
        <w:t>doi:10.1016/j.jenvp</w:t>
      </w:r>
      <w:proofErr w:type="gramEnd"/>
      <w:r w:rsidRPr="00C05886">
        <w:t>.2004.10.001</w:t>
      </w:r>
    </w:p>
    <w:p w14:paraId="2A38F52A" w14:textId="77777777" w:rsidR="00950AF3" w:rsidRPr="00C05886" w:rsidRDefault="00950AF3" w:rsidP="00950AF3">
      <w:pPr>
        <w:spacing w:line="276" w:lineRule="auto"/>
      </w:pPr>
      <w:r w:rsidRPr="00C05886">
        <w:t xml:space="preserve">62. </w:t>
      </w:r>
      <w:r w:rsidRPr="00C05886">
        <w:tab/>
        <w:t xml:space="preserve">Capaldi CA, Passmore H-A, Ishii R, </w:t>
      </w:r>
      <w:proofErr w:type="spellStart"/>
      <w:r w:rsidRPr="00C05886">
        <w:t>Chistopolskaya</w:t>
      </w:r>
      <w:proofErr w:type="spellEnd"/>
      <w:r w:rsidRPr="00C05886">
        <w:t xml:space="preserve"> KA, </w:t>
      </w:r>
      <w:proofErr w:type="spellStart"/>
      <w:r w:rsidRPr="00C05886">
        <w:t>Vowinckel</w:t>
      </w:r>
      <w:proofErr w:type="spellEnd"/>
      <w:r w:rsidRPr="00C05886">
        <w:t xml:space="preserve"> J, Nikolaev EL, et al. Engaging with natural beauty may be related to well-being because it connects people to nature: Evidence from three cultures. Ecopsychology. 2017;9: 199–211. </w:t>
      </w:r>
    </w:p>
    <w:p w14:paraId="66220EF1" w14:textId="77777777" w:rsidR="00950AF3" w:rsidRPr="00C05886" w:rsidRDefault="00950AF3" w:rsidP="00950AF3">
      <w:pPr>
        <w:spacing w:line="276" w:lineRule="auto"/>
      </w:pPr>
      <w:r w:rsidRPr="00C05886">
        <w:lastRenderedPageBreak/>
        <w:t xml:space="preserve">63. </w:t>
      </w:r>
      <w:r w:rsidRPr="00C05886">
        <w:tab/>
        <w:t xml:space="preserve">Huynh H, Feldt LS. Estimation of the Box Correction for Degrees of Freedom from Sample Data in Randomized Block and Split-Plot Designs. J </w:t>
      </w:r>
      <w:proofErr w:type="spellStart"/>
      <w:r w:rsidRPr="00C05886">
        <w:t>Educ</w:t>
      </w:r>
      <w:proofErr w:type="spellEnd"/>
      <w:r w:rsidRPr="00C05886">
        <w:t xml:space="preserve"> Stat. 1976;1: 69–82. doi:10.2307/1164736</w:t>
      </w:r>
    </w:p>
    <w:p w14:paraId="43A426B7" w14:textId="77777777" w:rsidR="00950AF3" w:rsidRPr="00C05886" w:rsidRDefault="00950AF3" w:rsidP="00950AF3">
      <w:pPr>
        <w:spacing w:line="276" w:lineRule="auto"/>
      </w:pPr>
      <w:r w:rsidRPr="00C05886">
        <w:t xml:space="preserve">64. </w:t>
      </w:r>
      <w:r w:rsidRPr="00C05886">
        <w:tab/>
        <w:t>Neuendorf KA. The Content Analysis Guidebook. Thousand Oaks, California; 2017. doi:10.4135/9781071802878</w:t>
      </w:r>
    </w:p>
    <w:p w14:paraId="0B6E1B4B" w14:textId="77777777" w:rsidR="00950AF3" w:rsidRPr="00C05886" w:rsidRDefault="00950AF3" w:rsidP="00950AF3">
      <w:pPr>
        <w:spacing w:line="276" w:lineRule="auto"/>
      </w:pPr>
      <w:r w:rsidRPr="00C05886">
        <w:t xml:space="preserve">65. </w:t>
      </w:r>
      <w:r w:rsidRPr="00C05886">
        <w:tab/>
        <w:t xml:space="preserve">Faul F, </w:t>
      </w:r>
      <w:proofErr w:type="spellStart"/>
      <w:r w:rsidRPr="00C05886">
        <w:t>Erdfelder</w:t>
      </w:r>
      <w:proofErr w:type="spellEnd"/>
      <w:r w:rsidRPr="00C05886">
        <w:t xml:space="preserve"> E, Lang AG, Buchner A. G*Power 3: A flexible statistical power analysis program for the social, </w:t>
      </w:r>
      <w:proofErr w:type="spellStart"/>
      <w:r w:rsidRPr="00C05886">
        <w:t>behavioral</w:t>
      </w:r>
      <w:proofErr w:type="spellEnd"/>
      <w:r w:rsidRPr="00C05886">
        <w:t xml:space="preserve">, and biomedical sciences. </w:t>
      </w:r>
      <w:proofErr w:type="spellStart"/>
      <w:r w:rsidRPr="00C05886">
        <w:t>Behav</w:t>
      </w:r>
      <w:proofErr w:type="spellEnd"/>
      <w:r w:rsidRPr="00C05886">
        <w:t xml:space="preserve"> Res Methods. 2007;39: 175–191. doi:10.3758/BF03193146</w:t>
      </w:r>
    </w:p>
    <w:p w14:paraId="1A19B370" w14:textId="77777777" w:rsidR="00950AF3" w:rsidRPr="00C05886" w:rsidRDefault="00950AF3" w:rsidP="00950AF3">
      <w:pPr>
        <w:spacing w:line="276" w:lineRule="auto"/>
      </w:pPr>
      <w:r w:rsidRPr="00C05886">
        <w:t xml:space="preserve">66. </w:t>
      </w:r>
      <w:r w:rsidRPr="00C05886">
        <w:tab/>
        <w:t xml:space="preserve">Cohen J. Statistical power analysis for the behavioural sciences. Hillside. NJ: Lawrence Earlbaum Associates. 1988. </w:t>
      </w:r>
    </w:p>
    <w:p w14:paraId="67058316" w14:textId="77777777" w:rsidR="00950AF3" w:rsidRPr="00C05886" w:rsidRDefault="00950AF3" w:rsidP="00950AF3">
      <w:pPr>
        <w:spacing w:line="276" w:lineRule="auto"/>
      </w:pPr>
      <w:r w:rsidRPr="00C05886">
        <w:t xml:space="preserve">67. </w:t>
      </w:r>
      <w:r w:rsidRPr="00C05886">
        <w:tab/>
      </w:r>
      <w:proofErr w:type="spellStart"/>
      <w:r w:rsidRPr="00C05886">
        <w:t>Mostajeran</w:t>
      </w:r>
      <w:proofErr w:type="spellEnd"/>
      <w:r w:rsidRPr="00C05886">
        <w:t xml:space="preserve"> F, </w:t>
      </w:r>
      <w:proofErr w:type="spellStart"/>
      <w:r w:rsidRPr="00C05886">
        <w:t>Krzikawski</w:t>
      </w:r>
      <w:proofErr w:type="spellEnd"/>
      <w:r w:rsidRPr="00C05886">
        <w:t xml:space="preserve"> J, Steinicke F, Kühn S. Effects of exposure to immersive videos and photo slideshows of forest and urban environments. Sci Rep. 2021;11: 35–38. doi:10.1038/s41598-021-83277-y</w:t>
      </w:r>
    </w:p>
    <w:p w14:paraId="5982D40F" w14:textId="77777777" w:rsidR="00950AF3" w:rsidRPr="00C05886" w:rsidRDefault="00950AF3" w:rsidP="00950AF3">
      <w:pPr>
        <w:spacing w:line="276" w:lineRule="auto"/>
      </w:pPr>
      <w:r w:rsidRPr="00C05886">
        <w:t xml:space="preserve">68. </w:t>
      </w:r>
      <w:r w:rsidRPr="00C05886">
        <w:tab/>
      </w:r>
      <w:proofErr w:type="spellStart"/>
      <w:r w:rsidRPr="00C05886">
        <w:t>Zabini</w:t>
      </w:r>
      <w:proofErr w:type="spellEnd"/>
      <w:r w:rsidRPr="00C05886">
        <w:t xml:space="preserve"> F, Albanese L, </w:t>
      </w:r>
      <w:proofErr w:type="spellStart"/>
      <w:r w:rsidRPr="00C05886">
        <w:t>Becheri</w:t>
      </w:r>
      <w:proofErr w:type="spellEnd"/>
      <w:r w:rsidRPr="00C05886">
        <w:t xml:space="preserve"> FR, Gavazzi G, Giganti F, Giovanelli F, et al. Comparative Study of the Restorative Effects of Forest and Urban Videos during COVID-19 Lockdown: Intrinsic and Benchmark Values. Int J Environ Res Public Health. 2020;17. doi:10.3390/ijerph17218011</w:t>
      </w:r>
    </w:p>
    <w:p w14:paraId="0B0E20F7" w14:textId="77777777" w:rsidR="00950AF3" w:rsidRPr="00C05886" w:rsidRDefault="00950AF3" w:rsidP="00950AF3">
      <w:pPr>
        <w:spacing w:line="276" w:lineRule="auto"/>
      </w:pPr>
      <w:r w:rsidRPr="00C05886">
        <w:t xml:space="preserve">69. </w:t>
      </w:r>
      <w:r w:rsidRPr="00C05886">
        <w:tab/>
      </w:r>
      <w:proofErr w:type="spellStart"/>
      <w:r w:rsidRPr="00C05886">
        <w:t>Tyrvainen</w:t>
      </w:r>
      <w:proofErr w:type="spellEnd"/>
      <w:r w:rsidRPr="00C05886">
        <w:t xml:space="preserve"> L, Ojala A, Korpela K, </w:t>
      </w:r>
      <w:proofErr w:type="spellStart"/>
      <w:r w:rsidRPr="00C05886">
        <w:t>Lanki</w:t>
      </w:r>
      <w:proofErr w:type="spellEnd"/>
      <w:r w:rsidRPr="00C05886">
        <w:t xml:space="preserve"> T, </w:t>
      </w:r>
      <w:proofErr w:type="spellStart"/>
      <w:r w:rsidRPr="00C05886">
        <w:t>Tsunetsugu</w:t>
      </w:r>
      <w:proofErr w:type="spellEnd"/>
      <w:r w:rsidRPr="00C05886">
        <w:t xml:space="preserve"> Y, Kagawa T. The influence of urban green environments on stress relief measures: A field experiment. J Environ Psychol. 2014;38: 1–9. </w:t>
      </w:r>
      <w:proofErr w:type="spellStart"/>
      <w:proofErr w:type="gramStart"/>
      <w:r w:rsidRPr="00C05886">
        <w:t>doi:http</w:t>
      </w:r>
      <w:proofErr w:type="spellEnd"/>
      <w:r w:rsidRPr="00C05886">
        <w:t>://dx.doi.org/10.1016/j.jenvp.2013.12.005</w:t>
      </w:r>
      <w:proofErr w:type="gramEnd"/>
    </w:p>
    <w:p w14:paraId="38134B38" w14:textId="77777777" w:rsidR="00950AF3" w:rsidRPr="00C05886" w:rsidRDefault="00950AF3" w:rsidP="00950AF3">
      <w:pPr>
        <w:spacing w:line="276" w:lineRule="auto"/>
      </w:pPr>
      <w:r w:rsidRPr="00C05886">
        <w:t xml:space="preserve">70. </w:t>
      </w:r>
      <w:r w:rsidRPr="00C05886">
        <w:tab/>
        <w:t xml:space="preserve">Cracknell D, White MP, Pahl S, Nichols WJ, Depledge MH. Marine biota and psychological well-being: a preliminary examination of dose–response effects in an aquarium setting. Environ </w:t>
      </w:r>
      <w:proofErr w:type="spellStart"/>
      <w:r w:rsidRPr="00C05886">
        <w:t>Behav</w:t>
      </w:r>
      <w:proofErr w:type="spellEnd"/>
      <w:r w:rsidRPr="00C05886">
        <w:t xml:space="preserve">. 2016;48: 1242–1269. </w:t>
      </w:r>
    </w:p>
    <w:p w14:paraId="5739729E" w14:textId="77777777" w:rsidR="00950AF3" w:rsidRPr="00C05886" w:rsidRDefault="00950AF3" w:rsidP="00950AF3">
      <w:pPr>
        <w:spacing w:line="276" w:lineRule="auto"/>
      </w:pPr>
      <w:r w:rsidRPr="00C05886">
        <w:t xml:space="preserve">71. </w:t>
      </w:r>
      <w:r w:rsidRPr="00C05886">
        <w:tab/>
        <w:t xml:space="preserve">Cox DTC, Shanahan DF, Hudson HL, Plummer KE, Siriwardena GM, Fuller RA, et al. Doses of </w:t>
      </w:r>
      <w:proofErr w:type="spellStart"/>
      <w:r w:rsidRPr="00C05886">
        <w:t>neighborhood</w:t>
      </w:r>
      <w:proofErr w:type="spellEnd"/>
      <w:r w:rsidRPr="00C05886">
        <w:t xml:space="preserve"> nature: The benefits for mental health of living with nature. </w:t>
      </w:r>
      <w:proofErr w:type="spellStart"/>
      <w:r w:rsidRPr="00C05886">
        <w:t>BioScience</w:t>
      </w:r>
      <w:proofErr w:type="spellEnd"/>
      <w:r w:rsidRPr="00C05886">
        <w:t>. 2017;67: 147–155. doi:10.1093/</w:t>
      </w:r>
      <w:proofErr w:type="spellStart"/>
      <w:r w:rsidRPr="00C05886">
        <w:t>biosci</w:t>
      </w:r>
      <w:proofErr w:type="spellEnd"/>
      <w:r w:rsidRPr="00C05886">
        <w:t>/biw173</w:t>
      </w:r>
    </w:p>
    <w:p w14:paraId="51EEF7FB" w14:textId="77777777" w:rsidR="00950AF3" w:rsidRPr="00C05886" w:rsidRDefault="00950AF3" w:rsidP="00950AF3">
      <w:pPr>
        <w:spacing w:line="276" w:lineRule="auto"/>
      </w:pPr>
      <w:r w:rsidRPr="00C05886">
        <w:t xml:space="preserve">72. </w:t>
      </w:r>
      <w:r w:rsidRPr="00C05886">
        <w:tab/>
        <w:t>Passmore H-A, Holder MD. Noticing nature: Individual and social benefits of a two-week intervention. J Posit Psychol. 2017;12: 537–546. doi:10.1080/17439760.2016.1221126</w:t>
      </w:r>
    </w:p>
    <w:p w14:paraId="57AC3731" w14:textId="77777777" w:rsidR="00950AF3" w:rsidRPr="00C05886" w:rsidRDefault="00950AF3" w:rsidP="00950AF3">
      <w:pPr>
        <w:spacing w:line="276" w:lineRule="auto"/>
      </w:pPr>
      <w:r w:rsidRPr="00C05886">
        <w:t xml:space="preserve">73. </w:t>
      </w:r>
      <w:r w:rsidRPr="00C05886">
        <w:tab/>
        <w:t>Passmore H-A, Yargeau A, Blench J. Wellbeing in Winter: Testing the Noticing Nature Intervention During Winter Months. Front Psychol. 2022;13. Available: https://www.frontiersin.org/articles/10.3389/fpsyg.2022.840273</w:t>
      </w:r>
    </w:p>
    <w:p w14:paraId="04CE38EF" w14:textId="77777777" w:rsidR="00950AF3" w:rsidRPr="00C05886" w:rsidRDefault="00950AF3" w:rsidP="00950AF3">
      <w:pPr>
        <w:spacing w:line="276" w:lineRule="auto"/>
      </w:pPr>
      <w:r w:rsidRPr="00C05886">
        <w:t xml:space="preserve">74. </w:t>
      </w:r>
      <w:r w:rsidRPr="00C05886">
        <w:tab/>
        <w:t>Passmore H-A, Yang Y, Sabine S. An Extended Replication Study of the Well-Being Intervention, the Noticing Nature Intervention (NNI). J Happiness Stud. 2022;23: 2663–2683. doi:10.1007/s10902-022-00516-3</w:t>
      </w:r>
    </w:p>
    <w:p w14:paraId="766ACC0A" w14:textId="77777777" w:rsidR="00950AF3" w:rsidRPr="00C05886" w:rsidRDefault="00950AF3" w:rsidP="00950AF3">
      <w:pPr>
        <w:spacing w:line="276" w:lineRule="auto"/>
      </w:pPr>
      <w:r w:rsidRPr="00C05886">
        <w:t xml:space="preserve">75. </w:t>
      </w:r>
      <w:r w:rsidRPr="00C05886">
        <w:tab/>
        <w:t xml:space="preserve">McEwan K, Giles D, Clarke FJ, Kotera Y, Evans G, </w:t>
      </w:r>
      <w:proofErr w:type="spellStart"/>
      <w:r w:rsidRPr="00C05886">
        <w:t>Terebenina</w:t>
      </w:r>
      <w:proofErr w:type="spellEnd"/>
      <w:r w:rsidRPr="00C05886">
        <w:t xml:space="preserve"> O, et al. A pragmatic controlled trial of forest bathing compared with compassionate mind training in the UK: Impacts on self-reported wellbeing and heart rate variability. Sustain Switz. 2021;13: 1–20. doi:10.3390/su13031380</w:t>
      </w:r>
    </w:p>
    <w:p w14:paraId="7A2283B4" w14:textId="77777777" w:rsidR="00950AF3" w:rsidRPr="00C05886" w:rsidRDefault="00950AF3" w:rsidP="00950AF3">
      <w:pPr>
        <w:spacing w:line="276" w:lineRule="auto"/>
      </w:pPr>
      <w:r w:rsidRPr="00C05886">
        <w:lastRenderedPageBreak/>
        <w:t xml:space="preserve">76. </w:t>
      </w:r>
      <w:r w:rsidRPr="00C05886">
        <w:tab/>
      </w:r>
      <w:proofErr w:type="spellStart"/>
      <w:r w:rsidRPr="00C05886">
        <w:t>Elsadek</w:t>
      </w:r>
      <w:proofErr w:type="spellEnd"/>
      <w:r w:rsidRPr="00C05886">
        <w:t xml:space="preserve"> M, Liu B. Effects of viewing flowering plants on employees’ wellbeing in an office-like environment. Indoor Built Environ. 2020; 1420326X20942572. doi:10.1177/1420326X20942572</w:t>
      </w:r>
    </w:p>
    <w:p w14:paraId="19239C22" w14:textId="77777777" w:rsidR="00950AF3" w:rsidRPr="00C05886" w:rsidRDefault="00950AF3" w:rsidP="00950AF3">
      <w:pPr>
        <w:spacing w:line="276" w:lineRule="auto"/>
      </w:pPr>
      <w:r w:rsidRPr="00C05886">
        <w:t xml:space="preserve">77. </w:t>
      </w:r>
      <w:r w:rsidRPr="00C05886">
        <w:tab/>
        <w:t xml:space="preserve">Neale C, Griffiths A, </w:t>
      </w:r>
      <w:proofErr w:type="spellStart"/>
      <w:r w:rsidRPr="00C05886">
        <w:t>Chalmin-Pui</w:t>
      </w:r>
      <w:proofErr w:type="spellEnd"/>
      <w:r w:rsidRPr="00C05886">
        <w:t xml:space="preserve"> LS, Mendu S, </w:t>
      </w:r>
      <w:proofErr w:type="spellStart"/>
      <w:r w:rsidRPr="00C05886">
        <w:t>Boukhechba</w:t>
      </w:r>
      <w:proofErr w:type="spellEnd"/>
      <w:r w:rsidRPr="00C05886">
        <w:t xml:space="preserve"> M, Roe J. </w:t>
      </w:r>
      <w:proofErr w:type="spellStart"/>
      <w:r w:rsidRPr="00C05886">
        <w:t>Color</w:t>
      </w:r>
      <w:proofErr w:type="spellEnd"/>
      <w:r w:rsidRPr="00C05886">
        <w:t xml:space="preserve"> aesthetics: A transatlantic comparison of psychological and physiological impacts of warm and cool </w:t>
      </w:r>
      <w:proofErr w:type="spellStart"/>
      <w:r w:rsidRPr="00C05886">
        <w:t>colors</w:t>
      </w:r>
      <w:proofErr w:type="spellEnd"/>
      <w:r w:rsidRPr="00C05886">
        <w:t xml:space="preserve"> in garden landscapes. Wellbeing Space Soc. 2021;2: 100038. </w:t>
      </w:r>
      <w:proofErr w:type="gramStart"/>
      <w:r w:rsidRPr="00C05886">
        <w:t>doi:10.1016/j.wss</w:t>
      </w:r>
      <w:proofErr w:type="gramEnd"/>
      <w:r w:rsidRPr="00C05886">
        <w:t>.2021.100038</w:t>
      </w:r>
    </w:p>
    <w:p w14:paraId="0629950E" w14:textId="77777777" w:rsidR="00950AF3" w:rsidRPr="00C05886" w:rsidRDefault="00950AF3" w:rsidP="00950AF3">
      <w:pPr>
        <w:spacing w:line="276" w:lineRule="auto"/>
      </w:pPr>
      <w:r w:rsidRPr="00C05886">
        <w:t xml:space="preserve">78. </w:t>
      </w:r>
      <w:r w:rsidRPr="00C05886">
        <w:tab/>
        <w:t xml:space="preserve">Zhang L, Dempsey N, Cameron R. Flowers – Sunshine for the soul! How does floral colour influence preference, feelings of relaxation and positive up-lift? Urban For Urban Green. 2023;79: 127795. </w:t>
      </w:r>
      <w:proofErr w:type="gramStart"/>
      <w:r w:rsidRPr="00C05886">
        <w:t>doi:10.1016/j.ufug</w:t>
      </w:r>
      <w:proofErr w:type="gramEnd"/>
      <w:r w:rsidRPr="00C05886">
        <w:t>.2022.127795</w:t>
      </w:r>
    </w:p>
    <w:p w14:paraId="0447DF41" w14:textId="77777777" w:rsidR="00950AF3" w:rsidRPr="00C05886" w:rsidRDefault="00950AF3" w:rsidP="00950AF3">
      <w:pPr>
        <w:spacing w:line="276" w:lineRule="auto"/>
      </w:pPr>
      <w:r w:rsidRPr="00C05886">
        <w:t xml:space="preserve">79. </w:t>
      </w:r>
      <w:r w:rsidRPr="00C05886">
        <w:tab/>
        <w:t xml:space="preserve">Hoyle H, </w:t>
      </w:r>
      <w:proofErr w:type="spellStart"/>
      <w:r w:rsidRPr="00C05886">
        <w:t>Hitchmough</w:t>
      </w:r>
      <w:proofErr w:type="spellEnd"/>
      <w:r w:rsidRPr="00C05886">
        <w:t xml:space="preserve"> J, Jorgensen A. All about the ‘wow factor’? The relationships between aesthetics, restorative effect and perceived biodiversity in designed urban planting. </w:t>
      </w:r>
      <w:proofErr w:type="spellStart"/>
      <w:r w:rsidRPr="00C05886">
        <w:t>Landsc</w:t>
      </w:r>
      <w:proofErr w:type="spellEnd"/>
      <w:r w:rsidRPr="00C05886">
        <w:t xml:space="preserve"> Urban Plan. 2017;164: 109–123. </w:t>
      </w:r>
      <w:proofErr w:type="gramStart"/>
      <w:r w:rsidRPr="00C05886">
        <w:t>doi:10.1016/j.landurbplan</w:t>
      </w:r>
      <w:proofErr w:type="gramEnd"/>
      <w:r w:rsidRPr="00C05886">
        <w:t>.2017.03.011</w:t>
      </w:r>
    </w:p>
    <w:p w14:paraId="7BCCDEFA" w14:textId="77229826" w:rsidR="005B372A" w:rsidRPr="00C05886" w:rsidRDefault="005B372A" w:rsidP="00F879E3">
      <w:pPr>
        <w:spacing w:line="480" w:lineRule="auto"/>
      </w:pPr>
    </w:p>
    <w:p w14:paraId="3B44C19E" w14:textId="2739C0E3" w:rsidR="00C90F60" w:rsidRPr="00C05886" w:rsidRDefault="00C90F60" w:rsidP="00F879E3">
      <w:pPr>
        <w:spacing w:line="480" w:lineRule="auto"/>
      </w:pPr>
    </w:p>
    <w:p w14:paraId="4C070898" w14:textId="77777777" w:rsidR="00C90F60" w:rsidRPr="00C05886" w:rsidRDefault="00C90F60">
      <w:pPr>
        <w:spacing w:line="259" w:lineRule="auto"/>
        <w:jc w:val="left"/>
        <w:rPr>
          <w:rFonts w:eastAsiaTheme="majorEastAsia" w:cstheme="majorBidi"/>
          <w:b/>
          <w:sz w:val="56"/>
          <w:szCs w:val="32"/>
        </w:rPr>
      </w:pPr>
      <w:r w:rsidRPr="00C05886">
        <w:br w:type="page"/>
      </w:r>
    </w:p>
    <w:p w14:paraId="19D5A1CE" w14:textId="7A4BE116" w:rsidR="005F5299" w:rsidRPr="00C05886" w:rsidRDefault="005F5299" w:rsidP="005F5299">
      <w:pPr>
        <w:pStyle w:val="Heading1"/>
      </w:pPr>
      <w:bookmarkStart w:id="112" w:name="_Toc179962359"/>
      <w:r w:rsidRPr="00C05886">
        <w:lastRenderedPageBreak/>
        <w:t>Chapter 6 - Paper</w:t>
      </w:r>
      <w:bookmarkEnd w:id="112"/>
    </w:p>
    <w:p w14:paraId="752963ED" w14:textId="4097C7B8" w:rsidR="005F5299" w:rsidRPr="00C05886" w:rsidRDefault="005F5299" w:rsidP="00173BB8">
      <w:pPr>
        <w:rPr>
          <w:b/>
          <w:bCs/>
          <w:sz w:val="36"/>
          <w:szCs w:val="36"/>
        </w:rPr>
      </w:pPr>
      <w:r w:rsidRPr="00C05886">
        <w:rPr>
          <w:b/>
          <w:bCs/>
          <w:sz w:val="36"/>
          <w:szCs w:val="36"/>
        </w:rPr>
        <w:t>‘The Elephant in the Room’ – Does real or perceived biodiversity elicit restorative responses in a virtual park?</w:t>
      </w:r>
    </w:p>
    <w:p w14:paraId="4FEB711C" w14:textId="77777777" w:rsidR="005F5299" w:rsidRPr="00C05886" w:rsidRDefault="005F5299" w:rsidP="006E2D7C">
      <w:r w:rsidRPr="00C05886">
        <w:t>Simone Farris</w:t>
      </w:r>
      <w:r w:rsidRPr="00C05886">
        <w:rPr>
          <w:vertAlign w:val="superscript"/>
        </w:rPr>
        <w:t>1*</w:t>
      </w:r>
      <w:r w:rsidRPr="00C05886">
        <w:t>, Liwen Zhang</w:t>
      </w:r>
      <w:r w:rsidRPr="00C05886">
        <w:rPr>
          <w:vertAlign w:val="superscript"/>
        </w:rPr>
        <w:t>1</w:t>
      </w:r>
      <w:r w:rsidRPr="00C05886">
        <w:t>, Nicola Dempsey</w:t>
      </w:r>
      <w:r w:rsidRPr="00C05886">
        <w:rPr>
          <w:vertAlign w:val="superscript"/>
        </w:rPr>
        <w:t>1</w:t>
      </w:r>
      <w:r w:rsidRPr="00C05886">
        <w:t>, Kirsten McEwan</w:t>
      </w:r>
      <w:r w:rsidRPr="00C05886">
        <w:rPr>
          <w:vertAlign w:val="superscript"/>
        </w:rPr>
        <w:t>2</w:t>
      </w:r>
      <w:r w:rsidRPr="00C05886">
        <w:t>, Helen Hoyle</w:t>
      </w:r>
      <w:r w:rsidRPr="00C05886">
        <w:rPr>
          <w:vertAlign w:val="superscript"/>
        </w:rPr>
        <w:t>1</w:t>
      </w:r>
      <w:r w:rsidRPr="00C05886">
        <w:t xml:space="preserve"> and Ross Cameron</w:t>
      </w:r>
      <w:r w:rsidRPr="00C05886">
        <w:rPr>
          <w:vertAlign w:val="superscript"/>
        </w:rPr>
        <w:t>1</w:t>
      </w:r>
    </w:p>
    <w:p w14:paraId="165F1C50" w14:textId="77777777" w:rsidR="005F5299" w:rsidRPr="00C05886" w:rsidRDefault="005F5299" w:rsidP="006E2D7C">
      <w:r w:rsidRPr="00C05886">
        <w:t xml:space="preserve"> </w:t>
      </w:r>
    </w:p>
    <w:p w14:paraId="59CDD412" w14:textId="77777777" w:rsidR="005F5299" w:rsidRPr="00C05886" w:rsidRDefault="005F5299" w:rsidP="006E2D7C">
      <w:pPr>
        <w:rPr>
          <w:sz w:val="18"/>
          <w:szCs w:val="18"/>
        </w:rPr>
      </w:pPr>
      <w:r w:rsidRPr="00C05886">
        <w:rPr>
          <w:sz w:val="18"/>
          <w:szCs w:val="18"/>
          <w:vertAlign w:val="superscript"/>
        </w:rPr>
        <w:t>1</w:t>
      </w:r>
      <w:r w:rsidRPr="00C05886">
        <w:rPr>
          <w:sz w:val="18"/>
          <w:szCs w:val="18"/>
        </w:rPr>
        <w:t xml:space="preserve"> Department of Landscape Architecture, The University of Sheffield, Sheffield, United Kingdom</w:t>
      </w:r>
    </w:p>
    <w:p w14:paraId="484D9A6B" w14:textId="77777777" w:rsidR="005F5299" w:rsidRPr="00C05886" w:rsidRDefault="005F5299" w:rsidP="006E2D7C">
      <w:pPr>
        <w:rPr>
          <w:sz w:val="18"/>
          <w:szCs w:val="18"/>
        </w:rPr>
      </w:pPr>
      <w:r w:rsidRPr="00C05886">
        <w:rPr>
          <w:sz w:val="18"/>
          <w:szCs w:val="18"/>
          <w:vertAlign w:val="superscript"/>
        </w:rPr>
        <w:t>2</w:t>
      </w:r>
      <w:r w:rsidRPr="00C05886">
        <w:rPr>
          <w:sz w:val="18"/>
          <w:szCs w:val="18"/>
        </w:rPr>
        <w:t xml:space="preserve"> College of Health, Psychology and Social Care, University of Derby, Derby, United Kingdom</w:t>
      </w:r>
    </w:p>
    <w:p w14:paraId="6429D994" w14:textId="77777777" w:rsidR="005F5299" w:rsidRPr="00C05886" w:rsidRDefault="005F5299" w:rsidP="005F5299">
      <w:pPr>
        <w:pStyle w:val="Heading2"/>
      </w:pPr>
      <w:bookmarkStart w:id="113" w:name="_Toc179962360"/>
      <w:r w:rsidRPr="00C05886">
        <w:t>Abstract</w:t>
      </w:r>
      <w:bookmarkEnd w:id="113"/>
    </w:p>
    <w:p w14:paraId="348CF362" w14:textId="77777777" w:rsidR="005F5299" w:rsidRPr="00C05886" w:rsidRDefault="005F5299" w:rsidP="00A53FFA">
      <w:r w:rsidRPr="00C05886">
        <w:t>Previous studies suggested that urban green spaces with rich fauna and flora (i.e. rich biodiversity) improved well-being, in the form of reduced stress and better mood. However, few studies manipulated the biodiversity experimentally and controlled for potential confounders.</w:t>
      </w:r>
    </w:p>
    <w:p w14:paraId="1E61D0AB" w14:textId="77777777" w:rsidR="005F5299" w:rsidRPr="00C05886" w:rsidRDefault="005F5299" w:rsidP="00503FBF">
      <w:r w:rsidRPr="00C05886">
        <w:t>In the current study, an online experiment tested the hypothesis that more biodiverse green spaces will elicit greater well-being. Over 1600 participants from the UK and China reported their mood before and after virtually exploring the same urban park but with lower or higher macro-biodiversity (plants, birds and mammals). All participants also rated their perceived biodiversity (i.e. how many kinds of plants and animals they guessed to be present)</w:t>
      </w:r>
    </w:p>
    <w:p w14:paraId="298EF056" w14:textId="77777777" w:rsidR="005F5299" w:rsidRPr="00C05886" w:rsidRDefault="005F5299" w:rsidP="00503FBF">
      <w:r w:rsidRPr="00C05886">
        <w:t xml:space="preserve">The results showed that park variations produced improved mood, especially in stressed participants. This counters the initial hypothesis that maximum biodiversity correlates with higher well-being. Instead, participants who </w:t>
      </w:r>
      <w:r w:rsidRPr="00C05886">
        <w:rPr>
          <w:i/>
          <w:iCs/>
        </w:rPr>
        <w:t>perceived</w:t>
      </w:r>
      <w:r w:rsidRPr="00C05886">
        <w:t xml:space="preserve"> higher biodiversity reported greater mood improvements than those who perceived low biodiversity. However, the perceived biodiversity overestimated the </w:t>
      </w:r>
      <w:r w:rsidRPr="00C05886">
        <w:rPr>
          <w:i/>
          <w:iCs/>
        </w:rPr>
        <w:t>actual</w:t>
      </w:r>
      <w:r w:rsidRPr="00C05886">
        <w:t xml:space="preserve"> biodiversity. Interestingly, these findings were consistent in both UK and China samples This indicates that well-being benefits and stress recovery can occur in parks with low and high biodiversity. However, greater well-being effects can be gained if park visitors perceive and notice more biodiversity.</w:t>
      </w:r>
    </w:p>
    <w:p w14:paraId="6BA6E044" w14:textId="77777777" w:rsidR="005F5299" w:rsidRPr="00C05886" w:rsidRDefault="005F5299" w:rsidP="005F5299">
      <w:pPr>
        <w:pStyle w:val="Heading2"/>
      </w:pPr>
      <w:bookmarkStart w:id="114" w:name="_Toc179962361"/>
      <w:r w:rsidRPr="00C05886">
        <w:lastRenderedPageBreak/>
        <w:t>Introduction</w:t>
      </w:r>
      <w:bookmarkEnd w:id="114"/>
    </w:p>
    <w:p w14:paraId="7BF6866A" w14:textId="20DA67A6" w:rsidR="005F5299" w:rsidRPr="00C05886" w:rsidRDefault="005F5299" w:rsidP="000F299A">
      <w:r w:rsidRPr="00C05886">
        <w:t xml:space="preserve">Biodiversity (the variety and abundance of living species in a given geographical region) is going through a global crisis ushered in by climate change, overexploitation of natural resources and habitat loss </w:t>
      </w:r>
      <w:r w:rsidRPr="00C05886">
        <w:fldChar w:fldCharType="begin"/>
      </w:r>
      <w:r w:rsidR="00DC0B4B" w:rsidRPr="00C05886">
        <w:instrText xml:space="preserve"> ADDIN ZOTERO_ITEM CSL_CITATION {"citationID":"4oNjm8PW","properties":{"formattedCitation":"(Fisher {\\i{}et al.}, 2023)","plainCitation":"(Fisher et al., 2023)","noteIndex":0},"citationItems":[{"id":9979,"uris":["http://zotero.org/users/10951124/items/S7HV6RJN"],"itemData":{"id":9979,"type":"article-journal","abstract":"Abstract\n            People rely on well-functioning ecosystems to provide critical services that underpin human health and well-being. Consequently, biodiversity loss has profound negative implications for humanity. Human–biodiversity interactions can deliver individual-level well-being gains, equating to substantial healthcare cost savings when scaled up across populations. However, critical questions remain about which species and/or traits (for example, colours, sounds and smells) elicit well-being responses. The traits that influence well-being can be considered ‘effect’ traits. Using techniques from community ecology, we have analysed a database of species’ effect traits articulated by people to identify those that generate different types of well-being (physical, emotional, cognitive, social, spiritual and ‘global’ well-being, the latter being akin to ‘whole-person health’). Effect traits have a predominately positive impact on well-being, influenced by the identity and taxonomic kingdom of each species. Different sets of effect traits deliver different types of well-being. However, traits cannot be considered independently of species because multiple traits can be supported by a single species. Indeed, we have found that numerous effect traits from across the ecological community can elicit multiple types of well-being, illustrating the complexity of biodiversity experiences. Our empirical approach can help to implement interdisciplinary thinking for biodiversity conservation and nature-based public health interventions designed to support human well-being.","container-title":"Nature Sustainability","DOI":"10.1038/s41893-023-01151-3","ISSN":"2398-9629","journalAbbreviation":"Nat Sustain","language":"en","source":"DOI.org (Crossref)","title":"Human well-being responses to species’ traits","URL":"https://www.nature.com/articles/s41893-023-01151-3","author":[{"family":"Fisher","given":"J. C."},{"family":"Dallimer","given":"M."},{"family":"Irvine","given":"K. N."},{"family":"Aizlewood","given":"S. G."},{"family":"Austen","given":"G. E."},{"family":"Fish","given":"R. D."},{"family":"King","given":"P. M."},{"family":"Davies","given":"Z. G."}],"accessed":{"date-parts":[["2023",8,9]]},"issued":{"date-parts":[["2023",6,19]]}}}],"schema":"https://github.com/citation-style-language/schema/raw/master/csl-citation.json"} </w:instrText>
      </w:r>
      <w:r w:rsidRPr="00C05886">
        <w:fldChar w:fldCharType="separate"/>
      </w:r>
      <w:r w:rsidRPr="00C05886">
        <w:rPr>
          <w:rFonts w:ascii="Calibri" w:hAnsi="Calibri" w:cs="Calibri"/>
          <w:szCs w:val="24"/>
        </w:rPr>
        <w:t xml:space="preserve">(Fisher </w:t>
      </w:r>
      <w:r w:rsidRPr="00C05886">
        <w:rPr>
          <w:rFonts w:ascii="Calibri" w:hAnsi="Calibri" w:cs="Calibri"/>
          <w:i/>
          <w:iCs/>
          <w:szCs w:val="24"/>
        </w:rPr>
        <w:t>et al.</w:t>
      </w:r>
      <w:r w:rsidRPr="00C05886">
        <w:rPr>
          <w:rFonts w:ascii="Calibri" w:hAnsi="Calibri" w:cs="Calibri"/>
          <w:szCs w:val="24"/>
        </w:rPr>
        <w:t>, 2023)</w:t>
      </w:r>
      <w:r w:rsidRPr="00C05886">
        <w:fldChar w:fldCharType="end"/>
      </w:r>
      <w:r w:rsidRPr="00C05886">
        <w:t xml:space="preserve">. Cities and their green infrastructure – i.e. networks of natural and artificial ecosystems within and around the city </w:t>
      </w:r>
      <w:r w:rsidRPr="00C05886">
        <w:fldChar w:fldCharType="begin"/>
      </w:r>
      <w:r w:rsidR="00020123" w:rsidRPr="00C05886">
        <w:instrText xml:space="preserve"> ADDIN ZOTERO_ITEM CSL_CITATION {"citationID":"mZa51aqa","properties":{"formattedCitation":"(Tzoulas {\\i{}et al.}, 2007)","plainCitation":"(Tzoulas et al., 2007)","noteIndex":0},"citationItems":[{"id":5408,"uris":["http://zotero.org/users/10951124/items/UAYBVSKG"],"itemData":{"id":5408,"type":"article-journal","abstract":"Europe is a highly urbanised continent. The consequent loss and degradation of urban and peri-urban green space could adversely affect ecosystems as well as human health and well-being. The aim of this paper is to formulate a conceptual framework of associations between urban green space, and ecosystem and human health. Through an interdisciplinary literature review the concepts of Green Infrastructure, ecosystem health, and human health and well-being are discussed. The possible contributions of urban and peri-urban green space systems, or Green Infrastructure, on both ecosystem and human health are critically reviewed. Finally, based on a synthesis of the literature a conceptual framework is presented. The proposed conceptual framework highlights many dynamic factors, and their complex interactions, affecting ecosystem health and human health in urban areas. This framework forms the context into which extant and new research can be placed. In this way it forms the basis for a new interdisciplinary research agenda. © 2007 Elsevier B.V. All rights reserved.","container-title":"Landscape and Urban Planning","DOI":"10.1016/j.landurbplan.2007.02.001","ISSN":"01692046","issue":"3","page":"167-178","title":"Promoting ecosystem and human health in urban areas using Green Infrastructure: A literature review","volume":"81","author":[{"family":"Tzoulas","given":"Konstantinos"},{"family":"Korpela","given":"Kalevi"},{"family":"Venn","given":"Stephen"},{"family":"Yli-Pelkonen","given":"Vesa"},{"family":"Kaźmierczak","given":"Aleksandra"},{"family":"Niemela","given":"Jari"},{"family":"James","given":"Philip"}],"issued":{"date-parts":[["2007"]]}}}],"schema":"https://github.com/citation-style-language/schema/raw/master/csl-citation.json"} </w:instrText>
      </w:r>
      <w:r w:rsidRPr="00C05886">
        <w:fldChar w:fldCharType="separate"/>
      </w:r>
      <w:r w:rsidR="00020123" w:rsidRPr="00C05886">
        <w:rPr>
          <w:rFonts w:ascii="Calibri" w:hAnsi="Calibri" w:cs="Calibri"/>
          <w:szCs w:val="24"/>
        </w:rPr>
        <w:t xml:space="preserve">(Tzoulas </w:t>
      </w:r>
      <w:r w:rsidR="00020123" w:rsidRPr="00C05886">
        <w:rPr>
          <w:rFonts w:ascii="Calibri" w:hAnsi="Calibri" w:cs="Calibri"/>
          <w:i/>
          <w:iCs/>
          <w:szCs w:val="24"/>
        </w:rPr>
        <w:t>et al.</w:t>
      </w:r>
      <w:r w:rsidR="00020123" w:rsidRPr="00C05886">
        <w:rPr>
          <w:rFonts w:ascii="Calibri" w:hAnsi="Calibri" w:cs="Calibri"/>
          <w:szCs w:val="24"/>
        </w:rPr>
        <w:t>, 2007)</w:t>
      </w:r>
      <w:r w:rsidRPr="00C05886">
        <w:fldChar w:fldCharType="end"/>
      </w:r>
      <w:r w:rsidRPr="00C05886">
        <w:t xml:space="preserve"> – have become unexpected sanctuaries for many bird and plant species </w:t>
      </w:r>
      <w:r w:rsidRPr="00C05886">
        <w:fldChar w:fldCharType="begin"/>
      </w:r>
      <w:r w:rsidR="00001725" w:rsidRPr="00C05886">
        <w:instrText xml:space="preserve"> ADDIN ZOTERO_ITEM CSL_CITATION {"citationID":"4ptjAPxz","properties":{"formattedCitation":"(Aronson {\\i{}et al.}, 2014; Spotswood {\\i{}et al.}, 2021)","plainCitation":"(Aronson et al., 2014; Spotswood et al., 2021)","noteIndex":0},"citationItems":[{"id":5485,"uris":["http://zotero.org/users/10951124/items/4UUHDUMC"],"itemData":{"id":5485,"type":"article-journal","abstract":"Urbanization contributes to the loss of the world's biodiversity and the homogenization of its biota. However, comparative studies of urban biodiversity leading to robust generalities of the status and drivers of biodiversity in cities at the global scale are lacking. Here, we compiled the largest global dataset to date of two diverse taxa in cities: birds (54 cities) and plants (110 cities). We found that the majority of urban bird and plant species are native in the world's cities. Few plants and birds are cosmopolitan, the most common being Columba livia and Poa annua. The density of bird and plant species (the number of species per km(2)) has declined substantially: only 8% of native bird and 25% of native plant species are currently present compared with estimates of non-urban density of species. The current density of species in cities and the loss in density of species was best explained by anthropogenic features (landcover, city age) rather than by non-anthropogenic factors (geography, climate, topography). As urbanization continues to expand, efforts directed towards the conservation of intact vegetation within urban landscapes could support higher concentrations of both bird and plant species. Despite declines in the density of species, cities still retain endemic native species, thus providing opportunities for regional and global biodiversity conservation, restoration and education.","container-title":"Proc Biol Sci","DOI":"10.1098/rspb.2013.3330","ISSN":"0962-8452","issue":"1780","note":"publisher: LONDON: ROYAL SOC\npublisher-place: LONDON","page":"20133330","title":"A global analysis of the impacts of urbanization on bird and plant diversity reveals key anthropogenic drivers","volume":"281","author":[{"family":"Aronson","given":"Myla F J"},{"family":"La Sorte","given":"Frank A"},{"family":"Nilon","given":"Charles H"},{"family":"Katti","given":"Madhusudan"},{"family":"Goddard","given":"Mark A"},{"family":"Lepczyk","given":"Christopher A"},{"family":"Warren","given":"Paige S"},{"family":"Williams","given":"Nicholas S G"},{"family":"Cilliers","given":"Sarel"},{"family":"Clarkson","given":"Bruce"},{"family":"Dobbs","given":"Cynnamon"},{"family":"Dolan","given":"Rebecca"},{"family":"Hedblom","given":"Marcus"},{"family":"Klotz","given":"Stefan"},{"family":"Kooijmans","given":"Jip Louwe"},{"family":"Kühn","given":"Ingolf"},{"family":"Macgregor-Fors","given":"Ian"},{"family":"Mcdonnell","given":"Mark"},{"family":"Mörtberg","given":"Ulla"},{"family":"Pyšek","given":"Petr"},{"family":"Siebert","given":"Stefan"},{"family":"Sushinsky","given":"Jessica"},{"family":"Werner","given":"Peter"},{"family":"Winter","given":"Marten"}],"issued":{"date-parts":[["2014"]]}}},{"id":10729,"uris":["http://zotero.org/users/10951124/items/SI978ZJ9"],"itemData":{"id":10729,"type":"article-journal","abstract":"ABSTRACT\n            Cities are both embedded within and ecologically linked to their surrounding landscapes. Although urbanization poses a substantial threat to biodiversity, cities also support many species, some of which have larger populations, faster growth rates, and higher productivity in cities than outside of them. Despite this fact, surprisingly little attention has been paid to the potentially beneficial links between cities and their surroundings. We identify five pathways by which cities can benefit regional ecosystems by releasing species from threats in the larger landscape, increasing regional habitat heterogeneity and genetic diversity, acting as migratory stopovers, preadapting species to climate change, and enhancing public engagement and environmental stewardship. Increasing recognition of these pathways could help cities identify effective strategies for supporting regional biodiversity conservation and could provide a science-based platform for incorporating biodiversity alongside other urban greening goals.","container-title":"BioScience","DOI":"10.1093/biosci/biaa155","ISSN":"0006-3568, 1525-3244","issue":"2","language":"en","page":"148-160","source":"DOI.org (Crossref)","title":"The Biological Deserts Fallacy: Cities in Their Landscapes Contribute More than We Think to Regional Biodiversity","title-short":"The Biological Deserts Fallacy","volume":"71","author":[{"family":"Spotswood","given":"Erica N"},{"family":"Beller","given":"Erin E"},{"family":"Grossinger","given":"Robin"},{"family":"Grenier","given":"J Letitia"},{"family":"Heller","given":"Nicole E"},{"family":"Aronson","given":"Myla F J"}],"issued":{"date-parts":[["2021",2,15]]}}}],"schema":"https://github.com/citation-style-language/schema/raw/master/csl-citation.json"} </w:instrText>
      </w:r>
      <w:r w:rsidRPr="00C05886">
        <w:fldChar w:fldCharType="separate"/>
      </w:r>
      <w:r w:rsidR="00001725" w:rsidRPr="00C05886">
        <w:rPr>
          <w:rFonts w:ascii="Calibri" w:hAnsi="Calibri" w:cs="Calibri"/>
          <w:szCs w:val="24"/>
        </w:rPr>
        <w:t xml:space="preserve">(Aronson </w:t>
      </w:r>
      <w:r w:rsidR="00001725" w:rsidRPr="00C05886">
        <w:rPr>
          <w:rFonts w:ascii="Calibri" w:hAnsi="Calibri" w:cs="Calibri"/>
          <w:i/>
          <w:iCs/>
          <w:szCs w:val="24"/>
        </w:rPr>
        <w:t>et al.</w:t>
      </w:r>
      <w:r w:rsidR="00001725" w:rsidRPr="00C05886">
        <w:rPr>
          <w:rFonts w:ascii="Calibri" w:hAnsi="Calibri" w:cs="Calibri"/>
          <w:szCs w:val="24"/>
        </w:rPr>
        <w:t xml:space="preserve">, 2014; Spotswood </w:t>
      </w:r>
      <w:r w:rsidR="00001725" w:rsidRPr="00C05886">
        <w:rPr>
          <w:rFonts w:ascii="Calibri" w:hAnsi="Calibri" w:cs="Calibri"/>
          <w:i/>
          <w:iCs/>
          <w:szCs w:val="24"/>
        </w:rPr>
        <w:t>et al.</w:t>
      </w:r>
      <w:r w:rsidR="00001725" w:rsidRPr="00C05886">
        <w:rPr>
          <w:rFonts w:ascii="Calibri" w:hAnsi="Calibri" w:cs="Calibri"/>
          <w:szCs w:val="24"/>
        </w:rPr>
        <w:t>, 2021)</w:t>
      </w:r>
      <w:r w:rsidRPr="00C05886">
        <w:fldChar w:fldCharType="end"/>
      </w:r>
      <w:r w:rsidRPr="00C05886">
        <w:t xml:space="preserve">.  In time, with appropriate management, cities could be turned into favourable habitats, providing a haven for species while their natural habitats keep shrinking due to e.g. the intensification of agriculture </w:t>
      </w:r>
      <w:r w:rsidRPr="00C05886">
        <w:fldChar w:fldCharType="begin"/>
      </w:r>
      <w:r w:rsidRPr="00C05886">
        <w:instrText xml:space="preserve"> ADDIN ZOTERO_ITEM CSL_CITATION {"citationID":"E8v3Rcfg","properties":{"formattedCitation":"(Tilman {\\i{}et al.}, 2017)","plainCitation":"(Tilman et al., 2017)","noteIndex":0},"citationItems":[{"id":10020,"uris":["http://zotero.org/users/10951124/items/5AHCVUW4"],"itemData":{"id":10020,"type":"article-journal","container-title":"Nature","DOI":"10.1038/nature22900","ISSN":"0028-0836, 1476-4687","issue":"7656","journalAbbreviation":"Nature","language":"en","page":"73-81","source":"DOI.org (Crossref)","title":"Future threats to biodiversity and pathways to their prevention","volume":"546","author":[{"family":"Tilman","given":"David"},{"family":"Clark","given":"Michael"},{"family":"Williams","given":"David R."},{"family":"Kimmel","given":"Kaitlin"},{"family":"Polasky","given":"Stephen"},{"family":"Packer","given":"Craig"}],"issued":{"date-parts":[["2017",6]]}}}],"schema":"https://github.com/citation-style-language/schema/raw/master/csl-citation.json"} </w:instrText>
      </w:r>
      <w:r w:rsidRPr="00C05886">
        <w:fldChar w:fldCharType="separate"/>
      </w:r>
      <w:r w:rsidRPr="00C05886">
        <w:rPr>
          <w:rFonts w:ascii="Calibri" w:hAnsi="Calibri" w:cs="Calibri"/>
          <w:szCs w:val="24"/>
        </w:rPr>
        <w:t xml:space="preserve">(Tilman </w:t>
      </w:r>
      <w:r w:rsidRPr="00C05886">
        <w:rPr>
          <w:rFonts w:ascii="Calibri" w:hAnsi="Calibri" w:cs="Calibri"/>
          <w:i/>
          <w:iCs/>
          <w:szCs w:val="24"/>
        </w:rPr>
        <w:t>et al.</w:t>
      </w:r>
      <w:r w:rsidRPr="00C05886">
        <w:rPr>
          <w:rFonts w:ascii="Calibri" w:hAnsi="Calibri" w:cs="Calibri"/>
          <w:szCs w:val="24"/>
        </w:rPr>
        <w:t>, 2017)</w:t>
      </w:r>
      <w:r w:rsidRPr="00C05886">
        <w:fldChar w:fldCharType="end"/>
      </w:r>
      <w:r w:rsidRPr="00C05886">
        <w:t xml:space="preserve">. The development of Nature-based solutions – i.e. “actions to protect, sustainably manage and restore natural or modified ecosystems, that address societal challenges […]” </w:t>
      </w:r>
      <w:r w:rsidRPr="00C05886">
        <w:fldChar w:fldCharType="begin"/>
      </w:r>
      <w:r w:rsidRPr="00C05886">
        <w:instrText xml:space="preserve"> ADDIN ZOTERO_ITEM CSL_CITATION {"citationID":"yIwqwy8a","properties":{"formattedCitation":"(Cohen-Shacham {\\i{}et al.}, 2016)","plainCitation":"(Cohen-Shacham et al., 2016)","noteIndex":0},"citationItems":[{"id":10728,"uris":["http://zotero.org/users/10951124/items/A5GEV36I"],"itemData":{"id":10728,"type":"book","ISBN":"978-2-8317-1812-5","note":"DOI: 10.2305/IUCN.CH.2016.13.en","publisher":"IUCN International Union for Conservation of Nature","source":"DOI.org (Crossref)","title":"Nature-based solutions to address global societal challenges","URL":"https://portals.iucn.org/library/node/46191","editor":[{"family":"Cohen-Shacham","given":"E."},{"family":"Walters","given":"G."},{"family":"Janzen","given":"C."},{"family":"Maginnis","given":"S."}],"accessed":{"date-parts":[["2023",10,30]]},"issued":{"date-parts":[["2016",8,4]]}}}],"schema":"https://github.com/citation-style-language/schema/raw/master/csl-citation.json"} </w:instrText>
      </w:r>
      <w:r w:rsidRPr="00C05886">
        <w:fldChar w:fldCharType="separate"/>
      </w:r>
      <w:r w:rsidRPr="00C05886">
        <w:rPr>
          <w:rFonts w:ascii="Calibri" w:hAnsi="Calibri" w:cs="Calibri"/>
          <w:szCs w:val="24"/>
        </w:rPr>
        <w:t xml:space="preserve">(Cohen-Shacham </w:t>
      </w:r>
      <w:r w:rsidRPr="00C05886">
        <w:rPr>
          <w:rFonts w:ascii="Calibri" w:hAnsi="Calibri" w:cs="Calibri"/>
          <w:i/>
          <w:iCs/>
          <w:szCs w:val="24"/>
        </w:rPr>
        <w:t>et al.</w:t>
      </w:r>
      <w:r w:rsidRPr="00C05886">
        <w:rPr>
          <w:rFonts w:ascii="Calibri" w:hAnsi="Calibri" w:cs="Calibri"/>
          <w:szCs w:val="24"/>
        </w:rPr>
        <w:t>, 2016)</w:t>
      </w:r>
      <w:r w:rsidRPr="00C05886">
        <w:fldChar w:fldCharType="end"/>
      </w:r>
      <w:r w:rsidRPr="00C05886">
        <w:t xml:space="preserve"> –  has the potential to increase the biodiversity in urban environments, since these solutions must also enhance biodiversity as part of their outputs </w:t>
      </w:r>
      <w:r w:rsidRPr="00C05886">
        <w:fldChar w:fldCharType="begin"/>
      </w:r>
      <w:r w:rsidR="00134B49">
        <w:instrText xml:space="preserve"> ADDIN ZOTERO_ITEM CSL_CITATION {"citationID":"O384hNjE","properties":{"formattedCitation":"(European Commission {\\i{}et al.}, 2020)","plainCitation":"(European Commission et al., 2020)","noteIndex":0},"citationItems":[{"id":10727,"uris":["http://zotero.org/users/10951124/items/3EBA58DQ"],"itemData":{"id":10727,"type":"book","note":"DOI: 10.2777/236007","publisher":"Publications Office of the European Union","title":"Nature-based solutions – State of the art in EU-funded projects","author":[{"literal":"European Commission"},{"family":"Bulkeley","given":"H"},{"family":"Naumann","given":"S"},{"family":"Vojinovic","given":"Z"},{"family":"Calfapietra","given":"C"},{"family":"Whiteoak","given":"K"},{"family":"Freitas","given":"T"},{"family":"Vandewoestijne","given":"S"},{"family":"Wild","given":"T"}],"editor":[{"family":"Freitas","given":"T"},{"family":"Vandewoestijne","given":"S"},{"family":"Wild","given":"T"}],"issued":{"date-parts":[["2020"]]}}}],"schema":"https://github.com/citation-style-language/schema/raw/master/csl-citation.json"} </w:instrText>
      </w:r>
      <w:r w:rsidRPr="00C05886">
        <w:fldChar w:fldCharType="separate"/>
      </w:r>
      <w:r w:rsidRPr="00C05886">
        <w:rPr>
          <w:rFonts w:ascii="Calibri" w:hAnsi="Calibri" w:cs="Calibri"/>
          <w:szCs w:val="24"/>
        </w:rPr>
        <w:t xml:space="preserve">(European Commission </w:t>
      </w:r>
      <w:r w:rsidRPr="00C05886">
        <w:rPr>
          <w:rFonts w:ascii="Calibri" w:hAnsi="Calibri" w:cs="Calibri"/>
          <w:i/>
          <w:iCs/>
          <w:szCs w:val="24"/>
        </w:rPr>
        <w:t>et al.</w:t>
      </w:r>
      <w:r w:rsidRPr="00C05886">
        <w:rPr>
          <w:rFonts w:ascii="Calibri" w:hAnsi="Calibri" w:cs="Calibri"/>
          <w:szCs w:val="24"/>
        </w:rPr>
        <w:t>, 2020)</w:t>
      </w:r>
      <w:r w:rsidRPr="00C05886">
        <w:fldChar w:fldCharType="end"/>
      </w:r>
      <w:r w:rsidRPr="00C05886">
        <w:t>.</w:t>
      </w:r>
    </w:p>
    <w:p w14:paraId="3B8F7822" w14:textId="070B8BBA" w:rsidR="005F5299" w:rsidRPr="00C05886" w:rsidRDefault="005F5299" w:rsidP="00FF3D4B">
      <w:bookmarkStart w:id="115" w:name="_Hlk176427585"/>
      <w:r w:rsidRPr="00C05886">
        <w:t xml:space="preserve">Biodiverse environments, including those found in urban settings, have many ecosystem services to offer, not least those related to human health </w:t>
      </w:r>
      <w:r w:rsidRPr="00C05886">
        <w:fldChar w:fldCharType="begin"/>
      </w:r>
      <w:r w:rsidR="00AA4815">
        <w:instrText xml:space="preserve"> ADDIN ZOTERO_ITEM CSL_CITATION {"citationID":"24yZKBm4","properties":{"formattedCitation":"(Fisher {\\i{}et al.}, 2023)","plainCitation":"(Fisher et al., 2023)","noteIndex":0},"citationItems":[{"id":9979,"uris":["http://zotero.org/users/10951124/items/S7HV6RJN"],"itemData":{"id":9979,"type":"article-journal","abstract":"Abstract\n            People rely on well-functioning ecosystems to provide critical services that underpin human health and well-being. Consequently, biodiversity loss has profound negative implications for humanity. Human–biodiversity interactions can deliver individual-level well-being gains, equating to substantial healthcare cost savings when scaled up across populations. However, critical questions remain about which species and/or traits (for example, colours, sounds and smells) elicit well-being responses. The traits that influence well-being can be considered ‘effect’ traits. Using techniques from community ecology, we have analysed a database of species’ effect traits articulated by people to identify those that generate different types of well-being (physical, emotional, cognitive, social, spiritual and ‘global’ well-being, the latter being akin to ‘whole-person health’). Effect traits have a predominately positive impact on well-being, influenced by the identity and taxonomic kingdom of each species. Different sets of effect traits deliver different types of well-being. However, traits cannot be considered independently of species because multiple traits can be supported by a single species. Indeed, we have found that numerous effect traits from across the ecological community can elicit multiple types of well-being, illustrating the complexity of biodiversity experiences. Our empirical approach can help to implement interdisciplinary thinking for biodiversity conservation and nature-based public health interventions designed to support human well-being.","container-title":"Nature Sustainability","DOI":"10.1038/s41893-023-01151-3","ISSN":"2398-9629","journalAbbreviation":"Nat Sustain","language":"en","source":"DOI.org (Crossref)","title":"Human well-being responses to species’ traits","URL":"https://www.nature.com/articles/s41893-023-01151-3","author":[{"family":"Fisher","given":"J. C."},{"family":"Dallimer","given":"M."},{"family":"Irvine","given":"K. N."},{"family":"Aizlewood","given":"S. G."},{"family":"Austen","given":"G. E."},{"family":"Fish","given":"R. D."},{"family":"King","given":"P. M."},{"family":"Davies","given":"Z. G."}],"accessed":{"date-parts":[["2023",8,9]]},"issued":{"date-parts":[["2023",6,19]]}}}],"schema":"https://github.com/citation-style-language/schema/raw/master/csl-citation.json"} </w:instrText>
      </w:r>
      <w:r w:rsidRPr="00C05886">
        <w:fldChar w:fldCharType="separate"/>
      </w:r>
      <w:r w:rsidRPr="00C05886">
        <w:rPr>
          <w:rFonts w:ascii="Calibri" w:hAnsi="Calibri" w:cs="Calibri"/>
          <w:szCs w:val="24"/>
        </w:rPr>
        <w:t xml:space="preserve">(Fisher </w:t>
      </w:r>
      <w:r w:rsidRPr="00C05886">
        <w:rPr>
          <w:rFonts w:ascii="Calibri" w:hAnsi="Calibri" w:cs="Calibri"/>
          <w:i/>
          <w:iCs/>
          <w:szCs w:val="24"/>
        </w:rPr>
        <w:t>et al.</w:t>
      </w:r>
      <w:r w:rsidRPr="00C05886">
        <w:rPr>
          <w:rFonts w:ascii="Calibri" w:hAnsi="Calibri" w:cs="Calibri"/>
          <w:szCs w:val="24"/>
        </w:rPr>
        <w:t>, 2023)</w:t>
      </w:r>
      <w:r w:rsidRPr="00C05886">
        <w:fldChar w:fldCharType="end"/>
      </w:r>
      <w:r w:rsidRPr="00C05886">
        <w:t xml:space="preserve">. For instance, physical health may benefit from contact with a biodiverse microbiota in the soil as this can positively change the biota of skin </w:t>
      </w:r>
      <w:r w:rsidRPr="00C05886">
        <w:fldChar w:fldCharType="begin"/>
      </w:r>
      <w:r w:rsidR="00AA4815">
        <w:instrText xml:space="preserve"> ADDIN ZOTERO_ITEM CSL_CITATION {"citationID":"3936GFJ5","properties":{"formattedCitation":"(Gr\\uc0\\u246{}nroos {\\i{}et al.}, 2019; Robinson and Barrable, 2023)","plainCitation":"(Grönroos et al., 2019; Robinson and Barrable, 2023)","noteIndex":0},"citationItems":[{"id":9903,"uris":["http://zotero.org/users/10951124/items/UKHNPFI2"],"itemData":{"id":9903,"type":"article-journal","container-title":"MicrobiologyOpen","DOI":"10.1002/mbo3.645","ISSN":"2045-8827, 2045-8827","issue":"3","journalAbbreviation":"MicrobiologyOpen","language":"en","page":"e00645","source":"DOI.org (Crossref)","title":"Short‐term direct contact with soil and plant materials leads to an immediate increase in diversity of skin microbiota","volume":"8","author":[{"family":"Grönroos","given":"Mira"},{"family":"Parajuli","given":"Anirudra"},{"family":"Laitinen","given":"Olli H."},{"family":"Roslund","given":"Marja I."},{"family":"Vari","given":"Heli K."},{"family":"Hyöty","given":"Heikki"},{"family":"Puhakka","given":"Riikka"},{"family":"Sinkkonen","given":"Aki"}],"issued":{"date-parts":[["2019",3]]}}},{"id":9905,"uris":["http://zotero.org/users/10951124/items/ZFYEMYD9"],"itemData":{"id":9905,"type":"article-journal","abstract":"Early childhood is a time of rapid physiological, cognitive, and social development, affected by various environmental factors. The physical environment, including the environmental microbiome (the entire consortium of microorganisms and their theatre of activity in a given environment), plays an essential role in childhood development and can be shaped in ways to support health and wellbeing. In this Perspective article, we present considerations for early childhood education settings that wish to shape their outdoor and indoor environments to optimise human and ecosystem health. This is done in line with the latest evidence base on optimising health-supporting interactions between humans and environmental microbiota, but also in pedagogically and developmentally appropriate ways. Based on the Microbiome-Inspired Green Infrastructure (MIGI) principles, the considerations presented here not only support health through human–nature interactions and a healthier natural environment, but also promote a closer, reciprocal relationship between children and their natural environments.","container-title":"Education Sciences","DOI":"10.3390/educsci13020211","ISSN":"2227-7102","issue":"2","journalAbbreviation":"Education Sciences","language":"en","page":"211","source":"DOI.org (Crossref)","title":"Optimising Early Childhood Educational Settings for Health Using Nature-Based Solutions: The Microbiome Aspect","title-short":"Optimising Early Childhood Educational Settings for Health Using Nature-Based Solutions","volume":"13","author":[{"family":"Robinson","given":"Jake M."},{"family":"Barrable","given":"Alexia"}],"issued":{"date-parts":[["2023",2,16]]}}}],"schema":"https://github.com/citation-style-language/schema/raw/master/csl-citation.json"} </w:instrText>
      </w:r>
      <w:r w:rsidRPr="00C05886">
        <w:fldChar w:fldCharType="separate"/>
      </w:r>
      <w:r w:rsidRPr="00C05886">
        <w:rPr>
          <w:rFonts w:ascii="Calibri" w:hAnsi="Calibri" w:cs="Calibri"/>
          <w:szCs w:val="24"/>
        </w:rPr>
        <w:t xml:space="preserve">(Grönroos </w:t>
      </w:r>
      <w:r w:rsidRPr="00C05886">
        <w:rPr>
          <w:rFonts w:ascii="Calibri" w:hAnsi="Calibri" w:cs="Calibri"/>
          <w:i/>
          <w:iCs/>
          <w:szCs w:val="24"/>
        </w:rPr>
        <w:t>et al.</w:t>
      </w:r>
      <w:r w:rsidRPr="00C05886">
        <w:rPr>
          <w:rFonts w:ascii="Calibri" w:hAnsi="Calibri" w:cs="Calibri"/>
          <w:szCs w:val="24"/>
        </w:rPr>
        <w:t>, 2019; Robinson and Barrable, 2023)</w:t>
      </w:r>
      <w:r w:rsidRPr="00C05886">
        <w:fldChar w:fldCharType="end"/>
      </w:r>
      <w:r w:rsidRPr="00C05886">
        <w:t xml:space="preserve"> and gut </w:t>
      </w:r>
      <w:r w:rsidRPr="00C05886">
        <w:fldChar w:fldCharType="begin"/>
      </w:r>
      <w:r w:rsidR="00AA4815">
        <w:instrText xml:space="preserve"> ADDIN ZOTERO_ITEM CSL_CITATION {"citationID":"WxVh56sc","properties":{"formattedCitation":"(Liddicoat {\\i{}et al.}, 2020)","plainCitation":"(Liddicoat et al., 2020)","noteIndex":0},"citationItems":[{"id":6567,"uris":["http://zotero.org/users/10951124/items/WEVPSB2K"],"itemData":{"id":6567,"type":"article-journal","abstract":"Growing epidemiological evidence links natural green space exposure with a range of health benefits, including for mental health. Conversely, greater urbanisation associates with increased risk of mental health disorders. Microbiomes are proposed as an important but understudied link that may help explain many green space-human health associations. However, there remains a lack of controlled experimental evidence testing possible beneficial effects from passive exposure to natural biodiversity via airborne microbiota. Previous mouse model studies have used unrealistic environmental microbial exposures—including excessive soil and organic matter contact, feed supplements and injections—to demonstrate host microbiota, immune biomarker, and behavioural changes. Here, in a randomised controlled experiment, we demonstrate that realistic exposures to trace-level dust from a high biodiversity soil can change mouse gut microbiota, in comparison to dust from low biodiversity soil or no soil (control) (n = 54 total mice, comprising 3 treatments × 18 mice, with 9 females + 9 males per group). Furthermore, we found a nominal soil-derived anaerobic spore-forming butyrate-producer, Kineothrix alysoides, was supplemented to a greater extent in the gut microbiomes of high biodiversity treatment mice. Also, increasing relative abundance of this rare organism correlated with reduced anxiety-like behaviour in the most anxious mice. Our results point to an intriguing new hypothesis: that biodiverse soils may represent an important supplementary source of butyrate-producing bacteria capable of resupplying the mammalian gut microbiome, with potential for gut health and mental health benefits. Our findings have potential to inform cost-effective population health interventions through microbiome-conscious green space design and, ultimately, the mainstreaming of biodiversity into health care.","container-title":"Science of the Total Environment","DOI":"10.1016/j.scitotenv.2019.134684","ISSN":"18791026","title":"Naturally-diverse airborne environmental microbial exposures modulate the gut microbiome and may provide anxiolytic benefits in mice","volume":"701","author":[{"family":"Liddicoat","given":"Craig"},{"family":"Sydnor","given":"Harrison"},{"family":"Cando-Dumancela","given":"Christian"},{"family":"Dresken","given":"Romy"},{"family":"Liu","given":"Jiajun"},{"family":"Gellie","given":"Nicholas J.C."},{"family":"Mills","given":"Jacob G."},{"family":"Young","given":"Jennifer M."},{"family":"Weyrich","given":"Laura S."},{"family":"Hutchinson","given":"Mark R."},{"family":"Weinstein","given":"Philip"},{"family":"Breed","given":"Martin F."}],"issued":{"date-parts":[["2020"]]}}}],"schema":"https://github.com/citation-style-language/schema/raw/master/csl-citation.json"} </w:instrText>
      </w:r>
      <w:r w:rsidRPr="00C05886">
        <w:fldChar w:fldCharType="separate"/>
      </w:r>
      <w:r w:rsidRPr="00C05886">
        <w:rPr>
          <w:rFonts w:ascii="Calibri" w:hAnsi="Calibri" w:cs="Calibri"/>
          <w:szCs w:val="24"/>
        </w:rPr>
        <w:t xml:space="preserve">(Liddicoat </w:t>
      </w:r>
      <w:r w:rsidRPr="00C05886">
        <w:rPr>
          <w:rFonts w:ascii="Calibri" w:hAnsi="Calibri" w:cs="Calibri"/>
          <w:i/>
          <w:iCs/>
          <w:szCs w:val="24"/>
        </w:rPr>
        <w:t>et al.</w:t>
      </w:r>
      <w:r w:rsidRPr="00C05886">
        <w:rPr>
          <w:rFonts w:ascii="Calibri" w:hAnsi="Calibri" w:cs="Calibri"/>
          <w:szCs w:val="24"/>
        </w:rPr>
        <w:t>, 2020)</w:t>
      </w:r>
      <w:r w:rsidRPr="00C05886">
        <w:fldChar w:fldCharType="end"/>
      </w:r>
      <w:r w:rsidRPr="00C05886">
        <w:t xml:space="preserve">, both important in supporting the immune system. In general, biodiversity is also capable of reducing exposure to harmful environmental factors, e.g. air pollutants and excessive heat </w:t>
      </w:r>
      <w:r w:rsidRPr="00C05886">
        <w:fldChar w:fldCharType="begin"/>
      </w:r>
      <w:r w:rsidR="00AA4815">
        <w:instrText xml:space="preserve"> ADDIN ZOTERO_ITEM CSL_CITATION {"citationID":"lf5RBMVM","properties":{"formattedCitation":"(Marselle {\\i{}et al.}, 2021)","plainCitation":"(Marselle et al., 2021)","noteIndex":0},"citationItems":[{"id":9963,"uris":["http://zotero.org/users/10951124/items/J6HVMDGB"],"itemData":{"id":9963,"type":"article-journal","container-title":"Environment International","DOI":"10.1016/j.envint.2021.106420","ISSN":"01604120","journalAbbreviation":"Environment International","language":"en","page":"106420","source":"DOI.org (Crossref)","title":"Pathways linking biodiversity to human health: A conceptual framework","title-short":"Pathways linking biodiversity to human health","volume":"150","author":[{"family":"Marselle","given":"Melissa R."},{"family":"Hartig","given":"Terry"},{"family":"Cox","given":"Daniel T.C."},{"family":"De Bell","given":"Siân"},{"family":"Knapp","given":"Sonja"},{"family":"Lindley","given":"Sarah"},{"family":"Triguero-Mas","given":"Margarita"},{"family":"Böhning-Gaese","given":"Katrin"},{"family":"Braubach","given":"Matthias"},{"family":"Cook","given":"Penny A."},{"family":"De Vries","given":"Sjerp"},{"family":"Heintz-Buschart","given":"Anna"},{"family":"Hofmann","given":"Max"},{"family":"Irvine","given":"Katherine N."},{"family":"Kabisch","given":"Nadja"},{"family":"Kolek","given":"Franziska"},{"family":"Kraemer","given":"Roland"},{"family":"Markevych","given":"Iana"},{"family":"Martens","given":"Dörte"},{"family":"Müller","given":"Ruth"},{"family":"Nieuwenhuijsen","given":"Mark"},{"family":"Potts","given":"Jacqueline M."},{"family":"Stadler","given":"Jutta"},{"family":"Walton","given":"Samantha"},{"family":"Warber","given":"Sara L."},{"family":"Bonn","given":"Aletta"}],"issued":{"date-parts":[["2021",5]]}}}],"schema":"https://github.com/citation-style-language/schema/raw/master/csl-citation.json"} </w:instrText>
      </w:r>
      <w:r w:rsidRPr="00C05886">
        <w:fldChar w:fldCharType="separate"/>
      </w:r>
      <w:r w:rsidRPr="00C05886">
        <w:rPr>
          <w:rFonts w:ascii="Calibri" w:hAnsi="Calibri" w:cs="Calibri"/>
          <w:szCs w:val="24"/>
        </w:rPr>
        <w:t xml:space="preserve">(Marselle </w:t>
      </w:r>
      <w:r w:rsidRPr="00C05886">
        <w:rPr>
          <w:rFonts w:ascii="Calibri" w:hAnsi="Calibri" w:cs="Calibri"/>
          <w:i/>
          <w:iCs/>
          <w:szCs w:val="24"/>
        </w:rPr>
        <w:t>et al.</w:t>
      </w:r>
      <w:r w:rsidRPr="00C05886">
        <w:rPr>
          <w:rFonts w:ascii="Calibri" w:hAnsi="Calibri" w:cs="Calibri"/>
          <w:szCs w:val="24"/>
        </w:rPr>
        <w:t>, 2021)</w:t>
      </w:r>
      <w:r w:rsidRPr="00C05886">
        <w:fldChar w:fldCharType="end"/>
      </w:r>
      <w:r w:rsidRPr="00C05886">
        <w:t xml:space="preserve">, which are especially present in large cities. For example, research has shown that the amount of cooling provided by urban trees is determined by the species’ traits (e.g. leaf shape), which can enhance/reduce the tree’s evapotranspiration </w:t>
      </w:r>
      <w:r w:rsidRPr="00C05886">
        <w:fldChar w:fldCharType="begin"/>
      </w:r>
      <w:r w:rsidR="00AA4815">
        <w:instrText xml:space="preserve"> ADDIN ZOTERO_ITEM CSL_CITATION {"citationID":"UvPlrFwL","properties":{"formattedCitation":"(Gunawardena, Wells and Kershaw, 2017)","plainCitation":"(Gunawardena, Wells and Kershaw, 2017)","noteIndex":0},"citationItems":[{"id":10212,"uris":["http://zotero.org/users/10951124/items/JZM3AYBU"],"itemData":{"id":10212,"type":"article-journal","container-title":"Science of The Total Environment","DOI":"10.1016/j.scitotenv.2017.01.158","ISSN":"00489697","journalAbbreviation":"Science of The Total Environment","language":"en","page":"1040-1055","source":"DOI.org (Crossref)","title":"Utilising green and bluespace to mitigate urban heat island intensity","volume":"584-585","author":[{"family":"Gunawardena","given":"K.R."},{"family":"Wells","given":"M.J."},{"family":"Kershaw","given":"T."}],"issued":{"date-parts":[["2017",4]]}}}],"schema":"https://github.com/citation-style-language/schema/raw/master/csl-citation.json"} </w:instrText>
      </w:r>
      <w:r w:rsidRPr="00C05886">
        <w:fldChar w:fldCharType="separate"/>
      </w:r>
      <w:r w:rsidRPr="00C05886">
        <w:rPr>
          <w:rFonts w:ascii="Calibri" w:hAnsi="Calibri" w:cs="Calibri"/>
        </w:rPr>
        <w:t>(Gunawardena, Wells and Kershaw, 2017)</w:t>
      </w:r>
      <w:r w:rsidRPr="00C05886">
        <w:fldChar w:fldCharType="end"/>
      </w:r>
      <w:r w:rsidRPr="00C05886">
        <w:t xml:space="preserve"> and shading </w:t>
      </w:r>
      <w:r w:rsidRPr="00C05886">
        <w:fldChar w:fldCharType="begin"/>
      </w:r>
      <w:r w:rsidR="00AA4815">
        <w:instrText xml:space="preserve"> ADDIN ZOTERO_ITEM CSL_CITATION {"citationID":"BQRTWC7G","properties":{"formattedCitation":"(Cameron, Taylor and Emmett, 2014; Speak {\\i{}et al.}, 2020)","plainCitation":"(Cameron, Taylor and Emmett, 2014; Speak et al., 2020)","noteIndex":0},"citationItems":[{"id":10732,"uris":["http://zotero.org/users/10951124/items/LANDSYML"],"itemData":{"id":10732,"type":"article-journal","container-title":"Building and Environment","DOI":"10.1016/j.buildenv.2013.12.005","ISSN":"03601323","journalAbbreviation":"Building and Environment","language":"en","page":"198-207","source":"DOI.org (Crossref)","title":"What's ‘cool’ in the world of green façades? How plant choice influences the cooling properties of green walls","title-short":"What's ‘cool’ in the world of green façades?","volume":"73","author":[{"family":"Cameron","given":"Ross W.F."},{"family":"Taylor","given":"Jane E."},{"family":"Emmett","given":"Martin R."}],"issued":{"date-parts":[["2014",3]]}}},{"id":10214,"uris":["http://zotero.org/users/10951124/items/VNCUEZ4V"],"itemData":{"id":10214,"type":"article-journal","container-title":"Landscape and Urban Planning","DOI":"10.1016/j.landurbplan.2020.103748","ISSN":"01692046","journalAbbreviation":"Landscape and Urban Planning","language":"en","page":"103748","source":"DOI.org (Crossref)","title":"The influence of tree traits on urban ground surface shade cooling","volume":"197","author":[{"family":"Speak","given":"Andrew"},{"family":"Montagnani","given":"Leonardo"},{"family":"Wellstein","given":"Camilla"},{"family":"Zerbe","given":"Stefan"}],"issued":{"date-parts":[["2020",5]]}}}],"schema":"https://github.com/citation-style-language/schema/raw/master/csl-citation.json"} </w:instrText>
      </w:r>
      <w:r w:rsidRPr="00C05886">
        <w:fldChar w:fldCharType="separate"/>
      </w:r>
      <w:r w:rsidRPr="00C05886">
        <w:rPr>
          <w:rFonts w:ascii="Calibri" w:hAnsi="Calibri" w:cs="Calibri"/>
          <w:szCs w:val="24"/>
        </w:rPr>
        <w:t xml:space="preserve">(Cameron, Taylor and Emmett, 2014; Speak </w:t>
      </w:r>
      <w:r w:rsidRPr="00C05886">
        <w:rPr>
          <w:rFonts w:ascii="Calibri" w:hAnsi="Calibri" w:cs="Calibri"/>
          <w:i/>
          <w:iCs/>
          <w:szCs w:val="24"/>
        </w:rPr>
        <w:t>et al.</w:t>
      </w:r>
      <w:r w:rsidRPr="00C05886">
        <w:rPr>
          <w:rFonts w:ascii="Calibri" w:hAnsi="Calibri" w:cs="Calibri"/>
          <w:szCs w:val="24"/>
        </w:rPr>
        <w:t>, 2020)</w:t>
      </w:r>
      <w:r w:rsidRPr="00C05886">
        <w:fldChar w:fldCharType="end"/>
      </w:r>
      <w:r w:rsidRPr="00C05886">
        <w:t>.</w:t>
      </w:r>
    </w:p>
    <w:bookmarkEnd w:id="115"/>
    <w:p w14:paraId="0A009249" w14:textId="1D72D7A4" w:rsidR="005F5299" w:rsidRPr="00C05886" w:rsidRDefault="005F5299" w:rsidP="00FF3D4B">
      <w:r w:rsidRPr="00C05886">
        <w:t xml:space="preserve">Another large body of research investigated the benefits of urban green spaces on mental health </w:t>
      </w:r>
      <w:r w:rsidRPr="00C05886">
        <w:fldChar w:fldCharType="begin"/>
      </w:r>
      <w:r w:rsidR="000309A4" w:rsidRPr="00C05886">
        <w:instrText xml:space="preserve"> ADDIN ZOTERO_ITEM CSL_CITATION {"citationID":"pompp3yg","properties":{"formattedCitation":"(Frumkin {\\i{}et al.}, 2017)","plainCitation":"(Frumkin et al., 2017)","noteIndex":0},"citationItems":[{"id":6963,"uris":["http://zotero.org/users/10951124/items/8MTPBJ48"],"itemData":{"id":6963,"type":"article-journal","abstract":"Background: At a time of increasing disconnectedness from nature, scientific interest in the potential health benefits of nature contact has grown. Research in recent decades has yielded substantial evidence, but large gaps remain in our understanding. Objectives: We propose a research agenda on nature contact and health, identifying principal domains of research and key questions that, if answered, would provide the basis for evidence-based public health interventions. Discussion: We identify research questions in seven domains: a) mechanistic biomedical studies","container-title":"Environmental Health Perspectives (Online)","DOI":"10.1289/EHP1663","ISSN":"00916765","issue":"7","note":"publisher-place: Research Triangle Park","title":"Nature Contact and Human Health: A Research Agenda","volume":"125","author":[{"family":"Frumkin","given":"Howard"},{"family":"Bratman","given":"Gregory"},{"family":"Breslow","given":"Sara"},{"family":"Cochran","given":"Bobby"},{"family":"Kahn","given":"Peter"},{"family":"Lawler","given":"Joshua"},{"family":"Levin","given":"Phillip"},{"family":"Tandon","given":"Pooja"},{"family":"Varanasi","given":"Usha"},{"family":"Wolf","given":"Kathleen"},{"family":"Wood","given":"Spencer"}],"issued":{"date-parts":[["2017"]]}}}],"schema":"https://github.com/citation-style-language/schema/raw/master/csl-citation.json"} </w:instrText>
      </w:r>
      <w:r w:rsidRPr="00C05886">
        <w:fldChar w:fldCharType="separate"/>
      </w:r>
      <w:r w:rsidR="000309A4" w:rsidRPr="00C05886">
        <w:rPr>
          <w:rFonts w:ascii="Calibri" w:hAnsi="Calibri" w:cs="Calibri"/>
          <w:szCs w:val="24"/>
        </w:rPr>
        <w:t xml:space="preserve">(Frumkin </w:t>
      </w:r>
      <w:r w:rsidR="000309A4" w:rsidRPr="00C05886">
        <w:rPr>
          <w:rFonts w:ascii="Calibri" w:hAnsi="Calibri" w:cs="Calibri"/>
          <w:i/>
          <w:iCs/>
          <w:szCs w:val="24"/>
        </w:rPr>
        <w:t>et al.</w:t>
      </w:r>
      <w:r w:rsidR="000309A4" w:rsidRPr="00C05886">
        <w:rPr>
          <w:rFonts w:ascii="Calibri" w:hAnsi="Calibri" w:cs="Calibri"/>
          <w:szCs w:val="24"/>
        </w:rPr>
        <w:t>, 2017)</w:t>
      </w:r>
      <w:r w:rsidRPr="00C05886">
        <w:fldChar w:fldCharType="end"/>
      </w:r>
      <w:r w:rsidRPr="00C05886">
        <w:t xml:space="preserve">. Urban environments that host relatively high biodiversity, such as parks, gardens and arboretums have been seen as providers of psychological well-being </w:t>
      </w:r>
      <w:r w:rsidRPr="00C05886">
        <w:fldChar w:fldCharType="begin"/>
      </w:r>
      <w:r w:rsidRPr="00C05886">
        <w:instrText xml:space="preserve"> ADDIN ZOTERO_ITEM CSL_CITATION {"citationID":"7DfkbhQC","properties":{"formattedCitation":"(Markevych {\\i{}et al.}, 2017)","plainCitation":"(Markevych et al., 2017)","noteIndex":0},"citationItems":[{"id":6376,"uris":["http://zotero.org/users/10951124/items/WPESWTUN"],"itemData":{"id":6376,"type":"article-journal","abstract":"Background In a rapidly urbanizing world, many people have little contact with natural environments, which may affect health and well-being. Existing reviews generally conclude that residential greenspace is beneficial to health. However, the processes generating these benefits and how they can be best promoted remain unclear. Objectives During an Expert Workshop held in September 2016, the evidence linking greenspace and health was reviewed from a transdisciplinary standpoint, with a particular focus on potential underlying biopsychosocial pathways and how these can be explored and organized to support policy-relevant population health research. Discussions Potential pathways linking greenspace to health are here presented in three domains, which emphasize three general functions of greenspace: reducing harm (e.g. reducing exposure to air pollution, noise and heat), restoring capacities (e.g. attention restoration and physiological stress recovery) and building capacities (e.g. encouraging physical activity and facilitating social cohesion). Interrelations between among the three domains are also noted. Among several recommendations, future studies should: use greenspace and behavioural measures that are relevant to hypothesized pathways; include assessment of presence, access and use of greenspace; use longitudinal, interventional and (quasi)experimental study designs to assess causation; and include low and middle income countries given their absence in the existing literature. Cultural, climatic, geographic and other contextual factors also need further consideration. Conclusions While the existing evidence affirms beneficial impacts of greenspace on health, much remains to be learned about the specific pathways and functional form of such relationships, and how these may vary by context, population groups and health outcomes. This Report provides guidance for further epidemiological research with the goal of creating new evidence upon which to develop policy recommendations.","container-title":"Environmental Research","DOI":"10.1016/j.envres.2017.06.028","ISSN":"10960953","title":"Exploring pathways linking greenspace to health: Theoretical and methodological guidance","volume":"158","author":[{"family":"Markevych","given":"Iana"},{"family":"Schoierer","given":"Julia"},{"family":"Hartig","given":"Terry"},{"family":"Chudnovsky","given":"Alexandra"},{"family":"Hystad","given":"Perry"},{"family":"Dzhambov","given":"Angel M."},{"family":"Vries","given":"Sjerp","non-dropping-particle":"de"},{"family":"Triguero-Mas","given":"Margarita"},{"family":"Brauer","given":"Michael"},{"family":"Nieuwenhuijsen","given":"Mark J."},{"family":"Lupp","given":"Gerd"},{"family":"Richardson","given":"Elizabeth A."},{"family":"Astell-Burt","given":"Thomas"},{"family":"Dimitrova","given":"Donka"},{"family":"Feng","given":"Xiaoqi"},{"family":"Sadeh","given":"Maya"},{"family":"Standl","given":"Marie"},{"family":"Heinrich","given":"Joachim"},{"family":"Fuertes","given":"Elaine"}],"issued":{"date-parts":[["2017"]]}}}],"schema":"https://github.com/citation-style-language/schema/raw/master/csl-citation.json"} </w:instrText>
      </w:r>
      <w:r w:rsidRPr="00C05886">
        <w:fldChar w:fldCharType="separate"/>
      </w:r>
      <w:r w:rsidRPr="00C05886">
        <w:rPr>
          <w:rFonts w:ascii="Calibri" w:hAnsi="Calibri" w:cs="Calibri"/>
          <w:szCs w:val="24"/>
        </w:rPr>
        <w:t xml:space="preserve">(Markevych </w:t>
      </w:r>
      <w:r w:rsidRPr="00C05886">
        <w:rPr>
          <w:rFonts w:ascii="Calibri" w:hAnsi="Calibri" w:cs="Calibri"/>
          <w:i/>
          <w:iCs/>
          <w:szCs w:val="24"/>
        </w:rPr>
        <w:t>et al.</w:t>
      </w:r>
      <w:r w:rsidRPr="00C05886">
        <w:rPr>
          <w:rFonts w:ascii="Calibri" w:hAnsi="Calibri" w:cs="Calibri"/>
          <w:szCs w:val="24"/>
        </w:rPr>
        <w:t>, 2017)</w:t>
      </w:r>
      <w:r w:rsidRPr="00C05886">
        <w:fldChar w:fldCharType="end"/>
      </w:r>
      <w:r w:rsidRPr="00C05886">
        <w:t xml:space="preserve">. As a quality of these landscapes, biodiversity can be linked to at least two psycho-evolutionary theories proposing that natural-looking landscapes (including urban green spaces) can support well-being </w:t>
      </w:r>
      <w:r w:rsidRPr="00C05886">
        <w:fldChar w:fldCharType="begin"/>
      </w:r>
      <w:r w:rsidRPr="00C05886">
        <w:instrText xml:space="preserve"> ADDIN ZOTERO_ITEM CSL_CITATION {"citationID":"hB8lpcNE","properties":{"formattedCitation":"(Cracknell {\\i{}et al.}, 2017)","plainCitation":"(Cracknell et al., 2017)","noteIndex":0},"citationItems":[{"id":6733,"uris":["http://zotero.org/users/10951124/items/4JUW9R6D"],"itemData":{"id":6733,"type":"article-journal","abstract":"© 2016 Landscape Research Group Ltd. Even ‘managed’ natural settings, such as botanical gardens and zoos, can provide restorative experiences. Well-being benefits may also be greater in land/waterscapes with greater biodiversity (eg, species richness). Using two photo studies with student participants, we explored aesthetic and behavioural preferences, affect and the restorative potential of multiple public aquaria exhibits, including variation in biodiversity. Study 1 (N = 39) found that aquarium exhibits, in general, scored as highly as natural environments (eg, green space) on all dimensions. Study 2 (N = 40) examined whether responses were influenced by exhibit characteristics including: climatic region (tropical/temperate), biological group (vertebrates/invertebrates), species richness (high/low) and abundance of individuals (high/low). Supporting predictions, tropical, vertebrate (fish) and high species richness exhibits were generally rated more positively than temperate/invertebrate/low species richness exhibits. However, some low richness/high abundance exhibits were also rated unexpectedly positively. Findings are discussed within the context of the growing well-being and biodiversity literature.","container-title":"Landscape Research","DOI":"10.1080/01426397.2016.1243236","issue":"1","page":"18-32","title":"A preliminary investigation into the restorative potential of public aquaria exhibits: a UK student-based study","volume":"42","author":[{"family":"Cracknell","given":"D."},{"family":"White","given":"M.P."},{"family":"Pahl","given":"S."},{"family":"Depledge","given":"M.H."}],"issued":{"date-parts":[["2017"]]}}}],"schema":"https://github.com/citation-style-language/schema/raw/master/csl-citation.json"} </w:instrText>
      </w:r>
      <w:r w:rsidRPr="00C05886">
        <w:fldChar w:fldCharType="separate"/>
      </w:r>
      <w:r w:rsidRPr="00C05886">
        <w:rPr>
          <w:rFonts w:ascii="Calibri" w:hAnsi="Calibri" w:cs="Calibri"/>
          <w:szCs w:val="24"/>
        </w:rPr>
        <w:t xml:space="preserve">(Cracknell </w:t>
      </w:r>
      <w:r w:rsidRPr="00C05886">
        <w:rPr>
          <w:rFonts w:ascii="Calibri" w:hAnsi="Calibri" w:cs="Calibri"/>
          <w:i/>
          <w:iCs/>
          <w:szCs w:val="24"/>
        </w:rPr>
        <w:t>et al.</w:t>
      </w:r>
      <w:r w:rsidRPr="00C05886">
        <w:rPr>
          <w:rFonts w:ascii="Calibri" w:hAnsi="Calibri" w:cs="Calibri"/>
          <w:szCs w:val="24"/>
        </w:rPr>
        <w:t>, 2017)</w:t>
      </w:r>
      <w:r w:rsidRPr="00C05886">
        <w:fldChar w:fldCharType="end"/>
      </w:r>
      <w:r w:rsidRPr="00C05886">
        <w:t xml:space="preserve">. The Attention Restoration Theory </w:t>
      </w:r>
      <w:r w:rsidRPr="00C05886">
        <w:fldChar w:fldCharType="begin"/>
      </w:r>
      <w:r w:rsidR="004A46A3" w:rsidRPr="00C05886">
        <w:instrText xml:space="preserve"> ADDIN ZOTERO_ITEM CSL_CITATION {"citationID":"eszWA4TD","properties":{"formattedCitation":"(Kaplan, 1995)","plainCitation":"(Kaplan, 1995)","noteIndex":0},"citationItems":[{"id":6506,"uris":["http://zotero.org/users/10951124/items/2436CZCV"],"itemData":{"id":6506,"type":"article-journal","abstract":"Directed attention plays an important role in human information processing; its fatigue, in turn, has far-reaching consequences. Attention Restoration Theory provides an analysis of the kinds of experiences that lead to recovery from such fatigue. Natural environments turn out to be particularly rich in the characteristics necessary for restorative experiences. An integrative framework is proposed that places both directed attention and stress in the larger context of human-environment relationships. © 1995.","container-title":"Journal of Environmental Psychology","DOI":"10.1016/0272-4944(95)90001-2","ISSN":"15229610","issue":"3","page":"169-182","title":"The restorative benefits of nature: Toward an integrative framework","volume":"15","author":[{"family":"Kaplan","given":"Stephen"}],"issued":{"date-parts":[["1995"]]}}}],"schema":"https://github.com/citation-style-language/schema/raw/master/csl-citation.json"} </w:instrText>
      </w:r>
      <w:r w:rsidRPr="00C05886">
        <w:fldChar w:fldCharType="separate"/>
      </w:r>
      <w:r w:rsidR="004A46A3" w:rsidRPr="00C05886">
        <w:rPr>
          <w:rFonts w:ascii="Calibri" w:hAnsi="Calibri" w:cs="Calibri"/>
        </w:rPr>
        <w:t>(Kaplan, 1995)</w:t>
      </w:r>
      <w:r w:rsidRPr="00C05886">
        <w:fldChar w:fldCharType="end"/>
      </w:r>
      <w:r w:rsidRPr="00C05886">
        <w:t xml:space="preserve"> suggests green spaces provide “soft-fascinating” content (i.e. engaging but low-stimuli), allowing the brain to replenish its cognitive capacity (“Directed attention”) and thus improving cognitive </w:t>
      </w:r>
      <w:r w:rsidRPr="00C05886">
        <w:lastRenderedPageBreak/>
        <w:t xml:space="preserve">processes (e.g. memory). For example, a group of university staff who watched a video of a nature trail showed improved long-term memory and task accuracy compared with their baseline values and compared to a control group who watched a video of a busy city street </w:t>
      </w:r>
      <w:r w:rsidRPr="00C05886">
        <w:fldChar w:fldCharType="begin"/>
      </w:r>
      <w:r w:rsidRPr="00C05886">
        <w:instrText xml:space="preserve"> ADDIN ZOTERO_ITEM CSL_CITATION {"citationID":"1Viqtapi","properties":{"formattedCitation":"(Pilotti {\\i{}et al.}, 2015)","plainCitation":"(Pilotti et al., 2015)","noteIndex":0},"citationItems":[{"id":10236,"uris":["http://zotero.org/users/10951124/items/IRWH2333"],"itemData":{"id":10236,"type":"article-journal","abstract":"Can a brief exposure to nature at the end of a workday enhance sustained attention and long-term memory? Student advisors viewed a video of either a natural environment or a busy city street after work. Then they performed a tone-detection task that was intended to mimic a key feature of their job (being on the telephone). After the nature video, systolic blood pressure increased and response latencies remained stable across time. After the city video, systolic blood pressure remained unchanged from baseline, whereas response latencies increased over time. Self-reports of arousal and emotional state did not differ significantly between videos, whereas memory of the experimental setting was better after viewing the nature video. In sum, a brief contact with nature at the end of a workday may give an individual vigor to complete additional tasks but not improve his or her affect.","container-title":"Environment and Behavior","DOI":"10.1177/0013916514533187","ISSN":"0013-9165, 1552-390X","issue":"9","journalAbbreviation":"Environment and Behavior","language":"en","page":"947-969","source":"DOI.org (Crossref)","title":"Is Viewing a Nature Video After Work Restorative? Effects on Blood Pressure, Task Performance, and Long-Term Memory","title-short":"Is Viewing a Nature Video After Work Restorative?","volume":"47","author":[{"family":"Pilotti","given":"Maura"},{"family":"Klein","given":"Eric"},{"family":"Golem","given":"Devon"},{"family":"Piepenbrink","given":"Eric"},{"family":"Kaplan","given":"Katie"}],"issued":{"date-parts":[["2015",11]]}}}],"schema":"https://github.com/citation-style-language/schema/raw/master/csl-citation.json"} </w:instrText>
      </w:r>
      <w:r w:rsidRPr="00C05886">
        <w:fldChar w:fldCharType="separate"/>
      </w:r>
      <w:r w:rsidRPr="00C05886">
        <w:rPr>
          <w:rFonts w:ascii="Calibri" w:hAnsi="Calibri" w:cs="Calibri"/>
          <w:szCs w:val="24"/>
        </w:rPr>
        <w:t xml:space="preserve">(Pilotti </w:t>
      </w:r>
      <w:r w:rsidRPr="00C05886">
        <w:rPr>
          <w:rFonts w:ascii="Calibri" w:hAnsi="Calibri" w:cs="Calibri"/>
          <w:i/>
          <w:iCs/>
          <w:szCs w:val="24"/>
        </w:rPr>
        <w:t>et al.</w:t>
      </w:r>
      <w:r w:rsidRPr="00C05886">
        <w:rPr>
          <w:rFonts w:ascii="Calibri" w:hAnsi="Calibri" w:cs="Calibri"/>
          <w:szCs w:val="24"/>
        </w:rPr>
        <w:t>, 2015)</w:t>
      </w:r>
      <w:r w:rsidRPr="00C05886">
        <w:fldChar w:fldCharType="end"/>
      </w:r>
      <w:r w:rsidRPr="00C05886">
        <w:t xml:space="preserve">. The Stress Reduction Theory </w:t>
      </w:r>
      <w:r w:rsidRPr="00C05886">
        <w:fldChar w:fldCharType="begin"/>
      </w:r>
      <w:r w:rsidR="00D63253" w:rsidRPr="00C05886">
        <w:instrText xml:space="preserve"> ADDIN ZOTERO_ITEM CSL_CITATION {"citationID":"StZhjF71","properties":{"formattedCitation":"(Ulrich {\\i{}et al.}, 1991)","plainCitation":"(Ulrich et al., 1991)","noteIndex":0},"citationItems":[{"id":6345,"uris":["http://zotero.org/users/10951124/items/FZSVSHF3"],"itemData":{"id":6345,"type":"article-journal","abstract":"Different conceptual perspectives converge to predict that if individuals are stressed, an encounter with most unthreatening natural environments will have a stress reducing or restorative influence, whereas many urban environments will hamper recuperation. Hypotheses regarding emotional, attentional and physiological aspects of stress reducing influences of nature are derived from a psycho-evolutionary theory. To investigate these hypotheses, 120 subjects first viewed a stressful movie, and then were exposed to color/sound videotapes of one of six different natural and urban settings. Data concerning stress recovery during the environmental presentations were obtained from self-ratings of affective states and a battery of physiological measures: heart period, muscle tension, skin conductance and pulse transit time, a non-invasive measure that correlates with systolic blood pressure. Findings from the physiological and verbal measures converged to indicate that recovery was faster and more complete when subjects were exposed to natural rather than urban environments. The pattern of physiological findings raised the possibility that responses to nature had a salient parasympathetic nervous system component; however, there was no evidence of pronounced parasympathetic involvement in responses to the urban settings. There were directional differences in cardiac responses to the natural vs urban settings, suggesting that attention/intake was higher during the natural exposures. However, both the stressor film and the nature settings elicited high levels of involuntary or automatic attention, which contradicts the notion that restorative influences of nature stem from involuntary attention or fascination. Findings were consistent with the predictions of the psycho-evolutionary theory that restorative influences of nature involve a shift towards a more positively-toned emotional state, positive changes in physiological activity levels, and that these changes are accompanied by sustained attention/intake. Content differences in terms of natural vs human-made properties appeared decisive in accounting for the differences in recuperation and perceptual intake. © 1991 Academic Press Limited.","container-title":"Journal of Environmental Psychology","DOI":"10.1016/S0272-4944(05)80184-7","ISSN":"15229610","issue":"3","page":"201-230","title":"Stress recovery during exposure to natural and urban environments","volume":"11","author":[{"family":"Ulrich","given":"Roger S."},{"family":"Simons","given":"Robert F."},{"family":"Losito","given":"Barbara D."},{"family":"Fiorito","given":"Evelyn"},{"family":"Miles","given":"Mark A."},{"family":"Zelson","given":"Michael"}],"issued":{"date-parts":[["1991"]]}}}],"schema":"https://github.com/citation-style-language/schema/raw/master/csl-citation.json"} </w:instrText>
      </w:r>
      <w:r w:rsidRPr="00C05886">
        <w:fldChar w:fldCharType="separate"/>
      </w:r>
      <w:r w:rsidR="00D63253" w:rsidRPr="00C05886">
        <w:rPr>
          <w:rFonts w:ascii="Calibri" w:hAnsi="Calibri" w:cs="Calibri"/>
          <w:szCs w:val="24"/>
        </w:rPr>
        <w:t xml:space="preserve">(Ulrich </w:t>
      </w:r>
      <w:r w:rsidR="00D63253" w:rsidRPr="00C05886">
        <w:rPr>
          <w:rFonts w:ascii="Calibri" w:hAnsi="Calibri" w:cs="Calibri"/>
          <w:i/>
          <w:iCs/>
          <w:szCs w:val="24"/>
        </w:rPr>
        <w:t>et al.</w:t>
      </w:r>
      <w:r w:rsidR="00D63253" w:rsidRPr="00C05886">
        <w:rPr>
          <w:rFonts w:ascii="Calibri" w:hAnsi="Calibri" w:cs="Calibri"/>
          <w:szCs w:val="24"/>
        </w:rPr>
        <w:t>, 1991)</w:t>
      </w:r>
      <w:r w:rsidRPr="00C05886">
        <w:fldChar w:fldCharType="end"/>
      </w:r>
      <w:r w:rsidRPr="00C05886">
        <w:t xml:space="preserve"> postulates that views of “unthreatening nature” with a moderate degree of visual complexity (common in urban green spaces) enhance relaxation processes and reduce stress. This reduction in stress was observed both physiologically (e.g. reduced blood pressure </w:t>
      </w:r>
      <w:r w:rsidRPr="00C05886">
        <w:fldChar w:fldCharType="begin"/>
      </w:r>
      <w:r w:rsidR="00A35208">
        <w:instrText xml:space="preserve"> ADDIN ZOTERO_ITEM CSL_CITATION {"citationID":"kIpprQTq","properties":{"formattedCitation":"(Lanki {\\i{}et al.}, 2017)","plainCitation":"(Lanki et al., 2017)","dontUpdate":true,"noteIndex":0},"citationItems":[{"id":"6pP8vKpK/dRjnYDTH","uris":["http://www.mendeley.com/documents/?uuid=613f7577-54cc-3e55-a149-f9c698cd1748"],"itemData":{"DOI":"10.1016/j.envres.2017.07.039","ISSN":"10960953","PMID":"28802208","abstract":"Background Epidemiological studies have reported positive associations between the amount of green space in the living environment and mental and cardiovascular human health. In a search for effect mechanisms, field studies have found short-term visits to green environments to be associated with psychological stress relief. Less evidence is available on the effect of visits on cardiovascular physiology. Objectives To evaluate whether visits to urban green environments, in comparison to visits to a built-up environment, lead to beneficial short-term changes in indicators of cardiovascular health. Methods Thirty-six adult female volunteers visited three different types of urban environments: an urban forest, an urban park, and a built-up city centre, in Helsinki, Finland. The visits consisted of 15 min of sedentary viewing, and 30 min of walking. During the visits, blood pressure and heart rate were measured, and electrocardiogram recorded for the determination of indicators of heart rate variability. In addition, levels of respirable ambient particles and environmental noise were monitored. Results Visits to the green environments were associated with lower blood pressure (viewing period only), lower heart rate, and higher indices of heart rate variability [standard deviation of normal-to-normal intervals (SDNN), high frequency power] than visits to the city centre. In the green environments, heart rate decreased and SDNN increased during the visit. Associations between environment and indicators of cardiovascular health weakened slightly after inclusion of particulate air pollution and noise in the models. Conclusions Visits to urban green environments are associated with beneficial short-term changes in cardiovascular risk factors. This can be explained by psychological stress relief with contribution from reduced air pollution and noise exposure during the visits. Future research should evaluate the amount of exposure to green environments needed for longer-term benefits for cardiovascular health.","author":[{"dropping-particle":"","family":"Lanki","given":"Timo","non-dropping-particle":"","parse-names":false,"suffix":""},{"dropping-particle":"","family":"Siponen","given":"Taina","non-dropping-particle":"","parse-names":false,"suffix":""},{"dropping-particle":"","family":"Ojala","given":"Ann","non-dropping-particle":"","parse-names":false,"suffix":""},{"dropping-particle":"","family":"Korpela","given":"Kalevi","non-dropping-particle":"","parse-names":false,"suffix":""},{"dropping-particle":"","family":"Pennanen","given":"Arto","non-dropping-particle":"","parse-names":false,"suffix":""},{"dropping-particle":"","family":"Tiittanen","given":"Pekka","non-dropping-particle":"","parse-names":false,"suffix":""},{"dropping-particle":"","family":"Tsunetsugu","given":"Yuko","non-dropping-particle":"","parse-names":false,"suffix":""},{"dropping-particle":"","family":"Kagawa","given":"Takahide","non-dropping-particle":"","parse-names":false,"suffix":""},{"dropping-particle":"","family":"Tyrväinen","given":"Liisa","non-dropping-particle":"","parse-names":false,"suffix":""}],"container-title":"Environmental Research","id":"Ioh9ijsu/55rMlLZi","issued":{"date-parts":[["2017"]]},"page":"176-185","title":"Acute effects of visits to urban green environments on cardiovascular physiology in women: A field experiment","type":"article-journal","volume":"159"}}],"schema":"https://github.com/citation-style-language/schema/raw/master/csl-citation.json"} </w:instrText>
      </w:r>
      <w:r w:rsidRPr="00C05886">
        <w:fldChar w:fldCharType="separate"/>
      </w:r>
      <w:r w:rsidR="00D63253" w:rsidRPr="00C05886">
        <w:rPr>
          <w:rFonts w:ascii="Calibri" w:hAnsi="Calibri" w:cs="Calibri"/>
          <w:szCs w:val="24"/>
        </w:rPr>
        <w:t xml:space="preserve">Lanki </w:t>
      </w:r>
      <w:r w:rsidR="00D63253" w:rsidRPr="00C05886">
        <w:rPr>
          <w:rFonts w:ascii="Calibri" w:hAnsi="Calibri" w:cs="Calibri"/>
          <w:i/>
          <w:iCs/>
          <w:szCs w:val="24"/>
        </w:rPr>
        <w:t>et al.</w:t>
      </w:r>
      <w:r w:rsidR="00D63253" w:rsidRPr="00C05886">
        <w:rPr>
          <w:rFonts w:ascii="Calibri" w:hAnsi="Calibri" w:cs="Calibri"/>
          <w:szCs w:val="24"/>
        </w:rPr>
        <w:t>, 2017;</w:t>
      </w:r>
      <w:r w:rsidRPr="00C05886">
        <w:fldChar w:fldCharType="end"/>
      </w:r>
      <w:r w:rsidRPr="00C05886">
        <w:t xml:space="preserve"> and psychologically (e.g. improved mood; </w:t>
      </w:r>
      <w:r w:rsidRPr="00C05886">
        <w:fldChar w:fldCharType="begin"/>
      </w:r>
      <w:r w:rsidRPr="00C05886">
        <w:instrText xml:space="preserve"> ADDIN ZOTERO_ITEM CSL_CITATION {"citationID":"gZPRiz9D","properties":{"formattedCitation":"(Kondo {\\i{}et al.}, 2020)","plainCitation":"(Kondo et al., 2020)","dontUpdate":true,"noteIndex":0},"citationItems":[{"id":5807,"uris":["http://zotero.org/users/10951124/items/8Z2IWY4Q"],"itemData":{"id":5807,"type":"article-journal","abstract":"Exposure to natural outdoor environments (NOE) has been shown in population-level studies to reduce anxiety and psychological distress. This study investigated how exposure to one's everyday natural outdoor environments over one week influenced mood among residents of four European cities including Barcelona (Spain), Stoke-on-Trent (United Kingdom), Doetinchem (The Netherlands) and Kaunas (Lithuania). Participants (n = 368) wore a smartphone equipped with software applications to track location and mood (using mobile ecological momentary assessment (EMA) software), for seven consecutive days. We estimated random-effects ordered logistic regression models to examine the association between mood (positive and negative affect), and exposure to green space, represented by two binary variables indicating exposure versus no exposure to NOE using GPS tracking and satellite and aerial imagery, 10 and 30 min prior to participants’ completing the EMA. Models were adjusted for home city, day of the week, hour of the day, EMA survey type, residential NOE exposure, and sex, age, education level, mental health status and neighbourhood socioeconomic status. In addition, we tested for heterogeneity of effect by city, sex, age, residential NOE exposure and mental health status. Within 10 min of NOE exposure, compared to non-exposure, we found that overall there was a positive relationship with positive affect (OR: 1.39, 95% CI: 1.06, 1.81) of EMA surveys, and non-significant negative association with negative affect (OR: 0.80, 95% CI: 0.58, 1.10). When stratifying, associations were consistently found for Stoke-on-Trent inhabitants and men, while findings by age group were inconsistent. Weaker and less consistent associations were found for exposure 30 min prior to EMA. Our findings support increasing evidence of psychological and mental health benefits of exposure to natural outdoor environments, especially among urban populations such as those included in our study.","container-title":"Environment International","DOI":"10.1016/j.envint.2019.105237","ISSN":"18736750","note":"PMID: 31677802\npublisher: Elsevier Ltd","title":"Momentary mood response to natural outdoor environments in four European cities","volume":"134","author":[{"family":"Kondo","given":"Michelle C."},{"family":"Triguero-Mas","given":"Margarita"},{"family":"Donaire-Gonzalez","given":"David"},{"family":"Seto","given":"Edmund"},{"family":"Valentín","given":"Antònia"},{"family":"Hurst","given":"Gemma"},{"family":"Carrasco-Turigas","given":"Glòria"},{"family":"Masterson","given":"Daniel"},{"family":"Ambròs","given":"Albert"},{"family":"Ellis","given":"Naomi"},{"family":"Swart","given":"Wim"},{"family":"Davis","given":"Nora"},{"family":"Maas","given":"Jolanda"},{"family":"Jerrett","given":"Michael"},{"family":"Gidlow","given":"Christopher J."},{"family":"Nieuwenhuijsen","given":"Mark J."}],"issued":{"date-parts":[["2020",1,1]]}}}],"schema":"https://github.com/citation-style-language/schema/raw/master/csl-citation.json"} </w:instrText>
      </w:r>
      <w:r w:rsidRPr="00C05886">
        <w:fldChar w:fldCharType="separate"/>
      </w:r>
      <w:r w:rsidRPr="00C05886">
        <w:rPr>
          <w:rFonts w:ascii="Calibri" w:hAnsi="Calibri" w:cs="Calibri"/>
          <w:szCs w:val="24"/>
        </w:rPr>
        <w:t xml:space="preserve">Kondo </w:t>
      </w:r>
      <w:r w:rsidRPr="00C05886">
        <w:rPr>
          <w:rFonts w:ascii="Calibri" w:hAnsi="Calibri" w:cs="Calibri"/>
          <w:i/>
          <w:iCs/>
          <w:szCs w:val="24"/>
        </w:rPr>
        <w:t>et al.</w:t>
      </w:r>
      <w:r w:rsidRPr="00C05886">
        <w:rPr>
          <w:rFonts w:ascii="Calibri" w:hAnsi="Calibri" w:cs="Calibri"/>
          <w:szCs w:val="24"/>
        </w:rPr>
        <w:t>, 2020</w:t>
      </w:r>
      <w:r w:rsidRPr="00C05886">
        <w:fldChar w:fldCharType="end"/>
      </w:r>
      <w:r w:rsidRPr="00C05886">
        <w:t xml:space="preserve">). In particular, positive affect (positive emotions and their cognitive, physiological and behavioural expressions) seems to improve from contact with natural environments </w:t>
      </w:r>
      <w:r w:rsidRPr="00C05886">
        <w:fldChar w:fldCharType="begin"/>
      </w:r>
      <w:r w:rsidRPr="00C05886">
        <w:instrText xml:space="preserve"> ADDIN ZOTERO_ITEM CSL_CITATION {"citationID":"tcZgMNRl","properties":{"formattedCitation":"(McMahan and Estes, 2015)","plainCitation":"(McMahan and Estes, 2015)","noteIndex":0},"citationItems":[{"id":6296,"uris":["http://zotero.org/users/10951124/items/UFVUX6YA"],"itemData":{"id":6296,"type":"article-journal","abstract":"&lt;p&gt;A growing body of empirical research suggests that brief contact with natural environments improves emotional well-being. The current study synthesizes this body of research using meta-analytic techniques and assesses the mean effect size of exposure to natural environments on both positive and negative affect. Thirty-two studies with a total of 2356 participants were included. Across these studies, exposure to natural environments was associated with a moderate increase in positive affect and a smaller, yet consistent, decrease in negative affect relative to comparison conditions. Significant heterogeneity was found for the effect of nature on positive affect, and type of emotion assessment, type of exposure to nature, location of study, and mean age of sample were found to moderate this effect. The implications of these findings for existing theory and research are discussed, with particular emphasis placed on potential avenues for fruitful future research examining the effects of nature on well-being.&lt;/p&gt;","container-title":"The Journal of Positive Psychology","DOI":"10.1080/17439760.2014.994224","ISSN":"1743-9760","issue":"6","page":"507-519","title":"The effect of contact with natural environments on positive and negative affect: A meta-analysis","volume":"10","author":[{"family":"McMahan","given":"Ethan A"},{"family":"Estes","given":"David"}],"issued":{"date-parts":[["2015"]]}}}],"schema":"https://github.com/citation-style-language/schema/raw/master/csl-citation.json"} </w:instrText>
      </w:r>
      <w:r w:rsidRPr="00C05886">
        <w:fldChar w:fldCharType="separate"/>
      </w:r>
      <w:r w:rsidRPr="00C05886">
        <w:rPr>
          <w:rFonts w:ascii="Calibri" w:hAnsi="Calibri" w:cs="Calibri"/>
        </w:rPr>
        <w:t>(McMahan and Estes, 2015)</w:t>
      </w:r>
      <w:r w:rsidRPr="00C05886">
        <w:fldChar w:fldCharType="end"/>
      </w:r>
      <w:r w:rsidRPr="00C05886">
        <w:t>. In summary, a higher number of species in a given location (higher biodiversity) could increase the chances of being exposed to either ‘fascinating content’ or moderate ‘visual complexity’, in turn leading to well-being improvements.</w:t>
      </w:r>
    </w:p>
    <w:p w14:paraId="52F8BD81" w14:textId="7B6A67E4" w:rsidR="005F5299" w:rsidRPr="00C05886" w:rsidRDefault="005F5299" w:rsidP="00FF3D4B">
      <w:r w:rsidRPr="00C05886">
        <w:t xml:space="preserve">In a recent framework looking at the multiple pathways that may link biodiversity and human health </w:t>
      </w:r>
      <w:r w:rsidRPr="00C05886">
        <w:fldChar w:fldCharType="begin"/>
      </w:r>
      <w:r w:rsidRPr="00C05886">
        <w:instrText xml:space="preserve"> ADDIN ZOTERO_ITEM CSL_CITATION {"citationID":"2hF0pIuc","properties":{"formattedCitation":"(Marselle {\\i{}et al.}, 2021)","plainCitation":"(Marselle et al., 2021)","noteIndex":0},"citationItems":[{"id":9963,"uris":["http://zotero.org/users/10951124/items/J6HVMDGB"],"itemData":{"id":9963,"type":"article-journal","container-title":"Environment International","DOI":"10.1016/j.envint.2021.106420","ISSN":"01604120","journalAbbreviation":"Environment International","language":"en","page":"106420","source":"DOI.org (Crossref)","title":"Pathways linking biodiversity to human health: A conceptual framework","title-short":"Pathways linking biodiversity to human health","volume":"150","author":[{"family":"Marselle","given":"Melissa R."},{"family":"Hartig","given":"Terry"},{"family":"Cox","given":"Daniel T.C."},{"family":"De Bell","given":"Siân"},{"family":"Knapp","given":"Sonja"},{"family":"Lindley","given":"Sarah"},{"family":"Triguero-Mas","given":"Margarita"},{"family":"Böhning-Gaese","given":"Katrin"},{"family":"Braubach","given":"Matthias"},{"family":"Cook","given":"Penny A."},{"family":"De Vries","given":"Sjerp"},{"family":"Heintz-Buschart","given":"Anna"},{"family":"Hofmann","given":"Max"},{"family":"Irvine","given":"Katherine N."},{"family":"Kabisch","given":"Nadja"},{"family":"Kolek","given":"Franziska"},{"family":"Kraemer","given":"Roland"},{"family":"Markevych","given":"Iana"},{"family":"Martens","given":"Dörte"},{"family":"Müller","given":"Ruth"},{"family":"Nieuwenhuijsen","given":"Mark"},{"family":"Potts","given":"Jacqueline M."},{"family":"Stadler","given":"Jutta"},{"family":"Walton","given":"Samantha"},{"family":"Warber","given":"Sara L."},{"family":"Bonn","given":"Aletta"}],"issued":{"date-parts":[["2021",5]]}}}],"schema":"https://github.com/citation-style-language/schema/raw/master/csl-citation.json"} </w:instrText>
      </w:r>
      <w:r w:rsidRPr="00C05886">
        <w:fldChar w:fldCharType="separate"/>
      </w:r>
      <w:r w:rsidRPr="00C05886">
        <w:rPr>
          <w:rFonts w:ascii="Calibri" w:hAnsi="Calibri" w:cs="Calibri"/>
          <w:szCs w:val="24"/>
        </w:rPr>
        <w:t xml:space="preserve">(Marselle </w:t>
      </w:r>
      <w:r w:rsidRPr="00C05886">
        <w:rPr>
          <w:rFonts w:ascii="Calibri" w:hAnsi="Calibri" w:cs="Calibri"/>
          <w:i/>
          <w:iCs/>
          <w:szCs w:val="24"/>
        </w:rPr>
        <w:t>et al.</w:t>
      </w:r>
      <w:r w:rsidRPr="00C05886">
        <w:rPr>
          <w:rFonts w:ascii="Calibri" w:hAnsi="Calibri" w:cs="Calibri"/>
          <w:szCs w:val="24"/>
        </w:rPr>
        <w:t>, 2021)</w:t>
      </w:r>
      <w:r w:rsidRPr="00C05886">
        <w:fldChar w:fldCharType="end"/>
      </w:r>
      <w:r w:rsidRPr="00C05886">
        <w:t xml:space="preserve">, the contact with biodiversity has been conceptualised as the sum of “exposure” (duration and frequency of interaction) and “experience” (qualities of the experience, e.g. intentionality of the interaction, the direct/indirect physical proximity with biodiversity). Direct interactions (being physically present with biodiversity), such as birdwatching and berry picking, have been shown to be one of the reasons that attract visitors to city parks </w:t>
      </w:r>
      <w:r w:rsidRPr="00C05886">
        <w:fldChar w:fldCharType="begin"/>
      </w:r>
      <w:r w:rsidRPr="00C05886">
        <w:instrText xml:space="preserve"> ADDIN ZOTERO_ITEM CSL_CITATION {"citationID":"22RkC26E","properties":{"formattedCitation":"(Palliwoda, Kowarik and von der Lippe, 2017)","plainCitation":"(Palliwoda, Kowarik and von der Lippe, 2017)","noteIndex":0},"citationItems":[{"id":6054,"uris":["http://zotero.org/users/10951124/items/CEJSR5TC"],"itemData":{"id":6054,"type":"article-journal","abstract":"© 2016 Elsevier B.V. In a rapidly urbanizing world, people are increasingly at risk of being disconnected from nature. Previous studies demonstrate that urban parks support contact of urban dwellers with “nature”, urban foraging activities and contribute to human well-being. While the importance of biodiversity underlying ecosystem services is broadly acknowledged, the role of individual plant species in the interaction of park visitors with biodiversity has received less attention. By applying a mixed methods approach in two parks in Berlin (biodiversity analysis, observation, interviews), we aimed to (i) determine the importance of biodiversity interaction at the species level in relation to other park activities, (ii) identify the range of used and non-used plant species, (iii) determine purposes underlying the utilization of individual species, and (iv) analyze gender-related differences in these activities. Results indicated a considerable proportion of activities related to individual plant species (12%), compared to other activities in parks. In total, 26 cultivated or spontaneous species (ca 17% of the local species pools), were used for consumption (60%), decoration (21%) and biodiversity experience (17%). Native and non-native plants were utilized proportionally to local supply. More women (78%) than men interacted with plant species. Another 33 species were identified as being gathered in Berlin outside of gardens based on interviews of park visitors. Findings support approaches toward a biodiversity-friendly park design and management. Maintaining and facilitating biodiversity interactions for a broad range of park-users is a promising pathway to biodiversity conservation in cities and would help counteract the loss of experience in human-nature interactions.","container-title":"Landscape and Urban Planning","DOI":"10.1016/j.landurbplan.2016.09.003","page":"394-406","title":"Human-biodiversity interactions in urban parks: The species level matters","volume":"157","author":[{"family":"Palliwoda","given":"J."},{"family":"Kowarik","given":"I."},{"family":"Lippe","given":"M.","non-dropping-particle":"von der"}],"issued":{"date-parts":[["2017"]]}}}],"schema":"https://github.com/citation-style-language/schema/raw/master/csl-citation.json"} </w:instrText>
      </w:r>
      <w:r w:rsidRPr="00C05886">
        <w:fldChar w:fldCharType="separate"/>
      </w:r>
      <w:r w:rsidRPr="00C05886">
        <w:rPr>
          <w:rFonts w:ascii="Calibri" w:hAnsi="Calibri" w:cs="Calibri"/>
        </w:rPr>
        <w:t>(Palliwoda, Kowarik and von der Lippe, 2017)</w:t>
      </w:r>
      <w:r w:rsidRPr="00C05886">
        <w:fldChar w:fldCharType="end"/>
      </w:r>
      <w:r w:rsidRPr="00C05886">
        <w:t xml:space="preserve">. Direct interactions generally have a greater potential to provide well-being compared to indirect interactions (not being physically present in nature, e.g. watching a documentary) </w:t>
      </w:r>
      <w:r w:rsidRPr="00C05886">
        <w:fldChar w:fldCharType="begin"/>
      </w:r>
      <w:r w:rsidR="00DC0B4B" w:rsidRPr="00C05886">
        <w:instrText xml:space="preserve"> ADDIN ZOTERO_ITEM CSL_CITATION {"citationID":"Qeyjomv2","properties":{"formattedCitation":"(Browning, Mimnaugh, {\\i{}et al.}, 2020)","plainCitation":"(Browning, Mimnaugh, et al., 2020)","noteIndex":0},"citationItems":[{"id":4706,"uris":["http://zotero.org/users/10951124/items/I7ZC24VP"],"itemData":{"id":4706,"type":"article-journal","abstract":"Nature exposure in virtual reality (VR) can provide emotional well-being benefits for people who cannot access the outdoors. Little is known about how these simulated experiences compare with real outdoor experiences. We conduct an experiment with healthy undergraduate students that tests the effects of 6 min of outdoor nature exposure with 6 min of exposure to a 360-degree VR nature video, which is recorded at the outdoor nature exposure location. Skin conductivity, restorativeness, and mood before and after exposure are measured. We find that both types of nature exposure increase physiological arousal, benefit positive mood levels, and are restorative compared to an indoor setting without nature","container-title":"Frontiers in psychology","DOI":"10.3389/fpsyg.2019.02667","ISSN":"1664-1078","note":"publisher: Frontiers Media S.A","title":"Can Simulated Nature Support Mental Health? Comparing Short, Single-Doses of 360-Degree Nature Videos in Virtual Reality With the Outdoors","volume":"10","author":[{"family":"Browning","given":"Matthew"},{"family":"Mimnaugh","given":"Katherine J"},{"family":"Riper","given":"Carena J","non-dropping-particle":"van"},{"family":"Laurent","given":"Heidemarie K"},{"family":"LaValle","given":"Steven M"}],"issued":{"date-parts":[["2020"]]}}}],"schema":"https://github.com/citation-style-language/schema/raw/master/csl-citation.json"} </w:instrText>
      </w:r>
      <w:r w:rsidRPr="00C05886">
        <w:fldChar w:fldCharType="separate"/>
      </w:r>
      <w:r w:rsidR="00DC0B4B" w:rsidRPr="00C05886">
        <w:rPr>
          <w:rFonts w:ascii="Calibri" w:hAnsi="Calibri" w:cs="Calibri"/>
          <w:szCs w:val="24"/>
        </w:rPr>
        <w:t xml:space="preserve">(Browning, Mimnaugh, </w:t>
      </w:r>
      <w:r w:rsidR="00DC0B4B" w:rsidRPr="00C05886">
        <w:rPr>
          <w:rFonts w:ascii="Calibri" w:hAnsi="Calibri" w:cs="Calibri"/>
          <w:i/>
          <w:iCs/>
          <w:szCs w:val="24"/>
        </w:rPr>
        <w:t>et al.</w:t>
      </w:r>
      <w:r w:rsidR="00DC0B4B" w:rsidRPr="00C05886">
        <w:rPr>
          <w:rFonts w:ascii="Calibri" w:hAnsi="Calibri" w:cs="Calibri"/>
          <w:szCs w:val="24"/>
        </w:rPr>
        <w:t>, 2020)</w:t>
      </w:r>
      <w:r w:rsidRPr="00C05886">
        <w:fldChar w:fldCharType="end"/>
      </w:r>
      <w:r w:rsidRPr="00C05886">
        <w:t xml:space="preserve">. Nonetheless, researchers have successfully observed improvements in well-being even when their participants came in contact with biodiversity through pictures </w:t>
      </w:r>
      <w:r w:rsidRPr="00C05886">
        <w:fldChar w:fldCharType="begin"/>
      </w:r>
      <w:r w:rsidRPr="00C05886">
        <w:instrText xml:space="preserve"> ADDIN ZOTERO_ITEM CSL_CITATION {"citationID":"W2XAf9Yn","properties":{"formattedCitation":"(Brown, Barton and Gladwell, 2013)","plainCitation":"(Brown, Barton and Gladwell, 2013)","noteIndex":0},"citationItems":[{"id":7293,"uris":["http://zotero.org/users/10951124/items/4NXZ5E9Q"],"itemData":{"id":7293,"type":"article-journal","abstract":"A randomized crossover study explored whether viewing different scenes prior to a stressor altered autonomic function during the recovery from the stressor. The two scenes were (a) nature (composed of trees, grass, fields) or (b) built (composed of man-made, urban scenes lacking natural characteristics) environments. Autonomic function was assessed using noninvasive techniques of heart rate variability; in particular, time domain analyses evaluated parasympathetic activity, using root-mean-square of successive differences (RMSSD). During stress, secondary cardiovascular markers (heart rate, systolic and diastolic blood pressure) showed significant increases from baseline which did not differ between the two viewing conditions. Parasympathetic activity, however, was significantly higher in recovery following the stressor in the viewing scenes of nature condition compared to viewing scenes depicting built environments (RMSSD; 50.0 ± 31.3 vs 34.8 ± 14.8 ms). Thus, viewing nature scenes prior to a stressor alters autonomic activity in the recovery period. The secondary aim was to examine autonomic function during viewing of the two scenes. Standard deviation of R-R intervals (SDRR), as change from baseline, during the first 5 min of viewing nature scenes was greater than during built scenes. Overall, this suggests that nature can elicit improvements in the recovery process following a stressor.","container-title":"Environmental Science &amp; Technology","DOI":"10.1021/es305019p","ISSN":"0013-936X","issue":"11","note":"publisher: American Chemical Society","page":"5562-5569","title":"Viewing Nature Scenes Positively Affects Recovery of Autonomic Function Following Acute-Mental Stress","volume":"47","author":[{"family":"Brown","given":"Daniel K"},{"family":"Barton","given":"Jo L"},{"family":"Gladwell","given":"Valerie F"}],"issued":{"date-parts":[["2013",6,4]]}}}],"schema":"https://github.com/citation-style-language/schema/raw/master/csl-citation.json"} </w:instrText>
      </w:r>
      <w:r w:rsidRPr="00C05886">
        <w:fldChar w:fldCharType="separate"/>
      </w:r>
      <w:r w:rsidRPr="00C05886">
        <w:rPr>
          <w:rFonts w:ascii="Calibri" w:hAnsi="Calibri" w:cs="Calibri"/>
        </w:rPr>
        <w:t>(Brown, Barton and Gladwell, 2013)</w:t>
      </w:r>
      <w:r w:rsidRPr="00C05886">
        <w:fldChar w:fldCharType="end"/>
      </w:r>
      <w:r w:rsidRPr="00C05886">
        <w:t xml:space="preserve">, slideshows </w:t>
      </w:r>
      <w:r w:rsidRPr="00C05886">
        <w:fldChar w:fldCharType="begin"/>
      </w:r>
      <w:r w:rsidR="00FB3282" w:rsidRPr="00C05886">
        <w:instrText xml:space="preserve"> ADDIN ZOTERO_ITEM CSL_CITATION {"citationID":"wuc1ff7E","properties":{"formattedCitation":"(Johansson {\\i{}et al.}, 2014)","plainCitation":"(Johansson et al., 2014)","noteIndex":0},"citationItems":[{"id":8502,"uris":["http://zotero.org/users/local/pAEZdfSt/items/IMLZ568A","http://zotero.org/users/10951124/items/IMLZ568A"],"itemData":{"id":8502,"type":"article-journal","abstract":"Using a multilevel approach, this study investigates direct (perceptual, emotional, and physiological responses [qEEG]) and reflected (preference, attitude, and intention to accept conservation measures) appraisal of different levels of biodiversity in temperate deciduous broad-leaf forest biotopes. Thirty-five participants viewed three series of zoomed pictures from biotopes assessed according to biological criteria to be of High, Intermediate, and Low level of biodiversity. Participants’ appraisal differed between the biotopes, and partly between the conceptualisation of appraisal, but overall there was a consistency across direct and reflected levels of appraisal. The most prominent result of the analysis of qEEG was a higher brain activity in the Theta frequency for the Low biotope. The Theta frequency has amongst others been associated with on-set of sleep and in the present context probably indicating that the Low biotope was less stimulating. The Low biotope was perceived to have the lowest degree of biodiversity followed by the Intermediate and the High biotopes. The Intermediate biotope elicited the most positive emotional response, and was rated highest in preference and in importance to conserve, whereas the intention to accept conservation measures did not differ between the biotopes. Thus biodiversity related criteria presently favoured in forest conservation management schemes are not necessarily prioritised by the public. Emotional components are likely to be at stake tending to favour the conservation of biotopes of an intermediate level of biodiversity.","container-title":"Urban Forestry &amp; Urban Greening","DOI":"https://doi.org/10.1016/j.ufug.2013.10.009","ISSN":"1618-8667","issue":"1","page":"28-37","title":"Does biological quality matter? Direct and reflected appraisal of biodiversity in temperate deciduous broad-leaf forest","volume":"13","author":[{"family":"Johansson","given":"Maria"},{"family":"Gyllin","given":"Mats"},{"family":"Witzell","given":"Jesper"},{"family":"Küller","given":"Marianne"}],"issued":{"date-parts":[["2014"]]}}}],"schema":"https://github.com/citation-style-language/schema/raw/master/csl-citation.json"} </w:instrText>
      </w:r>
      <w:r w:rsidRPr="00C05886">
        <w:fldChar w:fldCharType="separate"/>
      </w:r>
      <w:r w:rsidR="00FB3282" w:rsidRPr="00C05886">
        <w:rPr>
          <w:rFonts w:ascii="Calibri" w:hAnsi="Calibri" w:cs="Calibri"/>
          <w:szCs w:val="24"/>
        </w:rPr>
        <w:t xml:space="preserve">(Johansson </w:t>
      </w:r>
      <w:r w:rsidR="00FB3282" w:rsidRPr="00C05886">
        <w:rPr>
          <w:rFonts w:ascii="Calibri" w:hAnsi="Calibri" w:cs="Calibri"/>
          <w:i/>
          <w:iCs/>
          <w:szCs w:val="24"/>
        </w:rPr>
        <w:t>et al.</w:t>
      </w:r>
      <w:r w:rsidR="00FB3282" w:rsidRPr="00C05886">
        <w:rPr>
          <w:rFonts w:ascii="Calibri" w:hAnsi="Calibri" w:cs="Calibri"/>
          <w:szCs w:val="24"/>
        </w:rPr>
        <w:t>, 2014)</w:t>
      </w:r>
      <w:r w:rsidRPr="00C05886">
        <w:fldChar w:fldCharType="end"/>
      </w:r>
      <w:r w:rsidRPr="00C05886">
        <w:t xml:space="preserve"> and videos </w:t>
      </w:r>
      <w:r w:rsidRPr="00C05886">
        <w:fldChar w:fldCharType="begin"/>
      </w:r>
      <w:r w:rsidR="003E681B" w:rsidRPr="00C05886">
        <w:instrText xml:space="preserve"> ADDIN ZOTERO_ITEM CSL_CITATION {"citationID":"WdEpfTuX","properties":{"formattedCitation":"(Wolf {\\i{}et al.}, 2017)","plainCitation":"(Wolf et al., 2017)","noteIndex":0},"citationItems":[{"id":4925,"uris":["http://zotero.org/users/10951124/items/T2WHLDQG"],"itemData":{"id":4925,"type":"article-journal","container-title":"PloS one","DOI":"10.1371/journal.pone.0170225","issue":"1","page":"e0170225-e0170225","title":"Is Variety the Spice of Life? An Experimental Investigation into the Effects of Species Richness on Self-Reported Mental Well-Being.","volume":"12","author":[{"family":"Wolf","given":"Lukas J"},{"family":"Zu Ermgassen","given":"Sophus"},{"family":"Balmford","given":"Andrew"},{"family":"White","given":"Mathew"},{"family":"Weinstein","given":"Netta"}],"editor":[{"family":"Wolf","given":"Lukas J"}],"issued":{"date-parts":[["2017"]]}}}],"schema":"https://github.com/citation-style-language/schema/raw/master/csl-citation.json"} </w:instrText>
      </w:r>
      <w:r w:rsidRPr="00C05886">
        <w:fldChar w:fldCharType="separate"/>
      </w:r>
      <w:r w:rsidR="003E681B" w:rsidRPr="00C05886">
        <w:rPr>
          <w:rFonts w:ascii="Calibri" w:hAnsi="Calibri" w:cs="Calibri"/>
          <w:szCs w:val="24"/>
        </w:rPr>
        <w:t xml:space="preserve">(Wolf </w:t>
      </w:r>
      <w:r w:rsidR="003E681B" w:rsidRPr="00C05886">
        <w:rPr>
          <w:rFonts w:ascii="Calibri" w:hAnsi="Calibri" w:cs="Calibri"/>
          <w:i/>
          <w:iCs/>
          <w:szCs w:val="24"/>
        </w:rPr>
        <w:t>et al.</w:t>
      </w:r>
      <w:r w:rsidR="003E681B" w:rsidRPr="00C05886">
        <w:rPr>
          <w:rFonts w:ascii="Calibri" w:hAnsi="Calibri" w:cs="Calibri"/>
          <w:szCs w:val="24"/>
        </w:rPr>
        <w:t>, 2017)</w:t>
      </w:r>
      <w:r w:rsidRPr="00C05886">
        <w:fldChar w:fldCharType="end"/>
      </w:r>
      <w:r w:rsidRPr="00C05886">
        <w:t xml:space="preserve">. </w:t>
      </w:r>
    </w:p>
    <w:p w14:paraId="2B8AE68A" w14:textId="77777777" w:rsidR="005F5299" w:rsidRPr="00C05886" w:rsidRDefault="005F5299" w:rsidP="005F5299">
      <w:pPr>
        <w:pStyle w:val="Heading3"/>
      </w:pPr>
      <w:bookmarkStart w:id="116" w:name="_Toc179962362"/>
      <w:r w:rsidRPr="00C05886">
        <w:t>Unresolved research questions on biodiversity and well-being</w:t>
      </w:r>
      <w:bookmarkEnd w:id="116"/>
    </w:p>
    <w:p w14:paraId="0ABB0C76" w14:textId="1FF386D5" w:rsidR="005F5299" w:rsidRPr="00C05886" w:rsidRDefault="005F5299" w:rsidP="00FF3D4B">
      <w:r w:rsidRPr="00C05886">
        <w:t xml:space="preserve">Early studies </w:t>
      </w:r>
      <w:r w:rsidRPr="00C05886">
        <w:fldChar w:fldCharType="begin"/>
      </w:r>
      <w:r w:rsidR="00D461B8" w:rsidRPr="00C05886">
        <w:instrText xml:space="preserve"> ADDIN ZOTERO_ITEM CSL_CITATION {"citationID":"sGc1NJ30","properties":{"formattedCitation":"(Fuller {\\i{}et al.}, 2007)","plainCitation":"(Fuller et al., 2007)","noteIndex":0},"citationItems":[{"id":5311,"uris":["http://zotero.org/users/10951124/items/7YKDXNX8"],"itemData":{"id":5311,"type":"article-journal","abstract":"The world's human population is becoming concentrated into cities, giving rise to concerns that it is becoming increasingly isolated from nature. Urban public greenspaces form the arena of many people's daily contact with nature and such contact has measurable physical and psychological benefits. Here we show that these psychological benefits increase with the species richness of urban greenspaces. Moreover, we demonstrate that greenspace users can more or less accurately perceive species richness depending on the taxonomic group in question. These results indicate that successful management of urban greenspaces should emphasize biological complexity to enhance human well-being in addition to biodiversity conservation. © 2007 The Royal Society.","container-title":"Biology letters","DOI":"10.1098/rsbl.2007.0149","ISSN":"1744-9561","issue":"4","note":"PMID: 17504734","page":"390-394","title":"Psychological benefits of greenspace increase with biodiversity.","volume":"3","author":[{"family":"Fuller","given":"Richard A."},{"family":"Irvine","given":"Katherine N."},{"family":"Devine-Wright","given":"Patrick"},{"family":"Warren","given":"Philip H."},{"family":"Gaston","given":"Kevin J."}],"editor":[{"family":"Fuller","given":"Richard A"}],"issued":{"date-parts":[["2007"]]}}}],"schema":"https://github.com/citation-style-language/schema/raw/master/csl-citation.json"} </w:instrText>
      </w:r>
      <w:r w:rsidRPr="00C05886">
        <w:fldChar w:fldCharType="separate"/>
      </w:r>
      <w:r w:rsidR="00D461B8" w:rsidRPr="00C05886">
        <w:rPr>
          <w:rFonts w:ascii="Calibri" w:hAnsi="Calibri" w:cs="Calibri"/>
          <w:szCs w:val="24"/>
        </w:rPr>
        <w:t xml:space="preserve">(Fuller </w:t>
      </w:r>
      <w:r w:rsidR="00D461B8" w:rsidRPr="00C05886">
        <w:rPr>
          <w:rFonts w:ascii="Calibri" w:hAnsi="Calibri" w:cs="Calibri"/>
          <w:i/>
          <w:iCs/>
          <w:szCs w:val="24"/>
        </w:rPr>
        <w:t>et al.</w:t>
      </w:r>
      <w:r w:rsidR="00D461B8" w:rsidRPr="00C05886">
        <w:rPr>
          <w:rFonts w:ascii="Calibri" w:hAnsi="Calibri" w:cs="Calibri"/>
          <w:szCs w:val="24"/>
        </w:rPr>
        <w:t>, 2007)</w:t>
      </w:r>
      <w:r w:rsidRPr="00C05886">
        <w:fldChar w:fldCharType="end"/>
      </w:r>
      <w:r w:rsidRPr="00C05886">
        <w:t xml:space="preserve"> hypothesised the relationship between biodiversity and mental well-being followed a linear trend (i.e. the greater the biodiversity the better the mental well-being). Over the years, the general research question revolved around this hypothesis </w:t>
      </w:r>
      <w:r w:rsidRPr="00C05886">
        <w:fldChar w:fldCharType="begin"/>
      </w:r>
      <w:r w:rsidRPr="00C05886">
        <w:instrText xml:space="preserve"> ADDIN ZOTERO_ITEM CSL_CITATION {"citationID":"iz9GB5mi","properties":{"formattedCitation":"(Lovell {\\i{}et al.}, 2014)","plainCitation":"(Lovell et al., 2014)","noteIndex":0},"citationItems":[{"id":6564,"uris":["http://zotero.org/users/10951124/items/924BZJC2"],"itemData":{"id":6564,"type":"article-journal","abstract":"Recent ecosystem service models have placed biodiversity as a central factor in the processes that link the natural environment to health. While it is recognized that disturbed ecosystems might negatively affect human well-being, it is not clear whether biodiversity is related to or can promote \"good\" human health and well-being. The aim of this study was to systematically identify, summarize, and synthesize research that had examined whether biodiverse environments are health promoting. The objectives were twofold: (1) to map the interdisciplinary field of enquiry and (2) to assess whether current evidence enables us to characterize the relationship. Due to the heterogeneity of available evidence a narrative synthesis approach was used, which is textual rather than statistical. Extensive searches identified 17 papers that met the inclusion criteria: 15 quantitative and 2 qualitative. The evidence was varied in disciplinary origin, with authors approaching the question using different study designs and methods, and conceptualizations of biodiversity, health, and well-being. There is some evidence to suggest that biodiverse natural environments promote better health through exposure to pleasant environments or the encouragement of health-promoting behaviors. There was also evidence of inverse relationships, particularly at a larger scale (global analyses). However, overall the evidence is inconclusive and fails to identify a specific role for biodiversity in the promotion of better health. High-quality interdisciplinary research is needed to produce a more reliable evidence base. Of particular importance is identifying the specific ecosystem services, goods, and processes through which biodiversity may generate good health and well-being.","container-title":"Journal of Toxicology and Environmental Health - Part B: Critical Reviews","DOI":"10.1080/10937404.2013.856361","ISSN":"15216950","issue":"1","page":"1-20","title":"A Systematic Review of the Health and Well-Being Benefits of Biodiverse Environments","volume":"17","author":[{"family":"Lovell","given":"Rebecca"},{"family":"Wheeler","given":"Benedict W."},{"family":"Higgins","given":"Sahran L."},{"family":"Irvine","given":"Katherine N."},{"family":"Depledge","given":"Michael H."}],"issued":{"date-parts":[["2014"]]}}}],"schema":"https://github.com/citation-style-language/schema/raw/master/csl-citation.json"} </w:instrText>
      </w:r>
      <w:r w:rsidRPr="00C05886">
        <w:fldChar w:fldCharType="separate"/>
      </w:r>
      <w:r w:rsidRPr="00C05886">
        <w:rPr>
          <w:rFonts w:ascii="Calibri" w:hAnsi="Calibri" w:cs="Calibri"/>
          <w:szCs w:val="24"/>
        </w:rPr>
        <w:t xml:space="preserve">(Lovell </w:t>
      </w:r>
      <w:r w:rsidRPr="00C05886">
        <w:rPr>
          <w:rFonts w:ascii="Calibri" w:hAnsi="Calibri" w:cs="Calibri"/>
          <w:i/>
          <w:iCs/>
          <w:szCs w:val="24"/>
        </w:rPr>
        <w:t>et al.</w:t>
      </w:r>
      <w:r w:rsidRPr="00C05886">
        <w:rPr>
          <w:rFonts w:ascii="Calibri" w:hAnsi="Calibri" w:cs="Calibri"/>
          <w:szCs w:val="24"/>
        </w:rPr>
        <w:t>, 2014)</w:t>
      </w:r>
      <w:r w:rsidRPr="00C05886">
        <w:fldChar w:fldCharType="end"/>
      </w:r>
      <w:r w:rsidRPr="00C05886">
        <w:t xml:space="preserve">, but results varied. Some were supportive of this positive relationship, finding reduced anxiety and increased positive affect </w:t>
      </w:r>
      <w:r w:rsidRPr="00C05886">
        <w:fldChar w:fldCharType="begin"/>
      </w:r>
      <w:r w:rsidR="00A056BC" w:rsidRPr="00C05886">
        <w:instrText xml:space="preserve"> ADDIN ZOTERO_ITEM CSL_CITATION {"citationID":"jBiZIAlS","properties":{"formattedCitation":"(Cox {\\i{}et al.}, 2017; Wolf {\\i{}et al.}, 2017)","plainCitation":"(Cox et al., 2017; Wolf et al., 2017)","noteIndex":0},"citationItems":[{"id":4756,"uris":["http://zotero.org/users/10951124/items/44LUHA75"],"itemData":{"id":4756,"type":"article-journal","abstract":"Exposure to nature provides a wide range of health benefits. A significant proportion of these are delivered close to home, because this offers an immediate and easily accessible opportunity for people to experience nature. However, there is limited information to guide recommendations on its management and appropriate use. We apply a nature dose-response framework to quantify the simultaneous association between exposure to nearby nature and multiple health benefits. We surveyed ca. 1000 respondents in Southern England, UK, to determine relationships between (a) nature dose type, that is the frequency and duration (time spent in private green space) and intensity (quantity of neighbourhood vegetation cover) of nature exposure and (b) health outcomes, including mental, physical and social health, physical behaviour and nature orientation. We then modelled dose-response relationships between dose type and self-reported depression. We demonstrate positive relationships between nature dose and mental and social health, increased physical activity and nature orientation. Dose-response analysis showed that lower levels of depression were associated with minimum thresholds of weekly nature dose. Nearby nature is associated with quantifiable health benefits, with potential for lowering the human and financial costs of ill health. Dose-response analysis has the potential to guide minimum and optimum recommendations on the management and use of nearby nature for preventative healthcare.","container-title":"Int J Environ Res Public Health","DOI":"10.3390/ijerph14020172","ISSN":"1661-7827","issue":"2","note":"publisher: BASEL: MDPI\npublisher-place: BASEL","page":"172","title":"Doses of nearby nature simultaneously associated with multiple health benefits","volume":"14","author":[{"family":"Cox","given":"Daniel T C"},{"family":"Shanahan","given":"Danielle F"},{"family":"Hudson","given":"Hannah L"},{"family":"Fuller","given":"Richard A"},{"family":"Anderson","given":"Karen"},{"family":"Hancock","given":"Steven"},{"family":"Gaston","given":"Kevin J"}],"issued":{"date-parts":[["2017"]]}}},{"id":4925,"uris":["http://zotero.org/users/10951124/items/T2WHLDQG"],"itemData":{"id":4925,"type":"article-journal","container-title":"PloS one","DOI":"10.1371/journal.pone.0170225","issue":"1","page":"e0170225-e0170225","title":"Is Variety the Spice of Life? An Experimental Investigation into the Effects of Species Richness on Self-Reported Mental Well-Being.","volume":"12","author":[{"family":"Wolf","given":"Lukas J"},{"family":"Zu Ermgassen","given":"Sophus"},{"family":"Balmford","given":"Andrew"},{"family":"White","given":"Mathew"},{"family":"Weinstein","given":"Netta"}],"editor":[{"family":"Wolf","given":"Lukas J"}],"issued":{"date-parts":[["2017"]]}}}],"schema":"https://github.com/citation-style-language/schema/raw/master/csl-citation.json"} </w:instrText>
      </w:r>
      <w:r w:rsidRPr="00C05886">
        <w:fldChar w:fldCharType="separate"/>
      </w:r>
      <w:r w:rsidR="00A056BC" w:rsidRPr="00C05886">
        <w:rPr>
          <w:rFonts w:ascii="Calibri" w:hAnsi="Calibri" w:cs="Calibri"/>
          <w:szCs w:val="24"/>
        </w:rPr>
        <w:t xml:space="preserve">(Cox </w:t>
      </w:r>
      <w:r w:rsidR="00A056BC" w:rsidRPr="00C05886">
        <w:rPr>
          <w:rFonts w:ascii="Calibri" w:hAnsi="Calibri" w:cs="Calibri"/>
          <w:i/>
          <w:iCs/>
          <w:szCs w:val="24"/>
        </w:rPr>
        <w:t>et al.</w:t>
      </w:r>
      <w:r w:rsidR="00A056BC" w:rsidRPr="00C05886">
        <w:rPr>
          <w:rFonts w:ascii="Calibri" w:hAnsi="Calibri" w:cs="Calibri"/>
          <w:szCs w:val="24"/>
        </w:rPr>
        <w:t xml:space="preserve">, 2017; Wolf </w:t>
      </w:r>
      <w:r w:rsidR="00A056BC" w:rsidRPr="00C05886">
        <w:rPr>
          <w:rFonts w:ascii="Calibri" w:hAnsi="Calibri" w:cs="Calibri"/>
          <w:i/>
          <w:iCs/>
          <w:szCs w:val="24"/>
        </w:rPr>
        <w:t>et al.</w:t>
      </w:r>
      <w:r w:rsidR="00A056BC" w:rsidRPr="00C05886">
        <w:rPr>
          <w:rFonts w:ascii="Calibri" w:hAnsi="Calibri" w:cs="Calibri"/>
          <w:szCs w:val="24"/>
        </w:rPr>
        <w:t>, 2017)</w:t>
      </w:r>
      <w:r w:rsidRPr="00C05886">
        <w:fldChar w:fldCharType="end"/>
      </w:r>
      <w:r w:rsidRPr="00C05886">
        <w:t xml:space="preserve"> and better quality of life </w:t>
      </w:r>
      <w:r w:rsidRPr="00C05886">
        <w:fldChar w:fldCharType="begin"/>
      </w:r>
      <w:r w:rsidRPr="00C05886">
        <w:instrText xml:space="preserve"> ADDIN ZOTERO_ITEM CSL_CITATION {"citationID":"3UUV7DkA","properties":{"formattedCitation":"(Rantakokko {\\i{}et al.}, 2018)","plainCitation":"(Rantakokko et al., 2018)","noteIndex":0},"citationItems":[{"id":10252,"uris":["http://zotero.org/users/10951124/items/LJVJ4GQG"],"itemData":{"id":10252,"type":"article-journal","container-title":"Aging Clinical and Experimental Research","DOI":"10.1007/s40520-017-0797-5","ISSN":"1720-8319","issue":"5","journalAbbreviation":"Aging Clin Exp Res","language":"en","page":"527-532","source":"DOI.org (Crossref)","title":"Nature diversity and well-being in old age","volume":"30","author":[{"family":"Rantakokko","given":"Merja"},{"family":"Keskinen","given":"Kirsi E."},{"family":"Kokko","given":"Katja"},{"family":"Portegijs","given":"Erja"}],"issued":{"date-parts":[["2018",5]]}}}],"schema":"https://github.com/citation-style-language/schema/raw/master/csl-citation.json"} </w:instrText>
      </w:r>
      <w:r w:rsidRPr="00C05886">
        <w:fldChar w:fldCharType="separate"/>
      </w:r>
      <w:r w:rsidRPr="00C05886">
        <w:rPr>
          <w:rFonts w:ascii="Calibri" w:hAnsi="Calibri" w:cs="Calibri"/>
          <w:szCs w:val="24"/>
        </w:rPr>
        <w:t xml:space="preserve">(Rantakokko </w:t>
      </w:r>
      <w:r w:rsidRPr="00C05886">
        <w:rPr>
          <w:rFonts w:ascii="Calibri" w:hAnsi="Calibri" w:cs="Calibri"/>
          <w:i/>
          <w:iCs/>
          <w:szCs w:val="24"/>
        </w:rPr>
        <w:t>et al.</w:t>
      </w:r>
      <w:r w:rsidRPr="00C05886">
        <w:rPr>
          <w:rFonts w:ascii="Calibri" w:hAnsi="Calibri" w:cs="Calibri"/>
          <w:szCs w:val="24"/>
        </w:rPr>
        <w:t>, 2018)</w:t>
      </w:r>
      <w:r w:rsidRPr="00C05886">
        <w:fldChar w:fldCharType="end"/>
      </w:r>
      <w:r w:rsidRPr="00C05886">
        <w:t xml:space="preserve">. Other studies instead found no relationships between biodiversity and stress </w:t>
      </w:r>
      <w:r w:rsidRPr="00C05886">
        <w:fldChar w:fldCharType="begin"/>
      </w:r>
      <w:r w:rsidRPr="00C05886">
        <w:instrText xml:space="preserve"> ADDIN ZOTERO_ITEM CSL_CITATION {"citationID":"LoNuv96b","properties":{"formattedCitation":"(Grahn and Stigsdotter, 2010)","plainCitation":"(Grahn and Stigsdotter, 2010)","noteIndex":0},"citationItems":[{"id":9919,"uris":["http://zotero.org/users/10951124/items/F88H553M"],"itemData":{"id":9919,"type":"article-journal","container-title":"Landscape and Urban Planning","DOI":"10.1016/j.landurbplan.2009.10.012","ISSN":"01692046","issue":"3-4","journalAbbreviation":"Landscape and Urban Planning","language":"en","page":"264-275","source":"DOI.org (Crossref)","title":"The relation between perceived sensory dimensions of urban green space and stress restoration","volume":"94","author":[{"family":"Grahn","given":"Patrik"},{"family":"Stigsdotter","given":"Ulrika K."}],"issued":{"date-parts":[["2010",3]]}}}],"schema":"https://github.com/citation-style-language/schema/raw/master/csl-citation.json"} </w:instrText>
      </w:r>
      <w:r w:rsidRPr="00C05886">
        <w:fldChar w:fldCharType="separate"/>
      </w:r>
      <w:r w:rsidRPr="00C05886">
        <w:rPr>
          <w:rFonts w:ascii="Calibri" w:hAnsi="Calibri" w:cs="Calibri"/>
        </w:rPr>
        <w:t xml:space="preserve">(Grahn </w:t>
      </w:r>
      <w:r w:rsidRPr="00C05886">
        <w:rPr>
          <w:rFonts w:ascii="Calibri" w:hAnsi="Calibri" w:cs="Calibri"/>
        </w:rPr>
        <w:lastRenderedPageBreak/>
        <w:t>and Stigsdotter, 2010)</w:t>
      </w:r>
      <w:r w:rsidRPr="00C05886">
        <w:fldChar w:fldCharType="end"/>
      </w:r>
      <w:r w:rsidRPr="00C05886">
        <w:t xml:space="preserve">, or biodiversity and general mental health </w:t>
      </w:r>
      <w:r w:rsidRPr="00C05886">
        <w:fldChar w:fldCharType="begin"/>
      </w:r>
      <w:r w:rsidRPr="00C05886">
        <w:instrText xml:space="preserve"> ADDIN ZOTERO_ITEM CSL_CITATION {"citationID":"cKkJtPvP","properties":{"formattedCitation":"(van den Bosch {\\i{}et al.}, 2015)","plainCitation":"(van den Bosch et al., 2015)","noteIndex":0},"citationItems":[{"id":6387,"uris":["http://zotero.org/users/10951124/items/QNIEZFJK"],"itemData":{"id":6387,"type":"article-journal","abstract":"Green spaces are recognized for improving mental health, but what particular kind of nature is required is yet not elucidated. This study explores the effect of specific types of recreational nature qualities on mental health. Longitudinal data (1999/2000 and 2005) from a public health survey was distributed to a stratified sample (n = 24,945) of a Swedish population. People from rural or suburban areas (n = 9230) who had moved between baseline and follow-up (n = 1419) were studied. Individual geographic residence codes were linked to five predefined nature qualities, classified in geographic information systems (GIS). Any change in the amount of or type of qualities within 300 m distance between baseline and follow-up was correlated to any change in mental health (as measured by the General Health Questionnaire) by logistic regression models. On average, the population had limited access to nature qualities both pre- and post-move. There was no significant correlation between change in the amount of qualities and change in mental health. However, the specific quality “serene” was a significant determinant with a significantly decreased risk for women of change to mental ill-health at follow-up. The objective definition of the potentially health-promoting quality may facilitate implication in landscape practice and healthy planning.","container-title":"International Journal of Environmental Research and Public Health","DOI":"10.3390/ijerph120707974","ISSN":"16604601","issue":"7","page":"7974-7989","title":"Moving to serene nature may prevent poor mental health— results from a swedish longitudinal cohort study","volume":"12","author":[{"family":"Bosch","given":"Matilda Annerstedt","non-dropping-particle":"van den"},{"family":"Östergren","given":"Per Olof"},{"family":"Grahn","given":"Patrik"},{"family":"Skärbäck","given":"Erik"},{"family":"Währborg","given":"Peter"}],"issued":{"date-parts":[["2015"]]}}}],"schema":"https://github.com/citation-style-language/schema/raw/master/csl-citation.json"} </w:instrText>
      </w:r>
      <w:r w:rsidRPr="00C05886">
        <w:fldChar w:fldCharType="separate"/>
      </w:r>
      <w:r w:rsidRPr="00C05886">
        <w:rPr>
          <w:rFonts w:ascii="Calibri" w:hAnsi="Calibri" w:cs="Calibri"/>
          <w:szCs w:val="24"/>
        </w:rPr>
        <w:t xml:space="preserve">(van den Bosch </w:t>
      </w:r>
      <w:r w:rsidRPr="00C05886">
        <w:rPr>
          <w:rFonts w:ascii="Calibri" w:hAnsi="Calibri" w:cs="Calibri"/>
          <w:i/>
          <w:iCs/>
          <w:szCs w:val="24"/>
        </w:rPr>
        <w:t>et al.</w:t>
      </w:r>
      <w:r w:rsidRPr="00C05886">
        <w:rPr>
          <w:rFonts w:ascii="Calibri" w:hAnsi="Calibri" w:cs="Calibri"/>
          <w:szCs w:val="24"/>
        </w:rPr>
        <w:t>, 2015)</w:t>
      </w:r>
      <w:r w:rsidRPr="00C05886">
        <w:fldChar w:fldCharType="end"/>
      </w:r>
      <w:r w:rsidRPr="00C05886">
        <w:t xml:space="preserve">. The interest in gaining an understanding of these relationships is still growing </w:t>
      </w:r>
      <w:r w:rsidRPr="00C05886">
        <w:fldChar w:fldCharType="begin"/>
      </w:r>
      <w:r w:rsidRPr="00C05886">
        <w:instrText xml:space="preserve"> ADDIN ZOTERO_ITEM CSL_CITATION {"citationID":"id9liJtT","properties":{"formattedCitation":"(Hedin {\\i{}et al.}, 2022)","plainCitation":"(Hedin et al., 2022)","noteIndex":0},"citationItems":[{"id":9662,"uris":["http://zotero.org/users/10951124/items/4ZUAJGA3"],"itemData":{"id":9662,"type":"article-journal","abstract":"Biodiversity conservation and mental health and wellbeing are of increasing global concern, with growing relevance to planning and policy. A growing body of literature exploring the relationships between biodiversity and mental health and wellbeing—based on early research conducted largely from social science perspectives—suggests that particular qualities within natural environments confer particular benefits. Results so far have been inconclusive and inconsistent, contributing to an incohesive body of evidence. While past reviews have focused on reporting variations in results, the present study builds on early reviews by exploring variations from the perspective of author disciplines and the use of different guiding theories, and variables used to measure biodiversity, mental health and wellbeing. This aims to address a research gap in understanding whether research in this topic has become more interdisciplinary or has employed more consistent study designs, which were highlighted as priorities in past reviews, but the progress of which has not yet been explored in depth. We found that research connecting biodiversity and mental health and wellbeing has become only marginally more interdisciplinary in recent years, and there is still a large inconsistency in the use of guiding theories, variables and overall study designs. The variation in disciplinary perspectives and methods reflects a growing interest in this field and the variety of ways researchers are trying to understand and test the complex relationships between biodiversity and mental health and wellbeing. Our study shows that there are unique perspectives that different disciplines can contribute to this body of research and continuing to increase collaboration between disciplines with the use of consistent mixed methods approaches in future may contribute to a more cohesive body of evidence. We provide a framework to conceptualize recommendations for future research, highlighting the importance of interdisciplinary collaboration at multiple scales, and importantly focusing on more specific, mechanistic studies to inform decision-making that provides co-benefits for biodiversity and mental health and wellbeing.","container-title":"Frontiers in Ecology and Evolution","ISSN":"2296-701X","journalAbbreviation":"Frontiers in Ecology and Evolution","title":"Connecting Biodiversity With Mental Health and Wellbeing — A Review of Methods and Disciplinary Perspectives","URL":"https://www.frontiersin.org/articles/10.3389/fevo.2022.865727","volume":"10","author":[{"family":"Hedin","given":"Madeleine"},{"family":"Hahs","given":"Amy K."},{"family":"Mata","given":"Luis"},{"family":"Lee","given":"Kate"}],"issued":{"date-parts":[["2022"]]}}}],"schema":"https://github.com/citation-style-language/schema/raw/master/csl-citation.json"} </w:instrText>
      </w:r>
      <w:r w:rsidRPr="00C05886">
        <w:fldChar w:fldCharType="separate"/>
      </w:r>
      <w:r w:rsidRPr="00C05886">
        <w:rPr>
          <w:rFonts w:ascii="Calibri" w:hAnsi="Calibri" w:cs="Calibri"/>
          <w:szCs w:val="24"/>
        </w:rPr>
        <w:t xml:space="preserve">(Hedin </w:t>
      </w:r>
      <w:r w:rsidRPr="00C05886">
        <w:rPr>
          <w:rFonts w:ascii="Calibri" w:hAnsi="Calibri" w:cs="Calibri"/>
          <w:i/>
          <w:iCs/>
          <w:szCs w:val="24"/>
        </w:rPr>
        <w:t>et al.</w:t>
      </w:r>
      <w:r w:rsidRPr="00C05886">
        <w:rPr>
          <w:rFonts w:ascii="Calibri" w:hAnsi="Calibri" w:cs="Calibri"/>
          <w:szCs w:val="24"/>
        </w:rPr>
        <w:t>, 2022)</w:t>
      </w:r>
      <w:r w:rsidRPr="00C05886">
        <w:fldChar w:fldCharType="end"/>
      </w:r>
      <w:r w:rsidRPr="00C05886">
        <w:t xml:space="preserve">, however, the experimental evidence linking biodiversity and mental well-being remains limited, with only a handful of experiments controlling for biodiversity </w:t>
      </w:r>
      <w:r w:rsidRPr="00C05886">
        <w:fldChar w:fldCharType="begin"/>
      </w:r>
      <w:r w:rsidRPr="00C05886">
        <w:instrText xml:space="preserve"> ADDIN ZOTERO_ITEM CSL_CITATION {"citationID":"vjAGo3EC","properties":{"formattedCitation":"(Marselle {\\i{}et al.}, 2019; Hedin {\\i{}et al.}, 2022)","plainCitation":"(Marselle et al., 2019; Hedin et al., 2022)","noteIndex":0},"citationItems":[{"id":9665,"uris":["http://zotero.org/users/10951124/items/USFUHYF5"],"itemData":{"id":9665,"type":"chapter","abstract":"Little is known about the contribution that biodiversity has on mental health and well-being. To date, only one systematic review has investigated the health and well-being benefits from contact with biodiversity (Lovell et al. J Toxicol Environ Health B Crit Rev 17(1):1–20, 2014). The number of research studies investigating the health and well-being effects of biodiversity has increased since this publication. Here, we provide an update, focusing on the impact of biodiversity on mental health and well-being. Our objectives are to: (i) identify and describe the literature published after 2012; and (ii) synthesise all results from Lovell et al. (J Toxicol Environ Health B Crit Rev 17(1):1–20, 2014) and the more recently published literature to assess whether biodiversity influences mental health and well-being. Sixteen recently published studies met the inclusion criteria. The literature is varied with different study designs, measures of biodiversity, mental health and well-being. The synthesis of results was drawn from 24 studies: nine from Lovell et al. (J Toxicol Environ Health B Crit Rev 17(1):1–20, 2014) and 15 identified by this chapter. There is some evidence to suggest that biodiversity promotes better mental health and well-being. However, more studies reported non-significant results. The evidence is not yet of the extent necessary to characterise the role of biodiversity in relation to mental health or well-being. Future interdisciplinary research directions are discussed.","container-title":"Biodiversity and Health in the Face of Climate Change","event-place":"Cham","ISBN":"978-3-030-02318-8","note":"DOI: 10.1007/978-3-030-02318-8_9","page":"175-211","publisher":"Springer International Publishing","publisher-place":"Cham","title":"Review of the Mental Health and Well-being Benefits of Biodiversity","URL":"https://doi.org/10.1007/978-3-030-02318-8_9","author":[{"family":"Marselle","given":"Melissa R."},{"family":"Martens","given":"Dörte"},{"family":"Dallimer","given":"Martin"},{"family":"Irvine","given":"Katherine N."}],"editor":[{"family":"Marselle","given":"Melissa R."},{"family":"Stadler","given":"Jutta"},{"family":"Korn","given":"Horst"},{"family":"Irvine","given":"Katherine N."},{"family":"Bonn","given":"Aletta"}],"issued":{"date-parts":[["2019"]]}}},{"id":9662,"uris":["http://zotero.org/users/10951124/items/4ZUAJGA3"],"itemData":{"id":9662,"type":"article-journal","abstract":"Biodiversity conservation and mental health and wellbeing are of increasing global concern, with growing relevance to planning and policy. A growing body of literature exploring the relationships between biodiversity and mental health and wellbeing—based on early research conducted largely from social science perspectives—suggests that particular qualities within natural environments confer particular benefits. Results so far have been inconclusive and inconsistent, contributing to an incohesive body of evidence. While past reviews have focused on reporting variations in results, the present study builds on early reviews by exploring variations from the perspective of author disciplines and the use of different guiding theories, and variables used to measure biodiversity, mental health and wellbeing. This aims to address a research gap in understanding whether research in this topic has become more interdisciplinary or has employed more consistent study designs, which were highlighted as priorities in past reviews, but the progress of which has not yet been explored in depth. We found that research connecting biodiversity and mental health and wellbeing has become only marginally more interdisciplinary in recent years, and there is still a large inconsistency in the use of guiding theories, variables and overall study designs. The variation in disciplinary perspectives and methods reflects a growing interest in this field and the variety of ways researchers are trying to understand and test the complex relationships between biodiversity and mental health and wellbeing. Our study shows that there are unique perspectives that different disciplines can contribute to this body of research and continuing to increase collaboration between disciplines with the use of consistent mixed methods approaches in future may contribute to a more cohesive body of evidence. We provide a framework to conceptualize recommendations for future research, highlighting the importance of interdisciplinary collaboration at multiple scales, and importantly focusing on more specific, mechanistic studies to inform decision-making that provides co-benefits for biodiversity and mental health and wellbeing.","container-title":"Frontiers in Ecology and Evolution","ISSN":"2296-701X","journalAbbreviation":"Frontiers in Ecology and Evolution","title":"Connecting Biodiversity With Mental Health and Wellbeing — A Review of Methods and Disciplinary Perspectives","URL":"https://www.frontiersin.org/articles/10.3389/fevo.2022.865727","volume":"10","author":[{"family":"Hedin","given":"Madeleine"},{"family":"Hahs","given":"Amy K."},{"family":"Mata","given":"Luis"},{"family":"Lee","given":"Kate"}],"issued":{"date-parts":[["2022"]]}}}],"schema":"https://github.com/citation-style-language/schema/raw/master/csl-citation.json"} </w:instrText>
      </w:r>
      <w:r w:rsidRPr="00C05886">
        <w:fldChar w:fldCharType="separate"/>
      </w:r>
      <w:r w:rsidRPr="00C05886">
        <w:rPr>
          <w:rFonts w:ascii="Calibri" w:hAnsi="Calibri" w:cs="Calibri"/>
          <w:szCs w:val="24"/>
        </w:rPr>
        <w:t xml:space="preserve">(Marselle </w:t>
      </w:r>
      <w:r w:rsidRPr="00C05886">
        <w:rPr>
          <w:rFonts w:ascii="Calibri" w:hAnsi="Calibri" w:cs="Calibri"/>
          <w:i/>
          <w:iCs/>
          <w:szCs w:val="24"/>
        </w:rPr>
        <w:t>et al.</w:t>
      </w:r>
      <w:r w:rsidRPr="00C05886">
        <w:rPr>
          <w:rFonts w:ascii="Calibri" w:hAnsi="Calibri" w:cs="Calibri"/>
          <w:szCs w:val="24"/>
        </w:rPr>
        <w:t xml:space="preserve">, 2019; Hedin </w:t>
      </w:r>
      <w:r w:rsidRPr="00C05886">
        <w:rPr>
          <w:rFonts w:ascii="Calibri" w:hAnsi="Calibri" w:cs="Calibri"/>
          <w:i/>
          <w:iCs/>
          <w:szCs w:val="24"/>
        </w:rPr>
        <w:t>et al.</w:t>
      </w:r>
      <w:r w:rsidRPr="00C05886">
        <w:rPr>
          <w:rFonts w:ascii="Calibri" w:hAnsi="Calibri" w:cs="Calibri"/>
          <w:szCs w:val="24"/>
        </w:rPr>
        <w:t>, 2022)</w:t>
      </w:r>
      <w:r w:rsidRPr="00C05886">
        <w:fldChar w:fldCharType="end"/>
      </w:r>
      <w:r w:rsidRPr="00C05886">
        <w:t xml:space="preserve">. </w:t>
      </w:r>
    </w:p>
    <w:p w14:paraId="44D9B38E" w14:textId="77777777" w:rsidR="005F5299" w:rsidRPr="00C05886" w:rsidRDefault="005F5299" w:rsidP="00FF3D4B">
      <w:r w:rsidRPr="00C05886">
        <w:t xml:space="preserve">Further, some of the existing experiments seem to suggest that the biodiversity/mental health relationship could be non-linear, i.e. a certain degree of biodiversity is beneficial, but too much or too little is not. For example, Johansson et al. (2014) showed their participants slideshows of broadleaf forests at high, intermediate and low levels of biodiversity. The participants’ emotional well-being was significantly higher after watching the intermediate forests, compared with the other two. In another experiment </w:t>
      </w:r>
      <w:r w:rsidRPr="00C05886">
        <w:fldChar w:fldCharType="begin"/>
      </w:r>
      <w:r w:rsidRPr="00C05886">
        <w:instrText xml:space="preserve"> ADDIN ZOTERO_ITEM CSL_CITATION {"citationID":"yZ25bQGD","properties":{"formattedCitation":"(Lindemann-Matthies and Matthies, 2018)","plainCitation":"(Lindemann-Matthies and Matthies, 2018)","noteIndex":0},"citationItems":[{"id":9126,"uris":["http://zotero.org/users/10951124/items/9ILWYPEK"],"itemData":{"id":9126,"type":"article-journal","container-title":"Web Ecol.","DOI":"10.5194/we-18-121-2018","ISSN":"1399-1183","issue":"2","note":"publisher: Copernicus Publications","page":"121-128","title":"The influence of plant species richness on stress recovery of humans","volume":"18","author":[{"family":"Lindemann-Matthies","given":"P"},{"family":"Matthies","given":"D"}],"issued":{"date-parts":[["2018",8,29]]}}}],"schema":"https://github.com/citation-style-language/schema/raw/master/csl-citation.json"} </w:instrText>
      </w:r>
      <w:r w:rsidRPr="00C05886">
        <w:fldChar w:fldCharType="separate"/>
      </w:r>
      <w:r w:rsidRPr="00C05886">
        <w:rPr>
          <w:rFonts w:ascii="Calibri" w:hAnsi="Calibri" w:cs="Calibri"/>
        </w:rPr>
        <w:t>(Lindemann-Matthies and Matthies, 2018)</w:t>
      </w:r>
      <w:r w:rsidRPr="00C05886">
        <w:fldChar w:fldCharType="end"/>
      </w:r>
      <w:r w:rsidRPr="00C05886">
        <w:t xml:space="preserve">, participants showed reduced blood pressure and better stress recovery when relaxing in front of a meadow with medium plant diversity (32 species) than when in front of a less diverse (0, 1 and 16  species) or much more diverse (64 species) meadows. Similarly, an experiment that used videos at different levels of biodiversity showed that participants relaxed more (i.e. reduced anxiety and slower heart rate) after seeing a video with some biodiversity compared to videos with little and high biodiversity </w:t>
      </w:r>
      <w:r w:rsidRPr="00C05886">
        <w:fldChar w:fldCharType="begin"/>
      </w:r>
      <w:r w:rsidRPr="00C05886">
        <w:instrText xml:space="preserve"> ADDIN ZOTERO_ITEM CSL_CITATION {"citationID":"MwWSOwYE","properties":{"formattedCitation":"(Schebella {\\i{}et al.}, 2020)","plainCitation":"(Schebella et al., 2020)","noteIndex":0},"citationItems":[{"id":9668,"uris":["http://zotero.org/users/10951124/items/XY8G99AE"],"itemData":{"id":9668,"type":"article-journal","abstract":"Immersive virtual environments (IVEs) were used to test the effects of biodiversity on recovery from induced stress. Three natural environments and one urban environment were used to represent ordinal levels of biodiversity (none, low, moderate, and high). The four IVEs comprised visual, auditory, and olfactory stimuli. An additional high biodiversity IVE without auditory or olfactory stimuli was also included to study the effects of multisensory stimulation per se on recovery from stress and perceptions of biodiversity. Following stress induction via a novel IVE Trier Social Stress Test (TSST-IVE), heart rate and five self-reported well-being measures were used to assess participants&amp;rsquo; recovery after immersion in one of the five IVEs. The results showed consistent well-being responses across both self-reported and physiological measures, suggesting biodiversity does directly affect human well-being. However, the relationship was not linear. For most measures of well-being, stress recovery was least effective in the urban IVE, consistent with past research. The low biodiversity IVE elicited the greatest improvement in all well-being measures except self-reported calmness. One could speculate that the landscape features of the least biodiverse IVE may elicit subconscious preferences toward savanna-like landscapes, as suggested by previous studies. The IVE depicting a moderate level of biodiversity was the least restorative of the natural environments. A multisensory experience was associated with better recovery in all measures of well-being than a visual-only experience, and perceptions of landscape components significantly differed between two identical nature scenes when auditory and olfactory stimuli were removed. Nuances in the data and implications of the findings are discussed. The results signal a need for caution and question the assumption that cultural ecosystem services align with positive outcomes for biodiversity conservation.","container-title":"International Journal of Environmental Research and Public Health","DOI":"10.3390/ijerph17010056","ISSN":"1660-4601","issue":"1","title":"The Nature of Reality: Human Stress Recovery during Exposure to Biodiverse, Multisensory Virtual Environments","volume":"17","author":[{"family":"Schebella","given":"Morgan F."},{"family":"Weber","given":"Delene"},{"family":"Schultz","given":"Lisa"},{"family":"Weinstein","given":"Philip"}],"issued":{"date-parts":[["2020"]]}}}],"schema":"https://github.com/citation-style-language/schema/raw/master/csl-citation.json"} </w:instrText>
      </w:r>
      <w:r w:rsidRPr="00C05886">
        <w:fldChar w:fldCharType="separate"/>
      </w:r>
      <w:r w:rsidRPr="00C05886">
        <w:rPr>
          <w:rFonts w:ascii="Calibri" w:hAnsi="Calibri" w:cs="Calibri"/>
          <w:szCs w:val="24"/>
        </w:rPr>
        <w:t xml:space="preserve">(Schebella </w:t>
      </w:r>
      <w:r w:rsidRPr="00C05886">
        <w:rPr>
          <w:rFonts w:ascii="Calibri" w:hAnsi="Calibri" w:cs="Calibri"/>
          <w:i/>
          <w:iCs/>
          <w:szCs w:val="24"/>
        </w:rPr>
        <w:t>et al.</w:t>
      </w:r>
      <w:r w:rsidRPr="00C05886">
        <w:rPr>
          <w:rFonts w:ascii="Calibri" w:hAnsi="Calibri" w:cs="Calibri"/>
          <w:szCs w:val="24"/>
        </w:rPr>
        <w:t>, 2020)</w:t>
      </w:r>
      <w:r w:rsidRPr="00C05886">
        <w:fldChar w:fldCharType="end"/>
      </w:r>
      <w:r w:rsidRPr="00C05886">
        <w:t xml:space="preserve">. If the biodiversity/well-being relationship is non-linear, this could explain why high biodiversity is sometimes associated with reduced well-being </w:t>
      </w:r>
      <w:r w:rsidRPr="00C05886">
        <w:fldChar w:fldCharType="begin"/>
      </w:r>
      <w:r w:rsidRPr="00C05886">
        <w:instrText xml:space="preserve"> ADDIN ZOTERO_ITEM CSL_CITATION {"citationID":"gqJBx0zX","properties":{"formattedCitation":"(Dallimer {\\i{}et al.}, 2012)","plainCitation":"(Dallimer et al., 2012)","noteIndex":0},"citationItems":[{"id":5841,"uris":["http://zotero.org/users/10951124/items/KQUVK8G6"],"itemData":{"id":5841,"type":"article-journal","abstract":"Over half of the world's human population lives in cities, and for many, urban greenspaces are the only places where they encounter biodiversity. This is of particular concern because there is growing evidence that human well-being is enhanced by exposure to nature. However, the specific qualities of greenspaces that offer the greatest benefits remain poorly understood. One possibility is that humans respond positively to increased levels of biodiversity. Here, we demonstrate the lack of a consistent relationship between actual plant, butterfly, and bird species richness and the psychological well-being of urban greenspace visitors. Instead, well-being shows a positive relationship with the richness that the greenspace users perceived to be present. One plausible explanation for this discrepancy, which we investigate, is that people generally have poor biodiversity-identification skills. The apparent importance of perceived species richness and the mismatch between reality and perception pose a serious challenge for aligning conservation and human well-being agendas.","container-title":"BioScience","DOI":"10.1525/bio.2012.62.1.9","ISSN":"00063568","issue":"1","page":"47-55","title":"Biodiversity and the Feel-Good Factor: Understanding Associations between Self-Reported Human Well-being and Species Richness","volume":"62","author":[{"family":"Dallimer","given":"Martin"},{"family":"Irvine","given":"Katherine N."},{"family":"Skinner","given":"Andrew M.J. J"},{"family":"Davies","given":"Zoe G."},{"family":"Rouquette","given":"James R."},{"family":"Maltby","given":"Lorraine L."},{"family":"Warren","given":"Philip H."},{"family":"Armsworth","given":"Paul R."},{"family":"Gaston","given":"Kevin J."}],"issued":{"date-parts":[["2012"]]}}}],"schema":"https://github.com/citation-style-language/schema/raw/master/csl-citation.json"} </w:instrText>
      </w:r>
      <w:r w:rsidRPr="00C05886">
        <w:fldChar w:fldCharType="separate"/>
      </w:r>
      <w:r w:rsidRPr="00C05886">
        <w:rPr>
          <w:rFonts w:ascii="Calibri" w:hAnsi="Calibri" w:cs="Calibri"/>
          <w:szCs w:val="24"/>
        </w:rPr>
        <w:t xml:space="preserve">(Dallimer </w:t>
      </w:r>
      <w:r w:rsidRPr="00C05886">
        <w:rPr>
          <w:rFonts w:ascii="Calibri" w:hAnsi="Calibri" w:cs="Calibri"/>
          <w:i/>
          <w:iCs/>
          <w:szCs w:val="24"/>
        </w:rPr>
        <w:t>et al.</w:t>
      </w:r>
      <w:r w:rsidRPr="00C05886">
        <w:rPr>
          <w:rFonts w:ascii="Calibri" w:hAnsi="Calibri" w:cs="Calibri"/>
          <w:szCs w:val="24"/>
        </w:rPr>
        <w:t>, 2012)</w:t>
      </w:r>
      <w:r w:rsidRPr="00C05886">
        <w:fldChar w:fldCharType="end"/>
      </w:r>
      <w:r w:rsidRPr="00C05886">
        <w:t xml:space="preserve">. </w:t>
      </w:r>
    </w:p>
    <w:p w14:paraId="6ECA1A43" w14:textId="75B0BF13" w:rsidR="005F5299" w:rsidRPr="00C05886" w:rsidRDefault="005F5299" w:rsidP="00FF3D4B">
      <w:r w:rsidRPr="00C05886">
        <w:t xml:space="preserve">Often, improved well-being is associated with </w:t>
      </w:r>
      <w:r w:rsidRPr="00C05886">
        <w:rPr>
          <w:i/>
          <w:iCs/>
        </w:rPr>
        <w:t>perceived</w:t>
      </w:r>
      <w:r w:rsidRPr="00C05886">
        <w:t xml:space="preserve"> biodiversity (i.e. how biodiverse a place is perceived to be), irrespectively of the </w:t>
      </w:r>
      <w:r w:rsidRPr="00C05886">
        <w:rPr>
          <w:i/>
          <w:iCs/>
        </w:rPr>
        <w:t>actual</w:t>
      </w:r>
      <w:r w:rsidRPr="00C05886">
        <w:t xml:space="preserve"> biodiversity (i.e. biodiversity objectively measured) </w:t>
      </w:r>
      <w:r w:rsidRPr="00C05886">
        <w:fldChar w:fldCharType="begin"/>
      </w:r>
      <w:r w:rsidRPr="00C05886">
        <w:instrText xml:space="preserve"> ADDIN ZOTERO_ITEM CSL_CITATION {"citationID":"QfWaQlM6","properties":{"formattedCitation":"(Dallimer {\\i{}et al.}, 2012)","plainCitation":"(Dallimer et al., 2012)","noteIndex":0},"citationItems":[{"id":5841,"uris":["http://zotero.org/users/10951124/items/KQUVK8G6"],"itemData":{"id":5841,"type":"article-journal","abstract":"Over half of the world's human population lives in cities, and for many, urban greenspaces are the only places where they encounter biodiversity. This is of particular concern because there is growing evidence that human well-being is enhanced by exposure to nature. However, the specific qualities of greenspaces that offer the greatest benefits remain poorly understood. One possibility is that humans respond positively to increased levels of biodiversity. Here, we demonstrate the lack of a consistent relationship between actual plant, butterfly, and bird species richness and the psychological well-being of urban greenspace visitors. Instead, well-being shows a positive relationship with the richness that the greenspace users perceived to be present. One plausible explanation for this discrepancy, which we investigate, is that people generally have poor biodiversity-identification skills. The apparent importance of perceived species richness and the mismatch between reality and perception pose a serious challenge for aligning conservation and human well-being agendas.","container-title":"BioScience","DOI":"10.1525/bio.2012.62.1.9","ISSN":"00063568","issue":"1","page":"47-55","title":"Biodiversity and the Feel-Good Factor: Understanding Associations between Self-Reported Human Well-being and Species Richness","volume":"62","author":[{"family":"Dallimer","given":"Martin"},{"family":"Irvine","given":"Katherine N."},{"family":"Skinner","given":"Andrew M.J. J"},{"family":"Davies","given":"Zoe G."},{"family":"Rouquette","given":"James R."},{"family":"Maltby","given":"Lorraine L."},{"family":"Warren","given":"Philip H."},{"family":"Armsworth","given":"Paul R."},{"family":"Gaston","given":"Kevin J."}],"issued":{"date-parts":[["2012"]]}}}],"schema":"https://github.com/citation-style-language/schema/raw/master/csl-citation.json"} </w:instrText>
      </w:r>
      <w:r w:rsidRPr="00C05886">
        <w:fldChar w:fldCharType="separate"/>
      </w:r>
      <w:r w:rsidRPr="00C05886">
        <w:rPr>
          <w:rFonts w:ascii="Calibri" w:hAnsi="Calibri" w:cs="Calibri"/>
          <w:szCs w:val="24"/>
        </w:rPr>
        <w:t xml:space="preserve">(Dallimer </w:t>
      </w:r>
      <w:r w:rsidRPr="00C05886">
        <w:rPr>
          <w:rFonts w:ascii="Calibri" w:hAnsi="Calibri" w:cs="Calibri"/>
          <w:i/>
          <w:iCs/>
          <w:szCs w:val="24"/>
        </w:rPr>
        <w:t>et al.</w:t>
      </w:r>
      <w:r w:rsidRPr="00C05886">
        <w:rPr>
          <w:rFonts w:ascii="Calibri" w:hAnsi="Calibri" w:cs="Calibri"/>
          <w:szCs w:val="24"/>
        </w:rPr>
        <w:t>, 2012)</w:t>
      </w:r>
      <w:r w:rsidRPr="00C05886">
        <w:fldChar w:fldCharType="end"/>
      </w:r>
      <w:r w:rsidRPr="00C05886">
        <w:t xml:space="preserve">. Recent research showed that perceiving a higher number of species in urban parks in Portugal </w:t>
      </w:r>
      <w:r w:rsidRPr="00C05886">
        <w:fldChar w:fldCharType="begin"/>
      </w:r>
      <w:r w:rsidRPr="00C05886">
        <w:instrText xml:space="preserve"> ADDIN ZOTERO_ITEM CSL_CITATION {"citationID":"ODYm63mX","properties":{"formattedCitation":"(Gon\\uc0\\u231{}alves {\\i{}et al.}, 2021)","plainCitation":"(Gonçalves et al., 2021)","noteIndex":0},"citationItems":[{"id":9234,"uris":["http://zotero.org/users/10951124/items/7WC2F9AD"],"itemData":{"id":9234,"type":"article-journal","abstract":"Understanding the mechanisms underlying the positive influence of urban biodiversity on dwellers’ well-being is critical to inform sustainable management of urban greenspaces, but studies published to date on the role of biodiversity in mental restoration have provided contradictory results. Both urban greenspace biophysical characteristics and the emotional connection with the place may play a role in mental restoration. Using urban greenspace landscape and biodiversity metrics, and on-site observations and questionnaires to assess site quality and visitors’ perceptions, we explore the influence of biodiversity (perceived and measured at different levels), urban greenspace characteristics, and visitors profiles in mental restoration. Our statistical analysis demonstrates that perception of biodiversity, along with satisfaction and connection to place, were the most important predictors of mental restoration. The proportion of broadleaf and evergreen tree species also had a positive influence on biodiversity perception and mental restoration. People perceive existing biodiversity through visual cues as the diversity of leaf forms in broadleaf species, with this process being almost completely mediated by the perception of tree diversity. These findings have direct translation into planning and management practices by acknowledging the importance of biodiversity and, above all, specific traits, namely of evergreen broadleaf species, in promoting restorativeness of urban parks for users. Our results highlight the importance of using standard ecological methods when assessing biodiversity in urban greenspaces and their influence on human well-being.","container-title":"Ecology and Society","DOI":"10.5751/ES-12598-260325","issue":"3","journalAbbreviation":"Ecology and Society","note":"publisher: The Resilience Alliance","title":"What’s biodiversity got to do with it? Perceptions of biodiversity and restorativeness in urban parks","URL":"https://www.ecologyandsociety.org/vol26/iss3/art25/","volume":"26","author":[{"family":"Gonçalves","given":"Paula"},{"family":"Grilo","given":"Filipa"},{"family":"Mendes","given":"Raquel C."},{"family":"Vierikko","given":"Kati"},{"family":"Elands","given":"Birgit"},{"family":"Marques","given":"Tiago A."},{"family":"Santos-Reis","given":"Margarida"}],"issued":{"date-parts":[["2021"]]}}}],"schema":"https://github.com/citation-style-language/schema/raw/master/csl-citation.json"} </w:instrText>
      </w:r>
      <w:r w:rsidRPr="00C05886">
        <w:fldChar w:fldCharType="separate"/>
      </w:r>
      <w:r w:rsidRPr="00C05886">
        <w:rPr>
          <w:rFonts w:ascii="Calibri" w:hAnsi="Calibri" w:cs="Calibri"/>
          <w:szCs w:val="24"/>
        </w:rPr>
        <w:t xml:space="preserve">(Gonçalves </w:t>
      </w:r>
      <w:r w:rsidRPr="00C05886">
        <w:rPr>
          <w:rFonts w:ascii="Calibri" w:hAnsi="Calibri" w:cs="Calibri"/>
          <w:i/>
          <w:iCs/>
          <w:szCs w:val="24"/>
        </w:rPr>
        <w:t>et al.</w:t>
      </w:r>
      <w:r w:rsidRPr="00C05886">
        <w:rPr>
          <w:rFonts w:ascii="Calibri" w:hAnsi="Calibri" w:cs="Calibri"/>
          <w:szCs w:val="24"/>
        </w:rPr>
        <w:t>, 2021)</w:t>
      </w:r>
      <w:r w:rsidRPr="00C05886">
        <w:fldChar w:fldCharType="end"/>
      </w:r>
      <w:r w:rsidRPr="00C05886">
        <w:t xml:space="preserve"> and Singapore </w:t>
      </w:r>
      <w:r w:rsidRPr="00C05886">
        <w:fldChar w:fldCharType="begin"/>
      </w:r>
      <w:r w:rsidR="00DC0B4B" w:rsidRPr="00C05886">
        <w:instrText xml:space="preserve"> ADDIN ZOTERO_ITEM CSL_CITATION {"citationID":"HbyLCkNi","properties":{"formattedCitation":"(Nghiem {\\i{}et al.}, 2021)","plainCitation":"(Nghiem et al., 2021)","noteIndex":0},"citationItems":[{"id":5908,"uris":["http://zotero.org/users/10951124/items/I9XAPMKQ"],"itemData":{"id":5908,"type":"article-journal","abstract":"Here we investigate whether perceived biodiversity is linked to emotional wellbeing, taking into account the individual level of connection to nature, and whether such relationship is mediated by perceived restorativeness. We exposed participants to urban trails of different biodiversity levels and analysed the data using linear mixed-effects and structural equation models. Our results show that animal diversity and nature relatedness are positively linked to perceived restorativeness that, in turn, increases positive affect and decreases negative affect; thus suggesting that restoration mediates the effect of biodiversity on emotional wellbeing. We also found walk duration is linked to increased positive affect and reduced negative affect while crowdedness level in the trail has the opposite effect. Our results show an important link between urban biodiversity conservation and public mental health.","container-title":"Urban Forestry &amp; Urban Greening","DOI":"10.1016/j.ufug.2021.127030","ISSN":"16188667","issue":"September 2020","journalAbbreviation":"Urban Forestry &amp; Urban Greening","note":"publisher: Elsevier GmbH.","page":"127030","title":"Biodiverse urban forests, happy people: experimental evidence linking perceived biodiversity, restoration, and emotional wellbeing","volume":"59","author":[{"family":"Nghiem","given":"T.P.L."},{"family":"Wong","given":"K.L."},{"family":"Jeevanandam","given":"L."},{"family":"Chang","given":"C.c."},{"family":"Tan","given":"L.Y.C."},{"family":"Goh","given":"Y."},{"family":"Carrasco","given":"L.R."}],"issued":{"date-parts":[["2021"]]}}}],"schema":"https://github.com/citation-style-language/schema/raw/master/csl-citation.json"} </w:instrText>
      </w:r>
      <w:r w:rsidRPr="00C05886">
        <w:fldChar w:fldCharType="separate"/>
      </w:r>
      <w:r w:rsidRPr="00C05886">
        <w:rPr>
          <w:rFonts w:ascii="Calibri" w:hAnsi="Calibri" w:cs="Calibri"/>
          <w:szCs w:val="24"/>
        </w:rPr>
        <w:t xml:space="preserve">(Nghiem </w:t>
      </w:r>
      <w:r w:rsidRPr="00C05886">
        <w:rPr>
          <w:rFonts w:ascii="Calibri" w:hAnsi="Calibri" w:cs="Calibri"/>
          <w:i/>
          <w:iCs/>
          <w:szCs w:val="24"/>
        </w:rPr>
        <w:t>et al.</w:t>
      </w:r>
      <w:r w:rsidRPr="00C05886">
        <w:rPr>
          <w:rFonts w:ascii="Calibri" w:hAnsi="Calibri" w:cs="Calibri"/>
          <w:szCs w:val="24"/>
        </w:rPr>
        <w:t>, 2021)</w:t>
      </w:r>
      <w:r w:rsidRPr="00C05886">
        <w:fldChar w:fldCharType="end"/>
      </w:r>
      <w:r w:rsidRPr="00C05886">
        <w:t xml:space="preserve"> resulted in higher Attention Restoration, but the actual park biodiversity had little effect. Similarly, a survey study from a natural park in Ontario </w:t>
      </w:r>
      <w:r w:rsidRPr="00C05886">
        <w:fldChar w:fldCharType="begin"/>
      </w:r>
      <w:r w:rsidRPr="00C05886">
        <w:instrText xml:space="preserve"> ADDIN ZOTERO_ITEM CSL_CITATION {"citationID":"LZFG60jp","properties":{"formattedCitation":"(Reining, Lemieux and Doherty, 2021)","plainCitation":"(Reining, Lemieux and Doherty, 2021)","noteIndex":0},"citationItems":[{"id":9663,"uris":["http://zotero.org/users/10951124/items/J9NXCZ7N"],"itemData":{"id":9663,"type":"article-journal","container-title":"Journal of Environmental Planning and Management","DOI":"10.1080/09640568.2020.1857227","ISSN":"0964-0568","issue":"13","journalAbbreviation":"Journal of Environmental Planning and Management","note":"publisher: Routledge","page":"2300-2325","title":"Linking restorative human health outcomes to protected area ecosystem diversity and integrity","volume":"64","author":[{"family":"Reining","given":"Catherine E."},{"family":"Lemieux","given":"Christopher J."},{"family":"Doherty","given":"Sean T."}],"issued":{"date-parts":[["2021",11,10]]}}}],"schema":"https://github.com/citation-style-language/schema/raw/master/csl-citation.json"} </w:instrText>
      </w:r>
      <w:r w:rsidRPr="00C05886">
        <w:fldChar w:fldCharType="separate"/>
      </w:r>
      <w:r w:rsidRPr="00C05886">
        <w:rPr>
          <w:rFonts w:ascii="Calibri" w:hAnsi="Calibri" w:cs="Calibri"/>
        </w:rPr>
        <w:t>(Reining, Lemieux and Doherty, 2021)</w:t>
      </w:r>
      <w:r w:rsidRPr="00C05886">
        <w:fldChar w:fldCharType="end"/>
      </w:r>
      <w:r w:rsidRPr="00C05886">
        <w:t xml:space="preserve"> showed that perceiving a higher number of species had strong associations with well-being, while the type of ecosystem (and their different species richness) did not show a significant difference (i.e. all examined ecosystems were restorative).</w:t>
      </w:r>
    </w:p>
    <w:p w14:paraId="5A5E67B6" w14:textId="63E76E4F" w:rsidR="005F5299" w:rsidRPr="00C05886" w:rsidRDefault="005F5299" w:rsidP="00962982">
      <w:r w:rsidRPr="00C05886">
        <w:t>Perceptions of biodiversity represent a complex construct, which includes both the processing of the sensorial information of biodiversity (</w:t>
      </w:r>
      <w:proofErr w:type="spellStart"/>
      <w:r w:rsidRPr="00C05886">
        <w:t>Botzat</w:t>
      </w:r>
      <w:proofErr w:type="spellEnd"/>
      <w:r w:rsidRPr="00C05886">
        <w:t xml:space="preserve"> et al., 2016) and a subjective experiential component. Examples of sensorial stimuli are flower colours </w:t>
      </w:r>
      <w:r w:rsidRPr="00C05886">
        <w:fldChar w:fldCharType="begin"/>
      </w:r>
      <w:r w:rsidR="000309A4" w:rsidRPr="00C05886">
        <w:instrText xml:space="preserve"> ADDIN ZOTERO_ITEM CSL_CITATION {"citationID":"al6h8nPD","properties":{"formattedCitation":"(Elsadek and Liu, 2020; Zhang, Dempsey and Cameron, 2023)","plainCitation":"(Elsadek and Liu, 2020; Zhang, Dempsey and Cameron, 2023)","noteIndex":0},"citationItems":[{"id":5278,"uris":["http://zotero.org/users/local/pAEZdfSt/items/QQ6MQY8R","http://zotero.org/users/10951124/items/QQ6MQY8R"],"itemData":{"id":5278,"type":"article-journal","abstract":"Despite the existence of plentiful studies on how plants can positively affect human wellbeing, few have focused on the potential effects of flower colours on stressed people. The present study was designed to illustrate the psychophysiological relaxation impacts of seeing purple and blue hydrangea flowers among finance workers. Thirty employees were asked to view purple, blue flowers or an empty table for 3-min, during which we measured the participants' brain activity, heart rate variability and skin conductance. We also assessed their emotions and mood states. Findings suggest that, compared with viewing the control, viewing blue and purple flowers resulted in a significant increase in alpha relative waves in the prefrontal and occipital lobes, and a significant increase in parasympathetic nervous activity. A significant increase in the sensation vote for ?comfort', ?relaxation' and ?cheerfulness', as well as a dramatic improvement in the mood state was observed. The results show clear evidence for the support of the use of blue and purple flowering plants in places where comfort and calmness are required. In addition, blue flowers were more favoured and had the greatest positive effects. Results indicate that viewing flowering plants would be a promising therapeutic approach for enhancing physiological functions and improving psychological relaxation for office workers.","container-title":"Indoor and Built Environment","DOI":"10.1177/1420326X20942572","ISSN":"1420-326X","note":"publisher: SAGE Publications Ltd STM","page":"1420326X20942572","title":"Effects of viewing flowering plants on employees' wellbeing in an office-like environment","author":[{"family":"Elsadek","given":"Mohamed"},{"family":"Liu","given":"Binyi"}],"issued":{"date-parts":[["2020",7,28]]}}},{"id":9462,"uris":["http://zotero.org/users/10951124/items/EKITAFNI"],"itemData":{"id":9462,"type":"article-journal","abstract":"The natural environment is increasingly valued for its positive effect in retaining/restoring good mental health. Landscape architects are now challenged to embed therapeutic aspects within certain landscape designs, but what does this mean in practice? Flower colour has been one area that has attracted attention as potentially improving the restorative aspects of a designed landscape. In this research, 670 UK residents were surveyed to examine their preferences and emotional responses to flower colour using computer-generated images of ‘daisy-like’ flowers in 8 separate colours. Results showed that white, blue and orange were the most preferred flower colours. The data suggested, however, two separate phenomena were determining the psychological benefits associated with flower colour. The first is that there are some generic responses associated with key floral colours – flowers in blue play an effective role in relaxation/stress reduction; and warm colours - orange, yellow and red evoke uplifted emotions and deliver better positive affect. Interestingly, white was a colour that could both relax and provide uplifted emotions. The second phenomenon though, suggests that additionally and independently, an individual preference for a particular colour can also elicit positive psychological benefits, irrespective of what that particular colour is. In effect, favoured colours have a separate restorative effect that acts at a personal level. This finding has significance for landscape architects in that certain flower colours can be used to promote ‘generic’ therapeutic responses in appropriate locations, but that components of any designed landscape still need to take some account of personal responses and preferences.","container-title":"Urban Forestry &amp; Urban Greening","DOI":"10.1016/j.ufug.2022.127795","ISSN":"1618-8667","journalAbbreviation":"Urban Forestry &amp; Urban Greening","page":"127795","title":"Flowers – Sunshine for the soul! How does floral colour influence preference, feelings of relaxation and positive up-lift?","volume":"79","author":[{"family":"Zhang","given":"Liwen"},{"family":"Dempsey","given":"Nicola"},{"family":"Cameron","given":"Ross"}],"issued":{"date-parts":[["2023",1,1]]}}}],"schema":"https://github.com/citation-style-language/schema/raw/master/csl-citation.json"} </w:instrText>
      </w:r>
      <w:r w:rsidRPr="00C05886">
        <w:fldChar w:fldCharType="separate"/>
      </w:r>
      <w:r w:rsidRPr="00C05886">
        <w:rPr>
          <w:rFonts w:ascii="Calibri" w:hAnsi="Calibri" w:cs="Calibri"/>
        </w:rPr>
        <w:t>(Elsadek and Liu, 2020; Zhang, Dempsey and Cameron, 2023)</w:t>
      </w:r>
      <w:r w:rsidRPr="00C05886">
        <w:fldChar w:fldCharType="end"/>
      </w:r>
      <w:r w:rsidRPr="00C05886">
        <w:t xml:space="preserve"> and birdsong </w:t>
      </w:r>
      <w:r w:rsidRPr="00C05886">
        <w:fldChar w:fldCharType="begin"/>
      </w:r>
      <w:r w:rsidRPr="00C05886">
        <w:instrText xml:space="preserve"> ADDIN ZOTERO_ITEM CSL_CITATION {"citationID":"B9FxIHW0","properties":{"formattedCitation":"(Fisher {\\i{}et al.}, 2021)","plainCitation":"(Fisher et al., 2021)","noteIndex":0},"citationItems":[{"id":9625,"uris":["http://zotero.org/users/10951124/items/ZBM8VDQR"],"itemData":{"id":9625,"type":"article-journal","abstract":"Urban land cover expansion and human population growth are accelerating worldwide. This is resulting in the loss and degradation of green and blue spaces (e.g. parks, waterways, lakes) in cities, which provide resources to sustain biodiversity and improve human wellbeing. The specific characteristics of these spaces (e.g. sounds, species, safety) that enhance or detract from wellbeing are underexplored, yet this knowledge is needed to inform urban planning, management and policies that will ultimately benefit both people and biodiversity. Research of this kind is rarely conducted in the Global South, where rapid urbanisation threatens biodiversity-rich ecosystems of worldwide significance. Here, we examine how perceptions of green, waterway, and dense urban spaces relate to wellbeing in Georgetown, Guyana. Specifically, we use mediation models to test how perceptions of sound, bird species richness, naturalness, and safety concerns contribute to sites being perceived as restorative which, subsequently, influences wellbeing. We assess the accuracy of these site perceptions with objective measures of sound (using a bioacoustic sound index), bird species richness, and percent coverage of vegetation, water, and impervious surfaces. Results showed that if sites were perceived as species rich, containing natural sounds like birdsong, natural rather than artificial, and safe, they were perceived as more restorative, resulting in improved wellbeing. In general, people's perceptions were consistent with objective measures. Green, compared with waterway and dense urban sites, contained more biophonic sounds, higher species richness, greater vegetation and water coverage. Although waterways were biodiverse, they were dominated by anthrophonic sounds, so were perceived as artificial and non-restorative. We shed light on how city planners might augment specific characteristics to improve the wellbeing of urban dwellers, with implications for biodiversity conservation. Our findings provide a scientific evidence base for urban design and management plans that could deliver multiple co-benefits, particularly in biodiversity-rich cities in neotropical regions.","container-title":"Science of The Total Environment","DOI":"10.1016/j.scitotenv.2020.143095","ISSN":"0048-9697","journalAbbreviation":"Science of The Total Environment","page":"143095","title":"Perceived biodiversity, sound, naturalness and safety enhance the restorative quality and wellbeing benefits of green and blue space in a neotropical city","volume":"755","author":[{"family":"Fisher","given":"Jessica Claris"},{"family":"Irvine","given":"Katherine Nesbitt"},{"family":"Bicknell","given":"Jake Emmerson"},{"family":"Hayes","given":"William Michael"},{"family":"Fernandes","given":"Damian"},{"family":"Mistry","given":"Jayalaxshmi"},{"family":"Davies","given":"Zoe Georgina"}],"issued":{"date-parts":[["2021",2,10]]}}}],"schema":"https://github.com/citation-style-language/schema/raw/master/csl-citation.json"} </w:instrText>
      </w:r>
      <w:r w:rsidRPr="00C05886">
        <w:fldChar w:fldCharType="separate"/>
      </w:r>
      <w:r w:rsidRPr="00C05886">
        <w:rPr>
          <w:rFonts w:ascii="Calibri" w:hAnsi="Calibri" w:cs="Calibri"/>
          <w:szCs w:val="24"/>
        </w:rPr>
        <w:t xml:space="preserve">(Fisher </w:t>
      </w:r>
      <w:r w:rsidRPr="00C05886">
        <w:rPr>
          <w:rFonts w:ascii="Calibri" w:hAnsi="Calibri" w:cs="Calibri"/>
          <w:i/>
          <w:iCs/>
          <w:szCs w:val="24"/>
        </w:rPr>
        <w:t>et al.</w:t>
      </w:r>
      <w:r w:rsidRPr="00C05886">
        <w:rPr>
          <w:rFonts w:ascii="Calibri" w:hAnsi="Calibri" w:cs="Calibri"/>
          <w:szCs w:val="24"/>
        </w:rPr>
        <w:t>, 2021)</w:t>
      </w:r>
      <w:r w:rsidRPr="00C05886">
        <w:fldChar w:fldCharType="end"/>
      </w:r>
      <w:r w:rsidRPr="00C05886">
        <w:t xml:space="preserve">, which have been shown to improve </w:t>
      </w:r>
      <w:r w:rsidRPr="00C05886">
        <w:lastRenderedPageBreak/>
        <w:t xml:space="preserve">self-reported well-being. The subjective component, as suggested by qualitative research </w:t>
      </w:r>
      <w:r w:rsidRPr="00C05886">
        <w:fldChar w:fldCharType="begin"/>
      </w:r>
      <w:r w:rsidRPr="00C05886">
        <w:instrText xml:space="preserve"> ADDIN ZOTERO_ITEM CSL_CITATION {"citationID":"flYkqvZf","properties":{"formattedCitation":"(Austen {\\i{}et al.}, 2021)","plainCitation":"(Austen et al., 2021)","noteIndex":0},"citationItems":[{"id":9701,"uris":["http://zotero.org/users/10951124/items/AGU9JBMF"],"itemData":{"id":9701,"type":"article-journal","abstract":"Abstract Researchers, practitioners and policymakers have widely documented the multifarious ways that nature influences human well-being. However, we still have only a limited understanding of how the public interact with, respond to and talk about attributes of biodiversity. We used image-based Q methodology to explore the shared and contrasting perspectives people hold for biodiversity. This approach is a powerful way of allowing people to articulate what is, or is not, important to them, free from constraints associated with statement-based stimuli. We used British woodlands as a study system, as they are accessible and well-visited by the public. The elements of biodiversity incorporated in the Q methodology represented vertebrates, invertebrates, trees and understorey plants and fungi. The shared public perspectives varied, and the reasons underpinning those perspectives were rich and diverse. People articulated reasons related to an array of biodiversity attributes (e.g. functions, behaviours, colours, smells, shapes). Many of the perspectives transcended specific species or taxonomic groups. Although woodlands were used as a study system, people referenced perceptions and experiences external to this habitat (e.g. within their gardens) and associated with their everyday lives. Cultural influences and memories linked to particular people and places were also prominent. Few of the shared perspectives map onto the objective measures and dimensions that researchers use to describe and categorise biodiversity (e.g. rarity, ecosystem service provision). A free Plain Language Summary can be found within the Supporting Information of this article.","container-title":"People and Nature","DOI":"10.1002/pan3.10237","issue":"4","journalAbbreviation":"People and Nature","note":"publisher: John Wiley &amp; Sons, Ltd","page":"901-913","title":"Exploring shared public perspectives on biodiversity attributes","volume":"3","author":[{"family":"Austen","given":"Gail E."},{"family":"Dallimer","given":"Martin"},{"family":"Irvine","given":"Katherine N."},{"family":"Maund","given":"Phoebe R."},{"family":"Fish","given":"Robert D."},{"family":"Davies","given":"Zoe G."}],"issued":{"date-parts":[["2021",8,1]]}}}],"schema":"https://github.com/citation-style-language/schema/raw/master/csl-citation.json"} </w:instrText>
      </w:r>
      <w:r w:rsidRPr="00C05886">
        <w:fldChar w:fldCharType="separate"/>
      </w:r>
      <w:r w:rsidRPr="00C05886">
        <w:rPr>
          <w:rFonts w:ascii="Calibri" w:hAnsi="Calibri" w:cs="Calibri"/>
          <w:szCs w:val="24"/>
        </w:rPr>
        <w:t xml:space="preserve">(Austen </w:t>
      </w:r>
      <w:r w:rsidRPr="00C05886">
        <w:rPr>
          <w:rFonts w:ascii="Calibri" w:hAnsi="Calibri" w:cs="Calibri"/>
          <w:i/>
          <w:iCs/>
          <w:szCs w:val="24"/>
        </w:rPr>
        <w:t>et al.</w:t>
      </w:r>
      <w:r w:rsidRPr="00C05886">
        <w:rPr>
          <w:rFonts w:ascii="Calibri" w:hAnsi="Calibri" w:cs="Calibri"/>
          <w:szCs w:val="24"/>
        </w:rPr>
        <w:t>, 2021)</w:t>
      </w:r>
      <w:r w:rsidRPr="00C05886">
        <w:fldChar w:fldCharType="end"/>
      </w:r>
      <w:r w:rsidRPr="00C05886">
        <w:t xml:space="preserve">, goes beyond the sensorial aspects to include past experience (familiarity with species, memories of interaction) and knowledge about the biodiversity (e.g. species behaviour and its ecological value). Finally, perceptions of biodiversity can also increase over time, for example, as a result of targeted education </w:t>
      </w:r>
      <w:r w:rsidRPr="00C05886">
        <w:fldChar w:fldCharType="begin"/>
      </w:r>
      <w:r w:rsidRPr="00C05886">
        <w:instrText xml:space="preserve"> ADDIN ZOTERO_ITEM CSL_CITATION {"citationID":"uwMK9P8C","properties":{"formattedCitation":"(Lindemann-Matthies, 2002)","plainCitation":"(Lindemann-Matthies, 2002)","noteIndex":0},"citationItems":[{"id":9232,"uris":["http://zotero.org/users/10951124/items/VUBNG623"],"itemData":{"id":9232,"type":"article-journal","container-title":"The Journal of Environmental Education","DOI":"10.1080/00958960209600805","ISSN":"0095-8964","issue":"2","journalAbbreviation":"The Journal of Environmental Education","note":"publisher: Routledge","page":"22-31","title":"The Influence of an Educational Program on Children's Perception of Biodiversity","volume":"33","author":[{"family":"Lindemann-Matthies","given":"Petra"}],"issued":{"date-parts":[["2002",1,1]]}}}],"schema":"https://github.com/citation-style-language/schema/raw/master/csl-citation.json"} </w:instrText>
      </w:r>
      <w:r w:rsidRPr="00C05886">
        <w:fldChar w:fldCharType="separate"/>
      </w:r>
      <w:r w:rsidRPr="00C05886">
        <w:rPr>
          <w:rFonts w:ascii="Calibri" w:hAnsi="Calibri" w:cs="Calibri"/>
        </w:rPr>
        <w:t>(Lindemann-Matthies, 2002)</w:t>
      </w:r>
      <w:r w:rsidRPr="00C05886">
        <w:fldChar w:fldCharType="end"/>
      </w:r>
      <w:r w:rsidRPr="00C05886">
        <w:t xml:space="preserve">. This complexity could explain why, often, public perceptions of biodiversity were poorly correlated with measured biodiversity </w:t>
      </w:r>
      <w:r w:rsidRPr="00C05886">
        <w:fldChar w:fldCharType="begin"/>
      </w:r>
      <w:r w:rsidR="00DC0B4B" w:rsidRPr="00C05886">
        <w:instrText xml:space="preserve"> ADDIN ZOTERO_ITEM CSL_CITATION {"citationID":"Lzyp5OkH","properties":{"formattedCitation":"(Lindemann-Matthies and Bose, 2008; Dallimer {\\i{}et al.}, 2012; Assaf Shwartz {\\i{}et al.}, 2014)","plainCitation":"(Lindemann-Matthies and Bose, 2008; Dallimer et al., 2012; Assaf Shwartz et al., 2014)","noteIndex":0},"citationItems":[{"id":8229,"uris":["http://zotero.org/users/10951124/items/ZNFYF3FU"],"itemData":{"id":8229,"type":"article-journal","abstract":"This paper presents the results of interviews and a questionnaire study on public knowledge of the concept of biodiversity and of plant species richness in Switzerland. Despite its extensive use in science and policy making, the concept of biodiversity is not widely recognized or known to people in Switzerland. Overall, 60% of all study participants (161 grammar school pupils, 110 non-graduates, and 96 graduates in the Canton of Zurich) had never heard the term biodiversity, while the others had come across it primarily in the media. Few study participants considered their school education a relevant source of information about biodiversity. Study participants most frequently referred to the diversity of plants and animals when defining biodiversity, but also quite often believed that biodiversity had something to do with ecological concepts such as the equilibrium between all components of nature. Both young people and adults held widely inaccurate ideas of the plant species richness of communities. Particularly for Switzerland, plant species richness was strongly overestimated.","container-title":"Human Ecology","DOI":"10.1007/s10745-008-9194-1","ISSN":"1572-9915","issue":"5","page":"731-742","title":"How Many Species Are There? Public Understanding and Awareness of Biodiversity in Switzerland","volume":"36","author":[{"family":"Lindemann-Matthies","given":"Petra"},{"family":"Bose","given":"Elisabeth"}],"issued":{"date-parts":[["2008"]]}}},{"id":5841,"uris":["http://zotero.org/users/10951124/items/KQUVK8G6"],"itemData":{"id":5841,"type":"article-journal","abstract":"Over half of the world's human population lives in cities, and for many, urban greenspaces are the only places where they encounter biodiversity. This is of particular concern because there is growing evidence that human well-being is enhanced by exposure to nature. However, the specific qualities of greenspaces that offer the greatest benefits remain poorly understood. One possibility is that humans respond positively to increased levels of biodiversity. Here, we demonstrate the lack of a consistent relationship between actual plant, butterfly, and bird species richness and the psychological well-being of urban greenspace visitors. Instead, well-being shows a positive relationship with the richness that the greenspace users perceived to be present. One plausible explanation for this discrepancy, which we investigate, is that people generally have poor biodiversity-identification skills. The apparent importance of perceived species richness and the mismatch between reality and perception pose a serious challenge for aligning conservation and human well-being agendas.","container-title":"BioScience","DOI":"10.1525/bio.2012.62.1.9","ISSN":"00063568","issue":"1","page":"47-55","title":"Biodiversity and the Feel-Good Factor: Understanding Associations between Self-Reported Human Well-being and Species Richness","volume":"62","author":[{"family":"Dallimer","given":"Martin"},{"family":"Irvine","given":"Katherine N."},{"family":"Skinner","given":"Andrew M.J. J"},{"family":"Davies","given":"Zoe G."},{"family":"Rouquette","given":"James R."},{"family":"Maltby","given":"Lorraine L."},{"family":"Warren","given":"Philip H."},{"family":"Armsworth","given":"Paul R."},{"family":"Gaston","given":"Kevin J."}],"issued":{"date-parts":[["2012"]]}}},{"id":6245,"uris":["http://zotero.org/users/10951124/items/ER322ZT3"],"itemData":{"id":6245,"type":"article-journal","abstract":"&lt;p&gt;Urbanization is presenting a growing problem for biodiversity conservation, notably by increasingly isolating over half of the world’s population from the experience of nature. This separation of people from nature is an important environmental issue, as it could fundamentally influence the way people value nature and their willingness to conserve it. Here we provide the first experimental study that jointly explores how urban biodiversity can be enhanced and how these changes may influence some aspects of people–biodiversity interactions.&lt;/p&gt; &lt;p&gt;We significantly increased the diversity of flowers, birds and pollinators in small public gardens (Paris, France) by providing additional resources (i.e., planting flower-meadows and placing nesting-boxes). Semi-structured interviews were conducted &lt;/p&gt; &lt;p&gt; with 1116 regular garden users before and after the manipulation. Close-ended questionnaires were completed exploring the respondents’ biodiversity perception and their sensitivity to the changes in biodiversity. Our results highlight a people–biodiversity paradox between people’s perceptions and biodiversity awareness. Respondents expressed a strong preference for a rich diversity of species (excluding insects) and related this diversity to their well-being in the gardens. However, they did not notice the diversity of species. Respondents underestimated species richness and only noticed the changes in native flower richness in those gardens where advertisement and public involvement were organized. More experimental interdisciplinary studies are needed to further explore the people–biodiversity interactions. This would help expose the role that urban biodiversity plays in people’s daily life and the importance of this interaction for raising public support for general conservation policies.&lt;/p&gt;","container-title":"Biological Conservation","DOI":"10.1016/j.biocon.2014.01.009","ISSN":"0006-3207","page":"82-90","title":"Enhancing urban biodiversity and its influence on city-dwellers: An experiment","volume":"171","author":[{"family":"Shwartz","given":"Assaf"},{"family":"Turbé","given":"Anne"},{"family":"Simon","given":"Laurent"},{"family":"Julliard","given":"Romain"}],"issued":{"date-parts":[["2014"]]}}}],"schema":"https://github.com/citation-style-language/schema/raw/master/csl-citation.json"} </w:instrText>
      </w:r>
      <w:r w:rsidRPr="00C05886">
        <w:fldChar w:fldCharType="separate"/>
      </w:r>
      <w:r w:rsidR="00DC0B4B" w:rsidRPr="00C05886">
        <w:rPr>
          <w:rFonts w:ascii="Calibri" w:hAnsi="Calibri" w:cs="Calibri"/>
          <w:szCs w:val="24"/>
        </w:rPr>
        <w:t xml:space="preserve">(Lindemann-Matthies and Bose, 2008; Dallimer </w:t>
      </w:r>
      <w:r w:rsidR="00DC0B4B" w:rsidRPr="00C05886">
        <w:rPr>
          <w:rFonts w:ascii="Calibri" w:hAnsi="Calibri" w:cs="Calibri"/>
          <w:i/>
          <w:iCs/>
          <w:szCs w:val="24"/>
        </w:rPr>
        <w:t>et al.</w:t>
      </w:r>
      <w:r w:rsidR="00DC0B4B" w:rsidRPr="00C05886">
        <w:rPr>
          <w:rFonts w:ascii="Calibri" w:hAnsi="Calibri" w:cs="Calibri"/>
          <w:szCs w:val="24"/>
        </w:rPr>
        <w:t xml:space="preserve">, 2012; Assaf Shwartz </w:t>
      </w:r>
      <w:r w:rsidR="00DC0B4B" w:rsidRPr="00C05886">
        <w:rPr>
          <w:rFonts w:ascii="Calibri" w:hAnsi="Calibri" w:cs="Calibri"/>
          <w:i/>
          <w:iCs/>
          <w:szCs w:val="24"/>
        </w:rPr>
        <w:t>et al.</w:t>
      </w:r>
      <w:r w:rsidR="00DC0B4B" w:rsidRPr="00C05886">
        <w:rPr>
          <w:rFonts w:ascii="Calibri" w:hAnsi="Calibri" w:cs="Calibri"/>
          <w:szCs w:val="24"/>
        </w:rPr>
        <w:t>, 2014)</w:t>
      </w:r>
      <w:r w:rsidRPr="00C05886">
        <w:fldChar w:fldCharType="end"/>
      </w:r>
      <w:r w:rsidRPr="00C05886">
        <w:t>.</w:t>
      </w:r>
    </w:p>
    <w:p w14:paraId="72BD9631" w14:textId="76CFACAF" w:rsidR="005F5299" w:rsidRPr="00C05886" w:rsidRDefault="005F5299" w:rsidP="00FF3D4B">
      <w:r w:rsidRPr="00C05886">
        <w:t xml:space="preserve">In a previous experiment </w:t>
      </w:r>
      <w:r w:rsidR="00E1047C">
        <w:fldChar w:fldCharType="begin"/>
      </w:r>
      <w:r w:rsidR="00D16C1B">
        <w:instrText xml:space="preserve"> ADDIN ZOTERO_ITEM CSL_CITATION {"citationID":"hoD9XAKL","properties":{"formattedCitation":"(Farris, Dempsey, {\\i{}et al.}, 2024)","plainCitation":"(Farris, Dempsey, et al., 2024)","noteIndex":0},"citationItems":[{"id":10928,"uris":["http://zotero.org/users/10951124/items/LNJYZS5A"],"itemData":{"id":10928,"type":"article-journal","abstract":"Green spaces can support human stress reduction and foster positive emotional well-being. Previous research has suggested that biodiversity (i.e. the variety of species of plants and animals in a given location) can enhance recovery from stress even further. However, there is limited experimental evidence testing this hypothesis and results, to date, have been mixed. This study aimed to provide further understanding of the role of biodiversity (actual or perceived) on human well-being by experimentally manipulating species richness and stress. Participants (372 in total) took part in an online experiment, where they received an episode of mild stress before watching a 360-degree video to recover. The video showed the same location, an urban woodland, but at one of four artificially manipulated levels of biodiversity. The participants reported their Positive and Negative Affect before and after the stress induction and after watching the video, providing a measure of their stress and well-being throughout the experiment. Participants also reported their perceptions of biodiversity (i.e. how diverse they thought the location was) and elaborated on their responses with brief comments. Repeated Measure Analysis of Variance revealed that exposure to all levels of biodiversity reduced the participants’ Negative Affect, but with no significant difference between the conditions. However, the analysis showed higher Positive Affect in those participants who perceived the environment as more biodiverse. Comments from participants indicated that those who reported noticing flowers and trees in the environment also showed higher Positive Affect. This suggests that perceiving biodiversity promotes more positive emotions, but critically one needs to actually notice (engage with) the components of biodiversity to elicit these extra benefits.","container-title":"PLOS ONE","DOI":"10.1371/journal.pone.0297179","ISSN":"1932-6203","issue":"2","journalAbbreviation":"PLoS ONE","language":"en","license":"All rights reserved","page":"e0297179","source":"DOI.org (Crossref)","title":"Does increasing biodiversity in an urban woodland setting promote positive emotional responses in humans? A stress recovery experiment using 360-degree videos of an urban woodland","title-short":"Does increasing biodiversity in an urban woodland setting promote positive emotional responses in humans?","volume":"19","author":[{"family":"Farris","given":"Simone"},{"family":"Dempsey","given":"Nicola"},{"family":"McEwan","given":"Kirsten"},{"family":"Hoyle","given":"Helen"},{"family":"Cameron","given":"Ross"}],"editor":[{"family":"Bhadauria","given":"Tunira"}],"issued":{"date-parts":[["2024",2,7]]}}}],"schema":"https://github.com/citation-style-language/schema/raw/master/csl-citation.json"} </w:instrText>
      </w:r>
      <w:r w:rsidR="00E1047C">
        <w:fldChar w:fldCharType="separate"/>
      </w:r>
      <w:r w:rsidR="00D16C1B" w:rsidRPr="00D16C1B">
        <w:rPr>
          <w:rFonts w:ascii="Calibri" w:hAnsi="Calibri" w:cs="Calibri"/>
          <w:szCs w:val="24"/>
        </w:rPr>
        <w:t xml:space="preserve">(Farris, Dempsey, </w:t>
      </w:r>
      <w:r w:rsidR="00D16C1B" w:rsidRPr="00D16C1B">
        <w:rPr>
          <w:rFonts w:ascii="Calibri" w:hAnsi="Calibri" w:cs="Calibri"/>
          <w:i/>
          <w:iCs/>
          <w:szCs w:val="24"/>
        </w:rPr>
        <w:t>et al.</w:t>
      </w:r>
      <w:r w:rsidR="00D16C1B" w:rsidRPr="00D16C1B">
        <w:rPr>
          <w:rFonts w:ascii="Calibri" w:hAnsi="Calibri" w:cs="Calibri"/>
          <w:szCs w:val="24"/>
        </w:rPr>
        <w:t>, 2024)</w:t>
      </w:r>
      <w:r w:rsidR="00E1047C">
        <w:fldChar w:fldCharType="end"/>
      </w:r>
      <w:r w:rsidRPr="00C05886">
        <w:t xml:space="preserve">, there was some indication that </w:t>
      </w:r>
      <w:r w:rsidRPr="00C05886">
        <w:rPr>
          <w:i/>
          <w:iCs/>
        </w:rPr>
        <w:t>noticing</w:t>
      </w:r>
      <w:r w:rsidRPr="00C05886">
        <w:t xml:space="preserve"> biodiversity could be a key element in enhancing well-being. While holding the level of biodiversity and the perceived biodiversity constant, those participants who reported noticing some elements of biodiversity (i.e. flowers, birds, trees) showed higher Positive Affect while recovering from a stressor than participants who did not notice or did not share what they had seen. Other studies </w:t>
      </w:r>
      <w:r w:rsidRPr="00C05886">
        <w:fldChar w:fldCharType="begin"/>
      </w:r>
      <w:r w:rsidRPr="00C05886">
        <w:instrText xml:space="preserve"> ADDIN ZOTERO_ITEM CSL_CITATION {"citationID":"H7L8tIsn","properties":{"formattedCitation":"(Passmore and Holder, 2017; Passmore, Yang and Sabine, 2022)","plainCitation":"(Passmore and Holder, 2017; Passmore, Yang and Sabine, 2022)","noteIndex":0},"citationItems":[{"id":9216,"uris":["http://zotero.org/users/10951124/items/EIDQ6DBB"],"itemData":{"id":9216,"type":"article-journal","container-title":"The Journal of Positive Psychology","DOI":"10.1080/17439760.2016.1221126","ISSN":"1743-9760","issue":"6","journalAbbreviation":"The Journal of Positive Psychology","note":"publisher: Routledge","page":"537-546","title":"Noticing nature: Individual and social benefits of a two-week intervention","volume":"12","author":[{"family":"Passmore","given":"Holli-Anne"},{"family":"Holder","given":"Mark D."}],"issued":{"date-parts":[["2017",11,2]]}}},{"id":9222,"uris":["http://zotero.org/users/10951124/items/F6MFLZGU"],"itemData":{"id":9222,"type":"article-journal","abstract":"The current study is an expanded replication study examining the efficacy of a modified version of Passmore and Holder’s (2017) nature-based well-being intervention, the Noticing Nature Intervention (NNI). Undergraduates (N = 173) from a university in China were randomly assigned to engage in the NNI for 2 weeks (i.e., pay attention to, and provide a brief description of, how the everyday nature you encounter makes you feel) or to engage in one of two active control conditions. Both quantitative and qualitative findings replicated previous results. At the end of the 2-week intervention, compared to control groups, participants who engaged in the NNI reported significantly higher levels of well-being and significantly lower levels of ill-being (ds from 0.41 to 0.69). As in the 2017 study, these well-being benefits were not moderated by trait levels of connectedness to nature. Further replicating the 2017 results, these well-being benefits were not a function of the NNI group spending significantly more time in nature (ds = 0.05–0.07,); rather, boosts to well-being and reduction of ill-being were the result merely of paying attention to the everyday nature participants encountered in their daily routines. Analysis of qualitative findings revealed that positive emotions were significantly more likely to be reported by participants in the NNI condition (z = 6.5), while negative emotions were significantly less likely to be reported by those in the NNI condition (z = −7.3). This research provides further empirical support for the Noticing Nature Intervention as an effective well-being intervention.","container-title":"Journal of Happiness Studies","DOI":"10.1007/s10902-022-00516-3","ISSN":"1573-7780","issue":"6","journalAbbreviation":"Journal of Happiness Studies","page":"2663-2683","title":"An Extended Replication Study of the Well-Being Intervention, the Noticing Nature Intervention (NNI)","volume":"23","author":[{"family":"Passmore","given":"Holli-Anne"},{"family":"Yang","given":"Ying"},{"family":"Sabine","given":"Sarena"}],"issued":{"date-parts":[["2022",8,1]]}}}],"schema":"https://github.com/citation-style-language/schema/raw/master/csl-citation.json"} </w:instrText>
      </w:r>
      <w:r w:rsidRPr="00C05886">
        <w:fldChar w:fldCharType="separate"/>
      </w:r>
      <w:r w:rsidRPr="00C05886">
        <w:rPr>
          <w:rFonts w:ascii="Calibri" w:hAnsi="Calibri" w:cs="Calibri"/>
        </w:rPr>
        <w:t>(Passmore and Holder, 2017; Passmore, Yang and Sabine, 2022)</w:t>
      </w:r>
      <w:r w:rsidRPr="00C05886">
        <w:fldChar w:fldCharType="end"/>
      </w:r>
      <w:r w:rsidRPr="00C05886">
        <w:t xml:space="preserve"> showed that mindfully noticing nature and the emotions evoked by it can increase positive affect, in particular low-arousal positive affect such as relaxation (McEwan et al, 2021).</w:t>
      </w:r>
    </w:p>
    <w:p w14:paraId="6E37D746" w14:textId="77777777" w:rsidR="005F5299" w:rsidRPr="00C05886" w:rsidRDefault="005F5299" w:rsidP="005F5299">
      <w:pPr>
        <w:pStyle w:val="Heading3"/>
      </w:pPr>
      <w:bookmarkStart w:id="117" w:name="_Toc179962363"/>
      <w:r w:rsidRPr="00C05886">
        <w:t>The present study</w:t>
      </w:r>
      <w:bookmarkEnd w:id="117"/>
    </w:p>
    <w:p w14:paraId="6F4A93D6" w14:textId="77777777" w:rsidR="005F5299" w:rsidRPr="00C05886" w:rsidRDefault="005F5299" w:rsidP="00FF3D4B">
      <w:r w:rsidRPr="00C05886">
        <w:t>Considering this summary of the existing literature, the present study aimed to: 1) contribute to the limited experimental evidence that has linked well-being and biodiversity; 2) compare the effect of perceived biodiversity and actual biodiversity on the same stress recovery process but at different baselines of stress; 3) explore the effect of noticing biodiversity on well-being. The experiment focused on testing the following hypotheses:</w:t>
      </w:r>
    </w:p>
    <w:p w14:paraId="1B1658E1" w14:textId="77777777" w:rsidR="005F5299" w:rsidRPr="00C05886" w:rsidRDefault="005F5299" w:rsidP="00773DBC">
      <w:pPr>
        <w:pStyle w:val="ListParagraph"/>
        <w:numPr>
          <w:ilvl w:val="0"/>
          <w:numId w:val="23"/>
        </w:numPr>
        <w:ind w:left="714" w:hanging="357"/>
      </w:pPr>
      <w:r w:rsidRPr="00C05886">
        <w:t xml:space="preserve">Does higher park biodiversity improve well-being more than lower (but not none) biodiversity? </w:t>
      </w:r>
    </w:p>
    <w:p w14:paraId="435C6503" w14:textId="77777777" w:rsidR="005F5299" w:rsidRPr="00C05886" w:rsidRDefault="005F5299" w:rsidP="00773DBC">
      <w:pPr>
        <w:pStyle w:val="ListParagraph"/>
        <w:numPr>
          <w:ilvl w:val="0"/>
          <w:numId w:val="23"/>
        </w:numPr>
        <w:ind w:left="714" w:hanging="357"/>
      </w:pPr>
      <w:r w:rsidRPr="00C05886">
        <w:t>Does the perceived biodiversity elicit more well-being than actual biodiversity?</w:t>
      </w:r>
    </w:p>
    <w:p w14:paraId="4A9C038C" w14:textId="77777777" w:rsidR="005F5299" w:rsidRPr="00C05886" w:rsidRDefault="005F5299" w:rsidP="00773DBC">
      <w:pPr>
        <w:pStyle w:val="ListParagraph"/>
        <w:numPr>
          <w:ilvl w:val="0"/>
          <w:numId w:val="23"/>
        </w:numPr>
        <w:ind w:left="714" w:hanging="357"/>
      </w:pPr>
      <w:r w:rsidRPr="00C05886">
        <w:t>Does noticing individual elements of biodiversity elicit well-being?</w:t>
      </w:r>
    </w:p>
    <w:p w14:paraId="5E40FB6F" w14:textId="77777777" w:rsidR="005F5299" w:rsidRPr="00C05886" w:rsidRDefault="005F5299" w:rsidP="00773DBC">
      <w:pPr>
        <w:pStyle w:val="ListParagraph"/>
        <w:numPr>
          <w:ilvl w:val="0"/>
          <w:numId w:val="23"/>
        </w:numPr>
        <w:ind w:left="714" w:hanging="357"/>
      </w:pPr>
      <w:r w:rsidRPr="00C05886">
        <w:t>Is there any difference between non-stressed and stressed participants?</w:t>
      </w:r>
    </w:p>
    <w:p w14:paraId="7DFAA88A" w14:textId="77777777" w:rsidR="005F5299" w:rsidRPr="00C05886" w:rsidRDefault="005F5299" w:rsidP="005F5299">
      <w:pPr>
        <w:pStyle w:val="Heading2"/>
      </w:pPr>
      <w:bookmarkStart w:id="118" w:name="_Toc179962364"/>
      <w:r w:rsidRPr="00C05886">
        <w:t>Materials and Methods</w:t>
      </w:r>
      <w:bookmarkEnd w:id="118"/>
    </w:p>
    <w:p w14:paraId="1420A076" w14:textId="77777777" w:rsidR="005F5299" w:rsidRPr="00C05886" w:rsidRDefault="005F5299" w:rsidP="00F74003">
      <w:r w:rsidRPr="00C05886">
        <w:t xml:space="preserve">To address the research hypotheses, a total of four experiments were developed. Experiment 1 measured the participants’ emotional well-being before and after a virtual tour of an urban park. Experiment 2 replicated Experiment 1 but introduced a stressor task before the virtual tour. </w:t>
      </w:r>
      <w:r w:rsidRPr="00C05886">
        <w:lastRenderedPageBreak/>
        <w:t>Experiments 3 and 4 replicated experiments 1 and 2 (respectively) with a different group of participants in a different language. The following sections will provide more details about the virtual tour, the participants, the experimental procedures and the measures used.</w:t>
      </w:r>
    </w:p>
    <w:p w14:paraId="42B878C1" w14:textId="77777777" w:rsidR="005F5299" w:rsidRPr="00C05886" w:rsidRDefault="005F5299" w:rsidP="005F5299">
      <w:pPr>
        <w:pStyle w:val="Heading3"/>
      </w:pPr>
      <w:bookmarkStart w:id="119" w:name="_Toc179962365"/>
      <w:r w:rsidRPr="00C05886">
        <w:t>Treatment setup and virtual park development</w:t>
      </w:r>
      <w:bookmarkEnd w:id="119"/>
    </w:p>
    <w:p w14:paraId="39FD4C32" w14:textId="7FEB1DEC" w:rsidR="005F5299" w:rsidRPr="00C05886" w:rsidRDefault="005F5299" w:rsidP="00C91F4D">
      <w:r w:rsidRPr="00C05886">
        <w:t xml:space="preserve">Eight different versions of the same virtual park were developed (Table 1). These park variations were used as treatments to expose the participant to different levels of biodiversity while accounting for the effect of flower colours. Flower colours can influence positive affect </w:t>
      </w:r>
      <w:r w:rsidRPr="00C05886">
        <w:fldChar w:fldCharType="begin"/>
      </w:r>
      <w:r w:rsidR="003C342F" w:rsidRPr="00C05886">
        <w:instrText xml:space="preserve"> ADDIN ZOTERO_ITEM CSL_CITATION {"citationID":"pJOeQs1Y","properties":{"formattedCitation":"(Elsadek and Liu, 2020; Zhang, Dempsey and Cameron, 2023)","plainCitation":"(Elsadek and Liu, 2020; Zhang, Dempsey and Cameron, 2023)","noteIndex":0},"citationItems":[{"id":5278,"uris":["http://zotero.org/users/local/pAEZdfSt/items/QQ6MQY8R","http://zotero.org/users/10951124/items/QQ6MQY8R"],"itemData":{"id":5278,"type":"article-journal","abstract":"Despite the existence of plentiful studies on how plants can positively affect human wellbeing, few have focused on the potential effects of flower colours on stressed people. The present study was designed to illustrate the psychophysiological relaxation impacts of seeing purple and blue hydrangea flowers among finance workers. Thirty employees were asked to view purple, blue flowers or an empty table for 3-min, during which we measured the participants' brain activity, heart rate variability and skin conductance. We also assessed their emotions and mood states. Findings suggest that, compared with viewing the control, viewing blue and purple flowers resulted in a significant increase in alpha relative waves in the prefrontal and occipital lobes, and a significant increase in parasympathetic nervous activity. A significant increase in the sensation vote for ?comfort', ?relaxation' and ?cheerfulness', as well as a dramatic improvement in the mood state was observed. The results show clear evidence for the support of the use of blue and purple flowering plants in places where comfort and calmness are required. In addition, blue flowers were more favoured and had the greatest positive effects. Results indicate that viewing flowering plants would be a promising therapeutic approach for enhancing physiological functions and improving psychological relaxation for office workers.","container-title":"Indoor and Built Environment","DOI":"10.1177/1420326X20942572","ISSN":"1420-326X","note":"publisher: SAGE Publications Ltd STM","page":"1420326X20942572","title":"Effects of viewing flowering plants on employees' wellbeing in an office-like environment","author":[{"family":"Elsadek","given":"Mohamed"},{"family":"Liu","given":"Binyi"}],"issued":{"date-parts":[["2020",7,28]]}}},{"id":9462,"uris":["http://zotero.org/users/10951124/items/EKITAFNI"],"itemData":{"id":9462,"type":"article-journal","abstract":"The natural environment is increasingly valued for its positive effect in retaining/restoring good mental health. Landscape architects are now challenged to embed therapeutic aspects within certain landscape designs, but what does this mean in practice? Flower colour has been one area that has attracted attention as potentially improving the restorative aspects of a designed landscape. In this research, 670 UK residents were surveyed to examine their preferences and emotional responses to flower colour using computer-generated images of ‘daisy-like’ flowers in 8 separate colours. Results showed that white, blue and orange were the most preferred flower colours. The data suggested, however, two separate phenomena were determining the psychological benefits associated with flower colour. The first is that there are some generic responses associated with key floral colours – flowers in blue play an effective role in relaxation/stress reduction; and warm colours - orange, yellow and red evoke uplifted emotions and deliver better positive affect. Interestingly, white was a colour that could both relax and provide uplifted emotions. The second phenomenon though, suggests that additionally and independently, an individual preference for a particular colour can also elicit positive psychological benefits, irrespective of what that particular colour is. In effect, favoured colours have a separate restorative effect that acts at a personal level. This finding has significance for landscape architects in that certain flower colours can be used to promote ‘generic’ therapeutic responses in appropriate locations, but that components of any designed landscape still need to take some account of personal responses and preferences.","container-title":"Urban Forestry &amp; Urban Greening","DOI":"10.1016/j.ufug.2022.127795","ISSN":"1618-8667","journalAbbreviation":"Urban Forestry &amp; Urban Greening","page":"127795","title":"Flowers – Sunshine for the soul! How does floral colour influence preference, feelings of relaxation and positive up-lift?","volume":"79","author":[{"family":"Zhang","given":"Liwen"},{"family":"Dempsey","given":"Nicola"},{"family":"Cameron","given":"Ross"}],"issued":{"date-parts":[["2023",1,1]]}}}],"schema":"https://github.com/citation-style-language/schema/raw/master/csl-citation.json"} </w:instrText>
      </w:r>
      <w:r w:rsidRPr="00C05886">
        <w:fldChar w:fldCharType="separate"/>
      </w:r>
      <w:r w:rsidRPr="00C05886">
        <w:rPr>
          <w:rFonts w:ascii="Calibri" w:hAnsi="Calibri" w:cs="Calibri"/>
        </w:rPr>
        <w:t>(Elsadek and Liu, 2020; Zhang, Dempsey and Cameron, 2023)</w:t>
      </w:r>
      <w:r w:rsidRPr="00C05886">
        <w:fldChar w:fldCharType="end"/>
      </w:r>
      <w:r w:rsidRPr="00C05886">
        <w:t xml:space="preserve"> but are also one of the most intuitive species traits used to distinguish one species from another </w:t>
      </w:r>
      <w:r w:rsidRPr="00C05886">
        <w:fldChar w:fldCharType="begin"/>
      </w:r>
      <w:r w:rsidRPr="00C05886">
        <w:instrText xml:space="preserve"> ADDIN ZOTERO_ITEM CSL_CITATION {"citationID":"Y67W2P4z","properties":{"formattedCitation":"(Hoyle {\\i{}et al.}, 2018)","plainCitation":"(Hoyle et al., 2018)","noteIndex":0},"citationItems":[{"id":9417,"uris":["http://zotero.org/users/10951124/items/THP5WKQ5"],"itemData":{"id":9417,"type":"article-journal","abstract":"There is increasing evidence of the benefits of introducing urban meadows as an alternative to amenity mown grass in public greenspaces, both for biodiversity, and human wellbeing. Developing a better understanding of the meadow characteristics driving human and wildlife response is therefore critical. We addressed this by assessing public and invertebrate response to eight different annual meadow mixes defined by two levels of plant species diversity and two levels of colour diversity, sown in an urban park in Luton, UK, in April 2015. On-site questionnaires with the visiting public were conducted in July, August and September 2015. Invertebrate responses were assessed via contemporaneous visual surveys and one sweep net survey (August 2015). Flower colour diversity had effects on human aesthetic response and the response of pollinators such as bumblebees and hoverflies. Plant species diversity, however, was not a driver of human response with evidence that people used colour diversity as a cue to assessing species diversity. Plant species diversity did affect some invertebrates, with higher abundances of certain taxa in low species diversity meadows. Our findings indicate that if the priority for sown meadows is to maximise human aesthetic enjoyment and the abundance and diversity of observable invertebrates, particularly pollinators, managers of urban green infrastructure should prioritise high flower colour diversity mixes over those of high plant species diversity. Incorporating late-flowering non-native species such as Coreopsis tinctoria (plains coreopsis) can prolong the attractiveness of the meadows for people and availability of resources for pollinators and would therefore be beneficial.","container-title":"Landscape and Urban Planning","DOI":"10.1016/j.landurbplan.2018.08.017","ISSN":"0169-2046","journalAbbreviation":"Landscape and Urban Planning","page":"103-113","title":"Plant species or flower colour diversity? Identifying the drivers of public and invertebrate response to designed annual meadows","volume":"180","author":[{"family":"Hoyle","given":"Helen"},{"family":"Norton","given":"Briony"},{"family":"Dunnett","given":"Nigel"},{"family":"Richards","given":"J. Paul"},{"family":"Russell","given":"Jean M."},{"family":"Warren","given":"Philip"}],"issued":{"date-parts":[["2018",12,1]]}}}],"schema":"https://github.com/citation-style-language/schema/raw/master/csl-citation.json"} </w:instrText>
      </w:r>
      <w:r w:rsidRPr="00C05886">
        <w:fldChar w:fldCharType="separate"/>
      </w:r>
      <w:r w:rsidRPr="00C05886">
        <w:rPr>
          <w:rFonts w:ascii="Calibri" w:hAnsi="Calibri" w:cs="Calibri"/>
          <w:szCs w:val="24"/>
        </w:rPr>
        <w:t xml:space="preserve">(Hoyle </w:t>
      </w:r>
      <w:r w:rsidRPr="00C05886">
        <w:rPr>
          <w:rFonts w:ascii="Calibri" w:hAnsi="Calibri" w:cs="Calibri"/>
          <w:i/>
          <w:iCs/>
          <w:szCs w:val="24"/>
        </w:rPr>
        <w:t>et al.</w:t>
      </w:r>
      <w:r w:rsidRPr="00C05886">
        <w:rPr>
          <w:rFonts w:ascii="Calibri" w:hAnsi="Calibri" w:cs="Calibri"/>
          <w:szCs w:val="24"/>
        </w:rPr>
        <w:t>, 2018)</w:t>
      </w:r>
      <w:r w:rsidRPr="00C05886">
        <w:fldChar w:fldCharType="end"/>
      </w:r>
      <w:r w:rsidRPr="00C05886">
        <w:t>. Therefore, it was necessary to control for the diversity of the flower colours which may overlap and be confounded with biodiversity. Biodiversity was manipulated by introducing digital models of flowering plants, small mammals and birds. This was done to make biodiversity as noticeable as possible, attempting to make the comparison between actual and perceived biodiversity clearer. This produced one low biodiversity treatment (</w:t>
      </w:r>
      <w:r w:rsidR="00A40274">
        <w:t>three</w:t>
      </w:r>
      <w:r w:rsidR="00A40274" w:rsidRPr="00C05886">
        <w:t xml:space="preserve"> </w:t>
      </w:r>
      <w:r w:rsidRPr="00C05886">
        <w:t xml:space="preserve">plants, </w:t>
      </w:r>
      <w:r w:rsidR="00A40274">
        <w:t>two</w:t>
      </w:r>
      <w:r w:rsidR="00A40274" w:rsidRPr="00C05886">
        <w:t xml:space="preserve"> </w:t>
      </w:r>
      <w:r w:rsidRPr="00C05886">
        <w:t>birds) and one high biodiversity treatment (</w:t>
      </w:r>
      <w:r w:rsidR="00A40274">
        <w:t>twelve</w:t>
      </w:r>
      <w:r w:rsidR="00A40274" w:rsidRPr="00C05886">
        <w:t xml:space="preserve"> </w:t>
      </w:r>
      <w:r w:rsidRPr="00C05886">
        <w:t xml:space="preserve">plants, </w:t>
      </w:r>
      <w:r w:rsidR="00A40274">
        <w:t>two</w:t>
      </w:r>
      <w:r w:rsidR="00A40274" w:rsidRPr="00C05886">
        <w:t xml:space="preserve"> </w:t>
      </w:r>
      <w:r w:rsidRPr="00C05886">
        <w:t xml:space="preserve">mammals, </w:t>
      </w:r>
      <w:r w:rsidR="00A40274">
        <w:t>four</w:t>
      </w:r>
      <w:r w:rsidR="00A40274" w:rsidRPr="00C05886">
        <w:t xml:space="preserve"> </w:t>
      </w:r>
      <w:r w:rsidRPr="00C05886">
        <w:t xml:space="preserve">birds). All versions of the park included 10 species of trees, mown lawns, benches, rubbish bins and some human models. The effect of the flower colours was controlled by limiting the number of colours to </w:t>
      </w:r>
      <w:r w:rsidR="00A40274">
        <w:t>two</w:t>
      </w:r>
      <w:r w:rsidR="00A40274" w:rsidRPr="00C05886">
        <w:t xml:space="preserve"> </w:t>
      </w:r>
      <w:r w:rsidRPr="00C05886">
        <w:t xml:space="preserve">(lower colour diversity) and </w:t>
      </w:r>
      <w:r w:rsidR="00A40274">
        <w:t>four</w:t>
      </w:r>
      <w:r w:rsidR="00A40274" w:rsidRPr="00C05886">
        <w:t xml:space="preserve"> </w:t>
      </w:r>
      <w:r w:rsidRPr="00C05886">
        <w:t xml:space="preserve">(higher colour diversity). To maximise the affective response to the planting, warm colours were used in experiments 1 and 3 (i.e. without the stress induction) and cool colours were used in experiments 2 and 4 where participants received a stress induction. This choice was based on previous research which showed a relaxing effect of cool flower colours and an uplifting effect of warm flower colours </w:t>
      </w:r>
      <w:r w:rsidRPr="00C05886">
        <w:fldChar w:fldCharType="begin"/>
      </w:r>
      <w:r w:rsidRPr="00C05886">
        <w:instrText xml:space="preserve"> ADDIN ZOTERO_ITEM CSL_CITATION {"citationID":"H9xvDZHv","properties":{"formattedCitation":"(Zhang, Dempsey and Cameron, 2023)","plainCitation":"(Zhang, Dempsey and Cameron, 2023)","noteIndex":0},"citationItems":[{"id":9462,"uris":["http://zotero.org/users/10951124/items/EKITAFNI"],"itemData":{"id":9462,"type":"article-journal","abstract":"The natural environment is increasingly valued for its positive effect in retaining/restoring good mental health. Landscape architects are now challenged to embed therapeutic aspects within certain landscape designs, but what does this mean in practice? Flower colour has been one area that has attracted attention as potentially improving the restorative aspects of a designed landscape. In this research, 670 UK residents were surveyed to examine their preferences and emotional responses to flower colour using computer-generated images of ‘daisy-like’ flowers in 8 separate colours. Results showed that white, blue and orange were the most preferred flower colours. The data suggested, however, two separate phenomena were determining the psychological benefits associated with flower colour. The first is that there are some generic responses associated with key floral colours – flowers in blue play an effective role in relaxation/stress reduction; and warm colours - orange, yellow and red evoke uplifted emotions and deliver better positive affect. Interestingly, white was a colour that could both relax and provide uplifted emotions. The second phenomenon though, suggests that additionally and independently, an individual preference for a particular colour can also elicit positive psychological benefits, irrespective of what that particular colour is. In effect, favoured colours have a separate restorative effect that acts at a personal level. This finding has significance for landscape architects in that certain flower colours can be used to promote ‘generic’ therapeutic responses in appropriate locations, but that components of any designed landscape still need to take some account of personal responses and preferences.","container-title":"Urban Forestry &amp; Urban Greening","DOI":"10.1016/j.ufug.2022.127795","ISSN":"1618-8667","journalAbbreviation":"Urban Forestry &amp; Urban Greening","page":"127795","title":"Flowers – Sunshine for the soul! How does floral colour influence preference, feelings of relaxation and positive up-lift?","volume":"79","author":[{"family":"Zhang","given":"Liwen"},{"family":"Dempsey","given":"Nicola"},{"family":"Cameron","given":"Ross"}],"issued":{"date-parts":[["2023",1,1]]}}}],"schema":"https://github.com/citation-style-language/schema/raw/master/csl-citation.json"} </w:instrText>
      </w:r>
      <w:r w:rsidRPr="00C05886">
        <w:fldChar w:fldCharType="separate"/>
      </w:r>
      <w:r w:rsidRPr="00C05886">
        <w:rPr>
          <w:rFonts w:ascii="Calibri" w:hAnsi="Calibri" w:cs="Calibri"/>
        </w:rPr>
        <w:t>(Zhang, Dempsey and Cameron, 2023)</w:t>
      </w:r>
      <w:r w:rsidRPr="00C05886">
        <w:fldChar w:fldCharType="end"/>
      </w:r>
      <w:r w:rsidRPr="00C05886">
        <w:t>. Sample images of the planting are included in the supporting information (S2).</w:t>
      </w:r>
    </w:p>
    <w:p w14:paraId="4560E9F6" w14:textId="08360419" w:rsidR="005F5299" w:rsidRPr="00C05886" w:rsidRDefault="005F5299" w:rsidP="00B57352">
      <w:pPr>
        <w:pStyle w:val="Caption"/>
        <w:keepNext/>
      </w:pPr>
      <w:r w:rsidRPr="00C05886">
        <w:t xml:space="preserve">Table </w:t>
      </w:r>
      <w:r w:rsidR="00B8256E" w:rsidRPr="00C05886">
        <w:t>1</w:t>
      </w:r>
      <w:r w:rsidRPr="00C05886">
        <w:t>. Summary of the characteristics selected for the virtual park variations.</w:t>
      </w:r>
    </w:p>
    <w:tbl>
      <w:tblPr>
        <w:tblStyle w:val="TableGrid"/>
        <w:tblW w:w="0" w:type="auto"/>
        <w:tblLook w:val="04A0" w:firstRow="1" w:lastRow="0" w:firstColumn="1" w:lastColumn="0" w:noHBand="0" w:noVBand="1"/>
      </w:tblPr>
      <w:tblGrid>
        <w:gridCol w:w="2407"/>
        <w:gridCol w:w="2407"/>
        <w:gridCol w:w="2407"/>
        <w:gridCol w:w="2407"/>
      </w:tblGrid>
      <w:tr w:rsidR="005F5299" w:rsidRPr="00C05886" w14:paraId="7F759077" w14:textId="77777777" w:rsidTr="00870530">
        <w:tc>
          <w:tcPr>
            <w:tcW w:w="2407" w:type="dxa"/>
          </w:tcPr>
          <w:p w14:paraId="31FC6D5E" w14:textId="77777777" w:rsidR="005F5299" w:rsidRPr="00C05886" w:rsidRDefault="005F5299" w:rsidP="005F5299">
            <w:pPr>
              <w:spacing w:line="240" w:lineRule="auto"/>
              <w:rPr>
                <w:b/>
                <w:bCs/>
                <w:sz w:val="22"/>
              </w:rPr>
            </w:pPr>
            <w:r w:rsidRPr="00C05886">
              <w:rPr>
                <w:b/>
                <w:bCs/>
                <w:sz w:val="22"/>
              </w:rPr>
              <w:t>Treatment</w:t>
            </w:r>
          </w:p>
        </w:tc>
        <w:tc>
          <w:tcPr>
            <w:tcW w:w="2407" w:type="dxa"/>
          </w:tcPr>
          <w:p w14:paraId="3BFC7150" w14:textId="77777777" w:rsidR="005F5299" w:rsidRPr="00C05886" w:rsidRDefault="005F5299" w:rsidP="005F5299">
            <w:pPr>
              <w:spacing w:line="240" w:lineRule="auto"/>
              <w:rPr>
                <w:b/>
                <w:bCs/>
                <w:sz w:val="22"/>
              </w:rPr>
            </w:pPr>
            <w:r w:rsidRPr="00C05886">
              <w:rPr>
                <w:b/>
                <w:bCs/>
                <w:sz w:val="22"/>
              </w:rPr>
              <w:t>Species count</w:t>
            </w:r>
          </w:p>
        </w:tc>
        <w:tc>
          <w:tcPr>
            <w:tcW w:w="2407" w:type="dxa"/>
          </w:tcPr>
          <w:p w14:paraId="5E93CC73" w14:textId="77777777" w:rsidR="005F5299" w:rsidRPr="00C05886" w:rsidRDefault="005F5299" w:rsidP="005F5299">
            <w:pPr>
              <w:spacing w:line="240" w:lineRule="auto"/>
              <w:rPr>
                <w:b/>
                <w:bCs/>
                <w:sz w:val="22"/>
              </w:rPr>
            </w:pPr>
            <w:r w:rsidRPr="00C05886">
              <w:rPr>
                <w:b/>
                <w:bCs/>
                <w:sz w:val="22"/>
              </w:rPr>
              <w:t>Experiments 1 and 3</w:t>
            </w:r>
          </w:p>
        </w:tc>
        <w:tc>
          <w:tcPr>
            <w:tcW w:w="2407" w:type="dxa"/>
          </w:tcPr>
          <w:p w14:paraId="67172F11" w14:textId="77777777" w:rsidR="005F5299" w:rsidRPr="00C05886" w:rsidRDefault="005F5299" w:rsidP="005F5299">
            <w:pPr>
              <w:spacing w:line="240" w:lineRule="auto"/>
              <w:rPr>
                <w:b/>
                <w:bCs/>
                <w:sz w:val="22"/>
              </w:rPr>
            </w:pPr>
            <w:r w:rsidRPr="00C05886">
              <w:rPr>
                <w:b/>
                <w:bCs/>
                <w:sz w:val="22"/>
              </w:rPr>
              <w:t>Experiments 2 and 4</w:t>
            </w:r>
          </w:p>
        </w:tc>
      </w:tr>
      <w:tr w:rsidR="005F5299" w:rsidRPr="00C05886" w14:paraId="6F080BA0" w14:textId="77777777" w:rsidTr="00870530">
        <w:tc>
          <w:tcPr>
            <w:tcW w:w="2407" w:type="dxa"/>
          </w:tcPr>
          <w:p w14:paraId="5C3417A5" w14:textId="77777777" w:rsidR="005F5299" w:rsidRPr="00C05886" w:rsidRDefault="005F5299" w:rsidP="005F5299">
            <w:pPr>
              <w:spacing w:line="240" w:lineRule="auto"/>
              <w:rPr>
                <w:sz w:val="22"/>
              </w:rPr>
            </w:pPr>
            <w:r w:rsidRPr="00C05886">
              <w:rPr>
                <w:sz w:val="22"/>
              </w:rPr>
              <w:t>High biodiversity and high colour diversity (HBHC)</w:t>
            </w:r>
          </w:p>
        </w:tc>
        <w:tc>
          <w:tcPr>
            <w:tcW w:w="2407" w:type="dxa"/>
          </w:tcPr>
          <w:p w14:paraId="557BFCDE" w14:textId="77777777" w:rsidR="005F5299" w:rsidRPr="00C05886" w:rsidRDefault="005F5299" w:rsidP="005F5299">
            <w:pPr>
              <w:spacing w:line="240" w:lineRule="auto"/>
              <w:rPr>
                <w:sz w:val="22"/>
              </w:rPr>
            </w:pPr>
            <w:r w:rsidRPr="00C05886">
              <w:rPr>
                <w:sz w:val="22"/>
              </w:rPr>
              <w:t>28 (12 herbs or shrubs, 10 trees, 4 birds, 2 mammals)</w:t>
            </w:r>
          </w:p>
        </w:tc>
        <w:tc>
          <w:tcPr>
            <w:tcW w:w="2407" w:type="dxa"/>
          </w:tcPr>
          <w:p w14:paraId="10A0A805" w14:textId="77777777" w:rsidR="005F5299" w:rsidRPr="00C05886" w:rsidRDefault="005F5299" w:rsidP="005F5299">
            <w:pPr>
              <w:spacing w:line="240" w:lineRule="auto"/>
              <w:rPr>
                <w:sz w:val="22"/>
              </w:rPr>
            </w:pPr>
            <w:r w:rsidRPr="00C05886">
              <w:rPr>
                <w:sz w:val="22"/>
              </w:rPr>
              <w:t>Blue, pink, purple, white</w:t>
            </w:r>
          </w:p>
        </w:tc>
        <w:tc>
          <w:tcPr>
            <w:tcW w:w="2407" w:type="dxa"/>
          </w:tcPr>
          <w:p w14:paraId="7E5A7359" w14:textId="77777777" w:rsidR="005F5299" w:rsidRPr="00C05886" w:rsidRDefault="005F5299" w:rsidP="005F5299">
            <w:pPr>
              <w:spacing w:line="240" w:lineRule="auto"/>
              <w:rPr>
                <w:sz w:val="22"/>
              </w:rPr>
            </w:pPr>
            <w:r w:rsidRPr="00C05886">
              <w:rPr>
                <w:sz w:val="22"/>
              </w:rPr>
              <w:t>Red, orange, yellow, white</w:t>
            </w:r>
          </w:p>
        </w:tc>
      </w:tr>
      <w:tr w:rsidR="005F5299" w:rsidRPr="00C05886" w14:paraId="6581C266" w14:textId="77777777" w:rsidTr="00870530">
        <w:tc>
          <w:tcPr>
            <w:tcW w:w="2407" w:type="dxa"/>
          </w:tcPr>
          <w:p w14:paraId="22B2E15A" w14:textId="77777777" w:rsidR="005F5299" w:rsidRPr="00C05886" w:rsidRDefault="005F5299" w:rsidP="005F5299">
            <w:pPr>
              <w:spacing w:line="240" w:lineRule="auto"/>
              <w:rPr>
                <w:sz w:val="22"/>
              </w:rPr>
            </w:pPr>
            <w:r w:rsidRPr="00C05886">
              <w:rPr>
                <w:sz w:val="22"/>
              </w:rPr>
              <w:t>High biodiversity and low colour diversity (HBLC)</w:t>
            </w:r>
          </w:p>
        </w:tc>
        <w:tc>
          <w:tcPr>
            <w:tcW w:w="2407" w:type="dxa"/>
          </w:tcPr>
          <w:p w14:paraId="437C06A6" w14:textId="77777777" w:rsidR="005F5299" w:rsidRPr="00C05886" w:rsidRDefault="005F5299" w:rsidP="005F5299">
            <w:pPr>
              <w:spacing w:line="240" w:lineRule="auto"/>
              <w:rPr>
                <w:sz w:val="22"/>
              </w:rPr>
            </w:pPr>
            <w:r w:rsidRPr="00C05886">
              <w:rPr>
                <w:sz w:val="22"/>
              </w:rPr>
              <w:t>28 (12 herbs or shrubs, 10 trees, 4 birds, 2 mammals)</w:t>
            </w:r>
          </w:p>
        </w:tc>
        <w:tc>
          <w:tcPr>
            <w:tcW w:w="2407" w:type="dxa"/>
          </w:tcPr>
          <w:p w14:paraId="0817D6B0" w14:textId="77777777" w:rsidR="005F5299" w:rsidRPr="00C05886" w:rsidRDefault="005F5299" w:rsidP="005F5299">
            <w:pPr>
              <w:spacing w:line="240" w:lineRule="auto"/>
              <w:rPr>
                <w:sz w:val="22"/>
              </w:rPr>
            </w:pPr>
            <w:r w:rsidRPr="00C05886">
              <w:rPr>
                <w:sz w:val="22"/>
              </w:rPr>
              <w:t>Blue, white</w:t>
            </w:r>
          </w:p>
        </w:tc>
        <w:tc>
          <w:tcPr>
            <w:tcW w:w="2407" w:type="dxa"/>
          </w:tcPr>
          <w:p w14:paraId="1593E340" w14:textId="77777777" w:rsidR="005F5299" w:rsidRPr="00C05886" w:rsidRDefault="005F5299" w:rsidP="005F5299">
            <w:pPr>
              <w:spacing w:line="240" w:lineRule="auto"/>
              <w:rPr>
                <w:sz w:val="22"/>
              </w:rPr>
            </w:pPr>
            <w:r w:rsidRPr="00C05886">
              <w:rPr>
                <w:sz w:val="22"/>
              </w:rPr>
              <w:t>Orange, white</w:t>
            </w:r>
          </w:p>
        </w:tc>
      </w:tr>
      <w:tr w:rsidR="005F5299" w:rsidRPr="00C05886" w14:paraId="12C5405C" w14:textId="77777777" w:rsidTr="00870530">
        <w:tc>
          <w:tcPr>
            <w:tcW w:w="2407" w:type="dxa"/>
          </w:tcPr>
          <w:p w14:paraId="3E0BAD14" w14:textId="77777777" w:rsidR="005F5299" w:rsidRPr="00C05886" w:rsidRDefault="005F5299" w:rsidP="005F5299">
            <w:pPr>
              <w:spacing w:line="240" w:lineRule="auto"/>
              <w:rPr>
                <w:sz w:val="22"/>
              </w:rPr>
            </w:pPr>
            <w:r w:rsidRPr="00C05886">
              <w:rPr>
                <w:sz w:val="22"/>
              </w:rPr>
              <w:t>Low biodiversity and high colour diversity (LBHC)</w:t>
            </w:r>
          </w:p>
        </w:tc>
        <w:tc>
          <w:tcPr>
            <w:tcW w:w="2407" w:type="dxa"/>
          </w:tcPr>
          <w:p w14:paraId="60FBB2ED" w14:textId="77777777" w:rsidR="005F5299" w:rsidRPr="00C05886" w:rsidRDefault="005F5299" w:rsidP="005F5299">
            <w:pPr>
              <w:spacing w:line="240" w:lineRule="auto"/>
              <w:rPr>
                <w:sz w:val="22"/>
              </w:rPr>
            </w:pPr>
            <w:r w:rsidRPr="00C05886">
              <w:rPr>
                <w:sz w:val="22"/>
              </w:rPr>
              <w:t>15 (10 trees, 3 herbs or shrubs, 2 birds)</w:t>
            </w:r>
          </w:p>
        </w:tc>
        <w:tc>
          <w:tcPr>
            <w:tcW w:w="2407" w:type="dxa"/>
          </w:tcPr>
          <w:p w14:paraId="330C260F" w14:textId="77777777" w:rsidR="005F5299" w:rsidRPr="00C05886" w:rsidRDefault="005F5299" w:rsidP="005F5299">
            <w:pPr>
              <w:spacing w:line="240" w:lineRule="auto"/>
              <w:rPr>
                <w:sz w:val="22"/>
              </w:rPr>
            </w:pPr>
            <w:r w:rsidRPr="00C05886">
              <w:rPr>
                <w:sz w:val="22"/>
              </w:rPr>
              <w:t>Blue, pink, purple, white</w:t>
            </w:r>
          </w:p>
        </w:tc>
        <w:tc>
          <w:tcPr>
            <w:tcW w:w="2407" w:type="dxa"/>
          </w:tcPr>
          <w:p w14:paraId="741CDFDE" w14:textId="77777777" w:rsidR="005F5299" w:rsidRPr="00C05886" w:rsidRDefault="005F5299" w:rsidP="005F5299">
            <w:pPr>
              <w:spacing w:line="240" w:lineRule="auto"/>
              <w:rPr>
                <w:sz w:val="22"/>
              </w:rPr>
            </w:pPr>
            <w:r w:rsidRPr="00C05886">
              <w:rPr>
                <w:sz w:val="22"/>
              </w:rPr>
              <w:t>Red, orange, yellow, white</w:t>
            </w:r>
          </w:p>
        </w:tc>
      </w:tr>
      <w:tr w:rsidR="005F5299" w:rsidRPr="00C05886" w14:paraId="0D9E5D8E" w14:textId="77777777" w:rsidTr="00870530">
        <w:tc>
          <w:tcPr>
            <w:tcW w:w="2407" w:type="dxa"/>
          </w:tcPr>
          <w:p w14:paraId="3442D4E0" w14:textId="77777777" w:rsidR="005F5299" w:rsidRPr="00C05886" w:rsidRDefault="005F5299" w:rsidP="005F5299">
            <w:pPr>
              <w:spacing w:line="240" w:lineRule="auto"/>
              <w:rPr>
                <w:sz w:val="22"/>
              </w:rPr>
            </w:pPr>
            <w:r w:rsidRPr="00C05886">
              <w:rPr>
                <w:sz w:val="22"/>
              </w:rPr>
              <w:t>Low biodiversity and low colour diversity (LBLC)</w:t>
            </w:r>
          </w:p>
        </w:tc>
        <w:tc>
          <w:tcPr>
            <w:tcW w:w="2407" w:type="dxa"/>
          </w:tcPr>
          <w:p w14:paraId="02ED6BD9" w14:textId="77777777" w:rsidR="005F5299" w:rsidRPr="00C05886" w:rsidRDefault="005F5299" w:rsidP="005F5299">
            <w:pPr>
              <w:spacing w:line="240" w:lineRule="auto"/>
              <w:rPr>
                <w:sz w:val="22"/>
              </w:rPr>
            </w:pPr>
            <w:r w:rsidRPr="00C05886">
              <w:rPr>
                <w:sz w:val="22"/>
              </w:rPr>
              <w:t>15 (10 trees, 3 herbs or shrubs, 2 birds)</w:t>
            </w:r>
          </w:p>
        </w:tc>
        <w:tc>
          <w:tcPr>
            <w:tcW w:w="2407" w:type="dxa"/>
          </w:tcPr>
          <w:p w14:paraId="694F0878" w14:textId="77777777" w:rsidR="005F5299" w:rsidRPr="00C05886" w:rsidRDefault="005F5299" w:rsidP="005F5299">
            <w:pPr>
              <w:spacing w:line="240" w:lineRule="auto"/>
              <w:rPr>
                <w:sz w:val="22"/>
              </w:rPr>
            </w:pPr>
            <w:r w:rsidRPr="00C05886">
              <w:rPr>
                <w:sz w:val="22"/>
              </w:rPr>
              <w:t>Blue, white</w:t>
            </w:r>
          </w:p>
        </w:tc>
        <w:tc>
          <w:tcPr>
            <w:tcW w:w="2407" w:type="dxa"/>
          </w:tcPr>
          <w:p w14:paraId="1804DCFC" w14:textId="77777777" w:rsidR="005F5299" w:rsidRPr="00C05886" w:rsidRDefault="005F5299" w:rsidP="005F5299">
            <w:pPr>
              <w:spacing w:line="240" w:lineRule="auto"/>
              <w:rPr>
                <w:sz w:val="22"/>
              </w:rPr>
            </w:pPr>
            <w:r w:rsidRPr="00C05886">
              <w:rPr>
                <w:sz w:val="22"/>
              </w:rPr>
              <w:t>Orange, white</w:t>
            </w:r>
          </w:p>
        </w:tc>
      </w:tr>
    </w:tbl>
    <w:p w14:paraId="0F77D84C" w14:textId="77777777" w:rsidR="005F5299" w:rsidRPr="00C05886" w:rsidRDefault="005F5299" w:rsidP="00C91F4D"/>
    <w:p w14:paraId="03B18892" w14:textId="2946756F" w:rsidR="005F5299" w:rsidRPr="00C05886" w:rsidRDefault="005F5299" w:rsidP="00C91F4D">
      <w:r w:rsidRPr="00C05886">
        <w:t xml:space="preserve">The park was created in Google SketchUp and Lumion Pro (ver. 12), had a size of 100x100 meters and featured a paved path where each participant could “walk”. Thirty 360-degree photos of the park were linked together with </w:t>
      </w:r>
      <w:proofErr w:type="spellStart"/>
      <w:r w:rsidRPr="00C05886">
        <w:t>Marzipano</w:t>
      </w:r>
      <w:proofErr w:type="spellEnd"/>
      <w:r w:rsidRPr="00C05886">
        <w:t xml:space="preserve"> (http://www.marzipano.net), creating a virtual tour experience similar to Google’s “Street View”. The planting was arranged in repeating blocks so that the participant could move freely in any direction while remaining exposed to the same plants. No audio background was included in any of the tours to avoid confounding stimuli.</w:t>
      </w:r>
    </w:p>
    <w:p w14:paraId="4CD0FBEA" w14:textId="77777777" w:rsidR="005F5299" w:rsidRPr="00C05886" w:rsidRDefault="005F5299" w:rsidP="005F5299">
      <w:pPr>
        <w:pStyle w:val="Heading3"/>
      </w:pPr>
      <w:bookmarkStart w:id="120" w:name="_Toc179962366"/>
      <w:r w:rsidRPr="00C05886">
        <w:t>Participant recruitment and Ethics approval</w:t>
      </w:r>
      <w:bookmarkEnd w:id="120"/>
    </w:p>
    <w:p w14:paraId="085D26AA" w14:textId="77777777" w:rsidR="005F5299" w:rsidRPr="00C05886" w:rsidRDefault="005F5299" w:rsidP="00C50C13">
      <w:r w:rsidRPr="00C05886">
        <w:t>Participants were first recruited via social networks (Twitter and Facebook) and two Europe-based survey exchange platforms (SurveyCircle.com and Surveyswap.com). The recruitment was then repeated with a Chinese audience, distributing the survey, translated into Mandarin, on WeChat. Data collection took place between April and December 2022. All participants took part in the same online procedure from their own devices. The study and the procedure were reviewed and approved by the Department of Landscape Architecture Ethics Committee (Approval Ref. 039698).</w:t>
      </w:r>
    </w:p>
    <w:p w14:paraId="78A0F563" w14:textId="77777777" w:rsidR="005F5299" w:rsidRPr="00C05886" w:rsidRDefault="005F5299" w:rsidP="005F5299">
      <w:pPr>
        <w:pStyle w:val="Heading3"/>
      </w:pPr>
      <w:bookmarkStart w:id="121" w:name="_Toc179962367"/>
      <w:r w:rsidRPr="00C05886">
        <w:t>Measures</w:t>
      </w:r>
      <w:bookmarkEnd w:id="121"/>
    </w:p>
    <w:p w14:paraId="51F2C88E" w14:textId="6DD28962" w:rsidR="005F5299" w:rsidRPr="00C05886" w:rsidRDefault="005F5299" w:rsidP="00091247">
      <w:pPr>
        <w:rPr>
          <w:rFonts w:cstheme="minorHAnsi"/>
        </w:rPr>
      </w:pPr>
      <w:r w:rsidRPr="00C05886">
        <w:t xml:space="preserve">The affective states are an important indicator of mental well-being </w:t>
      </w:r>
      <w:r w:rsidRPr="00C05886">
        <w:fldChar w:fldCharType="begin"/>
      </w:r>
      <w:r w:rsidRPr="00C05886">
        <w:instrText xml:space="preserve"> ADDIN ZOTERO_ITEM CSL_CITATION {"citationID":"ZClsRMLU","properties":{"formattedCitation":"(Gross, Uusberg and Uusberg, 2019)","plainCitation":"(Gross, Uusberg and Uusberg, 2019)","noteIndex":0},"citationItems":[{"id":9503,"uris":["http://zotero.org/users/10951124/items/EG8ZFZC4"],"itemData":{"id":9503,"type":"article-journal","abstract":"Mental health crucially depends upon affective states such as emotions, stress responses, impulses and moods. These states shape how we think, feel and behave. Often, they support adaptive functioning. At other times, however, they can become detrimental to mental health via maladaptive affect generation processes and/or maladaptive affect regulation processes. Here, we present an integrative framework for considering the role of affect generation and regulation in mental illness and well-being. Our model views affect generation as an iterative cycle of attending to, appraising and responding to situations. It views affect regulation as an iterative series of decisions aimed at altering affect generation. Affect regulation decisions include identifying what, if anything, should be changed about affect, selecting where to intervene in the affect generation cycle, choosing how to implement this intervention, and monitoring the regulation attempt to decide whether to maintain, switch or stop it. Difficulties with these decisions, often arising from biased inputs to them, can contribute to manifestations of mental illness such as clinical symptoms, syndromes and disorders. The model has a number of implications for clinical assessment and treatment. Specifically, it offers a common set of concepts for characterizing different affective states; it highlights interactions between affect generation and affect regulation; it identifies assessment and treatment targets among the component processes of affect regulation; and it is applicable to prevention and treatment of mental illness as well as to promotion and restoration of psychological well-being.","container-title":"World Psychiatry","DOI":"10.1002/wps.20618","ISSN":"1723-8617","issue":"2","journalAbbreviation":"World Psychiatry","note":"publisher: John Wiley &amp; Sons, Ltd","page":"130-139","title":"Mental illness and well-being: an affect regulation perspective","volume":"18","author":[{"family":"Gross","given":"James J."},{"family":"Uusberg","given":"Helen"},{"family":"Uusberg","given":"Andero"}],"issued":{"date-parts":[["2019",6,1]]}}}],"schema":"https://github.com/citation-style-language/schema/raw/master/csl-citation.json"} </w:instrText>
      </w:r>
      <w:r w:rsidRPr="00C05886">
        <w:fldChar w:fldCharType="separate"/>
      </w:r>
      <w:r w:rsidRPr="00C05886">
        <w:rPr>
          <w:rFonts w:ascii="Calibri" w:hAnsi="Calibri" w:cs="Calibri"/>
        </w:rPr>
        <w:t>(Gross, Uusberg and Uusberg, 2019)</w:t>
      </w:r>
      <w:r w:rsidRPr="00C05886">
        <w:fldChar w:fldCharType="end"/>
      </w:r>
      <w:r w:rsidRPr="00C05886">
        <w:t xml:space="preserve">, as they provide a proxy for the stress response and mood regulation. The affective states were measured with two subscales, Joviality and Serenity, from the Positive and Negative Affect Schedule Extended (PANAS-X; </w:t>
      </w:r>
      <w:r w:rsidRPr="00C05886">
        <w:fldChar w:fldCharType="begin"/>
      </w:r>
      <w:r w:rsidRPr="00C05886">
        <w:instrText xml:space="preserve"> ADDIN ZOTERO_ITEM CSL_CITATION {"citationID":"TRa3VQHe","properties":{"formattedCitation":"(Watson and Clark, 1994)","plainCitation":"(Watson and Clark, 1994)","noteIndex":0},"citationItems":[{"id":7774,"uris":["http://zotero.org/users/10951124/items/AXHMJQWT"],"itemData":{"id":7774,"type":"article-journal","abstract":"In recent studies of the structure of affect, positive and negative affect have consistently emerged as two dominant and relatively independent dimensions. A number of mood scales have been created to measure these factors; however, many existing measures are inadequate, showing low reliability or poor convergent or discriminant validity. To fill the need for reliable and valid Positive Affect and Negative Affect scales that are also brief and easy to administer, we developed two 10-item mood scales that comprise the Positive and Negative Affect Schedule (PANAS). The scales are shown to be highly internally consistent, largely uncorrelated, and stable at appropriate levels over a 2-month time period. Normative data and factorial and external evidence of convergent and discriminant validity for the scales are also presented.","title":"The PANAS-X Manual for the Positive and Negative Affect Schedule - Expanded Form","author":[{"family":"Watson","given":"David"},{"family":"Clark","given":"Lee Anna"}],"issued":{"date-parts":[["1994"]]}}}],"schema":"https://github.com/citation-style-language/schema/raw/master/csl-citation.json"} </w:instrText>
      </w:r>
      <w:r w:rsidRPr="00C05886">
        <w:fldChar w:fldCharType="separate"/>
      </w:r>
      <w:r w:rsidRPr="00C05886">
        <w:rPr>
          <w:rFonts w:ascii="Calibri" w:hAnsi="Calibri" w:cs="Calibri"/>
        </w:rPr>
        <w:t>(Watson and Clark, 1994)</w:t>
      </w:r>
      <w:r w:rsidRPr="00C05886">
        <w:fldChar w:fldCharType="end"/>
      </w:r>
      <w:r w:rsidRPr="00C05886">
        <w:t xml:space="preserve">) and the Negative Affect subscale from the International short form of the same schedule (I-PANAS-SF; </w:t>
      </w:r>
      <w:r w:rsidRPr="00C05886">
        <w:fldChar w:fldCharType="begin"/>
      </w:r>
      <w:r w:rsidRPr="00C05886">
        <w:instrText xml:space="preserve"> ADDIN ZOTERO_ITEM CSL_CITATION {"citationID":"QJ09pDRi","properties":{"formattedCitation":"(Thompson, 2007)","plainCitation":"(Thompson, 2007)","noteIndex":0},"citationItems":[{"id":7693,"uris":["http://zotero.org/users/10951124/items/9NT7C9ZU"],"itemData":{"id":7693,"type":"article-journal","abstract":"This article reports the development and validation of a 10-item international Positive and Negative Affect Schedule (PANAS) Short Form (I-PANAS-SF) in English. A qualitative study (N = 18) and then an exploratory quantitative study (N = 407), each using informants from a range of cultural backgrounds, were used to identify systematically which 10 of the original 20 PANAS items to retain or remove. A same-sample retest study (N = 163) was used in an initial examination of the new 10-item international PANAS's psychometric properties and to assess its correlation with the full, 20-item, original PANAS. In a series of further validation studies (N = 1,789), the cross-sample stability, internal reliability, temporal stability, cross-cultural factorial invariance, and convergent and criterion-related validities of the I-PANAS-SF were examined and found to be psychometrically acceptable. © 2007 Sage Publications.","container-title":"Journal of Cross-Cultural Psychology","DOI":"10.1177/0022022106297301","ISSN":"00220221","issue":"2","page":"227-242","title":"Development and validation of an internationally reliable short-form of the Positive and Negative Affect Schedule (PANAS)","volume":"38","author":[{"family":"Thompson","given":"Edmund R."}],"issued":{"date-parts":[["2007"]]}}}],"schema":"https://github.com/citation-style-language/schema/raw/master/csl-citation.json"} </w:instrText>
      </w:r>
      <w:r w:rsidRPr="00C05886">
        <w:fldChar w:fldCharType="separate"/>
      </w:r>
      <w:r w:rsidRPr="00C05886">
        <w:rPr>
          <w:rFonts w:ascii="Calibri" w:hAnsi="Calibri" w:cs="Calibri"/>
        </w:rPr>
        <w:t>(Thompson, 2007)</w:t>
      </w:r>
      <w:r w:rsidRPr="00C05886">
        <w:fldChar w:fldCharType="end"/>
      </w:r>
      <w:r w:rsidRPr="00C05886">
        <w:t xml:space="preserve">). Combined, these scales formed a questionnaire with 16 items (8 Joviality, 3 Serenity, 5 Negative Affect), each one indicating how much the participant felt a certain emotion on a 5-point Likert scale. Theoretical work concerning the Affective regulation </w:t>
      </w:r>
      <w:r w:rsidRPr="00C05886">
        <w:fldChar w:fldCharType="begin"/>
      </w:r>
      <w:r w:rsidR="00DC0B4B" w:rsidRPr="00C05886">
        <w:instrText xml:space="preserve"> ADDIN ZOTERO_ITEM CSL_CITATION {"citationID":"BIaOZfaI","properties":{"formattedCitation":"(Posner, Russel and Peterson, 2005; Panksepp, 2010; Richardson, McEwan, {\\i{}et al.}, 2016)","plainCitation":"(Posner, Russel and Peterson, 2005; Panksepp, 2010; Richardson, McEwan, et al., 2016)","noteIndex":0},"citationItems":[{"id":9014,"uris":["http://zotero.org/users/10951124/items/JR3H57DN"],"itemData":{"id":9014,"type":"article-journal","abstract":"The circumplex model of affect proposes that all affective states arise from cognitive interpretations of core neural sensations that are the product of two independent neurophysiological systems. This model stands in contrast to theories of basic emotions, which posit that a discrete and independent neural system subserves every emotion. We propose that basic emotion theories no longer explain adequately the vast number of empirical observations from studies in affective neuroscience, and we suggest that a conceptual shift is needed in the empirical approaches taken to the study of emotion and affective psychopathologies. The circumplex model of affect is more consistent with many recent findings from behavioral, cognitive neuroscience, neuroimaging, and developmental studies of affect. Moreover, the model offers new theoretical and empirical approaches to studying the development of affective disorders as well as the genetic and cognitive underpinnings of affective processing within the central nervous system.This work was supported in part by NIMH Grants MH01232, MH59139, MH36197, MHK02-74677, and MH068318; a grant from the National Alliance for Research in Schizophrenia and Affective Disorders (NARSAD); NSF Grant BSC-0421702; and funding from the Thomas D. Klingenstein and Nancy D. Perlman Family Fund and the Suzanne Crosby Murphy Endowment at Columbia University.","container-title":"Development and Psychopathology","DOI":"DOI: 10.1017/S0954579405050340","ISSN":"0954-5794","issue":"3","note":"publisher: Cambridge University Press","page":"715-734","title":"The circumplex model of affect: An integrative approach to affective neuroscience, cognitive development, and psychopathology","volume":"17","author":[{"family":"Posner","given":"Jonathan"},{"family":"Russel","given":"James A"},{"family":"Peterson","given":"Bradley S"}],"issued":{"date-parts":[["2005"]]}}},{"id":9031,"uris":["http://zotero.org/users/10951124/items/FQNE4KAB"],"itemData":{"id":9031,"type":"article-journal","container-title":"Dialogues in Clinical Neuroscience","DOI":"10.31887/DCNS.2010.12.4/jpanksepp","ISSN":"null","issue":"4","note":"publisher: Taylor &amp; Francis","page":"533-545","title":"Affective neuroscience of the emotional BrainMind: evolutionary perspectives and implications for understanding depression","volume":"12","author":[{"family":"Panksepp","given":"Jaak"}],"issued":{"date-parts":[["2010",12,31]]}}},{"id":7088,"uris":["http://zotero.org/users/10951124/items/S387SPTP"],"itemData":{"id":7088,"type":"article-journal","abstract":"Key theories of the human need for nature take an evolutionary perspective, and many of the mental well-being benefits of nature relate to positive affect. As affect has a physiological basis, it is important to consider these benefits alongside regulatory processes. However, research into nature and positive affect tends not to consider affect regulation and the neurophysiology of emotion. This brief systematic review and meta-analysis presents evidence to support the use of an existing evolutionary functional model of affect regulation (the three circle model of emotion) that provides a tripartite framework in which to consider the mental well-being benefits of nature and to guide nature-based well-being interventions. The model outlines drive, contentment and threat dimensions of affect regulation based on a review of the emotion regulation literature. The model has been used previously for understanding mental well-being, delivering successful mental health-care interventions and providing directions for future research. Finally, the three circle model is easily understood in the context of our everyday lives, providing an accessible physiological-based narrative to help explain the benefits of nature.","container-title":"Evolutionary Psychological Science","DOI":"10.1007/s40806-016-0065-5","ISSN":"2198-9885","issue":"4","note":"publisher: Evolutionary Psychological Science","page":"308-320","title":"Joy and Calm: How an Evolutionary Functional Model of Affect Regulation Informs Positive Emotions in Nature","volume":"2","author":[{"family":"Richardson","given":"Miles"},{"family":"McEwan","given":"Kirsten"},{"family":"Maratos","given":"Frances"},{"family":"Sheffield","given":"David"}],"issued":{"date-parts":[["2016"]]}}}],"schema":"https://github.com/citation-style-language/schema/raw/master/csl-citation.json"} </w:instrText>
      </w:r>
      <w:r w:rsidRPr="00C05886">
        <w:fldChar w:fldCharType="separate"/>
      </w:r>
      <w:r w:rsidR="00DC0B4B" w:rsidRPr="00C05886">
        <w:rPr>
          <w:rFonts w:ascii="Calibri" w:hAnsi="Calibri" w:cs="Calibri"/>
          <w:szCs w:val="24"/>
        </w:rPr>
        <w:t xml:space="preserve">(Posner, Russel and Peterson, 2005; Panksepp, 2010; Richardson, McEwan, </w:t>
      </w:r>
      <w:r w:rsidR="00DC0B4B" w:rsidRPr="00C05886">
        <w:rPr>
          <w:rFonts w:ascii="Calibri" w:hAnsi="Calibri" w:cs="Calibri"/>
          <w:i/>
          <w:iCs/>
          <w:szCs w:val="24"/>
        </w:rPr>
        <w:t>et al.</w:t>
      </w:r>
      <w:r w:rsidR="00DC0B4B" w:rsidRPr="00C05886">
        <w:rPr>
          <w:rFonts w:ascii="Calibri" w:hAnsi="Calibri" w:cs="Calibri"/>
          <w:szCs w:val="24"/>
        </w:rPr>
        <w:t>, 2016)</w:t>
      </w:r>
      <w:r w:rsidRPr="00C05886">
        <w:fldChar w:fldCharType="end"/>
      </w:r>
      <w:r w:rsidRPr="00C05886">
        <w:t xml:space="preserve"> has suggested that two dimensions of Positive Affect exist; one is more related to enjoyment and attraction (high arousal) while the other involves to relaxation and contentment (low-arousal) </w:t>
      </w:r>
      <w:r w:rsidRPr="00C05886">
        <w:fldChar w:fldCharType="begin"/>
      </w:r>
      <w:r w:rsidRPr="00C05886">
        <w:instrText xml:space="preserve"> ADDIN ZOTERO_ITEM CSL_CITATION {"citationID":"0r4iWIGW","properties":{"formattedCitation":"(McManus, Siegel and Nakamura, 2019)","plainCitation":"(McManus, Siegel and Nakamura, 2019)","noteIndex":0},"citationItems":[{"id":9384,"uris":["http://zotero.org/users/10951124/items/9IY9ELTW"],"itemData":{"id":9384,"type":"article-journal","abstract":"Relative to high-arousal positive affect (HAPA), low-arousal positive affect (LAPA) is less likely to be included in research on positive affect and emotion. To gauge the possible cost of omitting LAPA from such research, two studies were conducted assessing the unique contribution of LAPA (e.g., calm, relaxed, content) in predicting variance in measures of well-being and mental health above and beyond HAPA (e.g., alert, excited, enthusiastic). In two studies, multiple regression analyses revealed that LAPA uniquely predicted life satisfaction, depression, feeling good, mindfulness, anxiety, and stress beyond HAPA. Furthermore, the results indicated that when both LAPA and HAPA were in the regression model, LAPA significantly predicted variance in mindfulness, anxiety, and stress whereas HAPA did not. These data indicate that the inclusion of LAPA in research can improve the field’s ability to investigate the causes and effects of positive affectivity. Theoretical perspectives on different types of positive affect and practical implications for researchers are discussed.","container-title":"Motivation and Emotion","DOI":"10.1007/s11031-018-9719-x","ISSN":"1573-6644","issue":"1","journalAbbreviation":"Motivation and Emotion","page":"130-144","title":"The predictive power of low-arousal positive affect","volume":"43","author":[{"family":"McManus","given":"Maria D."},{"family":"Siegel","given":"Jason T."},{"family":"Nakamura","given":"Jeanne"}],"issued":{"date-parts":[["2019",2,1]]}}}],"schema":"https://github.com/citation-style-language/schema/raw/master/csl-citation.json"} </w:instrText>
      </w:r>
      <w:r w:rsidRPr="00C05886">
        <w:fldChar w:fldCharType="separate"/>
      </w:r>
      <w:r w:rsidRPr="00C05886">
        <w:rPr>
          <w:rFonts w:ascii="Calibri" w:hAnsi="Calibri" w:cs="Calibri"/>
        </w:rPr>
        <w:t>(McManus, Siegel and Nakamura, 2019)</w:t>
      </w:r>
      <w:r w:rsidRPr="00C05886">
        <w:fldChar w:fldCharType="end"/>
      </w:r>
      <w:r w:rsidRPr="00C05886">
        <w:t xml:space="preserve">. Therefore, the Joviality and Serenity scales were selected to measure these two dimensions of the Positive Affect. For the Chinese version of the survey, the PANAS-X subscales and the other measures detailed below were translated into Mandarin by one of the authors and translated back to English </w:t>
      </w:r>
      <w:r w:rsidRPr="00C05886">
        <w:rPr>
          <w:rFonts w:cstheme="minorHAnsi"/>
        </w:rPr>
        <w:t xml:space="preserve">with the help of an independent academic. In the Chinese translation two items from the Serenity scale were </w:t>
      </w:r>
      <w:r w:rsidRPr="00C05886">
        <w:rPr>
          <w:rFonts w:cstheme="minorHAnsi"/>
        </w:rPr>
        <w:lastRenderedPageBreak/>
        <w:t>redundant, “relaxed” (</w:t>
      </w:r>
      <w:proofErr w:type="spellStart"/>
      <w:r w:rsidRPr="00C05886">
        <w:rPr>
          <w:rFonts w:eastAsia="MS Gothic" w:cstheme="minorHAnsi"/>
        </w:rPr>
        <w:t>平静</w:t>
      </w:r>
      <w:r w:rsidRPr="00C05886">
        <w:rPr>
          <w:rFonts w:eastAsia="MS Mincho" w:cstheme="minorHAnsi"/>
        </w:rPr>
        <w:t>的</w:t>
      </w:r>
      <w:proofErr w:type="spellEnd"/>
      <w:r w:rsidRPr="00C05886">
        <w:rPr>
          <w:rFonts w:eastAsia="MS Mincho" w:cstheme="minorHAnsi"/>
        </w:rPr>
        <w:t xml:space="preserve">) and </w:t>
      </w:r>
      <w:r w:rsidRPr="00C05886">
        <w:rPr>
          <w:rFonts w:cstheme="minorHAnsi"/>
        </w:rPr>
        <w:t>“calm” (</w:t>
      </w:r>
      <w:proofErr w:type="spellStart"/>
      <w:r w:rsidRPr="00C05886">
        <w:rPr>
          <w:rFonts w:eastAsia="MS Gothic" w:cstheme="minorHAnsi"/>
        </w:rPr>
        <w:t>平静</w:t>
      </w:r>
      <w:r w:rsidRPr="00C05886">
        <w:rPr>
          <w:rFonts w:eastAsia="MS Mincho" w:cstheme="minorHAnsi"/>
        </w:rPr>
        <w:t>的</w:t>
      </w:r>
      <w:proofErr w:type="spellEnd"/>
      <w:r w:rsidRPr="00C05886">
        <w:rPr>
          <w:rFonts w:eastAsia="MS Mincho" w:cstheme="minorHAnsi"/>
        </w:rPr>
        <w:t>)</w:t>
      </w:r>
      <w:r w:rsidRPr="00C05886">
        <w:rPr>
          <w:rFonts w:cstheme="minorHAnsi"/>
        </w:rPr>
        <w:t>, therefore only the item “calm” (</w:t>
      </w:r>
      <w:proofErr w:type="spellStart"/>
      <w:r w:rsidRPr="00C05886">
        <w:rPr>
          <w:rFonts w:eastAsia="MS Gothic" w:cstheme="minorHAnsi"/>
        </w:rPr>
        <w:t>平静</w:t>
      </w:r>
      <w:r w:rsidRPr="00C05886">
        <w:rPr>
          <w:rFonts w:eastAsia="MS Mincho" w:cstheme="minorHAnsi"/>
        </w:rPr>
        <w:t>的</w:t>
      </w:r>
      <w:proofErr w:type="spellEnd"/>
      <w:r w:rsidRPr="00C05886">
        <w:rPr>
          <w:rFonts w:eastAsia="MS Mincho" w:cstheme="minorHAnsi"/>
        </w:rPr>
        <w:t>) was included in the questionnaire</w:t>
      </w:r>
      <w:r w:rsidRPr="00C05886">
        <w:rPr>
          <w:rFonts w:cstheme="minorHAnsi"/>
        </w:rPr>
        <w:t xml:space="preserve">. </w:t>
      </w:r>
    </w:p>
    <w:p w14:paraId="6A04D782" w14:textId="43196B8A" w:rsidR="005F5299" w:rsidRPr="00C05886" w:rsidRDefault="005F5299" w:rsidP="00091247">
      <w:r w:rsidRPr="00C05886">
        <w:t xml:space="preserve">Perceptions of biodiversity and colour diversity were measured on a 4-point Likert scale </w:t>
      </w:r>
      <w:r w:rsidRPr="00C05886">
        <w:fldChar w:fldCharType="begin"/>
      </w:r>
      <w:r w:rsidR="00001725" w:rsidRPr="00C05886">
        <w:instrText xml:space="preserve"> ADDIN ZOTERO_ITEM CSL_CITATION {"citationID":"EPsxJXiZ","properties":{"formattedCitation":"(Cameron {\\i{}et al.}, 2020)","plainCitation":"(Cameron et al., 2020)","noteIndex":0},"citationItems":[{"id":5002,"uris":["http://zotero.org/users/10951124/items/CAJX7VIQ"],"itemData":{"id":5002,"type":"article-journal","abstract":"Urban green space can help mitigate the negative impacts of urban living and provide positive effects on citizens’ mood, health and well-being. Questions remain, however, as to whether all types of green space are equally beneficial, and if not, what landscape forms or key features optimise the desired benefits. For example, it has been cited that urban landscapes rich in wildlife (high biodiversity) may promote more positive emotions and enhance well-being. This research utilised a mobile phone App, employed to assess people’s emotions when they entered any one of 945 green spaces within the city of Sheffield, UK. Emotional responses were correlated to key traits of the individual green spaces, including levels of biodiversity the participant perceived around them. For a subsample of these green spaces, actual levels of biodiversity were assessed through avian and habitat surveys. Results demonstrated strong correlations between levels of avian biodiversity within a green space and human emotional response to that space. Respondents reported being happier in sites with greater avian biodiversity (p &lt; 0.01, r = 0.78) and a greater variety of habitats (p &lt; 0.02, r = 0.72). Relationships were strengthened when emotions were linked to perceptions of overall biodiversity (p &lt; 0.001, r = 0.89). So, when participants thought the site was wildlife rich, they reported more positive emotions, even when actual avian biodiversity levels were not necessarily enhanced. The data strengthens the arguments that nature enhances well-being through positive affect, and that increased ‘engagement with nature’ may help support human health within urban environments. The results have strong implications for city planning with respect to the design, management and use of city green spaces.","container-title":"Urban Ecosystems","DOI":"10.1007/s11252-020-00929-z","ISSN":"15731642","note":"publisher: Urban Ecosystems","title":"Where the wild things are! Do urban green spaces with greater avian biodiversity promote more positive emotions in humans?","author":[{"family":"Cameron","given":"Ross W.F."},{"family":"Brindley","given":"Paul"},{"family":"Mears","given":"Meghann"},{"family":"McEwan","given":"Kirsten"},{"family":"Ferguson","given":"Fiona"},{"family":"Sheffield","given":"David"},{"family":"Jorgensen","given":"Anna"},{"family":"Riley","given":"Julie"},{"family":"Goodrick","given":"Jon"},{"family":"Ballard","given":"Liz"},{"family":"Richardson","given":"Miles"}],"issued":{"date-parts":[["2020"]]}}}],"schema":"https://github.com/citation-style-language/schema/raw/master/csl-citation.json"} </w:instrText>
      </w:r>
      <w:r w:rsidRPr="00C05886">
        <w:fldChar w:fldCharType="separate"/>
      </w:r>
      <w:r w:rsidR="00001725" w:rsidRPr="00C05886">
        <w:rPr>
          <w:rFonts w:ascii="Calibri" w:hAnsi="Calibri" w:cs="Calibri"/>
          <w:szCs w:val="24"/>
        </w:rPr>
        <w:t xml:space="preserve">(Cameron </w:t>
      </w:r>
      <w:r w:rsidR="00001725" w:rsidRPr="00C05886">
        <w:rPr>
          <w:rFonts w:ascii="Calibri" w:hAnsi="Calibri" w:cs="Calibri"/>
          <w:i/>
          <w:iCs/>
          <w:szCs w:val="24"/>
        </w:rPr>
        <w:t>et al.</w:t>
      </w:r>
      <w:r w:rsidR="00001725" w:rsidRPr="00C05886">
        <w:rPr>
          <w:rFonts w:ascii="Calibri" w:hAnsi="Calibri" w:cs="Calibri"/>
          <w:szCs w:val="24"/>
        </w:rPr>
        <w:t>, 2020)</w:t>
      </w:r>
      <w:r w:rsidRPr="00C05886">
        <w:fldChar w:fldCharType="end"/>
      </w:r>
      <w:r w:rsidRPr="00C05886">
        <w:t>. Participants were asked to guess “How many types of plants/trees/animals” were in the park they explored. Answers ranged from “none” to “lots”.</w:t>
      </w:r>
    </w:p>
    <w:p w14:paraId="56CC93F5" w14:textId="77777777" w:rsidR="005F5299" w:rsidRPr="00C05886" w:rsidRDefault="005F5299" w:rsidP="00091247">
      <w:r w:rsidRPr="00C05886">
        <w:t xml:space="preserve">The participants were asked to state their age group, gender, ethnicity and educational level to ensure a balanced, randomised distribution among the experimental groups. Additional checks asked if this was the first time they had experienced a virtual tour, what device they were using and if they had any difficulties in perceiving colours (e.g. colour blindness). </w:t>
      </w:r>
    </w:p>
    <w:p w14:paraId="0154EFE8" w14:textId="2346BA31" w:rsidR="005F5299" w:rsidRPr="00C05886" w:rsidRDefault="005F5299" w:rsidP="00091247">
      <w:r w:rsidRPr="00C05886">
        <w:t xml:space="preserve">Along with their demographics, the participant reported their nature connectedness via the one-item Inclusion of Nature in Self scale </w:t>
      </w:r>
      <w:r w:rsidRPr="00C05886">
        <w:fldChar w:fldCharType="begin"/>
      </w:r>
      <w:r w:rsidR="00134B49">
        <w:instrText xml:space="preserve"> ADDIN ZOTERO_ITEM CSL_CITATION {"citationID":"NCDAEdb7","properties":{"formattedCitation":"(Schultz, 2002)","plainCitation":"(Schultz, 2002)","noteIndex":0},"citationItems":[{"id":11234,"uris":["http://zotero.org/users/10951124/items/AJCR4KHB","http://zotero.org/users/10951124/items/4XTSK9NH"],"itemData":{"id":11234,"type":"chapter","abstract":"Human survival is directly tied to our relationship with the natural environment. Achieving a sustainable lifestyle depends on establishing a balance between the consumption of individuals, and the capacity of the natural environment for renewal. Yet, we often act as ifwe are separate from nature — as if we can get along without nature. Indeed, built environments serve as barriers between individuals and the natural environments in which they live. Offices, schools, homes, cars, restaurants, shopping malls, and many other built environments segregate people from nature. This chapter examines the implicit connection that individuals make between self and nature, and the impact of built environments on these implicit cognitions. A psychological model for inclusion with nature is presented, containing cognitive (connectedness), affective (caring), and behavioral (commitment) components. Implicationsfor theory, design, and sustainability are discussed.","container-title":"Psychology of Sustainable Development","event-place":"Boston, MA","ISBN":"978-1-4615-0995-0","note":"DOI: 10.1007/978-1-4615-0995-0_4","page":"61-78","publisher":"Springer US","publisher-place":"Boston, MA","title":"Inclusion with Nature: The Psychology Of Human-Nature Relations","URL":"https://doi.org/10.1007/978-1-4615-0995-0_4","author":[{"family":"Schultz","given":"P. Wesley"}],"editor":[{"family":"Schmuck","given":"Peter"},{"family":"Schultz","given":"Wesley P."}],"issued":{"date-parts":[["2002"]]}}}],"schema":"https://github.com/citation-style-language/schema/raw/master/csl-citation.json"} </w:instrText>
      </w:r>
      <w:r w:rsidRPr="00C05886">
        <w:fldChar w:fldCharType="separate"/>
      </w:r>
      <w:r w:rsidR="00020123" w:rsidRPr="00C05886">
        <w:rPr>
          <w:rFonts w:ascii="Calibri" w:hAnsi="Calibri" w:cs="Calibri"/>
        </w:rPr>
        <w:t>(Schultz, 2002)</w:t>
      </w:r>
      <w:r w:rsidRPr="00C05886">
        <w:fldChar w:fldCharType="end"/>
      </w:r>
      <w:r w:rsidRPr="00C05886">
        <w:t xml:space="preserve">. This is a single-item scale, measured on a 7-point Likert scale. Nature connectedness measures one’s affective affiliation with nature </w:t>
      </w:r>
      <w:r w:rsidRPr="00C05886">
        <w:fldChar w:fldCharType="begin"/>
      </w:r>
      <w:r w:rsidRPr="00C05886">
        <w:instrText xml:space="preserve"> ADDIN ZOTERO_ITEM CSL_CITATION {"citationID":"jcMONwoA","properties":{"formattedCitation":"(Mayer and Frantz, 2004)","plainCitation":"(Mayer and Frantz, 2004)","noteIndex":0},"citationItems":[{"id":6652,"uris":["http://zotero.org/users/10951124/items/IGTZDFSM"],"itemData":{"id":6652,"type":"article-journal","abstract":"Five studies assessed the validity and reliability of the connectedness to nature scale (CNS), a new measure of individuals’ trait levels of feeling emotionally connected to the natural world. Data from two community and three college samples demonstrated that the CNS has good psychometric properties, correlates with related variables (the new environmental paradigm scale, identity as an environmentalist), and is uncorrelated with potential confounds (verbal ability, social desirability). This paper supports ecopsychologists’ contention that connection to nature is an important predictor of ecological behavior and subjective well-being. It also extends social psychological research on self–other overlap, perspective taking, and altruistic behavior to the overlap between self and nature. The CNS promises to be a useful empirical tool for research on the relationship between humans and the natural world.","container-title":"Journal of Environmental Psychology","DOI":"10.1016/j.jenvp.2004.10.001","ISSN":"0272-4944","issue":"4","page":"503-515","title":"The connectedness to nature scale: A measure of individuals’ feeling in community with nature","volume":"24","author":[{"family":"Mayer","given":"F.Stephan"},{"family":"Frantz","given":"Cynthia Mcpherson"}],"issued":{"date-parts":[["2004"]]}}}],"schema":"https://github.com/citation-style-language/schema/raw/master/csl-citation.json"} </w:instrText>
      </w:r>
      <w:r w:rsidRPr="00C05886">
        <w:fldChar w:fldCharType="separate"/>
      </w:r>
      <w:r w:rsidRPr="00C05886">
        <w:rPr>
          <w:rFonts w:ascii="Calibri" w:hAnsi="Calibri" w:cs="Calibri"/>
        </w:rPr>
        <w:t>(Mayer and Frantz, 2004)</w:t>
      </w:r>
      <w:r w:rsidRPr="00C05886">
        <w:fldChar w:fldCharType="end"/>
      </w:r>
      <w:r w:rsidRPr="00C05886">
        <w:t xml:space="preserve"> and could play a role in the relationship between biodiversity and well-being.</w:t>
      </w:r>
    </w:p>
    <w:p w14:paraId="328438DA" w14:textId="77777777" w:rsidR="005F5299" w:rsidRPr="00C05886" w:rsidRDefault="005F5299" w:rsidP="00C50C13">
      <w:r w:rsidRPr="00C05886">
        <w:t xml:space="preserve">Finally, the participants were asked to comment about anything they had noticed or liked during their virtual tour. Applying content analysis </w:t>
      </w:r>
      <w:r w:rsidRPr="00C05886">
        <w:fldChar w:fldCharType="begin"/>
      </w:r>
      <w:r w:rsidRPr="00C05886">
        <w:instrText xml:space="preserve"> ADDIN ZOTERO_ITEM CSL_CITATION {"citationID":"muiJD2dP","properties":{"formattedCitation":"(Neuendorf, 2017)","plainCitation":"(Neuendorf, 2017)","noteIndex":0},"citationItems":[{"id":9148,"uris":["http://zotero.org/users/10951124/items/JM7R66WG"],"itemData":{"id":9148,"type":"document","note":"DOI: 10.4135/9781071802878\npublisher-place: Thousand Oaks, California","title":"The Content Analysis Guidebook","URL":"https://methods.sagepub.com/book/the-content-analysis-guidebook-2e","author":[{"family":"Neuendorf","given":"Kimberly A"}],"issued":{"date-parts":[["2017"]]}}}],"schema":"https://github.com/citation-style-language/schema/raw/master/csl-citation.json"} </w:instrText>
      </w:r>
      <w:r w:rsidRPr="00C05886">
        <w:fldChar w:fldCharType="separate"/>
      </w:r>
      <w:r w:rsidRPr="00C05886">
        <w:rPr>
          <w:rFonts w:ascii="Calibri" w:hAnsi="Calibri" w:cs="Calibri"/>
        </w:rPr>
        <w:t>(Neuendorf, 2017)</w:t>
      </w:r>
      <w:r w:rsidRPr="00C05886">
        <w:fldChar w:fldCharType="end"/>
      </w:r>
      <w:r w:rsidRPr="00C05886">
        <w:t xml:space="preserve"> to these comments produced binary variables which were used in the statistical analysis.</w:t>
      </w:r>
    </w:p>
    <w:p w14:paraId="1585C510" w14:textId="77777777" w:rsidR="005F5299" w:rsidRPr="00C05886" w:rsidRDefault="005F5299" w:rsidP="005F5299">
      <w:pPr>
        <w:pStyle w:val="Heading3"/>
      </w:pPr>
      <w:bookmarkStart w:id="122" w:name="_Toc179962368"/>
      <w:r w:rsidRPr="00C05886">
        <w:t>Experimental Procedures</w:t>
      </w:r>
      <w:bookmarkEnd w:id="122"/>
    </w:p>
    <w:p w14:paraId="47E5A8D4" w14:textId="77777777" w:rsidR="005F5299" w:rsidRPr="00C05886" w:rsidRDefault="005F5299" w:rsidP="00C50C13">
      <w:r w:rsidRPr="00C05886">
        <w:t>After reading the information sheet and providing consent, the participants were instructed to wear headphones and avoid distractions for the duration of the study. The participants were initially randomised into one of the experimental procedures, two without a stress induction (Experiments 1-3) and two which included a stressor task (Experiments 2-4). This allowed a comparison between those who, theoretically, should receive more benefits from green spaces (and biodiversity) because in need to recover from stress, and the effect of green space (and biodiversity) under normal circumstances (low stress). As required by the ethics review, the information sheet forewarned the participants they could be hearing an annoying noise (i.e. the stressor).</w:t>
      </w:r>
    </w:p>
    <w:p w14:paraId="508A9D13" w14:textId="77777777" w:rsidR="005F5299" w:rsidRPr="00C05886" w:rsidRDefault="005F5299" w:rsidP="00845119">
      <w:pPr>
        <w:keepNext/>
      </w:pPr>
      <w:r w:rsidRPr="00134B49">
        <w:rPr>
          <w:noProof/>
          <w:lang w:eastAsia="en-GB"/>
        </w:rPr>
        <w:lastRenderedPageBreak/>
        <w:drawing>
          <wp:inline distT="0" distB="0" distL="0" distR="0" wp14:anchorId="6E589B5D" wp14:editId="584D2270">
            <wp:extent cx="5184578" cy="1530985"/>
            <wp:effectExtent l="0" t="0" r="0" b="0"/>
            <wp:docPr id="20279034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7903493" name="Picture 1"/>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184578" cy="1530985"/>
                    </a:xfrm>
                    <a:prstGeom prst="rect">
                      <a:avLst/>
                    </a:prstGeom>
                  </pic:spPr>
                </pic:pic>
              </a:graphicData>
            </a:graphic>
          </wp:inline>
        </w:drawing>
      </w:r>
    </w:p>
    <w:p w14:paraId="70B8D224" w14:textId="3707A5DB" w:rsidR="005F5299" w:rsidRPr="00C05886" w:rsidRDefault="005F5299" w:rsidP="00845119">
      <w:pPr>
        <w:pStyle w:val="Caption"/>
      </w:pPr>
      <w:r w:rsidRPr="00C05886">
        <w:t xml:space="preserve">Figure </w:t>
      </w:r>
      <w:r w:rsidR="00597138" w:rsidRPr="00C05886">
        <w:t>1</w:t>
      </w:r>
      <w:r w:rsidRPr="00C05886">
        <w:t>. Flowcharts illustrating the experimental procedures</w:t>
      </w:r>
    </w:p>
    <w:p w14:paraId="7D62B306" w14:textId="77777777" w:rsidR="005F5299" w:rsidRPr="00C05886" w:rsidRDefault="005F5299" w:rsidP="00C50C13">
      <w:r w:rsidRPr="00C05886">
        <w:t>In Experiments 1-3, the participants first reported their baseline affective states and then were randomly assigned one of the warmly coloured virtual tours to explore for about 150 seconds. After that, they reported their affective states a second time and their perceptions about the biodiversity they had observed. Space was provided for further comments and participants were shown a debrief.</w:t>
      </w:r>
    </w:p>
    <w:p w14:paraId="4E7AE870" w14:textId="77777777" w:rsidR="005F5299" w:rsidRPr="00C05886" w:rsidRDefault="005F5299" w:rsidP="00C50C13">
      <w:r w:rsidRPr="00C05886">
        <w:t>In Experiments 2-4, the participants received the stress induction immediately after baseline measurement. This was the sound of a fire alarm, which lasted 15 seconds. After that, they immediately reported their post-stressor affective states. Following, each participant was randomly assigned one of the cool-coloured parks to explore for 150 seconds. After the tour, the participants reported their affective states one last time and reported their perceptions of biodiversity. Finally, they were provided space for comments and debriefing.</w:t>
      </w:r>
    </w:p>
    <w:p w14:paraId="5C33E2E2" w14:textId="77777777" w:rsidR="005F5299" w:rsidRPr="00C05886" w:rsidRDefault="005F5299" w:rsidP="005F5299">
      <w:pPr>
        <w:pStyle w:val="Heading3"/>
      </w:pPr>
      <w:bookmarkStart w:id="123" w:name="_Toc179962369"/>
      <w:r w:rsidRPr="00C05886">
        <w:t>Statistical Analysis</w:t>
      </w:r>
      <w:bookmarkEnd w:id="123"/>
    </w:p>
    <w:p w14:paraId="4D93DBE8" w14:textId="77777777" w:rsidR="005F5299" w:rsidRPr="00C05886" w:rsidRDefault="005F5299" w:rsidP="00663C26">
      <w:r w:rsidRPr="00C05886">
        <w:t>The statistical analysis was carried out using SPSS (version 28) for Windows. Responses which met the following criteria were excluded from the analysis: 1) Incomplete responses; 2) multiple responses identified by the same IP address and demographic information; 3) responses where the Affective scores were the same for all items at all stages of the procedure (e.g. all 5).</w:t>
      </w:r>
    </w:p>
    <w:p w14:paraId="3C682B06" w14:textId="77777777" w:rsidR="005F5299" w:rsidRPr="00C05886" w:rsidRDefault="005F5299" w:rsidP="00663C26">
      <w:r w:rsidRPr="00C05886">
        <w:t>The distribution of demographics among the treatment groups was explored with histograms and crosstabulations. Changes in the Affective states were analysed via repeated measures analysis of variance (RM-ANOVA), using the park treatment as the between-subject variable and the procedure’s stages (baseline, stressor, park) as the within-subject variable. An interaction term between the stage of the procedure and the Park treatment was included to compare the affective response at the park stage between the groups. The Greenhouse-</w:t>
      </w:r>
      <w:proofErr w:type="spellStart"/>
      <w:r w:rsidRPr="00C05886">
        <w:t>Gausser</w:t>
      </w:r>
      <w:proofErr w:type="spellEnd"/>
      <w:r w:rsidRPr="00C05886">
        <w:t xml:space="preserve"> correction was applied to the probability values (p-values), as the assumption of sphericity was usually violated by the model. The Bonferroni correction was applied to any post hoc tests involving multiple comparisons.</w:t>
      </w:r>
    </w:p>
    <w:p w14:paraId="0347538F" w14:textId="77777777" w:rsidR="005F5299" w:rsidRPr="00C05886" w:rsidRDefault="005F5299" w:rsidP="00663C26">
      <w:r w:rsidRPr="00C05886">
        <w:lastRenderedPageBreak/>
        <w:t>Since only 2.7% of the perceptions of biodiversity fell into the lowest category, perceived biodiversity was recoded into three categories (low, medium, and high) by collapsing the two lower categories (“none” and “a few”) together. Similarly, nature connectedness was also recoded into three categories as follows: low (scores 1 to 3), medium (scores 4 and 5), and high (scores 6 and 7).</w:t>
      </w:r>
    </w:p>
    <w:p w14:paraId="625D4846" w14:textId="77777777" w:rsidR="005F5299" w:rsidRPr="00C05886" w:rsidRDefault="005F5299" w:rsidP="00663C26">
      <w:r w:rsidRPr="00C05886">
        <w:t>The Affective scores (Joviality, Serenity, Negative Affect) were calculated by averaging the items of each subscale. In parallel with the park treatment, ratings of perceptions of biodiversity and nature connectedness were used as between-subjects variables. Dummy variables generated via content analysis were also used as between-subject variables, exploring the effect of specific elements on the affective response.</w:t>
      </w:r>
    </w:p>
    <w:p w14:paraId="228CD25F" w14:textId="7DAD9420" w:rsidR="00597138" w:rsidRPr="00C05886" w:rsidRDefault="005F5299" w:rsidP="00597138">
      <w:r w:rsidRPr="00C05886">
        <w:t xml:space="preserve">Required sample sizes for this analysis (Mixed repeated measure design) were calculated using G*Power </w:t>
      </w:r>
      <w:r w:rsidRPr="00C05886">
        <w:fldChar w:fldCharType="begin"/>
      </w:r>
      <w:r w:rsidRPr="00C05886">
        <w:instrText xml:space="preserve"> ADDIN ZOTERO_ITEM CSL_CITATION {"citationID":"fHzSidBL","properties":{"formattedCitation":"(Faul {\\i{}et al.}, 2007)","plainCitation":"(Faul et al., 2007)","noteIndex":0},"citationItems":[{"id":8726,"uris":["http://zotero.org/users/10951124/items/39FQ2BF8"],"itemData":{"id":8726,"type":"article-journal","abstract":"G*Power (Erdfelder, Faul, &amp; Buchner, 1996) was designed as a general stand-alone power analysis program for statistical tests commonly used in social and behavioral research. G*Power 3 is a major extension of, and improvement over, the previous versions. It runs on widely used computer platforms (i.e., Windows XP, Windows Vista, and Mac OS X 10.4) and covers many different statistical tests of the t, F, and χ2 test families. In addition, it includes power analyses for z tests and some exact tests. G*Power 3 provides improved effect size calculators and graphic options, supports both distribution-based and design-based input modes, and offers all types of power analyses in which users might be interested. Like its predecessors, G*Power 3 is free. Copyright 2007 Psychonomic Society, Inc.","container-title":"Behavior Research Methods","DOI":"10.3758/BF03193146","ISSN":"1554351X","issue":"2","note":"PMID: 17695343","page":"175-191","title":"G*Power 3: A flexible statistical power analysis program for the social, behavioral, and biomedical sciences","volume":"39","author":[{"family":"Faul","given":"Franz"},{"family":"Erdfelder","given":"Edgar"},{"family":"Lang","given":"Albert Georg"},{"family":"Buchner","given":"Axel"}],"issued":{"date-parts":[["2007"]]}}}],"schema":"https://github.com/citation-style-language/schema/raw/master/csl-citation.json"} </w:instrText>
      </w:r>
      <w:r w:rsidRPr="00C05886">
        <w:fldChar w:fldCharType="separate"/>
      </w:r>
      <w:r w:rsidRPr="00C05886">
        <w:rPr>
          <w:rFonts w:ascii="Calibri" w:hAnsi="Calibri" w:cs="Calibri"/>
          <w:szCs w:val="24"/>
        </w:rPr>
        <w:t xml:space="preserve">(Faul </w:t>
      </w:r>
      <w:r w:rsidRPr="00C05886">
        <w:rPr>
          <w:rFonts w:ascii="Calibri" w:hAnsi="Calibri" w:cs="Calibri"/>
          <w:i/>
          <w:iCs/>
          <w:szCs w:val="24"/>
        </w:rPr>
        <w:t>et al.</w:t>
      </w:r>
      <w:r w:rsidRPr="00C05886">
        <w:rPr>
          <w:rFonts w:ascii="Calibri" w:hAnsi="Calibri" w:cs="Calibri"/>
          <w:szCs w:val="24"/>
        </w:rPr>
        <w:t>, 2007)</w:t>
      </w:r>
      <w:r w:rsidRPr="00C05886">
        <w:fldChar w:fldCharType="end"/>
      </w:r>
      <w:r w:rsidRPr="00C05886">
        <w:t xml:space="preserve">, aiming to achieve a power of beta = 0.8 at the significance threshold of alpha= 0.05. A small effect size (Cohen’s d= 0.15) was assumed based on previous meta-analyses </w:t>
      </w:r>
      <w:r w:rsidRPr="00C05886">
        <w:fldChar w:fldCharType="begin"/>
      </w:r>
      <w:r w:rsidR="00DC0B4B" w:rsidRPr="00C05886">
        <w:instrText xml:space="preserve"> ADDIN ZOTERO_ITEM CSL_CITATION {"citationID":"RSufMyfC","properties":{"formattedCitation":"(McMahan and Estes, 2015; Browning, Mimnaugh, {\\i{}et al.}, 2020)","plainCitation":"(McMahan and Estes, 2015; Browning, Mimnaugh, et al., 2020)","noteIndex":0},"citationItems":[{"id":6296,"uris":["http://zotero.org/users/10951124/items/UFVUX6YA"],"itemData":{"id":6296,"type":"article-journal","abstract":"&lt;p&gt;A growing body of empirical research suggests that brief contact with natural environments improves emotional well-being. The current study synthesizes this body of research using meta-analytic techniques and assesses the mean effect size of exposure to natural environments on both positive and negative affect. Thirty-two studies with a total of 2356 participants were included. Across these studies, exposure to natural environments was associated with a moderate increase in positive affect and a smaller, yet consistent, decrease in negative affect relative to comparison conditions. Significant heterogeneity was found for the effect of nature on positive affect, and type of emotion assessment, type of exposure to nature, location of study, and mean age of sample were found to moderate this effect. The implications of these findings for existing theory and research are discussed, with particular emphasis placed on potential avenues for fruitful future research examining the effects of nature on well-being.&lt;/p&gt;","container-title":"The Journal of Positive Psychology","DOI":"10.1080/17439760.2014.994224","ISSN":"1743-9760","issue":"6","page":"507-519","title":"The effect of contact with natural environments on positive and negative affect: A meta-analysis","volume":"10","author":[{"family":"McMahan","given":"Ethan A"},{"family":"Estes","given":"David"}],"issued":{"date-parts":[["2015"]]}}},{"id":4706,"uris":["http://zotero.org/users/10951124/items/I7ZC24VP"],"itemData":{"id":4706,"type":"article-journal","abstract":"Nature exposure in virtual reality (VR) can provide emotional well-being benefits for people who cannot access the outdoors. Little is known about how these simulated experiences compare with real outdoor experiences. We conduct an experiment with healthy undergraduate students that tests the effects of 6 min of outdoor nature exposure with 6 min of exposure to a 360-degree VR nature video, which is recorded at the outdoor nature exposure location. Skin conductivity, restorativeness, and mood before and after exposure are measured. We find that both types of nature exposure increase physiological arousal, benefit positive mood levels, and are restorative compared to an indoor setting without nature","container-title":"Frontiers in psychology","DOI":"10.3389/fpsyg.2019.02667","ISSN":"1664-1078","note":"publisher: Frontiers Media S.A","title":"Can Simulated Nature Support Mental Health? Comparing Short, Single-Doses of 360-Degree Nature Videos in Virtual Reality With the Outdoors","volume":"10","author":[{"family":"Browning","given":"Matthew"},{"family":"Mimnaugh","given":"Katherine J"},{"family":"Riper","given":"Carena J","non-dropping-particle":"van"},{"family":"Laurent","given":"Heidemarie K"},{"family":"LaValle","given":"Steven M"}],"issued":{"date-parts":[["2020"]]}}}],"schema":"https://github.com/citation-style-language/schema/raw/master/csl-citation.json"} </w:instrText>
      </w:r>
      <w:r w:rsidRPr="00C05886">
        <w:fldChar w:fldCharType="separate"/>
      </w:r>
      <w:r w:rsidR="00DC0B4B" w:rsidRPr="00C05886">
        <w:rPr>
          <w:rFonts w:ascii="Calibri" w:hAnsi="Calibri" w:cs="Calibri"/>
          <w:szCs w:val="24"/>
        </w:rPr>
        <w:t xml:space="preserve">(McMahan and Estes, 2015; Browning, Mimnaugh, </w:t>
      </w:r>
      <w:r w:rsidR="00DC0B4B" w:rsidRPr="00C05886">
        <w:rPr>
          <w:rFonts w:ascii="Calibri" w:hAnsi="Calibri" w:cs="Calibri"/>
          <w:i/>
          <w:iCs/>
          <w:szCs w:val="24"/>
        </w:rPr>
        <w:t>et al.</w:t>
      </w:r>
      <w:r w:rsidR="00DC0B4B" w:rsidRPr="00C05886">
        <w:rPr>
          <w:rFonts w:ascii="Calibri" w:hAnsi="Calibri" w:cs="Calibri"/>
          <w:szCs w:val="24"/>
        </w:rPr>
        <w:t>, 2020)</w:t>
      </w:r>
      <w:r w:rsidRPr="00C05886">
        <w:fldChar w:fldCharType="end"/>
      </w:r>
      <w:r w:rsidRPr="00C05886">
        <w:t>.</w:t>
      </w:r>
    </w:p>
    <w:p w14:paraId="3D5126AE" w14:textId="659BBC1F" w:rsidR="005F5299" w:rsidRPr="00C05886" w:rsidRDefault="005F5299" w:rsidP="005F5299">
      <w:pPr>
        <w:pStyle w:val="Heading2"/>
      </w:pPr>
      <w:bookmarkStart w:id="124" w:name="_Toc179962370"/>
      <w:r w:rsidRPr="00C05886">
        <w:t>Results</w:t>
      </w:r>
      <w:bookmarkEnd w:id="124"/>
    </w:p>
    <w:p w14:paraId="6D45A59E" w14:textId="77777777" w:rsidR="005F5299" w:rsidRPr="00C05886" w:rsidRDefault="005F5299" w:rsidP="005F5299">
      <w:pPr>
        <w:pStyle w:val="Heading3"/>
      </w:pPr>
      <w:bookmarkStart w:id="125" w:name="_Toc179962371"/>
      <w:r w:rsidRPr="00C05886">
        <w:t>Descriptive data</w:t>
      </w:r>
      <w:r w:rsidRPr="00C05886" w:rsidDel="001D121C">
        <w:t xml:space="preserve"> </w:t>
      </w:r>
      <w:r w:rsidRPr="00C05886">
        <w:t>(Experiments 1-4)</w:t>
      </w:r>
      <w:bookmarkEnd w:id="125"/>
    </w:p>
    <w:p w14:paraId="23EF9862" w14:textId="77777777" w:rsidR="005F5299" w:rsidRPr="00C05886" w:rsidRDefault="005F5299" w:rsidP="0085187B">
      <w:r w:rsidRPr="00C05886">
        <w:t xml:space="preserve">After applying the exclusion criteria, 940 responses from the English survey </w:t>
      </w:r>
      <w:bookmarkStart w:id="126" w:name="_Hlk138069006"/>
      <w:r w:rsidRPr="00C05886">
        <w:t>and 774 responses from the Chinese survey were included in the analysis.</w:t>
      </w:r>
      <w:bookmarkEnd w:id="126"/>
      <w:r w:rsidRPr="00C05886">
        <w:t xml:space="preserve"> </w:t>
      </w:r>
      <w:bookmarkStart w:id="127" w:name="_Hlk138069041"/>
      <w:r w:rsidRPr="00C05886">
        <w:t xml:space="preserve">Over 350 participants were involved in each experiment (Table 2).  The majority of participants in the UK study were female, but with male majority in the Chinese cohort. </w:t>
      </w:r>
      <w:bookmarkEnd w:id="127"/>
    </w:p>
    <w:p w14:paraId="39B5B65A" w14:textId="79E7F505" w:rsidR="005F5299" w:rsidRPr="00C05886" w:rsidRDefault="005F5299" w:rsidP="007764EC">
      <w:pPr>
        <w:pStyle w:val="Caption"/>
        <w:keepNext/>
      </w:pPr>
      <w:r w:rsidRPr="00C05886">
        <w:t xml:space="preserve">Table </w:t>
      </w:r>
      <w:r w:rsidR="00597138" w:rsidRPr="00C05886">
        <w:t>2</w:t>
      </w:r>
      <w:r w:rsidRPr="00C05886">
        <w:t>. Distribution of demographics across the four experiments.</w:t>
      </w:r>
      <w:r w:rsidR="00AC49A5">
        <w:t xml:space="preserve"> Experiments 1-2 English-speaking samples. Experiments 3-4 Chinese-speaking samples.</w:t>
      </w:r>
    </w:p>
    <w:tbl>
      <w:tblPr>
        <w:tblStyle w:val="TableGrid"/>
        <w:tblW w:w="0" w:type="auto"/>
        <w:tblLook w:val="04A0" w:firstRow="1" w:lastRow="0" w:firstColumn="1" w:lastColumn="0" w:noHBand="0" w:noVBand="1"/>
      </w:tblPr>
      <w:tblGrid>
        <w:gridCol w:w="3358"/>
        <w:gridCol w:w="1431"/>
        <w:gridCol w:w="1431"/>
        <w:gridCol w:w="1431"/>
        <w:gridCol w:w="1431"/>
      </w:tblGrid>
      <w:tr w:rsidR="005F5299" w:rsidRPr="00C05886" w14:paraId="0736706E" w14:textId="77777777" w:rsidTr="00597138">
        <w:trPr>
          <w:trHeight w:val="170"/>
        </w:trPr>
        <w:tc>
          <w:tcPr>
            <w:tcW w:w="0" w:type="auto"/>
            <w:noWrap/>
            <w:hideMark/>
          </w:tcPr>
          <w:p w14:paraId="0B2170DE" w14:textId="77777777" w:rsidR="005F5299" w:rsidRPr="00C05886" w:rsidRDefault="005F5299" w:rsidP="005F5299">
            <w:pPr>
              <w:spacing w:line="240" w:lineRule="auto"/>
              <w:rPr>
                <w:rFonts w:ascii="Calibri" w:eastAsia="Times New Roman" w:hAnsi="Calibri" w:cs="Calibri"/>
                <w:b/>
                <w:bCs/>
                <w:color w:val="000000"/>
                <w:sz w:val="22"/>
                <w:lang w:eastAsia="en-GB"/>
              </w:rPr>
            </w:pPr>
            <w:r w:rsidRPr="00C05886">
              <w:rPr>
                <w:rFonts w:ascii="Calibri" w:eastAsia="Times New Roman" w:hAnsi="Calibri" w:cs="Calibri"/>
                <w:b/>
                <w:bCs/>
                <w:color w:val="000000"/>
                <w:sz w:val="22"/>
                <w:lang w:eastAsia="en-GB"/>
              </w:rPr>
              <w:t>Measure</w:t>
            </w:r>
          </w:p>
        </w:tc>
        <w:tc>
          <w:tcPr>
            <w:tcW w:w="0" w:type="auto"/>
            <w:noWrap/>
            <w:hideMark/>
          </w:tcPr>
          <w:p w14:paraId="1CF3A3C8" w14:textId="77777777" w:rsidR="005F5299" w:rsidRPr="00C05886" w:rsidRDefault="005F5299" w:rsidP="005F5299">
            <w:pPr>
              <w:spacing w:line="240" w:lineRule="auto"/>
              <w:rPr>
                <w:rFonts w:ascii="Calibri" w:eastAsia="Times New Roman" w:hAnsi="Calibri" w:cs="Calibri"/>
                <w:b/>
                <w:bCs/>
                <w:color w:val="000000"/>
                <w:sz w:val="22"/>
                <w:lang w:eastAsia="en-GB"/>
              </w:rPr>
            </w:pPr>
            <w:r w:rsidRPr="00C05886">
              <w:rPr>
                <w:rFonts w:ascii="Calibri" w:eastAsia="Times New Roman" w:hAnsi="Calibri" w:cs="Calibri"/>
                <w:b/>
                <w:bCs/>
                <w:color w:val="000000"/>
                <w:sz w:val="22"/>
                <w:lang w:eastAsia="en-GB"/>
              </w:rPr>
              <w:t xml:space="preserve">Experiment 1 </w:t>
            </w:r>
          </w:p>
          <w:p w14:paraId="49DEECCC" w14:textId="77777777" w:rsidR="005F5299" w:rsidRPr="00C05886" w:rsidRDefault="005F5299" w:rsidP="005F5299">
            <w:pPr>
              <w:spacing w:line="240" w:lineRule="auto"/>
              <w:rPr>
                <w:rFonts w:ascii="Calibri" w:eastAsia="Times New Roman" w:hAnsi="Calibri" w:cs="Calibri"/>
                <w:b/>
                <w:bCs/>
                <w:color w:val="000000"/>
                <w:sz w:val="22"/>
                <w:lang w:eastAsia="en-GB"/>
              </w:rPr>
            </w:pPr>
            <w:r w:rsidRPr="00C05886">
              <w:rPr>
                <w:rFonts w:ascii="Calibri" w:eastAsia="Times New Roman" w:hAnsi="Calibri" w:cs="Calibri"/>
                <w:b/>
                <w:bCs/>
                <w:color w:val="000000"/>
                <w:sz w:val="22"/>
                <w:lang w:eastAsia="en-GB"/>
              </w:rPr>
              <w:t>N = 463</w:t>
            </w:r>
          </w:p>
        </w:tc>
        <w:tc>
          <w:tcPr>
            <w:tcW w:w="0" w:type="auto"/>
            <w:noWrap/>
            <w:hideMark/>
          </w:tcPr>
          <w:p w14:paraId="082F3058" w14:textId="77777777" w:rsidR="005F5299" w:rsidRPr="00C05886" w:rsidRDefault="005F5299" w:rsidP="005F5299">
            <w:pPr>
              <w:spacing w:line="240" w:lineRule="auto"/>
              <w:rPr>
                <w:rFonts w:ascii="Calibri" w:eastAsia="Times New Roman" w:hAnsi="Calibri" w:cs="Calibri"/>
                <w:b/>
                <w:bCs/>
                <w:color w:val="000000"/>
                <w:sz w:val="22"/>
                <w:lang w:eastAsia="en-GB"/>
              </w:rPr>
            </w:pPr>
            <w:r w:rsidRPr="00C05886">
              <w:rPr>
                <w:rFonts w:ascii="Calibri" w:eastAsia="Times New Roman" w:hAnsi="Calibri" w:cs="Calibri"/>
                <w:b/>
                <w:bCs/>
                <w:color w:val="000000"/>
                <w:sz w:val="22"/>
                <w:lang w:eastAsia="en-GB"/>
              </w:rPr>
              <w:t>Experiment 2</w:t>
            </w:r>
          </w:p>
          <w:p w14:paraId="155E5878" w14:textId="77777777" w:rsidR="005F5299" w:rsidRPr="00C05886" w:rsidRDefault="005F5299" w:rsidP="005F5299">
            <w:pPr>
              <w:spacing w:line="240" w:lineRule="auto"/>
              <w:rPr>
                <w:rFonts w:ascii="Calibri" w:eastAsia="Times New Roman" w:hAnsi="Calibri" w:cs="Calibri"/>
                <w:b/>
                <w:bCs/>
                <w:color w:val="000000"/>
                <w:sz w:val="22"/>
                <w:lang w:eastAsia="en-GB"/>
              </w:rPr>
            </w:pPr>
            <w:r w:rsidRPr="00C05886">
              <w:rPr>
                <w:rFonts w:ascii="Calibri" w:eastAsia="Times New Roman" w:hAnsi="Calibri" w:cs="Calibri"/>
                <w:b/>
                <w:bCs/>
                <w:color w:val="000000"/>
                <w:sz w:val="22"/>
                <w:lang w:eastAsia="en-GB"/>
              </w:rPr>
              <w:t>N = 477</w:t>
            </w:r>
          </w:p>
        </w:tc>
        <w:tc>
          <w:tcPr>
            <w:tcW w:w="0" w:type="auto"/>
            <w:noWrap/>
            <w:hideMark/>
          </w:tcPr>
          <w:p w14:paraId="5F74A56B" w14:textId="77777777" w:rsidR="005F5299" w:rsidRPr="00C05886" w:rsidRDefault="005F5299" w:rsidP="005F5299">
            <w:pPr>
              <w:spacing w:line="240" w:lineRule="auto"/>
              <w:rPr>
                <w:rFonts w:ascii="Calibri" w:eastAsia="Times New Roman" w:hAnsi="Calibri" w:cs="Calibri"/>
                <w:b/>
                <w:bCs/>
                <w:color w:val="000000"/>
                <w:sz w:val="22"/>
                <w:lang w:eastAsia="en-GB"/>
              </w:rPr>
            </w:pPr>
            <w:r w:rsidRPr="00C05886">
              <w:rPr>
                <w:rFonts w:ascii="Calibri" w:eastAsia="Times New Roman" w:hAnsi="Calibri" w:cs="Calibri"/>
                <w:b/>
                <w:bCs/>
                <w:color w:val="000000"/>
                <w:sz w:val="22"/>
                <w:lang w:eastAsia="en-GB"/>
              </w:rPr>
              <w:t>Experiment 3</w:t>
            </w:r>
          </w:p>
          <w:p w14:paraId="18FAF20F" w14:textId="77777777" w:rsidR="005F5299" w:rsidRPr="00C05886" w:rsidRDefault="005F5299" w:rsidP="005F5299">
            <w:pPr>
              <w:spacing w:line="240" w:lineRule="auto"/>
              <w:rPr>
                <w:rFonts w:ascii="Calibri" w:eastAsia="Times New Roman" w:hAnsi="Calibri" w:cs="Calibri"/>
                <w:b/>
                <w:bCs/>
                <w:color w:val="000000"/>
                <w:sz w:val="22"/>
                <w:lang w:eastAsia="en-GB"/>
              </w:rPr>
            </w:pPr>
            <w:r w:rsidRPr="00C05886">
              <w:rPr>
                <w:rFonts w:ascii="Calibri" w:eastAsia="Times New Roman" w:hAnsi="Calibri" w:cs="Calibri"/>
                <w:b/>
                <w:bCs/>
                <w:color w:val="000000"/>
                <w:sz w:val="22"/>
                <w:lang w:eastAsia="en-GB"/>
              </w:rPr>
              <w:t>N = 379</w:t>
            </w:r>
          </w:p>
        </w:tc>
        <w:tc>
          <w:tcPr>
            <w:tcW w:w="0" w:type="auto"/>
            <w:noWrap/>
            <w:hideMark/>
          </w:tcPr>
          <w:p w14:paraId="6E24EA69" w14:textId="77777777" w:rsidR="005F5299" w:rsidRPr="00C05886" w:rsidRDefault="005F5299" w:rsidP="005F5299">
            <w:pPr>
              <w:spacing w:line="240" w:lineRule="auto"/>
              <w:rPr>
                <w:rFonts w:ascii="Calibri" w:eastAsia="Times New Roman" w:hAnsi="Calibri" w:cs="Calibri"/>
                <w:b/>
                <w:bCs/>
                <w:color w:val="000000"/>
                <w:sz w:val="22"/>
                <w:lang w:eastAsia="en-GB"/>
              </w:rPr>
            </w:pPr>
            <w:r w:rsidRPr="00C05886">
              <w:rPr>
                <w:rFonts w:ascii="Calibri" w:eastAsia="Times New Roman" w:hAnsi="Calibri" w:cs="Calibri"/>
                <w:b/>
                <w:bCs/>
                <w:color w:val="000000"/>
                <w:sz w:val="22"/>
                <w:lang w:eastAsia="en-GB"/>
              </w:rPr>
              <w:t>Experiment 4</w:t>
            </w:r>
          </w:p>
          <w:p w14:paraId="1941AA7E" w14:textId="77777777" w:rsidR="005F5299" w:rsidRPr="00C05886" w:rsidRDefault="005F5299" w:rsidP="005F5299">
            <w:pPr>
              <w:spacing w:line="240" w:lineRule="auto"/>
              <w:rPr>
                <w:rFonts w:ascii="Calibri" w:eastAsia="Times New Roman" w:hAnsi="Calibri" w:cs="Calibri"/>
                <w:b/>
                <w:bCs/>
                <w:color w:val="000000"/>
                <w:sz w:val="22"/>
                <w:lang w:eastAsia="en-GB"/>
              </w:rPr>
            </w:pPr>
            <w:r w:rsidRPr="00C05886">
              <w:rPr>
                <w:rFonts w:ascii="Calibri" w:eastAsia="Times New Roman" w:hAnsi="Calibri" w:cs="Calibri"/>
                <w:b/>
                <w:bCs/>
                <w:color w:val="000000"/>
                <w:sz w:val="22"/>
                <w:lang w:eastAsia="en-GB"/>
              </w:rPr>
              <w:t>N = 395</w:t>
            </w:r>
          </w:p>
        </w:tc>
      </w:tr>
      <w:tr w:rsidR="005F5299" w:rsidRPr="00C05886" w14:paraId="33144963" w14:textId="77777777" w:rsidTr="00597138">
        <w:trPr>
          <w:trHeight w:val="170"/>
        </w:trPr>
        <w:tc>
          <w:tcPr>
            <w:tcW w:w="0" w:type="auto"/>
            <w:gridSpan w:val="5"/>
            <w:noWrap/>
            <w:hideMark/>
          </w:tcPr>
          <w:p w14:paraId="4E83D878" w14:textId="77777777" w:rsidR="005F5299" w:rsidRPr="00C05886" w:rsidRDefault="005F5299" w:rsidP="005F5299">
            <w:pPr>
              <w:spacing w:line="240" w:lineRule="auto"/>
              <w:rPr>
                <w:rFonts w:ascii="Times New Roman" w:eastAsia="Times New Roman" w:hAnsi="Times New Roman" w:cs="Times New Roman"/>
                <w:sz w:val="22"/>
                <w:lang w:eastAsia="en-GB"/>
              </w:rPr>
            </w:pPr>
            <w:r w:rsidRPr="00C05886">
              <w:rPr>
                <w:rFonts w:ascii="Calibri" w:eastAsia="Times New Roman" w:hAnsi="Calibri" w:cs="Calibri"/>
                <w:b/>
                <w:bCs/>
                <w:sz w:val="22"/>
                <w:lang w:eastAsia="en-GB"/>
              </w:rPr>
              <w:t>Gender</w:t>
            </w:r>
          </w:p>
        </w:tc>
      </w:tr>
      <w:tr w:rsidR="005F5299" w:rsidRPr="00C05886" w14:paraId="60033FBE" w14:textId="77777777" w:rsidTr="00597138">
        <w:trPr>
          <w:trHeight w:val="170"/>
        </w:trPr>
        <w:tc>
          <w:tcPr>
            <w:tcW w:w="0" w:type="auto"/>
            <w:noWrap/>
            <w:hideMark/>
          </w:tcPr>
          <w:p w14:paraId="2C5033FB" w14:textId="77777777" w:rsidR="005F5299" w:rsidRPr="00C05886" w:rsidRDefault="005F5299" w:rsidP="005F5299">
            <w:pPr>
              <w:spacing w:line="240" w:lineRule="auto"/>
              <w:rPr>
                <w:rFonts w:ascii="Calibri" w:eastAsia="Times New Roman" w:hAnsi="Calibri" w:cs="Calibri"/>
                <w:color w:val="000000"/>
                <w:sz w:val="22"/>
                <w:lang w:eastAsia="en-GB"/>
              </w:rPr>
            </w:pPr>
            <w:r w:rsidRPr="00C05886">
              <w:rPr>
                <w:rFonts w:ascii="Calibri" w:eastAsia="Times New Roman" w:hAnsi="Calibri" w:cs="Calibri"/>
                <w:color w:val="000000"/>
                <w:sz w:val="22"/>
                <w:lang w:eastAsia="en-GB"/>
              </w:rPr>
              <w:t>Male</w:t>
            </w:r>
          </w:p>
        </w:tc>
        <w:tc>
          <w:tcPr>
            <w:tcW w:w="0" w:type="auto"/>
            <w:noWrap/>
            <w:hideMark/>
          </w:tcPr>
          <w:p w14:paraId="1BE6F5EF" w14:textId="77777777" w:rsidR="005F5299" w:rsidRPr="00C05886" w:rsidRDefault="005F5299" w:rsidP="005F5299">
            <w:pPr>
              <w:spacing w:line="240" w:lineRule="auto"/>
              <w:rPr>
                <w:rFonts w:ascii="Calibri" w:eastAsia="Times New Roman" w:hAnsi="Calibri" w:cs="Calibri"/>
                <w:color w:val="000000"/>
                <w:sz w:val="22"/>
                <w:lang w:eastAsia="en-GB"/>
              </w:rPr>
            </w:pPr>
            <w:r w:rsidRPr="00C05886">
              <w:rPr>
                <w:rFonts w:ascii="Calibri" w:eastAsia="Times New Roman" w:hAnsi="Calibri" w:cs="Calibri"/>
                <w:color w:val="000000"/>
                <w:sz w:val="22"/>
                <w:lang w:eastAsia="en-GB"/>
              </w:rPr>
              <w:t>32%</w:t>
            </w:r>
          </w:p>
        </w:tc>
        <w:tc>
          <w:tcPr>
            <w:tcW w:w="0" w:type="auto"/>
            <w:noWrap/>
            <w:hideMark/>
          </w:tcPr>
          <w:p w14:paraId="06758BD3" w14:textId="77777777" w:rsidR="005F5299" w:rsidRPr="00C05886" w:rsidRDefault="005F5299" w:rsidP="005F5299">
            <w:pPr>
              <w:spacing w:line="240" w:lineRule="auto"/>
              <w:rPr>
                <w:rFonts w:ascii="Calibri" w:eastAsia="Times New Roman" w:hAnsi="Calibri" w:cs="Calibri"/>
                <w:color w:val="000000"/>
                <w:sz w:val="22"/>
                <w:lang w:eastAsia="en-GB"/>
              </w:rPr>
            </w:pPr>
            <w:r w:rsidRPr="00C05886">
              <w:rPr>
                <w:rFonts w:ascii="Calibri" w:eastAsia="Times New Roman" w:hAnsi="Calibri" w:cs="Calibri"/>
                <w:color w:val="000000"/>
                <w:sz w:val="22"/>
                <w:lang w:eastAsia="en-GB"/>
              </w:rPr>
              <w:t>37.90%</w:t>
            </w:r>
          </w:p>
        </w:tc>
        <w:tc>
          <w:tcPr>
            <w:tcW w:w="0" w:type="auto"/>
            <w:noWrap/>
            <w:hideMark/>
          </w:tcPr>
          <w:p w14:paraId="6681C164" w14:textId="77777777" w:rsidR="005F5299" w:rsidRPr="00C05886" w:rsidRDefault="005F5299" w:rsidP="005F5299">
            <w:pPr>
              <w:spacing w:line="240" w:lineRule="auto"/>
              <w:rPr>
                <w:rFonts w:ascii="Calibri" w:eastAsia="Times New Roman" w:hAnsi="Calibri" w:cs="Calibri"/>
                <w:color w:val="000000"/>
                <w:sz w:val="22"/>
                <w:lang w:eastAsia="en-GB"/>
              </w:rPr>
            </w:pPr>
            <w:r w:rsidRPr="00C05886">
              <w:rPr>
                <w:rFonts w:ascii="Calibri" w:eastAsia="Times New Roman" w:hAnsi="Calibri" w:cs="Calibri"/>
                <w:color w:val="000000"/>
                <w:sz w:val="22"/>
                <w:lang w:eastAsia="en-GB"/>
              </w:rPr>
              <w:t>66.8%</w:t>
            </w:r>
          </w:p>
        </w:tc>
        <w:tc>
          <w:tcPr>
            <w:tcW w:w="0" w:type="auto"/>
            <w:noWrap/>
            <w:hideMark/>
          </w:tcPr>
          <w:p w14:paraId="1AE50BD2" w14:textId="77777777" w:rsidR="005F5299" w:rsidRPr="00C05886" w:rsidRDefault="005F5299" w:rsidP="005F5299">
            <w:pPr>
              <w:spacing w:line="240" w:lineRule="auto"/>
              <w:rPr>
                <w:rFonts w:ascii="Calibri" w:eastAsia="Times New Roman" w:hAnsi="Calibri" w:cs="Calibri"/>
                <w:color w:val="000000"/>
                <w:sz w:val="22"/>
                <w:lang w:eastAsia="en-GB"/>
              </w:rPr>
            </w:pPr>
            <w:r w:rsidRPr="00C05886">
              <w:rPr>
                <w:rFonts w:ascii="Calibri" w:eastAsia="Times New Roman" w:hAnsi="Calibri" w:cs="Calibri"/>
                <w:color w:val="000000"/>
                <w:sz w:val="22"/>
                <w:lang w:eastAsia="en-GB"/>
              </w:rPr>
              <w:t>64.6%</w:t>
            </w:r>
          </w:p>
        </w:tc>
      </w:tr>
      <w:tr w:rsidR="005F5299" w:rsidRPr="00C05886" w14:paraId="28B3F0D7" w14:textId="77777777" w:rsidTr="00597138">
        <w:trPr>
          <w:trHeight w:val="170"/>
        </w:trPr>
        <w:tc>
          <w:tcPr>
            <w:tcW w:w="0" w:type="auto"/>
            <w:noWrap/>
            <w:hideMark/>
          </w:tcPr>
          <w:p w14:paraId="77B14EA9" w14:textId="77777777" w:rsidR="005F5299" w:rsidRPr="00C05886" w:rsidRDefault="005F5299" w:rsidP="005F5299">
            <w:pPr>
              <w:spacing w:line="240" w:lineRule="auto"/>
              <w:rPr>
                <w:rFonts w:ascii="Calibri" w:eastAsia="Times New Roman" w:hAnsi="Calibri" w:cs="Calibri"/>
                <w:bCs/>
                <w:color w:val="000000"/>
                <w:sz w:val="22"/>
                <w:lang w:eastAsia="en-GB"/>
              </w:rPr>
            </w:pPr>
            <w:r w:rsidRPr="00C05886">
              <w:rPr>
                <w:rFonts w:ascii="Calibri" w:eastAsia="Times New Roman" w:hAnsi="Calibri" w:cs="Calibri"/>
                <w:bCs/>
                <w:color w:val="000000"/>
                <w:sz w:val="22"/>
                <w:lang w:eastAsia="en-GB"/>
              </w:rPr>
              <w:t>Female</w:t>
            </w:r>
          </w:p>
        </w:tc>
        <w:tc>
          <w:tcPr>
            <w:tcW w:w="0" w:type="auto"/>
            <w:noWrap/>
            <w:hideMark/>
          </w:tcPr>
          <w:p w14:paraId="6823A626" w14:textId="77777777" w:rsidR="005F5299" w:rsidRPr="00C05886" w:rsidRDefault="005F5299" w:rsidP="005F5299">
            <w:pPr>
              <w:spacing w:line="240" w:lineRule="auto"/>
              <w:rPr>
                <w:rFonts w:ascii="Calibri" w:eastAsia="Times New Roman" w:hAnsi="Calibri" w:cs="Calibri"/>
                <w:color w:val="000000"/>
                <w:sz w:val="22"/>
                <w:lang w:eastAsia="en-GB"/>
              </w:rPr>
            </w:pPr>
            <w:r w:rsidRPr="00C05886">
              <w:rPr>
                <w:rFonts w:ascii="Calibri" w:eastAsia="Times New Roman" w:hAnsi="Calibri" w:cs="Calibri"/>
                <w:color w:val="000000"/>
                <w:sz w:val="22"/>
                <w:lang w:eastAsia="en-GB"/>
              </w:rPr>
              <w:t>66.1%</w:t>
            </w:r>
          </w:p>
        </w:tc>
        <w:tc>
          <w:tcPr>
            <w:tcW w:w="0" w:type="auto"/>
            <w:noWrap/>
            <w:hideMark/>
          </w:tcPr>
          <w:p w14:paraId="3AA9EA47" w14:textId="77777777" w:rsidR="005F5299" w:rsidRPr="00C05886" w:rsidRDefault="005F5299" w:rsidP="005F5299">
            <w:pPr>
              <w:spacing w:line="240" w:lineRule="auto"/>
              <w:rPr>
                <w:rFonts w:ascii="Calibri" w:eastAsia="Times New Roman" w:hAnsi="Calibri" w:cs="Calibri"/>
                <w:color w:val="000000"/>
                <w:sz w:val="22"/>
                <w:lang w:eastAsia="en-GB"/>
              </w:rPr>
            </w:pPr>
            <w:r w:rsidRPr="00C05886">
              <w:rPr>
                <w:rFonts w:ascii="Calibri" w:eastAsia="Times New Roman" w:hAnsi="Calibri" w:cs="Calibri"/>
                <w:color w:val="000000"/>
                <w:sz w:val="22"/>
                <w:lang w:eastAsia="en-GB"/>
              </w:rPr>
              <w:t>59.1%</w:t>
            </w:r>
          </w:p>
        </w:tc>
        <w:tc>
          <w:tcPr>
            <w:tcW w:w="0" w:type="auto"/>
            <w:noWrap/>
            <w:hideMark/>
          </w:tcPr>
          <w:p w14:paraId="238D83E8" w14:textId="77777777" w:rsidR="005F5299" w:rsidRPr="00C05886" w:rsidRDefault="005F5299" w:rsidP="005F5299">
            <w:pPr>
              <w:spacing w:line="240" w:lineRule="auto"/>
              <w:rPr>
                <w:rFonts w:ascii="Calibri" w:eastAsia="Times New Roman" w:hAnsi="Calibri" w:cs="Calibri"/>
                <w:color w:val="000000"/>
                <w:sz w:val="22"/>
                <w:lang w:eastAsia="en-GB"/>
              </w:rPr>
            </w:pPr>
            <w:r w:rsidRPr="00C05886">
              <w:rPr>
                <w:rFonts w:ascii="Calibri" w:eastAsia="Times New Roman" w:hAnsi="Calibri" w:cs="Calibri"/>
                <w:color w:val="000000"/>
                <w:sz w:val="22"/>
                <w:lang w:eastAsia="en-GB"/>
              </w:rPr>
              <w:t>30.9%</w:t>
            </w:r>
          </w:p>
        </w:tc>
        <w:tc>
          <w:tcPr>
            <w:tcW w:w="0" w:type="auto"/>
            <w:noWrap/>
            <w:hideMark/>
          </w:tcPr>
          <w:p w14:paraId="070A1428" w14:textId="77777777" w:rsidR="005F5299" w:rsidRPr="00C05886" w:rsidRDefault="005F5299" w:rsidP="005F5299">
            <w:pPr>
              <w:spacing w:line="240" w:lineRule="auto"/>
              <w:rPr>
                <w:rFonts w:ascii="Calibri" w:eastAsia="Times New Roman" w:hAnsi="Calibri" w:cs="Calibri"/>
                <w:color w:val="000000"/>
                <w:sz w:val="22"/>
                <w:lang w:eastAsia="en-GB"/>
              </w:rPr>
            </w:pPr>
            <w:r w:rsidRPr="00C05886">
              <w:rPr>
                <w:rFonts w:ascii="Calibri" w:eastAsia="Times New Roman" w:hAnsi="Calibri" w:cs="Calibri"/>
                <w:color w:val="000000"/>
                <w:sz w:val="22"/>
                <w:lang w:eastAsia="en-GB"/>
              </w:rPr>
              <w:t>32.2%</w:t>
            </w:r>
          </w:p>
        </w:tc>
      </w:tr>
      <w:tr w:rsidR="005F5299" w:rsidRPr="00C05886" w14:paraId="17B9E3DC" w14:textId="77777777" w:rsidTr="00597138">
        <w:trPr>
          <w:trHeight w:val="170"/>
        </w:trPr>
        <w:tc>
          <w:tcPr>
            <w:tcW w:w="0" w:type="auto"/>
            <w:noWrap/>
            <w:hideMark/>
          </w:tcPr>
          <w:p w14:paraId="1A2B2553" w14:textId="77777777" w:rsidR="005F5299" w:rsidRPr="00C05886" w:rsidRDefault="005F5299" w:rsidP="005F5299">
            <w:pPr>
              <w:spacing w:line="240" w:lineRule="auto"/>
              <w:rPr>
                <w:rFonts w:ascii="Calibri" w:eastAsia="Times New Roman" w:hAnsi="Calibri" w:cs="Calibri"/>
                <w:color w:val="000000"/>
                <w:sz w:val="22"/>
                <w:lang w:eastAsia="en-GB"/>
              </w:rPr>
            </w:pPr>
            <w:r w:rsidRPr="00C05886">
              <w:rPr>
                <w:rFonts w:ascii="Calibri" w:eastAsia="Times New Roman" w:hAnsi="Calibri" w:cs="Calibri"/>
                <w:color w:val="000000"/>
                <w:sz w:val="22"/>
                <w:lang w:eastAsia="en-GB"/>
              </w:rPr>
              <w:t>Non-binary/third gender</w:t>
            </w:r>
          </w:p>
        </w:tc>
        <w:tc>
          <w:tcPr>
            <w:tcW w:w="0" w:type="auto"/>
            <w:noWrap/>
            <w:hideMark/>
          </w:tcPr>
          <w:p w14:paraId="0443A3FE" w14:textId="77777777" w:rsidR="005F5299" w:rsidRPr="00C05886" w:rsidRDefault="005F5299" w:rsidP="005F5299">
            <w:pPr>
              <w:spacing w:line="240" w:lineRule="auto"/>
              <w:rPr>
                <w:rFonts w:ascii="Calibri" w:eastAsia="Times New Roman" w:hAnsi="Calibri" w:cs="Calibri"/>
                <w:color w:val="000000"/>
                <w:sz w:val="22"/>
                <w:lang w:eastAsia="en-GB"/>
              </w:rPr>
            </w:pPr>
            <w:r w:rsidRPr="00C05886">
              <w:rPr>
                <w:rFonts w:ascii="Calibri" w:eastAsia="Times New Roman" w:hAnsi="Calibri" w:cs="Calibri"/>
                <w:color w:val="000000"/>
                <w:sz w:val="22"/>
                <w:lang w:eastAsia="en-GB"/>
              </w:rPr>
              <w:t>1.5%</w:t>
            </w:r>
          </w:p>
        </w:tc>
        <w:tc>
          <w:tcPr>
            <w:tcW w:w="0" w:type="auto"/>
            <w:noWrap/>
            <w:hideMark/>
          </w:tcPr>
          <w:p w14:paraId="31F6FBA6" w14:textId="77777777" w:rsidR="005F5299" w:rsidRPr="00C05886" w:rsidRDefault="005F5299" w:rsidP="005F5299">
            <w:pPr>
              <w:spacing w:line="240" w:lineRule="auto"/>
              <w:rPr>
                <w:rFonts w:ascii="Calibri" w:eastAsia="Times New Roman" w:hAnsi="Calibri" w:cs="Calibri"/>
                <w:color w:val="000000"/>
                <w:sz w:val="22"/>
                <w:lang w:eastAsia="en-GB"/>
              </w:rPr>
            </w:pPr>
            <w:r w:rsidRPr="00C05886">
              <w:rPr>
                <w:rFonts w:ascii="Calibri" w:eastAsia="Times New Roman" w:hAnsi="Calibri" w:cs="Calibri"/>
                <w:color w:val="000000"/>
                <w:sz w:val="22"/>
                <w:lang w:eastAsia="en-GB"/>
              </w:rPr>
              <w:t>2.3%</w:t>
            </w:r>
          </w:p>
        </w:tc>
        <w:tc>
          <w:tcPr>
            <w:tcW w:w="0" w:type="auto"/>
            <w:noWrap/>
            <w:hideMark/>
          </w:tcPr>
          <w:p w14:paraId="6B20E7DE" w14:textId="77777777" w:rsidR="005F5299" w:rsidRPr="00C05886" w:rsidRDefault="005F5299" w:rsidP="005F5299">
            <w:pPr>
              <w:spacing w:line="240" w:lineRule="auto"/>
              <w:rPr>
                <w:rFonts w:ascii="Calibri" w:eastAsia="Times New Roman" w:hAnsi="Calibri" w:cs="Calibri"/>
                <w:color w:val="000000"/>
                <w:sz w:val="22"/>
                <w:lang w:eastAsia="en-GB"/>
              </w:rPr>
            </w:pPr>
            <w:r w:rsidRPr="00C05886">
              <w:rPr>
                <w:rFonts w:ascii="Calibri" w:eastAsia="Times New Roman" w:hAnsi="Calibri" w:cs="Calibri"/>
                <w:color w:val="000000"/>
                <w:sz w:val="22"/>
                <w:lang w:eastAsia="en-GB"/>
              </w:rPr>
              <w:t>0.3%</w:t>
            </w:r>
          </w:p>
        </w:tc>
        <w:tc>
          <w:tcPr>
            <w:tcW w:w="0" w:type="auto"/>
            <w:noWrap/>
            <w:hideMark/>
          </w:tcPr>
          <w:p w14:paraId="686C244F" w14:textId="77777777" w:rsidR="005F5299" w:rsidRPr="00C05886" w:rsidRDefault="005F5299" w:rsidP="005F5299">
            <w:pPr>
              <w:spacing w:line="240" w:lineRule="auto"/>
              <w:rPr>
                <w:rFonts w:ascii="Calibri" w:eastAsia="Times New Roman" w:hAnsi="Calibri" w:cs="Calibri"/>
                <w:color w:val="000000"/>
                <w:sz w:val="22"/>
                <w:lang w:eastAsia="en-GB"/>
              </w:rPr>
            </w:pPr>
            <w:r w:rsidRPr="00C05886">
              <w:rPr>
                <w:rFonts w:ascii="Calibri" w:eastAsia="Times New Roman" w:hAnsi="Calibri" w:cs="Calibri"/>
                <w:color w:val="000000"/>
                <w:sz w:val="22"/>
                <w:lang w:eastAsia="en-GB"/>
              </w:rPr>
              <w:t>0.5%</w:t>
            </w:r>
          </w:p>
        </w:tc>
      </w:tr>
      <w:tr w:rsidR="005F5299" w:rsidRPr="00C05886" w14:paraId="79F2E67F" w14:textId="77777777" w:rsidTr="00597138">
        <w:trPr>
          <w:trHeight w:val="170"/>
        </w:trPr>
        <w:tc>
          <w:tcPr>
            <w:tcW w:w="0" w:type="auto"/>
            <w:noWrap/>
            <w:hideMark/>
          </w:tcPr>
          <w:p w14:paraId="51673DBF" w14:textId="77777777" w:rsidR="005F5299" w:rsidRPr="00C05886" w:rsidRDefault="005F5299" w:rsidP="005F5299">
            <w:pPr>
              <w:spacing w:line="240" w:lineRule="auto"/>
              <w:rPr>
                <w:rFonts w:ascii="Calibri" w:eastAsia="Times New Roman" w:hAnsi="Calibri" w:cs="Calibri"/>
                <w:color w:val="000000"/>
                <w:sz w:val="22"/>
                <w:lang w:eastAsia="en-GB"/>
              </w:rPr>
            </w:pPr>
            <w:r w:rsidRPr="00C05886">
              <w:rPr>
                <w:rFonts w:ascii="Calibri" w:eastAsia="Times New Roman" w:hAnsi="Calibri" w:cs="Calibri"/>
                <w:color w:val="000000"/>
                <w:sz w:val="22"/>
                <w:lang w:eastAsia="en-GB"/>
              </w:rPr>
              <w:t>Prefer not to say</w:t>
            </w:r>
          </w:p>
        </w:tc>
        <w:tc>
          <w:tcPr>
            <w:tcW w:w="0" w:type="auto"/>
            <w:noWrap/>
            <w:hideMark/>
          </w:tcPr>
          <w:p w14:paraId="00B8A587" w14:textId="77777777" w:rsidR="005F5299" w:rsidRPr="00C05886" w:rsidRDefault="005F5299" w:rsidP="005F5299">
            <w:pPr>
              <w:spacing w:line="240" w:lineRule="auto"/>
              <w:rPr>
                <w:rFonts w:ascii="Calibri" w:eastAsia="Times New Roman" w:hAnsi="Calibri" w:cs="Calibri"/>
                <w:color w:val="000000"/>
                <w:sz w:val="22"/>
                <w:lang w:eastAsia="en-GB"/>
              </w:rPr>
            </w:pPr>
            <w:r w:rsidRPr="00C05886">
              <w:rPr>
                <w:rFonts w:ascii="Calibri" w:eastAsia="Times New Roman" w:hAnsi="Calibri" w:cs="Calibri"/>
                <w:color w:val="000000"/>
                <w:sz w:val="22"/>
                <w:lang w:eastAsia="en-GB"/>
              </w:rPr>
              <w:t>0.4%</w:t>
            </w:r>
          </w:p>
        </w:tc>
        <w:tc>
          <w:tcPr>
            <w:tcW w:w="0" w:type="auto"/>
            <w:noWrap/>
            <w:hideMark/>
          </w:tcPr>
          <w:p w14:paraId="46B2D70D" w14:textId="77777777" w:rsidR="005F5299" w:rsidRPr="00C05886" w:rsidRDefault="005F5299" w:rsidP="005F5299">
            <w:pPr>
              <w:spacing w:line="240" w:lineRule="auto"/>
              <w:rPr>
                <w:rFonts w:ascii="Calibri" w:eastAsia="Times New Roman" w:hAnsi="Calibri" w:cs="Calibri"/>
                <w:color w:val="000000"/>
                <w:sz w:val="22"/>
                <w:lang w:eastAsia="en-GB"/>
              </w:rPr>
            </w:pPr>
            <w:r w:rsidRPr="00C05886">
              <w:rPr>
                <w:rFonts w:ascii="Calibri" w:eastAsia="Times New Roman" w:hAnsi="Calibri" w:cs="Calibri"/>
                <w:color w:val="000000"/>
                <w:sz w:val="22"/>
                <w:lang w:eastAsia="en-GB"/>
              </w:rPr>
              <w:t>0.6%</w:t>
            </w:r>
          </w:p>
        </w:tc>
        <w:tc>
          <w:tcPr>
            <w:tcW w:w="0" w:type="auto"/>
            <w:noWrap/>
            <w:hideMark/>
          </w:tcPr>
          <w:p w14:paraId="55F0F19A" w14:textId="77777777" w:rsidR="005F5299" w:rsidRPr="00C05886" w:rsidRDefault="005F5299" w:rsidP="005F5299">
            <w:pPr>
              <w:spacing w:line="240" w:lineRule="auto"/>
              <w:rPr>
                <w:rFonts w:ascii="Calibri" w:eastAsia="Times New Roman" w:hAnsi="Calibri" w:cs="Calibri"/>
                <w:color w:val="000000"/>
                <w:sz w:val="22"/>
                <w:lang w:eastAsia="en-GB"/>
              </w:rPr>
            </w:pPr>
            <w:r w:rsidRPr="00C05886">
              <w:rPr>
                <w:rFonts w:ascii="Calibri" w:eastAsia="Times New Roman" w:hAnsi="Calibri" w:cs="Calibri"/>
                <w:color w:val="000000"/>
                <w:sz w:val="22"/>
                <w:lang w:eastAsia="en-GB"/>
              </w:rPr>
              <w:t>2.1%</w:t>
            </w:r>
          </w:p>
        </w:tc>
        <w:tc>
          <w:tcPr>
            <w:tcW w:w="0" w:type="auto"/>
            <w:noWrap/>
            <w:hideMark/>
          </w:tcPr>
          <w:p w14:paraId="17718B1F" w14:textId="77777777" w:rsidR="005F5299" w:rsidRPr="00C05886" w:rsidRDefault="005F5299" w:rsidP="005F5299">
            <w:pPr>
              <w:spacing w:line="240" w:lineRule="auto"/>
              <w:rPr>
                <w:rFonts w:ascii="Calibri" w:eastAsia="Times New Roman" w:hAnsi="Calibri" w:cs="Calibri"/>
                <w:color w:val="000000"/>
                <w:sz w:val="22"/>
                <w:lang w:eastAsia="en-GB"/>
              </w:rPr>
            </w:pPr>
            <w:r w:rsidRPr="00C05886">
              <w:rPr>
                <w:rFonts w:ascii="Calibri" w:eastAsia="Times New Roman" w:hAnsi="Calibri" w:cs="Calibri"/>
                <w:color w:val="000000"/>
                <w:sz w:val="22"/>
                <w:lang w:eastAsia="en-GB"/>
              </w:rPr>
              <w:t>2.8%</w:t>
            </w:r>
          </w:p>
        </w:tc>
      </w:tr>
      <w:tr w:rsidR="005F5299" w:rsidRPr="00C05886" w14:paraId="61F8F5CD" w14:textId="77777777" w:rsidTr="00597138">
        <w:trPr>
          <w:trHeight w:val="170"/>
        </w:trPr>
        <w:tc>
          <w:tcPr>
            <w:tcW w:w="0" w:type="auto"/>
            <w:gridSpan w:val="5"/>
            <w:noWrap/>
            <w:hideMark/>
          </w:tcPr>
          <w:p w14:paraId="768185DA" w14:textId="77777777" w:rsidR="005F5299" w:rsidRPr="00C05886" w:rsidRDefault="005F5299" w:rsidP="005F5299">
            <w:pPr>
              <w:spacing w:line="240" w:lineRule="auto"/>
              <w:rPr>
                <w:rFonts w:ascii="Times New Roman" w:eastAsia="Times New Roman" w:hAnsi="Times New Roman" w:cs="Times New Roman"/>
                <w:sz w:val="22"/>
                <w:lang w:eastAsia="en-GB"/>
              </w:rPr>
            </w:pPr>
            <w:r w:rsidRPr="00C05886">
              <w:rPr>
                <w:rFonts w:ascii="Calibri" w:eastAsia="Times New Roman" w:hAnsi="Calibri" w:cs="Calibri"/>
                <w:b/>
                <w:bCs/>
                <w:sz w:val="22"/>
                <w:lang w:eastAsia="en-GB"/>
              </w:rPr>
              <w:t>Age category</w:t>
            </w:r>
          </w:p>
        </w:tc>
      </w:tr>
      <w:tr w:rsidR="005F5299" w:rsidRPr="00C05886" w14:paraId="5ABF2D69" w14:textId="77777777" w:rsidTr="00597138">
        <w:trPr>
          <w:trHeight w:val="170"/>
        </w:trPr>
        <w:tc>
          <w:tcPr>
            <w:tcW w:w="0" w:type="auto"/>
            <w:noWrap/>
            <w:hideMark/>
          </w:tcPr>
          <w:p w14:paraId="26FAB22F" w14:textId="77777777" w:rsidR="005F5299" w:rsidRPr="00C05886" w:rsidRDefault="005F5299" w:rsidP="005F5299">
            <w:pPr>
              <w:spacing w:line="240" w:lineRule="auto"/>
              <w:rPr>
                <w:rFonts w:ascii="Calibri" w:eastAsia="Times New Roman" w:hAnsi="Calibri" w:cs="Calibri"/>
                <w:color w:val="000000"/>
                <w:sz w:val="22"/>
                <w:lang w:eastAsia="en-GB"/>
              </w:rPr>
            </w:pPr>
            <w:r w:rsidRPr="00C05886">
              <w:rPr>
                <w:rFonts w:ascii="Calibri" w:eastAsia="Times New Roman" w:hAnsi="Calibri" w:cs="Calibri"/>
                <w:color w:val="000000"/>
                <w:sz w:val="22"/>
                <w:lang w:eastAsia="en-GB"/>
              </w:rPr>
              <w:t>18 - 24</w:t>
            </w:r>
          </w:p>
        </w:tc>
        <w:tc>
          <w:tcPr>
            <w:tcW w:w="0" w:type="auto"/>
            <w:noWrap/>
            <w:hideMark/>
          </w:tcPr>
          <w:p w14:paraId="7A928073" w14:textId="77777777" w:rsidR="005F5299" w:rsidRPr="00C05886" w:rsidRDefault="005F5299" w:rsidP="005F5299">
            <w:pPr>
              <w:spacing w:line="240" w:lineRule="auto"/>
              <w:rPr>
                <w:rFonts w:ascii="Calibri" w:eastAsia="Times New Roman" w:hAnsi="Calibri" w:cs="Calibri"/>
                <w:color w:val="000000"/>
                <w:sz w:val="22"/>
                <w:lang w:eastAsia="en-GB"/>
              </w:rPr>
            </w:pPr>
            <w:r w:rsidRPr="00C05886">
              <w:rPr>
                <w:rFonts w:ascii="Calibri" w:eastAsia="Times New Roman" w:hAnsi="Calibri" w:cs="Calibri"/>
                <w:color w:val="000000"/>
                <w:sz w:val="22"/>
                <w:lang w:eastAsia="en-GB"/>
              </w:rPr>
              <w:t>38.4%</w:t>
            </w:r>
          </w:p>
        </w:tc>
        <w:tc>
          <w:tcPr>
            <w:tcW w:w="0" w:type="auto"/>
            <w:noWrap/>
            <w:hideMark/>
          </w:tcPr>
          <w:p w14:paraId="6156B1A3" w14:textId="77777777" w:rsidR="005F5299" w:rsidRPr="00C05886" w:rsidRDefault="005F5299" w:rsidP="005F5299">
            <w:pPr>
              <w:spacing w:line="240" w:lineRule="auto"/>
              <w:rPr>
                <w:rFonts w:ascii="Calibri" w:eastAsia="Times New Roman" w:hAnsi="Calibri" w:cs="Calibri"/>
                <w:color w:val="000000"/>
                <w:sz w:val="22"/>
                <w:lang w:eastAsia="en-GB"/>
              </w:rPr>
            </w:pPr>
            <w:r w:rsidRPr="00C05886">
              <w:rPr>
                <w:rFonts w:ascii="Calibri" w:eastAsia="Times New Roman" w:hAnsi="Calibri" w:cs="Calibri"/>
                <w:color w:val="000000"/>
                <w:sz w:val="22"/>
                <w:lang w:eastAsia="en-GB"/>
              </w:rPr>
              <w:t>30.2%</w:t>
            </w:r>
          </w:p>
        </w:tc>
        <w:tc>
          <w:tcPr>
            <w:tcW w:w="0" w:type="auto"/>
            <w:noWrap/>
            <w:hideMark/>
          </w:tcPr>
          <w:p w14:paraId="55E9AFC7" w14:textId="77777777" w:rsidR="005F5299" w:rsidRPr="00C05886" w:rsidRDefault="005F5299" w:rsidP="005F5299">
            <w:pPr>
              <w:spacing w:line="240" w:lineRule="auto"/>
              <w:rPr>
                <w:rFonts w:ascii="Calibri" w:eastAsia="Times New Roman" w:hAnsi="Calibri" w:cs="Calibri"/>
                <w:color w:val="000000"/>
                <w:sz w:val="22"/>
                <w:lang w:eastAsia="en-GB"/>
              </w:rPr>
            </w:pPr>
            <w:r w:rsidRPr="00C05886">
              <w:rPr>
                <w:rFonts w:ascii="Calibri" w:eastAsia="Times New Roman" w:hAnsi="Calibri" w:cs="Calibri"/>
                <w:color w:val="000000"/>
                <w:sz w:val="22"/>
                <w:lang w:eastAsia="en-GB"/>
              </w:rPr>
              <w:t>3.7%</w:t>
            </w:r>
          </w:p>
        </w:tc>
        <w:tc>
          <w:tcPr>
            <w:tcW w:w="0" w:type="auto"/>
            <w:noWrap/>
            <w:hideMark/>
          </w:tcPr>
          <w:p w14:paraId="01093EE9" w14:textId="77777777" w:rsidR="005F5299" w:rsidRPr="00C05886" w:rsidRDefault="005F5299" w:rsidP="005F5299">
            <w:pPr>
              <w:spacing w:line="240" w:lineRule="auto"/>
              <w:rPr>
                <w:rFonts w:ascii="Calibri" w:eastAsia="Times New Roman" w:hAnsi="Calibri" w:cs="Calibri"/>
                <w:color w:val="000000"/>
                <w:sz w:val="22"/>
                <w:lang w:eastAsia="en-GB"/>
              </w:rPr>
            </w:pPr>
            <w:r w:rsidRPr="00C05886">
              <w:rPr>
                <w:rFonts w:ascii="Calibri" w:eastAsia="Times New Roman" w:hAnsi="Calibri" w:cs="Calibri"/>
                <w:color w:val="000000"/>
                <w:sz w:val="22"/>
                <w:lang w:eastAsia="en-GB"/>
              </w:rPr>
              <w:t>4.3%</w:t>
            </w:r>
          </w:p>
        </w:tc>
      </w:tr>
      <w:tr w:rsidR="005F5299" w:rsidRPr="00C05886" w14:paraId="68B82A49" w14:textId="77777777" w:rsidTr="00597138">
        <w:trPr>
          <w:trHeight w:val="170"/>
        </w:trPr>
        <w:tc>
          <w:tcPr>
            <w:tcW w:w="0" w:type="auto"/>
            <w:noWrap/>
            <w:hideMark/>
          </w:tcPr>
          <w:p w14:paraId="733DFAE5" w14:textId="77777777" w:rsidR="005F5299" w:rsidRPr="00C05886" w:rsidRDefault="005F5299" w:rsidP="005F5299">
            <w:pPr>
              <w:spacing w:line="240" w:lineRule="auto"/>
              <w:rPr>
                <w:rFonts w:ascii="Calibri" w:eastAsia="Times New Roman" w:hAnsi="Calibri" w:cs="Calibri"/>
                <w:color w:val="000000"/>
                <w:sz w:val="22"/>
                <w:lang w:eastAsia="en-GB"/>
              </w:rPr>
            </w:pPr>
            <w:r w:rsidRPr="00C05886">
              <w:rPr>
                <w:rFonts w:ascii="Calibri" w:eastAsia="Times New Roman" w:hAnsi="Calibri" w:cs="Calibri"/>
                <w:color w:val="000000"/>
                <w:sz w:val="22"/>
                <w:lang w:eastAsia="en-GB"/>
              </w:rPr>
              <w:t>25 - 34</w:t>
            </w:r>
          </w:p>
        </w:tc>
        <w:tc>
          <w:tcPr>
            <w:tcW w:w="0" w:type="auto"/>
            <w:noWrap/>
            <w:hideMark/>
          </w:tcPr>
          <w:p w14:paraId="2BCF221F" w14:textId="77777777" w:rsidR="005F5299" w:rsidRPr="00C05886" w:rsidRDefault="005F5299" w:rsidP="005F5299">
            <w:pPr>
              <w:spacing w:line="240" w:lineRule="auto"/>
              <w:rPr>
                <w:rFonts w:ascii="Calibri" w:eastAsia="Times New Roman" w:hAnsi="Calibri" w:cs="Calibri"/>
                <w:color w:val="000000"/>
                <w:sz w:val="22"/>
                <w:lang w:eastAsia="en-GB"/>
              </w:rPr>
            </w:pPr>
            <w:r w:rsidRPr="00C05886">
              <w:rPr>
                <w:rFonts w:ascii="Calibri" w:eastAsia="Times New Roman" w:hAnsi="Calibri" w:cs="Calibri"/>
                <w:color w:val="000000"/>
                <w:sz w:val="22"/>
                <w:lang w:eastAsia="en-GB"/>
              </w:rPr>
              <w:t>30.7%</w:t>
            </w:r>
          </w:p>
        </w:tc>
        <w:tc>
          <w:tcPr>
            <w:tcW w:w="0" w:type="auto"/>
            <w:noWrap/>
            <w:hideMark/>
          </w:tcPr>
          <w:p w14:paraId="445CCDB6" w14:textId="77777777" w:rsidR="005F5299" w:rsidRPr="00C05886" w:rsidRDefault="005F5299" w:rsidP="005F5299">
            <w:pPr>
              <w:spacing w:line="240" w:lineRule="auto"/>
              <w:rPr>
                <w:rFonts w:ascii="Calibri" w:eastAsia="Times New Roman" w:hAnsi="Calibri" w:cs="Calibri"/>
                <w:color w:val="000000"/>
                <w:sz w:val="22"/>
                <w:lang w:eastAsia="en-GB"/>
              </w:rPr>
            </w:pPr>
            <w:r w:rsidRPr="00C05886">
              <w:rPr>
                <w:rFonts w:ascii="Calibri" w:eastAsia="Times New Roman" w:hAnsi="Calibri" w:cs="Calibri"/>
                <w:color w:val="000000"/>
                <w:sz w:val="22"/>
                <w:lang w:eastAsia="en-GB"/>
              </w:rPr>
              <w:t>34.2%</w:t>
            </w:r>
          </w:p>
        </w:tc>
        <w:tc>
          <w:tcPr>
            <w:tcW w:w="0" w:type="auto"/>
            <w:noWrap/>
            <w:hideMark/>
          </w:tcPr>
          <w:p w14:paraId="374C9FC7" w14:textId="77777777" w:rsidR="005F5299" w:rsidRPr="00C05886" w:rsidRDefault="005F5299" w:rsidP="005F5299">
            <w:pPr>
              <w:spacing w:line="240" w:lineRule="auto"/>
              <w:rPr>
                <w:rFonts w:ascii="Calibri" w:eastAsia="Times New Roman" w:hAnsi="Calibri" w:cs="Calibri"/>
                <w:color w:val="000000"/>
                <w:sz w:val="22"/>
                <w:lang w:eastAsia="en-GB"/>
              </w:rPr>
            </w:pPr>
            <w:r w:rsidRPr="00C05886">
              <w:rPr>
                <w:rFonts w:ascii="Calibri" w:eastAsia="Times New Roman" w:hAnsi="Calibri" w:cs="Calibri"/>
                <w:color w:val="000000"/>
                <w:sz w:val="22"/>
                <w:lang w:eastAsia="en-GB"/>
              </w:rPr>
              <w:t>18.7%</w:t>
            </w:r>
          </w:p>
        </w:tc>
        <w:tc>
          <w:tcPr>
            <w:tcW w:w="0" w:type="auto"/>
            <w:noWrap/>
            <w:hideMark/>
          </w:tcPr>
          <w:p w14:paraId="119A54E9" w14:textId="77777777" w:rsidR="005F5299" w:rsidRPr="00C05886" w:rsidRDefault="005F5299" w:rsidP="005F5299">
            <w:pPr>
              <w:spacing w:line="240" w:lineRule="auto"/>
              <w:rPr>
                <w:rFonts w:ascii="Calibri" w:eastAsia="Times New Roman" w:hAnsi="Calibri" w:cs="Calibri"/>
                <w:color w:val="000000"/>
                <w:sz w:val="22"/>
                <w:lang w:eastAsia="en-GB"/>
              </w:rPr>
            </w:pPr>
            <w:r w:rsidRPr="00C05886">
              <w:rPr>
                <w:rFonts w:ascii="Calibri" w:eastAsia="Times New Roman" w:hAnsi="Calibri" w:cs="Calibri"/>
                <w:color w:val="000000"/>
                <w:sz w:val="22"/>
                <w:lang w:eastAsia="en-GB"/>
              </w:rPr>
              <w:t>18.7%</w:t>
            </w:r>
          </w:p>
        </w:tc>
      </w:tr>
      <w:tr w:rsidR="005F5299" w:rsidRPr="00C05886" w14:paraId="5E10FE83" w14:textId="77777777" w:rsidTr="00597138">
        <w:trPr>
          <w:trHeight w:val="170"/>
        </w:trPr>
        <w:tc>
          <w:tcPr>
            <w:tcW w:w="0" w:type="auto"/>
            <w:noWrap/>
            <w:hideMark/>
          </w:tcPr>
          <w:p w14:paraId="7C3B22D5" w14:textId="77777777" w:rsidR="005F5299" w:rsidRPr="00C05886" w:rsidRDefault="005F5299" w:rsidP="005F5299">
            <w:pPr>
              <w:spacing w:line="240" w:lineRule="auto"/>
              <w:rPr>
                <w:rFonts w:ascii="Calibri" w:eastAsia="Times New Roman" w:hAnsi="Calibri" w:cs="Calibri"/>
                <w:color w:val="000000"/>
                <w:sz w:val="22"/>
                <w:lang w:eastAsia="en-GB"/>
              </w:rPr>
            </w:pPr>
            <w:r w:rsidRPr="00C05886">
              <w:rPr>
                <w:rFonts w:ascii="Calibri" w:eastAsia="Times New Roman" w:hAnsi="Calibri" w:cs="Calibri"/>
                <w:color w:val="000000"/>
                <w:sz w:val="22"/>
                <w:lang w:eastAsia="en-GB"/>
              </w:rPr>
              <w:t>35 - 44</w:t>
            </w:r>
          </w:p>
        </w:tc>
        <w:tc>
          <w:tcPr>
            <w:tcW w:w="0" w:type="auto"/>
            <w:noWrap/>
            <w:hideMark/>
          </w:tcPr>
          <w:p w14:paraId="03B4504D" w14:textId="77777777" w:rsidR="005F5299" w:rsidRPr="00C05886" w:rsidRDefault="005F5299" w:rsidP="005F5299">
            <w:pPr>
              <w:spacing w:line="240" w:lineRule="auto"/>
              <w:rPr>
                <w:rFonts w:ascii="Calibri" w:eastAsia="Times New Roman" w:hAnsi="Calibri" w:cs="Calibri"/>
                <w:color w:val="000000"/>
                <w:sz w:val="22"/>
                <w:lang w:eastAsia="en-GB"/>
              </w:rPr>
            </w:pPr>
            <w:r w:rsidRPr="00C05886">
              <w:rPr>
                <w:rFonts w:ascii="Calibri" w:eastAsia="Times New Roman" w:hAnsi="Calibri" w:cs="Calibri"/>
                <w:color w:val="000000"/>
                <w:sz w:val="22"/>
                <w:lang w:eastAsia="en-GB"/>
              </w:rPr>
              <w:t>11.2%</w:t>
            </w:r>
          </w:p>
        </w:tc>
        <w:tc>
          <w:tcPr>
            <w:tcW w:w="0" w:type="auto"/>
            <w:noWrap/>
            <w:hideMark/>
          </w:tcPr>
          <w:p w14:paraId="37794475" w14:textId="77777777" w:rsidR="005F5299" w:rsidRPr="00C05886" w:rsidRDefault="005F5299" w:rsidP="005F5299">
            <w:pPr>
              <w:spacing w:line="240" w:lineRule="auto"/>
              <w:rPr>
                <w:rFonts w:ascii="Calibri" w:eastAsia="Times New Roman" w:hAnsi="Calibri" w:cs="Calibri"/>
                <w:color w:val="000000"/>
                <w:sz w:val="22"/>
                <w:lang w:eastAsia="en-GB"/>
              </w:rPr>
            </w:pPr>
            <w:r w:rsidRPr="00C05886">
              <w:rPr>
                <w:rFonts w:ascii="Calibri" w:eastAsia="Times New Roman" w:hAnsi="Calibri" w:cs="Calibri"/>
                <w:color w:val="000000"/>
                <w:sz w:val="22"/>
                <w:lang w:eastAsia="en-GB"/>
              </w:rPr>
              <w:t>14.9%</w:t>
            </w:r>
          </w:p>
        </w:tc>
        <w:tc>
          <w:tcPr>
            <w:tcW w:w="0" w:type="auto"/>
            <w:noWrap/>
            <w:hideMark/>
          </w:tcPr>
          <w:p w14:paraId="424415F8" w14:textId="77777777" w:rsidR="005F5299" w:rsidRPr="00C05886" w:rsidRDefault="005F5299" w:rsidP="005F5299">
            <w:pPr>
              <w:spacing w:line="240" w:lineRule="auto"/>
              <w:rPr>
                <w:rFonts w:ascii="Calibri" w:eastAsia="Times New Roman" w:hAnsi="Calibri" w:cs="Calibri"/>
                <w:color w:val="000000"/>
                <w:sz w:val="22"/>
                <w:lang w:eastAsia="en-GB"/>
              </w:rPr>
            </w:pPr>
            <w:r w:rsidRPr="00C05886">
              <w:rPr>
                <w:rFonts w:ascii="Calibri" w:eastAsia="Times New Roman" w:hAnsi="Calibri" w:cs="Calibri"/>
                <w:color w:val="000000"/>
                <w:sz w:val="22"/>
                <w:lang w:eastAsia="en-GB"/>
              </w:rPr>
              <w:t>28.2%</w:t>
            </w:r>
          </w:p>
        </w:tc>
        <w:tc>
          <w:tcPr>
            <w:tcW w:w="0" w:type="auto"/>
            <w:noWrap/>
            <w:hideMark/>
          </w:tcPr>
          <w:p w14:paraId="490BA049" w14:textId="77777777" w:rsidR="005F5299" w:rsidRPr="00C05886" w:rsidRDefault="005F5299" w:rsidP="005F5299">
            <w:pPr>
              <w:spacing w:line="240" w:lineRule="auto"/>
              <w:rPr>
                <w:rFonts w:ascii="Calibri" w:eastAsia="Times New Roman" w:hAnsi="Calibri" w:cs="Calibri"/>
                <w:color w:val="000000"/>
                <w:sz w:val="22"/>
                <w:lang w:eastAsia="en-GB"/>
              </w:rPr>
            </w:pPr>
            <w:r w:rsidRPr="00C05886">
              <w:rPr>
                <w:rFonts w:ascii="Calibri" w:eastAsia="Times New Roman" w:hAnsi="Calibri" w:cs="Calibri"/>
                <w:color w:val="000000"/>
                <w:sz w:val="22"/>
                <w:lang w:eastAsia="en-GB"/>
              </w:rPr>
              <w:t>27.1%</w:t>
            </w:r>
          </w:p>
        </w:tc>
      </w:tr>
      <w:tr w:rsidR="005F5299" w:rsidRPr="00C05886" w14:paraId="007E94C8" w14:textId="77777777" w:rsidTr="00597138">
        <w:trPr>
          <w:trHeight w:val="170"/>
        </w:trPr>
        <w:tc>
          <w:tcPr>
            <w:tcW w:w="0" w:type="auto"/>
            <w:noWrap/>
            <w:hideMark/>
          </w:tcPr>
          <w:p w14:paraId="4D00DA4E" w14:textId="77777777" w:rsidR="005F5299" w:rsidRPr="00C05886" w:rsidRDefault="005F5299" w:rsidP="005F5299">
            <w:pPr>
              <w:spacing w:line="240" w:lineRule="auto"/>
              <w:rPr>
                <w:rFonts w:ascii="Calibri" w:eastAsia="Times New Roman" w:hAnsi="Calibri" w:cs="Calibri"/>
                <w:color w:val="000000"/>
                <w:sz w:val="22"/>
                <w:lang w:eastAsia="en-GB"/>
              </w:rPr>
            </w:pPr>
            <w:r w:rsidRPr="00C05886">
              <w:rPr>
                <w:rFonts w:ascii="Calibri" w:eastAsia="Times New Roman" w:hAnsi="Calibri" w:cs="Calibri"/>
                <w:color w:val="000000"/>
                <w:sz w:val="22"/>
                <w:lang w:eastAsia="en-GB"/>
              </w:rPr>
              <w:t>45 - 54</w:t>
            </w:r>
          </w:p>
        </w:tc>
        <w:tc>
          <w:tcPr>
            <w:tcW w:w="0" w:type="auto"/>
            <w:noWrap/>
            <w:hideMark/>
          </w:tcPr>
          <w:p w14:paraId="34C3BFB3" w14:textId="77777777" w:rsidR="005F5299" w:rsidRPr="00C05886" w:rsidRDefault="005F5299" w:rsidP="005F5299">
            <w:pPr>
              <w:spacing w:line="240" w:lineRule="auto"/>
              <w:rPr>
                <w:rFonts w:ascii="Calibri" w:eastAsia="Times New Roman" w:hAnsi="Calibri" w:cs="Calibri"/>
                <w:color w:val="000000"/>
                <w:sz w:val="22"/>
                <w:lang w:eastAsia="en-GB"/>
              </w:rPr>
            </w:pPr>
            <w:r w:rsidRPr="00C05886">
              <w:rPr>
                <w:rFonts w:ascii="Calibri" w:eastAsia="Times New Roman" w:hAnsi="Calibri" w:cs="Calibri"/>
                <w:color w:val="000000"/>
                <w:sz w:val="22"/>
                <w:lang w:eastAsia="en-GB"/>
              </w:rPr>
              <w:t>7.6%</w:t>
            </w:r>
          </w:p>
        </w:tc>
        <w:tc>
          <w:tcPr>
            <w:tcW w:w="0" w:type="auto"/>
            <w:noWrap/>
            <w:hideMark/>
          </w:tcPr>
          <w:p w14:paraId="549DF5F1" w14:textId="77777777" w:rsidR="005F5299" w:rsidRPr="00C05886" w:rsidRDefault="005F5299" w:rsidP="005F5299">
            <w:pPr>
              <w:spacing w:line="240" w:lineRule="auto"/>
              <w:rPr>
                <w:rFonts w:ascii="Calibri" w:eastAsia="Times New Roman" w:hAnsi="Calibri" w:cs="Calibri"/>
                <w:color w:val="000000"/>
                <w:sz w:val="22"/>
                <w:lang w:eastAsia="en-GB"/>
              </w:rPr>
            </w:pPr>
            <w:r w:rsidRPr="00C05886">
              <w:rPr>
                <w:rFonts w:ascii="Calibri" w:eastAsia="Times New Roman" w:hAnsi="Calibri" w:cs="Calibri"/>
                <w:color w:val="000000"/>
                <w:sz w:val="22"/>
                <w:lang w:eastAsia="en-GB"/>
              </w:rPr>
              <w:t>7.8%</w:t>
            </w:r>
          </w:p>
        </w:tc>
        <w:tc>
          <w:tcPr>
            <w:tcW w:w="0" w:type="auto"/>
            <w:noWrap/>
            <w:hideMark/>
          </w:tcPr>
          <w:p w14:paraId="4AF0F611" w14:textId="77777777" w:rsidR="005F5299" w:rsidRPr="00C05886" w:rsidRDefault="005F5299" w:rsidP="005F5299">
            <w:pPr>
              <w:spacing w:line="240" w:lineRule="auto"/>
              <w:rPr>
                <w:rFonts w:ascii="Calibri" w:eastAsia="Times New Roman" w:hAnsi="Calibri" w:cs="Calibri"/>
                <w:color w:val="000000"/>
                <w:sz w:val="22"/>
                <w:lang w:eastAsia="en-GB"/>
              </w:rPr>
            </w:pPr>
            <w:r w:rsidRPr="00C05886">
              <w:rPr>
                <w:rFonts w:ascii="Calibri" w:eastAsia="Times New Roman" w:hAnsi="Calibri" w:cs="Calibri"/>
                <w:color w:val="000000"/>
                <w:sz w:val="22"/>
                <w:lang w:eastAsia="en-GB"/>
              </w:rPr>
              <w:t>34.8%</w:t>
            </w:r>
          </w:p>
        </w:tc>
        <w:tc>
          <w:tcPr>
            <w:tcW w:w="0" w:type="auto"/>
            <w:noWrap/>
            <w:hideMark/>
          </w:tcPr>
          <w:p w14:paraId="191CCA03" w14:textId="77777777" w:rsidR="005F5299" w:rsidRPr="00C05886" w:rsidRDefault="005F5299" w:rsidP="005F5299">
            <w:pPr>
              <w:spacing w:line="240" w:lineRule="auto"/>
              <w:rPr>
                <w:rFonts w:ascii="Calibri" w:eastAsia="Times New Roman" w:hAnsi="Calibri" w:cs="Calibri"/>
                <w:color w:val="000000"/>
                <w:sz w:val="22"/>
                <w:lang w:eastAsia="en-GB"/>
              </w:rPr>
            </w:pPr>
            <w:r w:rsidRPr="00C05886">
              <w:rPr>
                <w:rFonts w:ascii="Calibri" w:eastAsia="Times New Roman" w:hAnsi="Calibri" w:cs="Calibri"/>
                <w:color w:val="000000"/>
                <w:sz w:val="22"/>
                <w:lang w:eastAsia="en-GB"/>
              </w:rPr>
              <w:t>32.4%</w:t>
            </w:r>
          </w:p>
        </w:tc>
      </w:tr>
      <w:tr w:rsidR="005F5299" w:rsidRPr="00C05886" w14:paraId="1EF19EB6" w14:textId="77777777" w:rsidTr="00597138">
        <w:trPr>
          <w:trHeight w:val="170"/>
        </w:trPr>
        <w:tc>
          <w:tcPr>
            <w:tcW w:w="0" w:type="auto"/>
            <w:noWrap/>
            <w:hideMark/>
          </w:tcPr>
          <w:p w14:paraId="131E7F45" w14:textId="77777777" w:rsidR="005F5299" w:rsidRPr="00C05886" w:rsidRDefault="005F5299" w:rsidP="005F5299">
            <w:pPr>
              <w:spacing w:line="240" w:lineRule="auto"/>
              <w:rPr>
                <w:rFonts w:ascii="Calibri" w:eastAsia="Times New Roman" w:hAnsi="Calibri" w:cs="Calibri"/>
                <w:color w:val="000000"/>
                <w:sz w:val="22"/>
                <w:lang w:eastAsia="en-GB"/>
              </w:rPr>
            </w:pPr>
            <w:r w:rsidRPr="00C05886">
              <w:rPr>
                <w:rFonts w:ascii="Calibri" w:eastAsia="Times New Roman" w:hAnsi="Calibri" w:cs="Calibri"/>
                <w:color w:val="000000"/>
                <w:sz w:val="22"/>
                <w:lang w:eastAsia="en-GB"/>
              </w:rPr>
              <w:t>55 - 64</w:t>
            </w:r>
          </w:p>
        </w:tc>
        <w:tc>
          <w:tcPr>
            <w:tcW w:w="0" w:type="auto"/>
            <w:noWrap/>
            <w:hideMark/>
          </w:tcPr>
          <w:p w14:paraId="14053FE7" w14:textId="77777777" w:rsidR="005F5299" w:rsidRPr="00C05886" w:rsidRDefault="005F5299" w:rsidP="005F5299">
            <w:pPr>
              <w:spacing w:line="240" w:lineRule="auto"/>
              <w:rPr>
                <w:rFonts w:ascii="Calibri" w:eastAsia="Times New Roman" w:hAnsi="Calibri" w:cs="Calibri"/>
                <w:color w:val="000000"/>
                <w:sz w:val="22"/>
                <w:lang w:eastAsia="en-GB"/>
              </w:rPr>
            </w:pPr>
            <w:r w:rsidRPr="00C05886">
              <w:rPr>
                <w:rFonts w:ascii="Calibri" w:eastAsia="Times New Roman" w:hAnsi="Calibri" w:cs="Calibri"/>
                <w:color w:val="000000"/>
                <w:sz w:val="22"/>
                <w:lang w:eastAsia="en-GB"/>
              </w:rPr>
              <w:t>5.4%</w:t>
            </w:r>
          </w:p>
        </w:tc>
        <w:tc>
          <w:tcPr>
            <w:tcW w:w="0" w:type="auto"/>
            <w:noWrap/>
            <w:hideMark/>
          </w:tcPr>
          <w:p w14:paraId="28714AFD" w14:textId="77777777" w:rsidR="005F5299" w:rsidRPr="00C05886" w:rsidRDefault="005F5299" w:rsidP="005F5299">
            <w:pPr>
              <w:spacing w:line="240" w:lineRule="auto"/>
              <w:rPr>
                <w:rFonts w:ascii="Calibri" w:eastAsia="Times New Roman" w:hAnsi="Calibri" w:cs="Calibri"/>
                <w:color w:val="000000"/>
                <w:sz w:val="22"/>
                <w:lang w:eastAsia="en-GB"/>
              </w:rPr>
            </w:pPr>
            <w:r w:rsidRPr="00C05886">
              <w:rPr>
                <w:rFonts w:ascii="Calibri" w:eastAsia="Times New Roman" w:hAnsi="Calibri" w:cs="Calibri"/>
                <w:color w:val="000000"/>
                <w:sz w:val="22"/>
                <w:lang w:eastAsia="en-GB"/>
              </w:rPr>
              <w:t>6.1%</w:t>
            </w:r>
          </w:p>
        </w:tc>
        <w:tc>
          <w:tcPr>
            <w:tcW w:w="0" w:type="auto"/>
            <w:noWrap/>
            <w:hideMark/>
          </w:tcPr>
          <w:p w14:paraId="1D568160" w14:textId="77777777" w:rsidR="005F5299" w:rsidRPr="00C05886" w:rsidRDefault="005F5299" w:rsidP="005F5299">
            <w:pPr>
              <w:spacing w:line="240" w:lineRule="auto"/>
              <w:rPr>
                <w:rFonts w:ascii="Calibri" w:eastAsia="Times New Roman" w:hAnsi="Calibri" w:cs="Calibri"/>
                <w:color w:val="000000"/>
                <w:sz w:val="22"/>
                <w:lang w:eastAsia="en-GB"/>
              </w:rPr>
            </w:pPr>
            <w:r w:rsidRPr="00C05886">
              <w:rPr>
                <w:rFonts w:ascii="Calibri" w:eastAsia="Times New Roman" w:hAnsi="Calibri" w:cs="Calibri"/>
                <w:color w:val="000000"/>
                <w:sz w:val="22"/>
                <w:lang w:eastAsia="en-GB"/>
              </w:rPr>
              <w:t>12.7%</w:t>
            </w:r>
          </w:p>
        </w:tc>
        <w:tc>
          <w:tcPr>
            <w:tcW w:w="0" w:type="auto"/>
            <w:noWrap/>
            <w:hideMark/>
          </w:tcPr>
          <w:p w14:paraId="1AADF736" w14:textId="77777777" w:rsidR="005F5299" w:rsidRPr="00C05886" w:rsidRDefault="005F5299" w:rsidP="005F5299">
            <w:pPr>
              <w:spacing w:line="240" w:lineRule="auto"/>
              <w:rPr>
                <w:rFonts w:ascii="Calibri" w:eastAsia="Times New Roman" w:hAnsi="Calibri" w:cs="Calibri"/>
                <w:color w:val="000000"/>
                <w:sz w:val="22"/>
                <w:lang w:eastAsia="en-GB"/>
              </w:rPr>
            </w:pPr>
            <w:r w:rsidRPr="00C05886">
              <w:rPr>
                <w:rFonts w:ascii="Calibri" w:eastAsia="Times New Roman" w:hAnsi="Calibri" w:cs="Calibri"/>
                <w:color w:val="000000"/>
                <w:sz w:val="22"/>
                <w:lang w:eastAsia="en-GB"/>
              </w:rPr>
              <w:t>14.4%</w:t>
            </w:r>
          </w:p>
        </w:tc>
      </w:tr>
      <w:tr w:rsidR="005F5299" w:rsidRPr="00C05886" w14:paraId="43DBDF02" w14:textId="77777777" w:rsidTr="00597138">
        <w:trPr>
          <w:trHeight w:val="170"/>
        </w:trPr>
        <w:tc>
          <w:tcPr>
            <w:tcW w:w="0" w:type="auto"/>
            <w:noWrap/>
            <w:hideMark/>
          </w:tcPr>
          <w:p w14:paraId="36625DE8" w14:textId="77777777" w:rsidR="005F5299" w:rsidRPr="00C05886" w:rsidRDefault="005F5299" w:rsidP="005F5299">
            <w:pPr>
              <w:spacing w:line="240" w:lineRule="auto"/>
              <w:rPr>
                <w:rFonts w:ascii="Calibri" w:eastAsia="Times New Roman" w:hAnsi="Calibri" w:cs="Calibri"/>
                <w:color w:val="000000"/>
                <w:sz w:val="22"/>
                <w:lang w:eastAsia="en-GB"/>
              </w:rPr>
            </w:pPr>
            <w:r w:rsidRPr="00C05886">
              <w:rPr>
                <w:rFonts w:ascii="Calibri" w:eastAsia="Times New Roman" w:hAnsi="Calibri" w:cs="Calibri"/>
                <w:color w:val="000000"/>
                <w:sz w:val="22"/>
                <w:lang w:eastAsia="en-GB"/>
              </w:rPr>
              <w:t>65+</w:t>
            </w:r>
          </w:p>
        </w:tc>
        <w:tc>
          <w:tcPr>
            <w:tcW w:w="0" w:type="auto"/>
            <w:noWrap/>
            <w:hideMark/>
          </w:tcPr>
          <w:p w14:paraId="76B96ECC" w14:textId="77777777" w:rsidR="005F5299" w:rsidRPr="00C05886" w:rsidRDefault="005F5299" w:rsidP="005F5299">
            <w:pPr>
              <w:spacing w:line="240" w:lineRule="auto"/>
              <w:rPr>
                <w:rFonts w:ascii="Calibri" w:eastAsia="Times New Roman" w:hAnsi="Calibri" w:cs="Calibri"/>
                <w:color w:val="000000"/>
                <w:sz w:val="22"/>
                <w:lang w:eastAsia="en-GB"/>
              </w:rPr>
            </w:pPr>
            <w:r w:rsidRPr="00C05886">
              <w:rPr>
                <w:rFonts w:ascii="Calibri" w:eastAsia="Times New Roman" w:hAnsi="Calibri" w:cs="Calibri"/>
                <w:color w:val="000000"/>
                <w:sz w:val="22"/>
                <w:lang w:eastAsia="en-GB"/>
              </w:rPr>
              <w:t>6.70%</w:t>
            </w:r>
          </w:p>
        </w:tc>
        <w:tc>
          <w:tcPr>
            <w:tcW w:w="0" w:type="auto"/>
            <w:noWrap/>
            <w:hideMark/>
          </w:tcPr>
          <w:p w14:paraId="42DC84A4" w14:textId="77777777" w:rsidR="005F5299" w:rsidRPr="00C05886" w:rsidRDefault="005F5299" w:rsidP="005F5299">
            <w:pPr>
              <w:spacing w:line="240" w:lineRule="auto"/>
              <w:rPr>
                <w:rFonts w:ascii="Calibri" w:eastAsia="Times New Roman" w:hAnsi="Calibri" w:cs="Calibri"/>
                <w:color w:val="000000"/>
                <w:sz w:val="22"/>
                <w:lang w:eastAsia="en-GB"/>
              </w:rPr>
            </w:pPr>
            <w:r w:rsidRPr="00C05886">
              <w:rPr>
                <w:rFonts w:ascii="Calibri" w:eastAsia="Times New Roman" w:hAnsi="Calibri" w:cs="Calibri"/>
                <w:color w:val="000000"/>
                <w:sz w:val="22"/>
                <w:lang w:eastAsia="en-GB"/>
              </w:rPr>
              <w:t>6.90%</w:t>
            </w:r>
          </w:p>
        </w:tc>
        <w:tc>
          <w:tcPr>
            <w:tcW w:w="0" w:type="auto"/>
            <w:noWrap/>
            <w:hideMark/>
          </w:tcPr>
          <w:p w14:paraId="20D95D39" w14:textId="77777777" w:rsidR="005F5299" w:rsidRPr="00C05886" w:rsidRDefault="005F5299" w:rsidP="005F5299">
            <w:pPr>
              <w:spacing w:line="240" w:lineRule="auto"/>
              <w:rPr>
                <w:rFonts w:ascii="Calibri" w:eastAsia="Times New Roman" w:hAnsi="Calibri" w:cs="Calibri"/>
                <w:color w:val="000000"/>
                <w:sz w:val="22"/>
                <w:lang w:eastAsia="en-GB"/>
              </w:rPr>
            </w:pPr>
            <w:r w:rsidRPr="00C05886">
              <w:rPr>
                <w:rFonts w:ascii="Calibri" w:eastAsia="Times New Roman" w:hAnsi="Calibri" w:cs="Calibri"/>
                <w:color w:val="000000"/>
                <w:sz w:val="22"/>
                <w:lang w:eastAsia="en-GB"/>
              </w:rPr>
              <w:t>1.8%</w:t>
            </w:r>
          </w:p>
        </w:tc>
        <w:tc>
          <w:tcPr>
            <w:tcW w:w="0" w:type="auto"/>
            <w:noWrap/>
            <w:hideMark/>
          </w:tcPr>
          <w:p w14:paraId="4DDA1EC9" w14:textId="77777777" w:rsidR="005F5299" w:rsidRPr="00C05886" w:rsidRDefault="005F5299" w:rsidP="005F5299">
            <w:pPr>
              <w:spacing w:line="240" w:lineRule="auto"/>
              <w:rPr>
                <w:rFonts w:ascii="Calibri" w:eastAsia="Times New Roman" w:hAnsi="Calibri" w:cs="Calibri"/>
                <w:color w:val="000000"/>
                <w:sz w:val="22"/>
                <w:lang w:eastAsia="en-GB"/>
              </w:rPr>
            </w:pPr>
            <w:r w:rsidRPr="00C05886">
              <w:rPr>
                <w:rFonts w:ascii="Calibri" w:eastAsia="Times New Roman" w:hAnsi="Calibri" w:cs="Calibri"/>
                <w:color w:val="000000"/>
                <w:sz w:val="22"/>
                <w:lang w:eastAsia="en-GB"/>
              </w:rPr>
              <w:t>3.1%</w:t>
            </w:r>
          </w:p>
        </w:tc>
      </w:tr>
      <w:tr w:rsidR="005F5299" w:rsidRPr="00C05886" w14:paraId="5FAFC763" w14:textId="77777777" w:rsidTr="00597138">
        <w:trPr>
          <w:trHeight w:val="170"/>
        </w:trPr>
        <w:tc>
          <w:tcPr>
            <w:tcW w:w="0" w:type="auto"/>
            <w:gridSpan w:val="5"/>
            <w:noWrap/>
            <w:hideMark/>
          </w:tcPr>
          <w:p w14:paraId="65072F55" w14:textId="77777777" w:rsidR="005F5299" w:rsidRPr="00C05886" w:rsidRDefault="005F5299" w:rsidP="005F5299">
            <w:pPr>
              <w:spacing w:line="240" w:lineRule="auto"/>
              <w:rPr>
                <w:rFonts w:ascii="Times New Roman" w:eastAsia="Times New Roman" w:hAnsi="Times New Roman" w:cs="Times New Roman"/>
                <w:sz w:val="22"/>
                <w:lang w:eastAsia="en-GB"/>
              </w:rPr>
            </w:pPr>
            <w:r w:rsidRPr="00C05886">
              <w:rPr>
                <w:rFonts w:ascii="Calibri" w:eastAsia="Times New Roman" w:hAnsi="Calibri" w:cs="Calibri"/>
                <w:b/>
                <w:bCs/>
                <w:sz w:val="22"/>
                <w:lang w:eastAsia="en-GB"/>
              </w:rPr>
              <w:t>Ethnicity</w:t>
            </w:r>
          </w:p>
        </w:tc>
      </w:tr>
      <w:tr w:rsidR="005F5299" w:rsidRPr="00C05886" w14:paraId="60241279" w14:textId="77777777" w:rsidTr="00597138">
        <w:trPr>
          <w:trHeight w:val="170"/>
        </w:trPr>
        <w:tc>
          <w:tcPr>
            <w:tcW w:w="0" w:type="auto"/>
            <w:noWrap/>
            <w:hideMark/>
          </w:tcPr>
          <w:p w14:paraId="7581164D" w14:textId="77777777" w:rsidR="005F5299" w:rsidRPr="00C05886" w:rsidRDefault="005F5299" w:rsidP="005F5299">
            <w:pPr>
              <w:spacing w:line="240" w:lineRule="auto"/>
              <w:rPr>
                <w:rFonts w:ascii="Calibri" w:eastAsia="Times New Roman" w:hAnsi="Calibri" w:cs="Calibri"/>
                <w:color w:val="000000"/>
                <w:sz w:val="22"/>
                <w:lang w:eastAsia="en-GB"/>
              </w:rPr>
            </w:pPr>
            <w:r w:rsidRPr="00C05886">
              <w:rPr>
                <w:rFonts w:ascii="Calibri" w:eastAsia="Times New Roman" w:hAnsi="Calibri" w:cs="Calibri"/>
                <w:color w:val="000000"/>
                <w:sz w:val="22"/>
                <w:lang w:eastAsia="en-GB"/>
              </w:rPr>
              <w:lastRenderedPageBreak/>
              <w:t>White</w:t>
            </w:r>
          </w:p>
        </w:tc>
        <w:tc>
          <w:tcPr>
            <w:tcW w:w="0" w:type="auto"/>
            <w:noWrap/>
            <w:hideMark/>
          </w:tcPr>
          <w:p w14:paraId="7441730B" w14:textId="77777777" w:rsidR="005F5299" w:rsidRPr="00C05886" w:rsidRDefault="005F5299" w:rsidP="005F5299">
            <w:pPr>
              <w:spacing w:line="240" w:lineRule="auto"/>
              <w:rPr>
                <w:rFonts w:ascii="Calibri" w:eastAsia="Times New Roman" w:hAnsi="Calibri" w:cs="Calibri"/>
                <w:color w:val="000000"/>
                <w:sz w:val="22"/>
                <w:lang w:eastAsia="en-GB"/>
              </w:rPr>
            </w:pPr>
            <w:r w:rsidRPr="00C05886">
              <w:rPr>
                <w:rFonts w:ascii="Calibri" w:eastAsia="Times New Roman" w:hAnsi="Calibri" w:cs="Calibri"/>
                <w:color w:val="000000"/>
                <w:sz w:val="22"/>
                <w:lang w:eastAsia="en-GB"/>
              </w:rPr>
              <w:t>68.5%</w:t>
            </w:r>
          </w:p>
        </w:tc>
        <w:tc>
          <w:tcPr>
            <w:tcW w:w="0" w:type="auto"/>
            <w:noWrap/>
            <w:hideMark/>
          </w:tcPr>
          <w:p w14:paraId="0DE75C91" w14:textId="77777777" w:rsidR="005F5299" w:rsidRPr="00C05886" w:rsidRDefault="005F5299" w:rsidP="005F5299">
            <w:pPr>
              <w:spacing w:line="240" w:lineRule="auto"/>
              <w:rPr>
                <w:rFonts w:ascii="Calibri" w:eastAsia="Times New Roman" w:hAnsi="Calibri" w:cs="Calibri"/>
                <w:color w:val="000000"/>
                <w:sz w:val="22"/>
                <w:lang w:eastAsia="en-GB"/>
              </w:rPr>
            </w:pPr>
            <w:r w:rsidRPr="00C05886">
              <w:rPr>
                <w:rFonts w:ascii="Calibri" w:eastAsia="Times New Roman" w:hAnsi="Calibri" w:cs="Calibri"/>
                <w:color w:val="000000"/>
                <w:sz w:val="22"/>
                <w:lang w:eastAsia="en-GB"/>
              </w:rPr>
              <w:t>73.4%</w:t>
            </w:r>
          </w:p>
        </w:tc>
        <w:tc>
          <w:tcPr>
            <w:tcW w:w="0" w:type="auto"/>
            <w:noWrap/>
            <w:hideMark/>
          </w:tcPr>
          <w:p w14:paraId="7FD6EBFB" w14:textId="77777777" w:rsidR="005F5299" w:rsidRPr="00C05886" w:rsidRDefault="005F5299" w:rsidP="005F5299">
            <w:pPr>
              <w:spacing w:line="240" w:lineRule="auto"/>
              <w:rPr>
                <w:rFonts w:ascii="Calibri" w:eastAsia="Times New Roman" w:hAnsi="Calibri" w:cs="Calibri"/>
                <w:color w:val="000000"/>
                <w:sz w:val="22"/>
                <w:lang w:eastAsia="en-GB"/>
              </w:rPr>
            </w:pPr>
            <w:r w:rsidRPr="00C05886">
              <w:rPr>
                <w:rFonts w:ascii="Calibri" w:eastAsia="Times New Roman" w:hAnsi="Calibri" w:cs="Calibri"/>
                <w:color w:val="000000"/>
                <w:sz w:val="22"/>
                <w:lang w:eastAsia="en-GB"/>
              </w:rPr>
              <w:t>2.4%</w:t>
            </w:r>
          </w:p>
        </w:tc>
        <w:tc>
          <w:tcPr>
            <w:tcW w:w="0" w:type="auto"/>
            <w:noWrap/>
            <w:hideMark/>
          </w:tcPr>
          <w:p w14:paraId="7327FD0F" w14:textId="77777777" w:rsidR="005F5299" w:rsidRPr="00C05886" w:rsidRDefault="005F5299" w:rsidP="005F5299">
            <w:pPr>
              <w:spacing w:line="240" w:lineRule="auto"/>
              <w:rPr>
                <w:rFonts w:ascii="Calibri" w:eastAsia="Times New Roman" w:hAnsi="Calibri" w:cs="Calibri"/>
                <w:color w:val="000000"/>
                <w:sz w:val="22"/>
                <w:lang w:eastAsia="en-GB"/>
              </w:rPr>
            </w:pPr>
            <w:r w:rsidRPr="00C05886">
              <w:rPr>
                <w:rFonts w:ascii="Calibri" w:eastAsia="Times New Roman" w:hAnsi="Calibri" w:cs="Calibri"/>
                <w:color w:val="000000"/>
                <w:sz w:val="22"/>
                <w:lang w:eastAsia="en-GB"/>
              </w:rPr>
              <w:t>1%</w:t>
            </w:r>
          </w:p>
        </w:tc>
      </w:tr>
      <w:tr w:rsidR="005F5299" w:rsidRPr="00C05886" w14:paraId="1B8DC5BE" w14:textId="77777777" w:rsidTr="00597138">
        <w:trPr>
          <w:trHeight w:val="170"/>
        </w:trPr>
        <w:tc>
          <w:tcPr>
            <w:tcW w:w="0" w:type="auto"/>
            <w:noWrap/>
            <w:hideMark/>
          </w:tcPr>
          <w:p w14:paraId="62E586B2" w14:textId="77777777" w:rsidR="005F5299" w:rsidRPr="00C05886" w:rsidRDefault="005F5299" w:rsidP="005F5299">
            <w:pPr>
              <w:spacing w:line="240" w:lineRule="auto"/>
              <w:rPr>
                <w:rFonts w:ascii="Calibri" w:eastAsia="Times New Roman" w:hAnsi="Calibri" w:cs="Calibri"/>
                <w:color w:val="000000"/>
                <w:sz w:val="22"/>
                <w:lang w:eastAsia="en-GB"/>
              </w:rPr>
            </w:pPr>
            <w:r w:rsidRPr="00C05886">
              <w:rPr>
                <w:rFonts w:ascii="Calibri" w:eastAsia="Times New Roman" w:hAnsi="Calibri" w:cs="Calibri"/>
                <w:color w:val="000000"/>
                <w:sz w:val="22"/>
                <w:lang w:eastAsia="en-GB"/>
              </w:rPr>
              <w:t>Mixed/Multiple ethnic groups</w:t>
            </w:r>
          </w:p>
        </w:tc>
        <w:tc>
          <w:tcPr>
            <w:tcW w:w="0" w:type="auto"/>
            <w:noWrap/>
            <w:hideMark/>
          </w:tcPr>
          <w:p w14:paraId="1A6D333B" w14:textId="77777777" w:rsidR="005F5299" w:rsidRPr="00C05886" w:rsidRDefault="005F5299" w:rsidP="005F5299">
            <w:pPr>
              <w:spacing w:line="240" w:lineRule="auto"/>
              <w:rPr>
                <w:rFonts w:ascii="Calibri" w:eastAsia="Times New Roman" w:hAnsi="Calibri" w:cs="Calibri"/>
                <w:color w:val="000000"/>
                <w:sz w:val="22"/>
                <w:lang w:eastAsia="en-GB"/>
              </w:rPr>
            </w:pPr>
            <w:r w:rsidRPr="00C05886">
              <w:rPr>
                <w:rFonts w:ascii="Calibri" w:eastAsia="Times New Roman" w:hAnsi="Calibri" w:cs="Calibri"/>
                <w:color w:val="000000"/>
                <w:sz w:val="22"/>
                <w:lang w:eastAsia="en-GB"/>
              </w:rPr>
              <w:t>4.3%</w:t>
            </w:r>
          </w:p>
        </w:tc>
        <w:tc>
          <w:tcPr>
            <w:tcW w:w="0" w:type="auto"/>
            <w:noWrap/>
            <w:hideMark/>
          </w:tcPr>
          <w:p w14:paraId="6A532CBB" w14:textId="77777777" w:rsidR="005F5299" w:rsidRPr="00C05886" w:rsidRDefault="005F5299" w:rsidP="005F5299">
            <w:pPr>
              <w:spacing w:line="240" w:lineRule="auto"/>
              <w:rPr>
                <w:rFonts w:ascii="Calibri" w:eastAsia="Times New Roman" w:hAnsi="Calibri" w:cs="Calibri"/>
                <w:color w:val="000000"/>
                <w:sz w:val="22"/>
                <w:lang w:eastAsia="en-GB"/>
              </w:rPr>
            </w:pPr>
            <w:r w:rsidRPr="00C05886">
              <w:rPr>
                <w:rFonts w:ascii="Calibri" w:eastAsia="Times New Roman" w:hAnsi="Calibri" w:cs="Calibri"/>
                <w:color w:val="000000"/>
                <w:sz w:val="22"/>
                <w:lang w:eastAsia="en-GB"/>
              </w:rPr>
              <w:t>4.6%</w:t>
            </w:r>
          </w:p>
        </w:tc>
        <w:tc>
          <w:tcPr>
            <w:tcW w:w="0" w:type="auto"/>
            <w:noWrap/>
            <w:hideMark/>
          </w:tcPr>
          <w:p w14:paraId="13E7FB05" w14:textId="77777777" w:rsidR="005F5299" w:rsidRPr="00C05886" w:rsidRDefault="005F5299" w:rsidP="005F5299">
            <w:pPr>
              <w:spacing w:line="240" w:lineRule="auto"/>
              <w:rPr>
                <w:rFonts w:ascii="Calibri" w:eastAsia="Times New Roman" w:hAnsi="Calibri" w:cs="Calibri"/>
                <w:color w:val="000000"/>
                <w:sz w:val="22"/>
                <w:lang w:eastAsia="en-GB"/>
              </w:rPr>
            </w:pPr>
            <w:r w:rsidRPr="00C05886">
              <w:rPr>
                <w:rFonts w:ascii="Calibri" w:eastAsia="Times New Roman" w:hAnsi="Calibri" w:cs="Calibri"/>
                <w:color w:val="000000"/>
                <w:sz w:val="22"/>
                <w:lang w:eastAsia="en-GB"/>
              </w:rPr>
              <w:t>0%</w:t>
            </w:r>
          </w:p>
        </w:tc>
        <w:tc>
          <w:tcPr>
            <w:tcW w:w="0" w:type="auto"/>
            <w:noWrap/>
            <w:hideMark/>
          </w:tcPr>
          <w:p w14:paraId="4595B6AC" w14:textId="77777777" w:rsidR="005F5299" w:rsidRPr="00C05886" w:rsidRDefault="005F5299" w:rsidP="005F5299">
            <w:pPr>
              <w:spacing w:line="240" w:lineRule="auto"/>
              <w:rPr>
                <w:rFonts w:ascii="Calibri" w:eastAsia="Times New Roman" w:hAnsi="Calibri" w:cs="Calibri"/>
                <w:color w:val="000000"/>
                <w:sz w:val="22"/>
                <w:lang w:eastAsia="en-GB"/>
              </w:rPr>
            </w:pPr>
            <w:r w:rsidRPr="00C05886">
              <w:rPr>
                <w:rFonts w:ascii="Calibri" w:eastAsia="Times New Roman" w:hAnsi="Calibri" w:cs="Calibri"/>
                <w:color w:val="000000"/>
                <w:sz w:val="22"/>
                <w:lang w:eastAsia="en-GB"/>
              </w:rPr>
              <w:t>0.5%</w:t>
            </w:r>
          </w:p>
        </w:tc>
      </w:tr>
      <w:tr w:rsidR="005F5299" w:rsidRPr="00C05886" w14:paraId="25735DB8" w14:textId="77777777" w:rsidTr="00597138">
        <w:trPr>
          <w:trHeight w:val="170"/>
        </w:trPr>
        <w:tc>
          <w:tcPr>
            <w:tcW w:w="0" w:type="auto"/>
            <w:noWrap/>
            <w:hideMark/>
          </w:tcPr>
          <w:p w14:paraId="28E7DB06" w14:textId="77777777" w:rsidR="005F5299" w:rsidRPr="00C05886" w:rsidRDefault="005F5299" w:rsidP="005F5299">
            <w:pPr>
              <w:spacing w:line="240" w:lineRule="auto"/>
              <w:rPr>
                <w:rFonts w:ascii="Calibri" w:eastAsia="Times New Roman" w:hAnsi="Calibri" w:cs="Calibri"/>
                <w:color w:val="000000"/>
                <w:sz w:val="22"/>
                <w:lang w:eastAsia="en-GB"/>
              </w:rPr>
            </w:pPr>
            <w:r w:rsidRPr="00C05886">
              <w:rPr>
                <w:rFonts w:ascii="Calibri" w:eastAsia="Times New Roman" w:hAnsi="Calibri" w:cs="Calibri"/>
                <w:color w:val="000000"/>
                <w:sz w:val="22"/>
                <w:lang w:eastAsia="en-GB"/>
              </w:rPr>
              <w:t>Asian</w:t>
            </w:r>
          </w:p>
        </w:tc>
        <w:tc>
          <w:tcPr>
            <w:tcW w:w="0" w:type="auto"/>
            <w:noWrap/>
            <w:hideMark/>
          </w:tcPr>
          <w:p w14:paraId="61CA3637" w14:textId="77777777" w:rsidR="005F5299" w:rsidRPr="00C05886" w:rsidRDefault="005F5299" w:rsidP="005F5299">
            <w:pPr>
              <w:spacing w:line="240" w:lineRule="auto"/>
              <w:rPr>
                <w:rFonts w:ascii="Calibri" w:eastAsia="Times New Roman" w:hAnsi="Calibri" w:cs="Calibri"/>
                <w:color w:val="000000"/>
                <w:sz w:val="22"/>
                <w:lang w:eastAsia="en-GB"/>
              </w:rPr>
            </w:pPr>
            <w:r w:rsidRPr="00C05886">
              <w:rPr>
                <w:rFonts w:ascii="Calibri" w:eastAsia="Times New Roman" w:hAnsi="Calibri" w:cs="Calibri"/>
                <w:color w:val="000000"/>
                <w:sz w:val="22"/>
                <w:lang w:eastAsia="en-GB"/>
              </w:rPr>
              <w:t>18.1%</w:t>
            </w:r>
          </w:p>
        </w:tc>
        <w:tc>
          <w:tcPr>
            <w:tcW w:w="0" w:type="auto"/>
            <w:noWrap/>
            <w:hideMark/>
          </w:tcPr>
          <w:p w14:paraId="258ECF4C" w14:textId="77777777" w:rsidR="005F5299" w:rsidRPr="00C05886" w:rsidRDefault="005F5299" w:rsidP="005F5299">
            <w:pPr>
              <w:spacing w:line="240" w:lineRule="auto"/>
              <w:rPr>
                <w:rFonts w:ascii="Calibri" w:eastAsia="Times New Roman" w:hAnsi="Calibri" w:cs="Calibri"/>
                <w:color w:val="000000"/>
                <w:sz w:val="22"/>
                <w:lang w:eastAsia="en-GB"/>
              </w:rPr>
            </w:pPr>
            <w:r w:rsidRPr="00C05886">
              <w:rPr>
                <w:rFonts w:ascii="Calibri" w:eastAsia="Times New Roman" w:hAnsi="Calibri" w:cs="Calibri"/>
                <w:color w:val="000000"/>
                <w:sz w:val="22"/>
                <w:lang w:eastAsia="en-GB"/>
              </w:rPr>
              <w:t>14.9%</w:t>
            </w:r>
          </w:p>
        </w:tc>
        <w:tc>
          <w:tcPr>
            <w:tcW w:w="0" w:type="auto"/>
            <w:noWrap/>
            <w:hideMark/>
          </w:tcPr>
          <w:p w14:paraId="72B35EFD" w14:textId="77777777" w:rsidR="005F5299" w:rsidRPr="00C05886" w:rsidRDefault="005F5299" w:rsidP="005F5299">
            <w:pPr>
              <w:spacing w:line="240" w:lineRule="auto"/>
              <w:rPr>
                <w:rFonts w:ascii="Calibri" w:eastAsia="Times New Roman" w:hAnsi="Calibri" w:cs="Calibri"/>
                <w:color w:val="000000"/>
                <w:sz w:val="22"/>
                <w:lang w:eastAsia="en-GB"/>
              </w:rPr>
            </w:pPr>
            <w:r w:rsidRPr="00C05886">
              <w:rPr>
                <w:rFonts w:ascii="Calibri" w:eastAsia="Times New Roman" w:hAnsi="Calibri" w:cs="Calibri"/>
                <w:color w:val="000000"/>
                <w:sz w:val="22"/>
                <w:lang w:eastAsia="en-GB"/>
              </w:rPr>
              <w:t>97.1%</w:t>
            </w:r>
          </w:p>
        </w:tc>
        <w:tc>
          <w:tcPr>
            <w:tcW w:w="0" w:type="auto"/>
            <w:noWrap/>
            <w:hideMark/>
          </w:tcPr>
          <w:p w14:paraId="664FFB95" w14:textId="77777777" w:rsidR="005F5299" w:rsidRPr="00C05886" w:rsidRDefault="005F5299" w:rsidP="005F5299">
            <w:pPr>
              <w:spacing w:line="240" w:lineRule="auto"/>
              <w:rPr>
                <w:rFonts w:ascii="Calibri" w:eastAsia="Times New Roman" w:hAnsi="Calibri" w:cs="Calibri"/>
                <w:color w:val="000000"/>
                <w:sz w:val="22"/>
                <w:lang w:eastAsia="en-GB"/>
              </w:rPr>
            </w:pPr>
            <w:r w:rsidRPr="00C05886">
              <w:rPr>
                <w:rFonts w:ascii="Calibri" w:eastAsia="Times New Roman" w:hAnsi="Calibri" w:cs="Calibri"/>
                <w:color w:val="000000"/>
                <w:sz w:val="22"/>
                <w:lang w:eastAsia="en-GB"/>
              </w:rPr>
              <w:t>97.2%</w:t>
            </w:r>
          </w:p>
        </w:tc>
      </w:tr>
      <w:tr w:rsidR="005F5299" w:rsidRPr="00C05886" w14:paraId="27D4F1CB" w14:textId="77777777" w:rsidTr="00597138">
        <w:trPr>
          <w:trHeight w:val="170"/>
        </w:trPr>
        <w:tc>
          <w:tcPr>
            <w:tcW w:w="0" w:type="auto"/>
            <w:noWrap/>
            <w:hideMark/>
          </w:tcPr>
          <w:p w14:paraId="55DF2679" w14:textId="77777777" w:rsidR="005F5299" w:rsidRPr="00C05886" w:rsidRDefault="005F5299" w:rsidP="005F5299">
            <w:pPr>
              <w:spacing w:line="240" w:lineRule="auto"/>
              <w:rPr>
                <w:rFonts w:ascii="Calibri" w:eastAsia="Times New Roman" w:hAnsi="Calibri" w:cs="Calibri"/>
                <w:color w:val="000000"/>
                <w:sz w:val="22"/>
                <w:lang w:eastAsia="en-GB"/>
              </w:rPr>
            </w:pPr>
            <w:r w:rsidRPr="00C05886">
              <w:rPr>
                <w:rFonts w:ascii="Calibri" w:eastAsia="Times New Roman" w:hAnsi="Calibri" w:cs="Calibri"/>
                <w:color w:val="000000"/>
                <w:sz w:val="22"/>
                <w:lang w:eastAsia="en-GB"/>
              </w:rPr>
              <w:t>Black/African/Caribbean</w:t>
            </w:r>
          </w:p>
        </w:tc>
        <w:tc>
          <w:tcPr>
            <w:tcW w:w="0" w:type="auto"/>
            <w:noWrap/>
            <w:hideMark/>
          </w:tcPr>
          <w:p w14:paraId="6CD3C67F" w14:textId="77777777" w:rsidR="005F5299" w:rsidRPr="00C05886" w:rsidRDefault="005F5299" w:rsidP="005F5299">
            <w:pPr>
              <w:spacing w:line="240" w:lineRule="auto"/>
              <w:rPr>
                <w:rFonts w:ascii="Calibri" w:eastAsia="Times New Roman" w:hAnsi="Calibri" w:cs="Calibri"/>
                <w:color w:val="000000"/>
                <w:sz w:val="22"/>
                <w:lang w:eastAsia="en-GB"/>
              </w:rPr>
            </w:pPr>
            <w:r w:rsidRPr="00C05886">
              <w:rPr>
                <w:rFonts w:ascii="Calibri" w:eastAsia="Times New Roman" w:hAnsi="Calibri" w:cs="Calibri"/>
                <w:color w:val="000000"/>
                <w:sz w:val="22"/>
                <w:lang w:eastAsia="en-GB"/>
              </w:rPr>
              <w:t>3.9%</w:t>
            </w:r>
          </w:p>
        </w:tc>
        <w:tc>
          <w:tcPr>
            <w:tcW w:w="0" w:type="auto"/>
            <w:noWrap/>
            <w:hideMark/>
          </w:tcPr>
          <w:p w14:paraId="1372EE7A" w14:textId="77777777" w:rsidR="005F5299" w:rsidRPr="00C05886" w:rsidRDefault="005F5299" w:rsidP="005F5299">
            <w:pPr>
              <w:spacing w:line="240" w:lineRule="auto"/>
              <w:rPr>
                <w:rFonts w:ascii="Calibri" w:eastAsia="Times New Roman" w:hAnsi="Calibri" w:cs="Calibri"/>
                <w:color w:val="000000"/>
                <w:sz w:val="22"/>
                <w:lang w:eastAsia="en-GB"/>
              </w:rPr>
            </w:pPr>
            <w:r w:rsidRPr="00C05886">
              <w:rPr>
                <w:rFonts w:ascii="Calibri" w:eastAsia="Times New Roman" w:hAnsi="Calibri" w:cs="Calibri"/>
                <w:color w:val="000000"/>
                <w:sz w:val="22"/>
                <w:lang w:eastAsia="en-GB"/>
              </w:rPr>
              <w:t>4.4%</w:t>
            </w:r>
          </w:p>
        </w:tc>
        <w:tc>
          <w:tcPr>
            <w:tcW w:w="0" w:type="auto"/>
            <w:noWrap/>
            <w:hideMark/>
          </w:tcPr>
          <w:p w14:paraId="3B336702" w14:textId="77777777" w:rsidR="005F5299" w:rsidRPr="00C05886" w:rsidRDefault="005F5299" w:rsidP="005F5299">
            <w:pPr>
              <w:spacing w:line="240" w:lineRule="auto"/>
              <w:rPr>
                <w:rFonts w:ascii="Calibri" w:eastAsia="Times New Roman" w:hAnsi="Calibri" w:cs="Calibri"/>
                <w:color w:val="000000"/>
                <w:sz w:val="22"/>
                <w:lang w:eastAsia="en-GB"/>
              </w:rPr>
            </w:pPr>
            <w:r w:rsidRPr="00C05886">
              <w:rPr>
                <w:rFonts w:ascii="Calibri" w:eastAsia="Times New Roman" w:hAnsi="Calibri" w:cs="Calibri"/>
                <w:color w:val="000000"/>
                <w:sz w:val="22"/>
                <w:lang w:eastAsia="en-GB"/>
              </w:rPr>
              <w:t>0.3%</w:t>
            </w:r>
          </w:p>
        </w:tc>
        <w:tc>
          <w:tcPr>
            <w:tcW w:w="0" w:type="auto"/>
            <w:noWrap/>
            <w:hideMark/>
          </w:tcPr>
          <w:p w14:paraId="3E038368" w14:textId="77777777" w:rsidR="005F5299" w:rsidRPr="00C05886" w:rsidRDefault="005F5299" w:rsidP="005F5299">
            <w:pPr>
              <w:spacing w:line="240" w:lineRule="auto"/>
              <w:rPr>
                <w:rFonts w:ascii="Calibri" w:eastAsia="Times New Roman" w:hAnsi="Calibri" w:cs="Calibri"/>
                <w:color w:val="000000"/>
                <w:sz w:val="22"/>
                <w:lang w:eastAsia="en-GB"/>
              </w:rPr>
            </w:pPr>
            <w:r w:rsidRPr="00C05886">
              <w:rPr>
                <w:rFonts w:ascii="Calibri" w:eastAsia="Times New Roman" w:hAnsi="Calibri" w:cs="Calibri"/>
                <w:color w:val="000000"/>
                <w:sz w:val="22"/>
                <w:lang w:eastAsia="en-GB"/>
              </w:rPr>
              <w:t>0%</w:t>
            </w:r>
          </w:p>
        </w:tc>
      </w:tr>
      <w:tr w:rsidR="005F5299" w:rsidRPr="00C05886" w14:paraId="211432D6" w14:textId="77777777" w:rsidTr="00597138">
        <w:trPr>
          <w:trHeight w:val="170"/>
        </w:trPr>
        <w:tc>
          <w:tcPr>
            <w:tcW w:w="0" w:type="auto"/>
            <w:noWrap/>
            <w:hideMark/>
          </w:tcPr>
          <w:p w14:paraId="2F4CB763" w14:textId="77777777" w:rsidR="005F5299" w:rsidRPr="00C05886" w:rsidRDefault="005F5299" w:rsidP="005F5299">
            <w:pPr>
              <w:spacing w:line="240" w:lineRule="auto"/>
              <w:rPr>
                <w:rFonts w:ascii="Calibri" w:eastAsia="Times New Roman" w:hAnsi="Calibri" w:cs="Calibri"/>
                <w:color w:val="000000"/>
                <w:sz w:val="22"/>
                <w:lang w:eastAsia="en-GB"/>
              </w:rPr>
            </w:pPr>
            <w:proofErr w:type="gramStart"/>
            <w:r w:rsidRPr="00C05886">
              <w:rPr>
                <w:rFonts w:ascii="Calibri" w:eastAsia="Times New Roman" w:hAnsi="Calibri" w:cs="Calibri"/>
                <w:color w:val="000000"/>
                <w:sz w:val="22"/>
                <w:lang w:eastAsia="en-GB"/>
              </w:rPr>
              <w:t>Other</w:t>
            </w:r>
            <w:proofErr w:type="gramEnd"/>
            <w:r w:rsidRPr="00C05886">
              <w:rPr>
                <w:rFonts w:ascii="Calibri" w:eastAsia="Times New Roman" w:hAnsi="Calibri" w:cs="Calibri"/>
                <w:color w:val="000000"/>
                <w:sz w:val="22"/>
                <w:lang w:eastAsia="en-GB"/>
              </w:rPr>
              <w:t xml:space="preserve"> ethnic group (self-described)</w:t>
            </w:r>
          </w:p>
        </w:tc>
        <w:tc>
          <w:tcPr>
            <w:tcW w:w="0" w:type="auto"/>
            <w:noWrap/>
            <w:hideMark/>
          </w:tcPr>
          <w:p w14:paraId="2D24251C" w14:textId="77777777" w:rsidR="005F5299" w:rsidRPr="00C05886" w:rsidRDefault="005F5299" w:rsidP="005F5299">
            <w:pPr>
              <w:spacing w:line="240" w:lineRule="auto"/>
              <w:rPr>
                <w:rFonts w:ascii="Calibri" w:eastAsia="Times New Roman" w:hAnsi="Calibri" w:cs="Calibri"/>
                <w:color w:val="000000"/>
                <w:sz w:val="22"/>
                <w:lang w:eastAsia="en-GB"/>
              </w:rPr>
            </w:pPr>
            <w:r w:rsidRPr="00C05886">
              <w:rPr>
                <w:rFonts w:ascii="Calibri" w:eastAsia="Times New Roman" w:hAnsi="Calibri" w:cs="Calibri"/>
                <w:color w:val="000000"/>
                <w:sz w:val="22"/>
                <w:lang w:eastAsia="en-GB"/>
              </w:rPr>
              <w:t>4.8%</w:t>
            </w:r>
          </w:p>
        </w:tc>
        <w:tc>
          <w:tcPr>
            <w:tcW w:w="0" w:type="auto"/>
            <w:noWrap/>
            <w:hideMark/>
          </w:tcPr>
          <w:p w14:paraId="5EB07C56" w14:textId="77777777" w:rsidR="005F5299" w:rsidRPr="00C05886" w:rsidRDefault="005F5299" w:rsidP="005F5299">
            <w:pPr>
              <w:spacing w:line="240" w:lineRule="auto"/>
              <w:rPr>
                <w:rFonts w:ascii="Calibri" w:eastAsia="Times New Roman" w:hAnsi="Calibri" w:cs="Calibri"/>
                <w:color w:val="000000"/>
                <w:sz w:val="22"/>
                <w:lang w:eastAsia="en-GB"/>
              </w:rPr>
            </w:pPr>
            <w:r w:rsidRPr="00C05886">
              <w:rPr>
                <w:rFonts w:ascii="Calibri" w:eastAsia="Times New Roman" w:hAnsi="Calibri" w:cs="Calibri"/>
                <w:color w:val="000000"/>
                <w:sz w:val="22"/>
                <w:lang w:eastAsia="en-GB"/>
              </w:rPr>
              <w:t>2.5%</w:t>
            </w:r>
          </w:p>
        </w:tc>
        <w:tc>
          <w:tcPr>
            <w:tcW w:w="0" w:type="auto"/>
            <w:noWrap/>
            <w:hideMark/>
          </w:tcPr>
          <w:p w14:paraId="339ECEED" w14:textId="77777777" w:rsidR="005F5299" w:rsidRPr="00C05886" w:rsidRDefault="005F5299" w:rsidP="005F5299">
            <w:pPr>
              <w:spacing w:line="240" w:lineRule="auto"/>
              <w:rPr>
                <w:rFonts w:ascii="Calibri" w:eastAsia="Times New Roman" w:hAnsi="Calibri" w:cs="Calibri"/>
                <w:color w:val="000000"/>
                <w:sz w:val="22"/>
                <w:lang w:eastAsia="en-GB"/>
              </w:rPr>
            </w:pPr>
            <w:r w:rsidRPr="00C05886">
              <w:rPr>
                <w:rFonts w:ascii="Calibri" w:eastAsia="Times New Roman" w:hAnsi="Calibri" w:cs="Calibri"/>
                <w:color w:val="000000"/>
                <w:sz w:val="22"/>
                <w:lang w:eastAsia="en-GB"/>
              </w:rPr>
              <w:t>0.3%</w:t>
            </w:r>
          </w:p>
        </w:tc>
        <w:tc>
          <w:tcPr>
            <w:tcW w:w="0" w:type="auto"/>
            <w:noWrap/>
            <w:hideMark/>
          </w:tcPr>
          <w:p w14:paraId="6E753236" w14:textId="77777777" w:rsidR="005F5299" w:rsidRPr="00C05886" w:rsidRDefault="005F5299" w:rsidP="005F5299">
            <w:pPr>
              <w:spacing w:line="240" w:lineRule="auto"/>
              <w:rPr>
                <w:rFonts w:ascii="Calibri" w:eastAsia="Times New Roman" w:hAnsi="Calibri" w:cs="Calibri"/>
                <w:color w:val="000000"/>
                <w:sz w:val="22"/>
                <w:lang w:eastAsia="en-GB"/>
              </w:rPr>
            </w:pPr>
            <w:r w:rsidRPr="00C05886">
              <w:rPr>
                <w:rFonts w:ascii="Calibri" w:eastAsia="Times New Roman" w:hAnsi="Calibri" w:cs="Calibri"/>
                <w:color w:val="000000"/>
                <w:sz w:val="22"/>
                <w:lang w:eastAsia="en-GB"/>
              </w:rPr>
              <w:t>1.3%</w:t>
            </w:r>
          </w:p>
        </w:tc>
      </w:tr>
      <w:tr w:rsidR="005F5299" w:rsidRPr="00C05886" w14:paraId="52026A7E" w14:textId="77777777" w:rsidTr="00597138">
        <w:trPr>
          <w:trHeight w:val="170"/>
        </w:trPr>
        <w:tc>
          <w:tcPr>
            <w:tcW w:w="0" w:type="auto"/>
            <w:gridSpan w:val="5"/>
            <w:noWrap/>
            <w:hideMark/>
          </w:tcPr>
          <w:p w14:paraId="1EEF00E7" w14:textId="77777777" w:rsidR="005F5299" w:rsidRPr="00C05886" w:rsidRDefault="005F5299" w:rsidP="005F5299">
            <w:pPr>
              <w:spacing w:line="240" w:lineRule="auto"/>
              <w:rPr>
                <w:rFonts w:ascii="Times New Roman" w:eastAsia="Times New Roman" w:hAnsi="Times New Roman" w:cs="Times New Roman"/>
                <w:sz w:val="22"/>
                <w:lang w:eastAsia="en-GB"/>
              </w:rPr>
            </w:pPr>
            <w:r w:rsidRPr="00C05886">
              <w:rPr>
                <w:rFonts w:ascii="Calibri" w:eastAsia="Times New Roman" w:hAnsi="Calibri" w:cs="Calibri"/>
                <w:b/>
                <w:bCs/>
                <w:sz w:val="22"/>
                <w:lang w:eastAsia="en-GB"/>
              </w:rPr>
              <w:t>Education</w:t>
            </w:r>
          </w:p>
        </w:tc>
      </w:tr>
      <w:tr w:rsidR="005F5299" w:rsidRPr="00C05886" w14:paraId="5415E8BE" w14:textId="77777777" w:rsidTr="00597138">
        <w:trPr>
          <w:trHeight w:val="170"/>
        </w:trPr>
        <w:tc>
          <w:tcPr>
            <w:tcW w:w="0" w:type="auto"/>
            <w:noWrap/>
            <w:hideMark/>
          </w:tcPr>
          <w:p w14:paraId="41BC560A" w14:textId="77777777" w:rsidR="005F5299" w:rsidRPr="00C05886" w:rsidRDefault="005F5299" w:rsidP="005F5299">
            <w:pPr>
              <w:spacing w:line="240" w:lineRule="auto"/>
              <w:rPr>
                <w:rFonts w:ascii="Calibri" w:eastAsia="Times New Roman" w:hAnsi="Calibri" w:cs="Calibri"/>
                <w:color w:val="000000"/>
                <w:sz w:val="22"/>
                <w:lang w:eastAsia="en-GB"/>
              </w:rPr>
            </w:pPr>
            <w:r w:rsidRPr="00C05886">
              <w:rPr>
                <w:rFonts w:ascii="Calibri" w:eastAsia="Times New Roman" w:hAnsi="Calibri" w:cs="Calibri"/>
                <w:color w:val="000000"/>
                <w:sz w:val="22"/>
                <w:lang w:eastAsia="en-GB"/>
              </w:rPr>
              <w:t>High school, GCSE or equivalent</w:t>
            </w:r>
          </w:p>
        </w:tc>
        <w:tc>
          <w:tcPr>
            <w:tcW w:w="0" w:type="auto"/>
            <w:noWrap/>
            <w:hideMark/>
          </w:tcPr>
          <w:p w14:paraId="713D978B" w14:textId="77777777" w:rsidR="005F5299" w:rsidRPr="00C05886" w:rsidRDefault="005F5299" w:rsidP="005F5299">
            <w:pPr>
              <w:spacing w:line="240" w:lineRule="auto"/>
              <w:rPr>
                <w:rFonts w:ascii="Calibri" w:eastAsia="Times New Roman" w:hAnsi="Calibri" w:cs="Calibri"/>
                <w:color w:val="000000"/>
                <w:sz w:val="22"/>
                <w:lang w:eastAsia="en-GB"/>
              </w:rPr>
            </w:pPr>
            <w:r w:rsidRPr="00C05886">
              <w:rPr>
                <w:rFonts w:ascii="Calibri" w:eastAsia="Times New Roman" w:hAnsi="Calibri" w:cs="Calibri"/>
                <w:color w:val="000000"/>
                <w:sz w:val="22"/>
                <w:lang w:eastAsia="en-GB"/>
              </w:rPr>
              <w:t>9.3%</w:t>
            </w:r>
          </w:p>
        </w:tc>
        <w:tc>
          <w:tcPr>
            <w:tcW w:w="0" w:type="auto"/>
            <w:noWrap/>
            <w:hideMark/>
          </w:tcPr>
          <w:p w14:paraId="62EBAE7F" w14:textId="77777777" w:rsidR="005F5299" w:rsidRPr="00C05886" w:rsidRDefault="005F5299" w:rsidP="005F5299">
            <w:pPr>
              <w:spacing w:line="240" w:lineRule="auto"/>
              <w:rPr>
                <w:rFonts w:ascii="Calibri" w:eastAsia="Times New Roman" w:hAnsi="Calibri" w:cs="Calibri"/>
                <w:color w:val="000000"/>
                <w:sz w:val="22"/>
                <w:lang w:eastAsia="en-GB"/>
              </w:rPr>
            </w:pPr>
            <w:r w:rsidRPr="00C05886">
              <w:rPr>
                <w:rFonts w:ascii="Calibri" w:eastAsia="Times New Roman" w:hAnsi="Calibri" w:cs="Calibri"/>
                <w:color w:val="000000"/>
                <w:sz w:val="22"/>
                <w:lang w:eastAsia="en-GB"/>
              </w:rPr>
              <w:t>10.1%</w:t>
            </w:r>
          </w:p>
        </w:tc>
        <w:tc>
          <w:tcPr>
            <w:tcW w:w="0" w:type="auto"/>
            <w:noWrap/>
            <w:hideMark/>
          </w:tcPr>
          <w:p w14:paraId="069239D9" w14:textId="77777777" w:rsidR="005F5299" w:rsidRPr="00C05886" w:rsidRDefault="005F5299" w:rsidP="005F5299">
            <w:pPr>
              <w:spacing w:line="240" w:lineRule="auto"/>
              <w:rPr>
                <w:rFonts w:ascii="Calibri" w:eastAsia="Times New Roman" w:hAnsi="Calibri" w:cs="Calibri"/>
                <w:color w:val="000000"/>
                <w:sz w:val="22"/>
                <w:lang w:eastAsia="en-GB"/>
              </w:rPr>
            </w:pPr>
            <w:r w:rsidRPr="00C05886">
              <w:rPr>
                <w:rFonts w:ascii="Calibri" w:eastAsia="Times New Roman" w:hAnsi="Calibri" w:cs="Calibri"/>
                <w:color w:val="000000"/>
                <w:sz w:val="22"/>
                <w:lang w:eastAsia="en-GB"/>
              </w:rPr>
              <w:t>36.4%</w:t>
            </w:r>
          </w:p>
        </w:tc>
        <w:tc>
          <w:tcPr>
            <w:tcW w:w="0" w:type="auto"/>
            <w:noWrap/>
            <w:hideMark/>
          </w:tcPr>
          <w:p w14:paraId="32C1E90A" w14:textId="77777777" w:rsidR="005F5299" w:rsidRPr="00C05886" w:rsidRDefault="005F5299" w:rsidP="005F5299">
            <w:pPr>
              <w:spacing w:line="240" w:lineRule="auto"/>
              <w:rPr>
                <w:rFonts w:ascii="Calibri" w:eastAsia="Times New Roman" w:hAnsi="Calibri" w:cs="Calibri"/>
                <w:color w:val="000000"/>
                <w:sz w:val="22"/>
                <w:lang w:eastAsia="en-GB"/>
              </w:rPr>
            </w:pPr>
            <w:r w:rsidRPr="00C05886">
              <w:rPr>
                <w:rFonts w:ascii="Calibri" w:eastAsia="Times New Roman" w:hAnsi="Calibri" w:cs="Calibri"/>
                <w:color w:val="000000"/>
                <w:sz w:val="22"/>
                <w:lang w:eastAsia="en-GB"/>
              </w:rPr>
              <w:t>38.7%</w:t>
            </w:r>
          </w:p>
        </w:tc>
      </w:tr>
      <w:tr w:rsidR="005F5299" w:rsidRPr="00C05886" w14:paraId="74168545" w14:textId="77777777" w:rsidTr="00597138">
        <w:trPr>
          <w:trHeight w:val="170"/>
        </w:trPr>
        <w:tc>
          <w:tcPr>
            <w:tcW w:w="0" w:type="auto"/>
            <w:noWrap/>
            <w:hideMark/>
          </w:tcPr>
          <w:p w14:paraId="678E9F22" w14:textId="77777777" w:rsidR="005F5299" w:rsidRPr="00C05886" w:rsidRDefault="005F5299" w:rsidP="005F5299">
            <w:pPr>
              <w:spacing w:line="240" w:lineRule="auto"/>
              <w:rPr>
                <w:rFonts w:ascii="Calibri" w:eastAsia="Times New Roman" w:hAnsi="Calibri" w:cs="Calibri"/>
                <w:color w:val="000000"/>
                <w:sz w:val="22"/>
                <w:lang w:eastAsia="en-GB"/>
              </w:rPr>
            </w:pPr>
            <w:r w:rsidRPr="00C05886">
              <w:rPr>
                <w:rFonts w:ascii="Calibri" w:eastAsia="Times New Roman" w:hAnsi="Calibri" w:cs="Calibri"/>
                <w:color w:val="000000"/>
                <w:sz w:val="22"/>
                <w:lang w:eastAsia="en-GB"/>
              </w:rPr>
              <w:t>Bachelor or equivalent</w:t>
            </w:r>
          </w:p>
        </w:tc>
        <w:tc>
          <w:tcPr>
            <w:tcW w:w="0" w:type="auto"/>
            <w:noWrap/>
            <w:hideMark/>
          </w:tcPr>
          <w:p w14:paraId="657BBA95" w14:textId="77777777" w:rsidR="005F5299" w:rsidRPr="00C05886" w:rsidRDefault="005F5299" w:rsidP="005F5299">
            <w:pPr>
              <w:spacing w:line="240" w:lineRule="auto"/>
              <w:rPr>
                <w:rFonts w:ascii="Calibri" w:eastAsia="Times New Roman" w:hAnsi="Calibri" w:cs="Calibri"/>
                <w:color w:val="000000"/>
                <w:sz w:val="22"/>
                <w:lang w:eastAsia="en-GB"/>
              </w:rPr>
            </w:pPr>
            <w:r w:rsidRPr="00C05886">
              <w:rPr>
                <w:rFonts w:ascii="Calibri" w:eastAsia="Times New Roman" w:hAnsi="Calibri" w:cs="Calibri"/>
                <w:color w:val="000000"/>
                <w:sz w:val="22"/>
                <w:lang w:eastAsia="en-GB"/>
              </w:rPr>
              <w:t>44.5%</w:t>
            </w:r>
          </w:p>
        </w:tc>
        <w:tc>
          <w:tcPr>
            <w:tcW w:w="0" w:type="auto"/>
            <w:noWrap/>
            <w:hideMark/>
          </w:tcPr>
          <w:p w14:paraId="56B1E129" w14:textId="77777777" w:rsidR="005F5299" w:rsidRPr="00C05886" w:rsidRDefault="005F5299" w:rsidP="005F5299">
            <w:pPr>
              <w:spacing w:line="240" w:lineRule="auto"/>
              <w:rPr>
                <w:rFonts w:ascii="Calibri" w:eastAsia="Times New Roman" w:hAnsi="Calibri" w:cs="Calibri"/>
                <w:color w:val="000000"/>
                <w:sz w:val="22"/>
                <w:lang w:eastAsia="en-GB"/>
              </w:rPr>
            </w:pPr>
            <w:r w:rsidRPr="00C05886">
              <w:rPr>
                <w:rFonts w:ascii="Calibri" w:eastAsia="Times New Roman" w:hAnsi="Calibri" w:cs="Calibri"/>
                <w:color w:val="000000"/>
                <w:sz w:val="22"/>
                <w:lang w:eastAsia="en-GB"/>
              </w:rPr>
              <w:t>41.9%</w:t>
            </w:r>
          </w:p>
        </w:tc>
        <w:tc>
          <w:tcPr>
            <w:tcW w:w="0" w:type="auto"/>
            <w:noWrap/>
            <w:hideMark/>
          </w:tcPr>
          <w:p w14:paraId="0117C57A" w14:textId="77777777" w:rsidR="005F5299" w:rsidRPr="00C05886" w:rsidRDefault="005F5299" w:rsidP="005F5299">
            <w:pPr>
              <w:spacing w:line="240" w:lineRule="auto"/>
              <w:rPr>
                <w:rFonts w:ascii="Calibri" w:eastAsia="Times New Roman" w:hAnsi="Calibri" w:cs="Calibri"/>
                <w:color w:val="000000"/>
                <w:sz w:val="22"/>
                <w:lang w:eastAsia="en-GB"/>
              </w:rPr>
            </w:pPr>
            <w:r w:rsidRPr="00C05886">
              <w:rPr>
                <w:rFonts w:ascii="Calibri" w:eastAsia="Times New Roman" w:hAnsi="Calibri" w:cs="Calibri"/>
                <w:color w:val="000000"/>
                <w:sz w:val="22"/>
                <w:lang w:eastAsia="en-GB"/>
              </w:rPr>
              <w:t>52.2%</w:t>
            </w:r>
          </w:p>
        </w:tc>
        <w:tc>
          <w:tcPr>
            <w:tcW w:w="0" w:type="auto"/>
            <w:noWrap/>
            <w:hideMark/>
          </w:tcPr>
          <w:p w14:paraId="07FF9C29" w14:textId="77777777" w:rsidR="005F5299" w:rsidRPr="00C05886" w:rsidRDefault="005F5299" w:rsidP="005F5299">
            <w:pPr>
              <w:spacing w:line="240" w:lineRule="auto"/>
              <w:rPr>
                <w:rFonts w:ascii="Calibri" w:eastAsia="Times New Roman" w:hAnsi="Calibri" w:cs="Calibri"/>
                <w:color w:val="000000"/>
                <w:sz w:val="22"/>
                <w:lang w:eastAsia="en-GB"/>
              </w:rPr>
            </w:pPr>
            <w:r w:rsidRPr="00C05886">
              <w:rPr>
                <w:rFonts w:ascii="Calibri" w:eastAsia="Times New Roman" w:hAnsi="Calibri" w:cs="Calibri"/>
                <w:color w:val="000000"/>
                <w:sz w:val="22"/>
                <w:lang w:eastAsia="en-GB"/>
              </w:rPr>
              <w:t>50.4%</w:t>
            </w:r>
          </w:p>
        </w:tc>
      </w:tr>
      <w:tr w:rsidR="005F5299" w:rsidRPr="00C05886" w14:paraId="7888B132" w14:textId="77777777" w:rsidTr="00597138">
        <w:trPr>
          <w:trHeight w:val="170"/>
        </w:trPr>
        <w:tc>
          <w:tcPr>
            <w:tcW w:w="0" w:type="auto"/>
            <w:noWrap/>
            <w:hideMark/>
          </w:tcPr>
          <w:p w14:paraId="1F038C23" w14:textId="77777777" w:rsidR="005F5299" w:rsidRPr="00C05886" w:rsidRDefault="005F5299" w:rsidP="005F5299">
            <w:pPr>
              <w:spacing w:line="240" w:lineRule="auto"/>
              <w:rPr>
                <w:rFonts w:ascii="Calibri" w:eastAsia="Times New Roman" w:hAnsi="Calibri" w:cs="Calibri"/>
                <w:color w:val="000000"/>
                <w:sz w:val="22"/>
                <w:lang w:eastAsia="en-GB"/>
              </w:rPr>
            </w:pPr>
            <w:r w:rsidRPr="00C05886">
              <w:rPr>
                <w:rFonts w:ascii="Calibri" w:eastAsia="Times New Roman" w:hAnsi="Calibri" w:cs="Calibri"/>
                <w:color w:val="000000"/>
                <w:sz w:val="22"/>
                <w:lang w:eastAsia="en-GB"/>
              </w:rPr>
              <w:t>Masters or equivalent</w:t>
            </w:r>
          </w:p>
        </w:tc>
        <w:tc>
          <w:tcPr>
            <w:tcW w:w="0" w:type="auto"/>
            <w:noWrap/>
            <w:hideMark/>
          </w:tcPr>
          <w:p w14:paraId="6623D156" w14:textId="77777777" w:rsidR="005F5299" w:rsidRPr="00C05886" w:rsidRDefault="005F5299" w:rsidP="005F5299">
            <w:pPr>
              <w:spacing w:line="240" w:lineRule="auto"/>
              <w:rPr>
                <w:rFonts w:ascii="Calibri" w:eastAsia="Times New Roman" w:hAnsi="Calibri" w:cs="Calibri"/>
                <w:color w:val="000000"/>
                <w:sz w:val="22"/>
                <w:lang w:eastAsia="en-GB"/>
              </w:rPr>
            </w:pPr>
            <w:r w:rsidRPr="00C05886">
              <w:rPr>
                <w:rFonts w:ascii="Calibri" w:eastAsia="Times New Roman" w:hAnsi="Calibri" w:cs="Calibri"/>
                <w:color w:val="000000"/>
                <w:sz w:val="22"/>
                <w:lang w:eastAsia="en-GB"/>
              </w:rPr>
              <w:t>36.7%</w:t>
            </w:r>
          </w:p>
        </w:tc>
        <w:tc>
          <w:tcPr>
            <w:tcW w:w="0" w:type="auto"/>
            <w:noWrap/>
            <w:hideMark/>
          </w:tcPr>
          <w:p w14:paraId="0722BA0B" w14:textId="77777777" w:rsidR="005F5299" w:rsidRPr="00C05886" w:rsidRDefault="005F5299" w:rsidP="005F5299">
            <w:pPr>
              <w:spacing w:line="240" w:lineRule="auto"/>
              <w:rPr>
                <w:rFonts w:ascii="Calibri" w:eastAsia="Times New Roman" w:hAnsi="Calibri" w:cs="Calibri"/>
                <w:color w:val="000000"/>
                <w:sz w:val="22"/>
                <w:lang w:eastAsia="en-GB"/>
              </w:rPr>
            </w:pPr>
            <w:r w:rsidRPr="00C05886">
              <w:rPr>
                <w:rFonts w:ascii="Calibri" w:eastAsia="Times New Roman" w:hAnsi="Calibri" w:cs="Calibri"/>
                <w:color w:val="000000"/>
                <w:sz w:val="22"/>
                <w:lang w:eastAsia="en-GB"/>
              </w:rPr>
              <w:t>37.9%</w:t>
            </w:r>
          </w:p>
        </w:tc>
        <w:tc>
          <w:tcPr>
            <w:tcW w:w="0" w:type="auto"/>
            <w:noWrap/>
            <w:hideMark/>
          </w:tcPr>
          <w:p w14:paraId="5A47FDC1" w14:textId="77777777" w:rsidR="005F5299" w:rsidRPr="00C05886" w:rsidRDefault="005F5299" w:rsidP="005F5299">
            <w:pPr>
              <w:spacing w:line="240" w:lineRule="auto"/>
              <w:rPr>
                <w:rFonts w:ascii="Calibri" w:eastAsia="Times New Roman" w:hAnsi="Calibri" w:cs="Calibri"/>
                <w:color w:val="000000"/>
                <w:sz w:val="22"/>
                <w:lang w:eastAsia="en-GB"/>
              </w:rPr>
            </w:pPr>
            <w:r w:rsidRPr="00C05886">
              <w:rPr>
                <w:rFonts w:ascii="Calibri" w:eastAsia="Times New Roman" w:hAnsi="Calibri" w:cs="Calibri"/>
                <w:color w:val="000000"/>
                <w:sz w:val="22"/>
                <w:lang w:eastAsia="en-GB"/>
              </w:rPr>
              <w:t>5.5%</w:t>
            </w:r>
          </w:p>
        </w:tc>
        <w:tc>
          <w:tcPr>
            <w:tcW w:w="0" w:type="auto"/>
            <w:noWrap/>
            <w:hideMark/>
          </w:tcPr>
          <w:p w14:paraId="16DEB314" w14:textId="77777777" w:rsidR="005F5299" w:rsidRPr="00C05886" w:rsidRDefault="005F5299" w:rsidP="005F5299">
            <w:pPr>
              <w:spacing w:line="240" w:lineRule="auto"/>
              <w:rPr>
                <w:rFonts w:ascii="Calibri" w:eastAsia="Times New Roman" w:hAnsi="Calibri" w:cs="Calibri"/>
                <w:color w:val="000000"/>
                <w:sz w:val="22"/>
                <w:lang w:eastAsia="en-GB"/>
              </w:rPr>
            </w:pPr>
            <w:r w:rsidRPr="00C05886">
              <w:rPr>
                <w:rFonts w:ascii="Calibri" w:eastAsia="Times New Roman" w:hAnsi="Calibri" w:cs="Calibri"/>
                <w:color w:val="000000"/>
                <w:sz w:val="22"/>
                <w:lang w:eastAsia="en-GB"/>
              </w:rPr>
              <w:t>5.6%</w:t>
            </w:r>
          </w:p>
        </w:tc>
      </w:tr>
      <w:tr w:rsidR="005F5299" w:rsidRPr="00C05886" w14:paraId="208FFA32" w14:textId="77777777" w:rsidTr="00597138">
        <w:trPr>
          <w:trHeight w:val="170"/>
        </w:trPr>
        <w:tc>
          <w:tcPr>
            <w:tcW w:w="0" w:type="auto"/>
            <w:noWrap/>
            <w:hideMark/>
          </w:tcPr>
          <w:p w14:paraId="2F02CE71" w14:textId="77777777" w:rsidR="005F5299" w:rsidRPr="00C05886" w:rsidRDefault="005F5299" w:rsidP="005F5299">
            <w:pPr>
              <w:spacing w:line="240" w:lineRule="auto"/>
              <w:rPr>
                <w:rFonts w:ascii="Calibri" w:eastAsia="Times New Roman" w:hAnsi="Calibri" w:cs="Calibri"/>
                <w:color w:val="000000"/>
                <w:sz w:val="22"/>
                <w:lang w:eastAsia="en-GB"/>
              </w:rPr>
            </w:pPr>
            <w:r w:rsidRPr="00C05886">
              <w:rPr>
                <w:rFonts w:ascii="Calibri" w:eastAsia="Times New Roman" w:hAnsi="Calibri" w:cs="Calibri"/>
                <w:color w:val="000000"/>
                <w:sz w:val="22"/>
                <w:lang w:eastAsia="en-GB"/>
              </w:rPr>
              <w:t>Doctoral or equivalent</w:t>
            </w:r>
          </w:p>
        </w:tc>
        <w:tc>
          <w:tcPr>
            <w:tcW w:w="0" w:type="auto"/>
            <w:noWrap/>
            <w:hideMark/>
          </w:tcPr>
          <w:p w14:paraId="19B68185" w14:textId="77777777" w:rsidR="005F5299" w:rsidRPr="00C05886" w:rsidRDefault="005F5299" w:rsidP="005F5299">
            <w:pPr>
              <w:spacing w:line="240" w:lineRule="auto"/>
              <w:rPr>
                <w:rFonts w:ascii="Calibri" w:eastAsia="Times New Roman" w:hAnsi="Calibri" w:cs="Calibri"/>
                <w:color w:val="000000"/>
                <w:sz w:val="22"/>
                <w:lang w:eastAsia="en-GB"/>
              </w:rPr>
            </w:pPr>
            <w:r w:rsidRPr="00C05886">
              <w:rPr>
                <w:rFonts w:ascii="Calibri" w:eastAsia="Times New Roman" w:hAnsi="Calibri" w:cs="Calibri"/>
                <w:color w:val="000000"/>
                <w:sz w:val="22"/>
                <w:lang w:eastAsia="en-GB"/>
              </w:rPr>
              <w:t>7.1%</w:t>
            </w:r>
          </w:p>
        </w:tc>
        <w:tc>
          <w:tcPr>
            <w:tcW w:w="0" w:type="auto"/>
            <w:noWrap/>
            <w:hideMark/>
          </w:tcPr>
          <w:p w14:paraId="09939533" w14:textId="77777777" w:rsidR="005F5299" w:rsidRPr="00C05886" w:rsidRDefault="005F5299" w:rsidP="005F5299">
            <w:pPr>
              <w:spacing w:line="240" w:lineRule="auto"/>
              <w:rPr>
                <w:rFonts w:ascii="Calibri" w:eastAsia="Times New Roman" w:hAnsi="Calibri" w:cs="Calibri"/>
                <w:color w:val="000000"/>
                <w:sz w:val="22"/>
                <w:lang w:eastAsia="en-GB"/>
              </w:rPr>
            </w:pPr>
            <w:r w:rsidRPr="00C05886">
              <w:rPr>
                <w:rFonts w:ascii="Calibri" w:eastAsia="Times New Roman" w:hAnsi="Calibri" w:cs="Calibri"/>
                <w:color w:val="000000"/>
                <w:sz w:val="22"/>
                <w:lang w:eastAsia="en-GB"/>
              </w:rPr>
              <w:t>8%</w:t>
            </w:r>
          </w:p>
        </w:tc>
        <w:tc>
          <w:tcPr>
            <w:tcW w:w="0" w:type="auto"/>
            <w:noWrap/>
            <w:hideMark/>
          </w:tcPr>
          <w:p w14:paraId="7DCF7CBF" w14:textId="77777777" w:rsidR="005F5299" w:rsidRPr="00C05886" w:rsidRDefault="005F5299" w:rsidP="005F5299">
            <w:pPr>
              <w:spacing w:line="240" w:lineRule="auto"/>
              <w:rPr>
                <w:rFonts w:ascii="Calibri" w:eastAsia="Times New Roman" w:hAnsi="Calibri" w:cs="Calibri"/>
                <w:color w:val="000000"/>
                <w:sz w:val="22"/>
                <w:lang w:eastAsia="en-GB"/>
              </w:rPr>
            </w:pPr>
            <w:r w:rsidRPr="00C05886">
              <w:rPr>
                <w:rFonts w:ascii="Calibri" w:eastAsia="Times New Roman" w:hAnsi="Calibri" w:cs="Calibri"/>
                <w:color w:val="000000"/>
                <w:sz w:val="22"/>
                <w:lang w:eastAsia="en-GB"/>
              </w:rPr>
              <w:t>1.1%</w:t>
            </w:r>
          </w:p>
        </w:tc>
        <w:tc>
          <w:tcPr>
            <w:tcW w:w="0" w:type="auto"/>
            <w:noWrap/>
            <w:hideMark/>
          </w:tcPr>
          <w:p w14:paraId="1BF1A692" w14:textId="77777777" w:rsidR="005F5299" w:rsidRPr="00C05886" w:rsidRDefault="005F5299" w:rsidP="005F5299">
            <w:pPr>
              <w:spacing w:line="240" w:lineRule="auto"/>
              <w:rPr>
                <w:rFonts w:ascii="Calibri" w:eastAsia="Times New Roman" w:hAnsi="Calibri" w:cs="Calibri"/>
                <w:color w:val="000000"/>
                <w:sz w:val="22"/>
                <w:lang w:eastAsia="en-GB"/>
              </w:rPr>
            </w:pPr>
            <w:r w:rsidRPr="00C05886">
              <w:rPr>
                <w:rFonts w:ascii="Calibri" w:eastAsia="Times New Roman" w:hAnsi="Calibri" w:cs="Calibri"/>
                <w:color w:val="000000"/>
                <w:sz w:val="22"/>
                <w:lang w:eastAsia="en-GB"/>
              </w:rPr>
              <w:t>1%</w:t>
            </w:r>
          </w:p>
        </w:tc>
      </w:tr>
      <w:tr w:rsidR="005F5299" w:rsidRPr="00C05886" w14:paraId="0E1C97F3" w14:textId="77777777" w:rsidTr="00597138">
        <w:trPr>
          <w:trHeight w:val="170"/>
        </w:trPr>
        <w:tc>
          <w:tcPr>
            <w:tcW w:w="0" w:type="auto"/>
            <w:noWrap/>
            <w:hideMark/>
          </w:tcPr>
          <w:p w14:paraId="4E7E0AC2" w14:textId="77777777" w:rsidR="005F5299" w:rsidRPr="00C05886" w:rsidRDefault="005F5299" w:rsidP="005F5299">
            <w:pPr>
              <w:spacing w:line="240" w:lineRule="auto"/>
              <w:rPr>
                <w:rFonts w:ascii="Calibri" w:eastAsia="Times New Roman" w:hAnsi="Calibri" w:cs="Calibri"/>
                <w:color w:val="000000"/>
                <w:sz w:val="22"/>
                <w:lang w:eastAsia="en-GB"/>
              </w:rPr>
            </w:pPr>
            <w:r w:rsidRPr="00C05886">
              <w:rPr>
                <w:rFonts w:ascii="Calibri" w:eastAsia="Times New Roman" w:hAnsi="Calibri" w:cs="Calibri"/>
                <w:color w:val="000000"/>
                <w:sz w:val="22"/>
                <w:lang w:eastAsia="en-GB"/>
              </w:rPr>
              <w:t>Other (self-described)</w:t>
            </w:r>
          </w:p>
        </w:tc>
        <w:tc>
          <w:tcPr>
            <w:tcW w:w="0" w:type="auto"/>
            <w:noWrap/>
            <w:hideMark/>
          </w:tcPr>
          <w:p w14:paraId="546F8FF7" w14:textId="77777777" w:rsidR="005F5299" w:rsidRPr="00C05886" w:rsidRDefault="005F5299" w:rsidP="005F5299">
            <w:pPr>
              <w:spacing w:line="240" w:lineRule="auto"/>
              <w:rPr>
                <w:rFonts w:ascii="Calibri" w:eastAsia="Times New Roman" w:hAnsi="Calibri" w:cs="Calibri"/>
                <w:color w:val="000000"/>
                <w:sz w:val="22"/>
                <w:lang w:eastAsia="en-GB"/>
              </w:rPr>
            </w:pPr>
            <w:r w:rsidRPr="00C05886">
              <w:rPr>
                <w:rFonts w:ascii="Calibri" w:eastAsia="Times New Roman" w:hAnsi="Calibri" w:cs="Calibri"/>
                <w:color w:val="000000"/>
                <w:sz w:val="22"/>
                <w:lang w:eastAsia="en-GB"/>
              </w:rPr>
              <w:t>2.2%</w:t>
            </w:r>
          </w:p>
        </w:tc>
        <w:tc>
          <w:tcPr>
            <w:tcW w:w="0" w:type="auto"/>
            <w:noWrap/>
            <w:hideMark/>
          </w:tcPr>
          <w:p w14:paraId="56F2C840" w14:textId="77777777" w:rsidR="005F5299" w:rsidRPr="00C05886" w:rsidRDefault="005F5299" w:rsidP="005F5299">
            <w:pPr>
              <w:spacing w:line="240" w:lineRule="auto"/>
              <w:rPr>
                <w:rFonts w:ascii="Calibri" w:eastAsia="Times New Roman" w:hAnsi="Calibri" w:cs="Calibri"/>
                <w:color w:val="000000"/>
                <w:sz w:val="22"/>
                <w:lang w:eastAsia="en-GB"/>
              </w:rPr>
            </w:pPr>
            <w:r w:rsidRPr="00C05886">
              <w:rPr>
                <w:rFonts w:ascii="Calibri" w:eastAsia="Times New Roman" w:hAnsi="Calibri" w:cs="Calibri"/>
                <w:color w:val="000000"/>
                <w:sz w:val="22"/>
                <w:lang w:eastAsia="en-GB"/>
              </w:rPr>
              <w:t>1.9%</w:t>
            </w:r>
          </w:p>
        </w:tc>
        <w:tc>
          <w:tcPr>
            <w:tcW w:w="0" w:type="auto"/>
            <w:noWrap/>
            <w:hideMark/>
          </w:tcPr>
          <w:p w14:paraId="3AF93111" w14:textId="77777777" w:rsidR="005F5299" w:rsidRPr="00C05886" w:rsidRDefault="005F5299" w:rsidP="005F5299">
            <w:pPr>
              <w:spacing w:line="240" w:lineRule="auto"/>
              <w:rPr>
                <w:rFonts w:ascii="Calibri" w:eastAsia="Times New Roman" w:hAnsi="Calibri" w:cs="Calibri"/>
                <w:color w:val="000000"/>
                <w:sz w:val="22"/>
                <w:lang w:eastAsia="en-GB"/>
              </w:rPr>
            </w:pPr>
            <w:r w:rsidRPr="00C05886">
              <w:rPr>
                <w:rFonts w:ascii="Calibri" w:eastAsia="Times New Roman" w:hAnsi="Calibri" w:cs="Calibri"/>
                <w:color w:val="000000"/>
                <w:sz w:val="22"/>
                <w:lang w:eastAsia="en-GB"/>
              </w:rPr>
              <w:t>4%</w:t>
            </w:r>
          </w:p>
        </w:tc>
        <w:tc>
          <w:tcPr>
            <w:tcW w:w="0" w:type="auto"/>
            <w:noWrap/>
            <w:hideMark/>
          </w:tcPr>
          <w:p w14:paraId="04DC2FA6" w14:textId="77777777" w:rsidR="005F5299" w:rsidRPr="00C05886" w:rsidRDefault="005F5299" w:rsidP="005F5299">
            <w:pPr>
              <w:spacing w:line="240" w:lineRule="auto"/>
              <w:rPr>
                <w:rFonts w:ascii="Calibri" w:eastAsia="Times New Roman" w:hAnsi="Calibri" w:cs="Calibri"/>
                <w:color w:val="000000"/>
                <w:sz w:val="22"/>
                <w:lang w:eastAsia="en-GB"/>
              </w:rPr>
            </w:pPr>
            <w:r w:rsidRPr="00C05886">
              <w:rPr>
                <w:rFonts w:ascii="Calibri" w:eastAsia="Times New Roman" w:hAnsi="Calibri" w:cs="Calibri"/>
                <w:color w:val="000000"/>
                <w:sz w:val="22"/>
                <w:lang w:eastAsia="en-GB"/>
              </w:rPr>
              <w:t>3.8%</w:t>
            </w:r>
          </w:p>
        </w:tc>
      </w:tr>
    </w:tbl>
    <w:p w14:paraId="1E37418E" w14:textId="5FF1E6C6" w:rsidR="005F5299" w:rsidRPr="00C05886" w:rsidRDefault="005F5299" w:rsidP="00781D7E">
      <w:r w:rsidRPr="00C05886">
        <w:t>Table 3 reports the distribution of nature connectedness, perceived biodiversity and the perceived biodiversity in relation to the actual biodiversity presented in the virtual park.</w:t>
      </w:r>
    </w:p>
    <w:p w14:paraId="48DAB56F" w14:textId="3B6655AF" w:rsidR="005F5299" w:rsidRPr="00C05886" w:rsidRDefault="005F5299" w:rsidP="007764EC">
      <w:pPr>
        <w:pStyle w:val="Caption"/>
        <w:keepNext/>
      </w:pPr>
      <w:r w:rsidRPr="00C05886">
        <w:t xml:space="preserve">Table </w:t>
      </w:r>
      <w:r w:rsidR="00597138" w:rsidRPr="00C05886">
        <w:t>3</w:t>
      </w:r>
      <w:r w:rsidRPr="00C05886">
        <w:t>. Distribution of nature-related variables across the four experiments. Key for the treatment acronyms: H=high, L=low, B=biodiversity, C=colour diversity</w:t>
      </w:r>
    </w:p>
    <w:tbl>
      <w:tblPr>
        <w:tblStyle w:val="TableGrid"/>
        <w:tblW w:w="0" w:type="auto"/>
        <w:tblLook w:val="04A0" w:firstRow="1" w:lastRow="0" w:firstColumn="1" w:lastColumn="0" w:noHBand="0" w:noVBand="1"/>
      </w:tblPr>
      <w:tblGrid>
        <w:gridCol w:w="1054"/>
        <w:gridCol w:w="1474"/>
        <w:gridCol w:w="1474"/>
        <w:gridCol w:w="1474"/>
        <w:gridCol w:w="1474"/>
      </w:tblGrid>
      <w:tr w:rsidR="005F5299" w:rsidRPr="00C05886" w14:paraId="1CCF1E5C" w14:textId="77777777" w:rsidTr="00597138">
        <w:trPr>
          <w:trHeight w:val="170"/>
        </w:trPr>
        <w:tc>
          <w:tcPr>
            <w:tcW w:w="0" w:type="auto"/>
            <w:noWrap/>
            <w:hideMark/>
          </w:tcPr>
          <w:p w14:paraId="096F3CCB" w14:textId="77777777" w:rsidR="005F5299" w:rsidRPr="00C05886" w:rsidRDefault="005F5299" w:rsidP="005F5299">
            <w:pPr>
              <w:spacing w:line="240" w:lineRule="auto"/>
              <w:rPr>
                <w:rFonts w:ascii="Calibri" w:eastAsia="Times New Roman" w:hAnsi="Calibri" w:cs="Calibri"/>
                <w:b/>
                <w:bCs/>
                <w:color w:val="000000"/>
                <w:sz w:val="22"/>
                <w:lang w:eastAsia="en-GB"/>
              </w:rPr>
            </w:pPr>
            <w:r w:rsidRPr="00C05886">
              <w:rPr>
                <w:rFonts w:ascii="Calibri" w:eastAsia="Times New Roman" w:hAnsi="Calibri" w:cs="Calibri"/>
                <w:b/>
                <w:bCs/>
                <w:color w:val="000000"/>
                <w:sz w:val="22"/>
                <w:lang w:eastAsia="en-GB"/>
              </w:rPr>
              <w:t>Measure</w:t>
            </w:r>
          </w:p>
        </w:tc>
        <w:tc>
          <w:tcPr>
            <w:tcW w:w="0" w:type="auto"/>
            <w:noWrap/>
            <w:hideMark/>
          </w:tcPr>
          <w:p w14:paraId="0B7BE694" w14:textId="77777777" w:rsidR="005F5299" w:rsidRPr="00C05886" w:rsidRDefault="005F5299" w:rsidP="005F5299">
            <w:pPr>
              <w:spacing w:line="240" w:lineRule="auto"/>
              <w:rPr>
                <w:rFonts w:ascii="Calibri" w:eastAsia="Times New Roman" w:hAnsi="Calibri" w:cs="Calibri"/>
                <w:b/>
                <w:bCs/>
                <w:color w:val="000000"/>
                <w:sz w:val="22"/>
                <w:lang w:eastAsia="en-GB"/>
              </w:rPr>
            </w:pPr>
            <w:r w:rsidRPr="00C05886">
              <w:rPr>
                <w:rFonts w:ascii="Calibri" w:eastAsia="Times New Roman" w:hAnsi="Calibri" w:cs="Calibri"/>
                <w:b/>
                <w:bCs/>
                <w:color w:val="000000"/>
                <w:sz w:val="22"/>
                <w:lang w:eastAsia="en-GB"/>
              </w:rPr>
              <w:t>Experiment 1</w:t>
            </w:r>
          </w:p>
        </w:tc>
        <w:tc>
          <w:tcPr>
            <w:tcW w:w="0" w:type="auto"/>
            <w:noWrap/>
            <w:hideMark/>
          </w:tcPr>
          <w:p w14:paraId="2B498366" w14:textId="77777777" w:rsidR="005F5299" w:rsidRPr="00C05886" w:rsidRDefault="005F5299" w:rsidP="005F5299">
            <w:pPr>
              <w:spacing w:line="240" w:lineRule="auto"/>
              <w:rPr>
                <w:rFonts w:ascii="Calibri" w:eastAsia="Times New Roman" w:hAnsi="Calibri" w:cs="Calibri"/>
                <w:b/>
                <w:bCs/>
                <w:color w:val="000000"/>
                <w:sz w:val="22"/>
                <w:lang w:eastAsia="en-GB"/>
              </w:rPr>
            </w:pPr>
            <w:r w:rsidRPr="00C05886">
              <w:rPr>
                <w:rFonts w:ascii="Calibri" w:eastAsia="Times New Roman" w:hAnsi="Calibri" w:cs="Calibri"/>
                <w:b/>
                <w:bCs/>
                <w:color w:val="000000"/>
                <w:sz w:val="22"/>
                <w:lang w:eastAsia="en-GB"/>
              </w:rPr>
              <w:t>Experiment 2</w:t>
            </w:r>
          </w:p>
        </w:tc>
        <w:tc>
          <w:tcPr>
            <w:tcW w:w="0" w:type="auto"/>
            <w:noWrap/>
            <w:hideMark/>
          </w:tcPr>
          <w:p w14:paraId="3E42AC68" w14:textId="77777777" w:rsidR="005F5299" w:rsidRPr="00C05886" w:rsidRDefault="005F5299" w:rsidP="005F5299">
            <w:pPr>
              <w:spacing w:line="240" w:lineRule="auto"/>
              <w:rPr>
                <w:rFonts w:ascii="Calibri" w:eastAsia="Times New Roman" w:hAnsi="Calibri" w:cs="Calibri"/>
                <w:b/>
                <w:bCs/>
                <w:color w:val="000000"/>
                <w:sz w:val="22"/>
                <w:lang w:eastAsia="en-GB"/>
              </w:rPr>
            </w:pPr>
            <w:r w:rsidRPr="00C05886">
              <w:rPr>
                <w:rFonts w:ascii="Calibri" w:eastAsia="Times New Roman" w:hAnsi="Calibri" w:cs="Calibri"/>
                <w:b/>
                <w:bCs/>
                <w:color w:val="000000"/>
                <w:sz w:val="22"/>
                <w:lang w:eastAsia="en-GB"/>
              </w:rPr>
              <w:t>Experiment 3</w:t>
            </w:r>
          </w:p>
        </w:tc>
        <w:tc>
          <w:tcPr>
            <w:tcW w:w="0" w:type="auto"/>
            <w:noWrap/>
            <w:hideMark/>
          </w:tcPr>
          <w:p w14:paraId="1EDCEF25" w14:textId="77777777" w:rsidR="005F5299" w:rsidRPr="00C05886" w:rsidRDefault="005F5299" w:rsidP="005F5299">
            <w:pPr>
              <w:spacing w:line="240" w:lineRule="auto"/>
              <w:rPr>
                <w:rFonts w:ascii="Calibri" w:eastAsia="Times New Roman" w:hAnsi="Calibri" w:cs="Calibri"/>
                <w:b/>
                <w:bCs/>
                <w:color w:val="000000"/>
                <w:sz w:val="22"/>
                <w:lang w:eastAsia="en-GB"/>
              </w:rPr>
            </w:pPr>
            <w:r w:rsidRPr="00C05886">
              <w:rPr>
                <w:rFonts w:ascii="Calibri" w:eastAsia="Times New Roman" w:hAnsi="Calibri" w:cs="Calibri"/>
                <w:b/>
                <w:bCs/>
                <w:color w:val="000000"/>
                <w:sz w:val="22"/>
                <w:lang w:eastAsia="en-GB"/>
              </w:rPr>
              <w:t>Experiment 4</w:t>
            </w:r>
          </w:p>
        </w:tc>
      </w:tr>
      <w:tr w:rsidR="005F5299" w:rsidRPr="00C05886" w14:paraId="4BA1C73C" w14:textId="77777777" w:rsidTr="00597138">
        <w:trPr>
          <w:trHeight w:val="170"/>
        </w:trPr>
        <w:tc>
          <w:tcPr>
            <w:tcW w:w="0" w:type="auto"/>
            <w:gridSpan w:val="5"/>
            <w:noWrap/>
            <w:hideMark/>
          </w:tcPr>
          <w:p w14:paraId="50CC6093" w14:textId="77777777" w:rsidR="005F5299" w:rsidRPr="00C05886" w:rsidRDefault="005F5299" w:rsidP="005F5299">
            <w:pPr>
              <w:spacing w:line="240" w:lineRule="auto"/>
              <w:rPr>
                <w:rFonts w:ascii="Times New Roman" w:eastAsia="Times New Roman" w:hAnsi="Times New Roman" w:cs="Times New Roman"/>
                <w:b/>
                <w:bCs/>
                <w:sz w:val="22"/>
                <w:lang w:eastAsia="en-GB"/>
              </w:rPr>
            </w:pPr>
            <w:r w:rsidRPr="00C05886">
              <w:rPr>
                <w:rFonts w:ascii="Calibri" w:eastAsia="Times New Roman" w:hAnsi="Calibri" w:cs="Calibri"/>
                <w:b/>
                <w:bCs/>
                <w:color w:val="000000"/>
                <w:sz w:val="22"/>
                <w:lang w:eastAsia="en-GB"/>
              </w:rPr>
              <w:t>Nature connectedness</w:t>
            </w:r>
          </w:p>
        </w:tc>
      </w:tr>
      <w:tr w:rsidR="005F5299" w:rsidRPr="00C05886" w14:paraId="3F5353A8" w14:textId="77777777" w:rsidTr="00597138">
        <w:trPr>
          <w:trHeight w:val="170"/>
        </w:trPr>
        <w:tc>
          <w:tcPr>
            <w:tcW w:w="0" w:type="auto"/>
            <w:noWrap/>
            <w:hideMark/>
          </w:tcPr>
          <w:p w14:paraId="18652EDA" w14:textId="77777777" w:rsidR="005F5299" w:rsidRPr="00C05886" w:rsidRDefault="005F5299" w:rsidP="005F5299">
            <w:pPr>
              <w:spacing w:line="240" w:lineRule="auto"/>
              <w:rPr>
                <w:rFonts w:ascii="Calibri" w:eastAsia="Times New Roman" w:hAnsi="Calibri" w:cs="Calibri"/>
                <w:color w:val="000000"/>
                <w:sz w:val="22"/>
                <w:lang w:eastAsia="en-GB"/>
              </w:rPr>
            </w:pPr>
            <w:r w:rsidRPr="00C05886">
              <w:rPr>
                <w:rFonts w:ascii="Calibri" w:eastAsia="Times New Roman" w:hAnsi="Calibri" w:cs="Calibri"/>
                <w:color w:val="000000"/>
                <w:sz w:val="22"/>
                <w:lang w:eastAsia="en-GB"/>
              </w:rPr>
              <w:t>Low</w:t>
            </w:r>
          </w:p>
        </w:tc>
        <w:tc>
          <w:tcPr>
            <w:tcW w:w="0" w:type="auto"/>
            <w:noWrap/>
            <w:hideMark/>
          </w:tcPr>
          <w:p w14:paraId="7CC323CE" w14:textId="77777777" w:rsidR="005F5299" w:rsidRPr="00C05886" w:rsidRDefault="005F5299" w:rsidP="005F5299">
            <w:pPr>
              <w:spacing w:line="240" w:lineRule="auto"/>
              <w:rPr>
                <w:rFonts w:ascii="Calibri" w:eastAsia="Times New Roman" w:hAnsi="Calibri" w:cs="Calibri"/>
                <w:color w:val="000000"/>
                <w:sz w:val="22"/>
                <w:lang w:eastAsia="en-GB"/>
              </w:rPr>
            </w:pPr>
            <w:r w:rsidRPr="00C05886">
              <w:rPr>
                <w:rFonts w:ascii="Calibri" w:eastAsia="Times New Roman" w:hAnsi="Calibri" w:cs="Calibri"/>
                <w:color w:val="000000"/>
                <w:sz w:val="22"/>
                <w:lang w:eastAsia="en-GB"/>
              </w:rPr>
              <w:t>23.1%</w:t>
            </w:r>
          </w:p>
        </w:tc>
        <w:tc>
          <w:tcPr>
            <w:tcW w:w="0" w:type="auto"/>
            <w:noWrap/>
            <w:hideMark/>
          </w:tcPr>
          <w:p w14:paraId="65418208" w14:textId="77777777" w:rsidR="005F5299" w:rsidRPr="00C05886" w:rsidRDefault="005F5299" w:rsidP="005F5299">
            <w:pPr>
              <w:spacing w:line="240" w:lineRule="auto"/>
              <w:rPr>
                <w:rFonts w:ascii="Calibri" w:eastAsia="Times New Roman" w:hAnsi="Calibri" w:cs="Calibri"/>
                <w:color w:val="000000"/>
                <w:sz w:val="22"/>
                <w:lang w:eastAsia="en-GB"/>
              </w:rPr>
            </w:pPr>
            <w:r w:rsidRPr="00C05886">
              <w:rPr>
                <w:rFonts w:ascii="Calibri" w:eastAsia="Times New Roman" w:hAnsi="Calibri" w:cs="Calibri"/>
                <w:color w:val="000000"/>
                <w:sz w:val="22"/>
                <w:lang w:eastAsia="en-GB"/>
              </w:rPr>
              <w:t>22.2%</w:t>
            </w:r>
          </w:p>
        </w:tc>
        <w:tc>
          <w:tcPr>
            <w:tcW w:w="0" w:type="auto"/>
            <w:noWrap/>
            <w:hideMark/>
          </w:tcPr>
          <w:p w14:paraId="1D2651D6" w14:textId="77777777" w:rsidR="005F5299" w:rsidRPr="00C05886" w:rsidRDefault="005F5299" w:rsidP="005F5299">
            <w:pPr>
              <w:spacing w:line="240" w:lineRule="auto"/>
              <w:rPr>
                <w:rFonts w:ascii="Calibri" w:eastAsia="Times New Roman" w:hAnsi="Calibri" w:cs="Calibri"/>
                <w:color w:val="000000"/>
                <w:sz w:val="22"/>
                <w:lang w:eastAsia="en-GB"/>
              </w:rPr>
            </w:pPr>
            <w:r w:rsidRPr="00C05886">
              <w:rPr>
                <w:rFonts w:ascii="Calibri" w:eastAsia="Times New Roman" w:hAnsi="Calibri" w:cs="Calibri"/>
                <w:color w:val="000000"/>
                <w:sz w:val="22"/>
                <w:lang w:eastAsia="en-GB"/>
              </w:rPr>
              <w:t>5%</w:t>
            </w:r>
          </w:p>
        </w:tc>
        <w:tc>
          <w:tcPr>
            <w:tcW w:w="0" w:type="auto"/>
            <w:noWrap/>
            <w:hideMark/>
          </w:tcPr>
          <w:p w14:paraId="621E4BEB" w14:textId="77777777" w:rsidR="005F5299" w:rsidRPr="00C05886" w:rsidRDefault="005F5299" w:rsidP="005F5299">
            <w:pPr>
              <w:spacing w:line="240" w:lineRule="auto"/>
              <w:rPr>
                <w:rFonts w:ascii="Calibri" w:eastAsia="Times New Roman" w:hAnsi="Calibri" w:cs="Calibri"/>
                <w:color w:val="000000"/>
                <w:sz w:val="22"/>
                <w:lang w:eastAsia="en-GB"/>
              </w:rPr>
            </w:pPr>
            <w:r w:rsidRPr="00C05886">
              <w:rPr>
                <w:rFonts w:ascii="Calibri" w:eastAsia="Times New Roman" w:hAnsi="Calibri" w:cs="Calibri"/>
                <w:color w:val="000000"/>
                <w:sz w:val="22"/>
                <w:lang w:eastAsia="en-GB"/>
              </w:rPr>
              <w:t>6.8%</w:t>
            </w:r>
          </w:p>
        </w:tc>
      </w:tr>
      <w:tr w:rsidR="005F5299" w:rsidRPr="00C05886" w14:paraId="613694D3" w14:textId="77777777" w:rsidTr="00597138">
        <w:trPr>
          <w:trHeight w:val="170"/>
        </w:trPr>
        <w:tc>
          <w:tcPr>
            <w:tcW w:w="0" w:type="auto"/>
            <w:noWrap/>
            <w:hideMark/>
          </w:tcPr>
          <w:p w14:paraId="7ABD3356" w14:textId="77777777" w:rsidR="005F5299" w:rsidRPr="00C05886" w:rsidRDefault="005F5299" w:rsidP="005F5299">
            <w:pPr>
              <w:spacing w:line="240" w:lineRule="auto"/>
              <w:rPr>
                <w:rFonts w:ascii="Calibri" w:eastAsia="Times New Roman" w:hAnsi="Calibri" w:cs="Calibri"/>
                <w:color w:val="000000"/>
                <w:sz w:val="22"/>
                <w:lang w:eastAsia="en-GB"/>
              </w:rPr>
            </w:pPr>
            <w:r w:rsidRPr="00C05886">
              <w:rPr>
                <w:rFonts w:ascii="Calibri" w:eastAsia="Times New Roman" w:hAnsi="Calibri" w:cs="Calibri"/>
                <w:color w:val="000000"/>
                <w:sz w:val="22"/>
                <w:lang w:eastAsia="en-GB"/>
              </w:rPr>
              <w:t>Medium</w:t>
            </w:r>
          </w:p>
        </w:tc>
        <w:tc>
          <w:tcPr>
            <w:tcW w:w="0" w:type="auto"/>
            <w:noWrap/>
            <w:hideMark/>
          </w:tcPr>
          <w:p w14:paraId="47676C3E" w14:textId="77777777" w:rsidR="005F5299" w:rsidRPr="00C05886" w:rsidRDefault="005F5299" w:rsidP="005F5299">
            <w:pPr>
              <w:spacing w:line="240" w:lineRule="auto"/>
              <w:rPr>
                <w:rFonts w:ascii="Calibri" w:eastAsia="Times New Roman" w:hAnsi="Calibri" w:cs="Calibri"/>
                <w:color w:val="000000"/>
                <w:sz w:val="22"/>
                <w:lang w:eastAsia="en-GB"/>
              </w:rPr>
            </w:pPr>
            <w:r w:rsidRPr="00C05886">
              <w:rPr>
                <w:rFonts w:ascii="Calibri" w:eastAsia="Times New Roman" w:hAnsi="Calibri" w:cs="Calibri"/>
                <w:color w:val="000000"/>
                <w:sz w:val="22"/>
                <w:lang w:eastAsia="en-GB"/>
              </w:rPr>
              <w:t>51%</w:t>
            </w:r>
          </w:p>
        </w:tc>
        <w:tc>
          <w:tcPr>
            <w:tcW w:w="0" w:type="auto"/>
            <w:noWrap/>
            <w:hideMark/>
          </w:tcPr>
          <w:p w14:paraId="65B0660E" w14:textId="77777777" w:rsidR="005F5299" w:rsidRPr="00C05886" w:rsidRDefault="005F5299" w:rsidP="005F5299">
            <w:pPr>
              <w:spacing w:line="240" w:lineRule="auto"/>
              <w:rPr>
                <w:rFonts w:ascii="Calibri" w:eastAsia="Times New Roman" w:hAnsi="Calibri" w:cs="Calibri"/>
                <w:color w:val="000000"/>
                <w:sz w:val="22"/>
                <w:lang w:eastAsia="en-GB"/>
              </w:rPr>
            </w:pPr>
            <w:r w:rsidRPr="00C05886">
              <w:rPr>
                <w:rFonts w:ascii="Calibri" w:eastAsia="Times New Roman" w:hAnsi="Calibri" w:cs="Calibri"/>
                <w:color w:val="000000"/>
                <w:sz w:val="22"/>
                <w:lang w:eastAsia="en-GB"/>
              </w:rPr>
              <w:t>41.9%</w:t>
            </w:r>
          </w:p>
        </w:tc>
        <w:tc>
          <w:tcPr>
            <w:tcW w:w="0" w:type="auto"/>
            <w:noWrap/>
            <w:hideMark/>
          </w:tcPr>
          <w:p w14:paraId="3B4817A1" w14:textId="77777777" w:rsidR="005F5299" w:rsidRPr="00C05886" w:rsidRDefault="005F5299" w:rsidP="005F5299">
            <w:pPr>
              <w:spacing w:line="240" w:lineRule="auto"/>
              <w:rPr>
                <w:rFonts w:ascii="Calibri" w:eastAsia="Times New Roman" w:hAnsi="Calibri" w:cs="Calibri"/>
                <w:color w:val="000000"/>
                <w:sz w:val="22"/>
                <w:lang w:eastAsia="en-GB"/>
              </w:rPr>
            </w:pPr>
            <w:r w:rsidRPr="00C05886">
              <w:rPr>
                <w:rFonts w:ascii="Calibri" w:eastAsia="Times New Roman" w:hAnsi="Calibri" w:cs="Calibri"/>
                <w:color w:val="000000"/>
                <w:sz w:val="22"/>
                <w:lang w:eastAsia="en-GB"/>
              </w:rPr>
              <w:t>26.4%</w:t>
            </w:r>
          </w:p>
        </w:tc>
        <w:tc>
          <w:tcPr>
            <w:tcW w:w="0" w:type="auto"/>
            <w:noWrap/>
            <w:hideMark/>
          </w:tcPr>
          <w:p w14:paraId="57BF4E95" w14:textId="77777777" w:rsidR="005F5299" w:rsidRPr="00C05886" w:rsidRDefault="005F5299" w:rsidP="005F5299">
            <w:pPr>
              <w:spacing w:line="240" w:lineRule="auto"/>
              <w:rPr>
                <w:rFonts w:ascii="Calibri" w:eastAsia="Times New Roman" w:hAnsi="Calibri" w:cs="Calibri"/>
                <w:color w:val="000000"/>
                <w:sz w:val="22"/>
                <w:lang w:eastAsia="en-GB"/>
              </w:rPr>
            </w:pPr>
            <w:r w:rsidRPr="00C05886">
              <w:rPr>
                <w:rFonts w:ascii="Calibri" w:eastAsia="Times New Roman" w:hAnsi="Calibri" w:cs="Calibri"/>
                <w:color w:val="000000"/>
                <w:sz w:val="22"/>
                <w:lang w:eastAsia="en-GB"/>
              </w:rPr>
              <w:t>24.6%</w:t>
            </w:r>
          </w:p>
        </w:tc>
      </w:tr>
      <w:tr w:rsidR="005F5299" w:rsidRPr="00C05886" w14:paraId="52744E4B" w14:textId="77777777" w:rsidTr="00597138">
        <w:trPr>
          <w:trHeight w:val="170"/>
        </w:trPr>
        <w:tc>
          <w:tcPr>
            <w:tcW w:w="0" w:type="auto"/>
            <w:noWrap/>
            <w:hideMark/>
          </w:tcPr>
          <w:p w14:paraId="05F855AC" w14:textId="77777777" w:rsidR="005F5299" w:rsidRPr="00C05886" w:rsidRDefault="005F5299" w:rsidP="005F5299">
            <w:pPr>
              <w:spacing w:line="240" w:lineRule="auto"/>
              <w:rPr>
                <w:rFonts w:ascii="Calibri" w:eastAsia="Times New Roman" w:hAnsi="Calibri" w:cs="Calibri"/>
                <w:color w:val="000000"/>
                <w:sz w:val="22"/>
                <w:lang w:eastAsia="en-GB"/>
              </w:rPr>
            </w:pPr>
            <w:r w:rsidRPr="00C05886">
              <w:rPr>
                <w:rFonts w:ascii="Calibri" w:eastAsia="Times New Roman" w:hAnsi="Calibri" w:cs="Calibri"/>
                <w:color w:val="000000"/>
                <w:sz w:val="22"/>
                <w:lang w:eastAsia="en-GB"/>
              </w:rPr>
              <w:t>High</w:t>
            </w:r>
          </w:p>
        </w:tc>
        <w:tc>
          <w:tcPr>
            <w:tcW w:w="0" w:type="auto"/>
            <w:noWrap/>
            <w:hideMark/>
          </w:tcPr>
          <w:p w14:paraId="22FB53FE" w14:textId="77777777" w:rsidR="005F5299" w:rsidRPr="00C05886" w:rsidRDefault="005F5299" w:rsidP="005F5299">
            <w:pPr>
              <w:spacing w:line="240" w:lineRule="auto"/>
              <w:rPr>
                <w:rFonts w:ascii="Calibri" w:eastAsia="Times New Roman" w:hAnsi="Calibri" w:cs="Calibri"/>
                <w:color w:val="000000"/>
                <w:sz w:val="22"/>
                <w:lang w:eastAsia="en-GB"/>
              </w:rPr>
            </w:pPr>
            <w:r w:rsidRPr="00C05886">
              <w:rPr>
                <w:rFonts w:ascii="Calibri" w:eastAsia="Times New Roman" w:hAnsi="Calibri" w:cs="Calibri"/>
                <w:color w:val="000000"/>
                <w:sz w:val="22"/>
                <w:lang w:eastAsia="en-GB"/>
              </w:rPr>
              <w:t>25.9%</w:t>
            </w:r>
          </w:p>
        </w:tc>
        <w:tc>
          <w:tcPr>
            <w:tcW w:w="0" w:type="auto"/>
            <w:noWrap/>
            <w:hideMark/>
          </w:tcPr>
          <w:p w14:paraId="1ED20D12" w14:textId="77777777" w:rsidR="005F5299" w:rsidRPr="00C05886" w:rsidRDefault="005F5299" w:rsidP="005F5299">
            <w:pPr>
              <w:spacing w:line="240" w:lineRule="auto"/>
              <w:rPr>
                <w:rFonts w:ascii="Calibri" w:eastAsia="Times New Roman" w:hAnsi="Calibri" w:cs="Calibri"/>
                <w:color w:val="000000"/>
                <w:sz w:val="22"/>
                <w:lang w:eastAsia="en-GB"/>
              </w:rPr>
            </w:pPr>
            <w:r w:rsidRPr="00C05886">
              <w:rPr>
                <w:rFonts w:ascii="Calibri" w:eastAsia="Times New Roman" w:hAnsi="Calibri" w:cs="Calibri"/>
                <w:color w:val="000000"/>
                <w:sz w:val="22"/>
                <w:lang w:eastAsia="en-GB"/>
              </w:rPr>
              <w:t>35.8%</w:t>
            </w:r>
          </w:p>
        </w:tc>
        <w:tc>
          <w:tcPr>
            <w:tcW w:w="0" w:type="auto"/>
            <w:noWrap/>
            <w:hideMark/>
          </w:tcPr>
          <w:p w14:paraId="7B4C1E30" w14:textId="77777777" w:rsidR="005F5299" w:rsidRPr="00C05886" w:rsidRDefault="005F5299" w:rsidP="005F5299">
            <w:pPr>
              <w:spacing w:line="240" w:lineRule="auto"/>
              <w:rPr>
                <w:rFonts w:ascii="Calibri" w:eastAsia="Times New Roman" w:hAnsi="Calibri" w:cs="Calibri"/>
                <w:color w:val="000000"/>
                <w:sz w:val="22"/>
                <w:lang w:eastAsia="en-GB"/>
              </w:rPr>
            </w:pPr>
            <w:r w:rsidRPr="00C05886">
              <w:rPr>
                <w:rFonts w:ascii="Calibri" w:eastAsia="Times New Roman" w:hAnsi="Calibri" w:cs="Calibri"/>
                <w:color w:val="000000"/>
                <w:sz w:val="22"/>
                <w:lang w:eastAsia="en-GB"/>
              </w:rPr>
              <w:t>68.6%</w:t>
            </w:r>
          </w:p>
        </w:tc>
        <w:tc>
          <w:tcPr>
            <w:tcW w:w="0" w:type="auto"/>
            <w:noWrap/>
            <w:hideMark/>
          </w:tcPr>
          <w:p w14:paraId="322F0F8C" w14:textId="77777777" w:rsidR="005F5299" w:rsidRPr="00C05886" w:rsidRDefault="005F5299" w:rsidP="005F5299">
            <w:pPr>
              <w:spacing w:line="240" w:lineRule="auto"/>
              <w:rPr>
                <w:rFonts w:ascii="Calibri" w:eastAsia="Times New Roman" w:hAnsi="Calibri" w:cs="Calibri"/>
                <w:color w:val="000000"/>
                <w:sz w:val="22"/>
                <w:lang w:eastAsia="en-GB"/>
              </w:rPr>
            </w:pPr>
            <w:r w:rsidRPr="00C05886">
              <w:rPr>
                <w:rFonts w:ascii="Calibri" w:eastAsia="Times New Roman" w:hAnsi="Calibri" w:cs="Calibri"/>
                <w:color w:val="000000"/>
                <w:sz w:val="22"/>
                <w:lang w:eastAsia="en-GB"/>
              </w:rPr>
              <w:t>68.6%</w:t>
            </w:r>
          </w:p>
        </w:tc>
      </w:tr>
      <w:tr w:rsidR="005F5299" w:rsidRPr="00C05886" w14:paraId="51D165CB" w14:textId="77777777" w:rsidTr="00597138">
        <w:trPr>
          <w:trHeight w:val="170"/>
        </w:trPr>
        <w:tc>
          <w:tcPr>
            <w:tcW w:w="0" w:type="auto"/>
            <w:gridSpan w:val="5"/>
            <w:noWrap/>
            <w:hideMark/>
          </w:tcPr>
          <w:p w14:paraId="52EC6451" w14:textId="77777777" w:rsidR="005F5299" w:rsidRPr="00C05886" w:rsidRDefault="005F5299" w:rsidP="005F5299">
            <w:pPr>
              <w:spacing w:line="240" w:lineRule="auto"/>
              <w:rPr>
                <w:rFonts w:ascii="Times New Roman" w:eastAsia="Times New Roman" w:hAnsi="Times New Roman" w:cs="Times New Roman"/>
                <w:b/>
                <w:bCs/>
                <w:sz w:val="22"/>
                <w:lang w:eastAsia="en-GB"/>
              </w:rPr>
            </w:pPr>
            <w:r w:rsidRPr="00C05886">
              <w:rPr>
                <w:rFonts w:ascii="Calibri" w:eastAsia="Times New Roman" w:hAnsi="Calibri" w:cs="Calibri"/>
                <w:b/>
                <w:bCs/>
                <w:color w:val="000000"/>
                <w:sz w:val="22"/>
                <w:lang w:eastAsia="en-GB"/>
              </w:rPr>
              <w:t>Perceived biodiversity</w:t>
            </w:r>
          </w:p>
        </w:tc>
      </w:tr>
      <w:tr w:rsidR="005F5299" w:rsidRPr="00C05886" w14:paraId="5FD4E235" w14:textId="77777777" w:rsidTr="00597138">
        <w:trPr>
          <w:trHeight w:val="170"/>
        </w:trPr>
        <w:tc>
          <w:tcPr>
            <w:tcW w:w="0" w:type="auto"/>
            <w:noWrap/>
            <w:hideMark/>
          </w:tcPr>
          <w:p w14:paraId="693B0BF0" w14:textId="77777777" w:rsidR="005F5299" w:rsidRPr="00C05886" w:rsidRDefault="005F5299" w:rsidP="005F5299">
            <w:pPr>
              <w:spacing w:line="240" w:lineRule="auto"/>
              <w:rPr>
                <w:rFonts w:ascii="Calibri" w:eastAsia="Times New Roman" w:hAnsi="Calibri" w:cs="Calibri"/>
                <w:color w:val="000000"/>
                <w:sz w:val="22"/>
                <w:lang w:eastAsia="en-GB"/>
              </w:rPr>
            </w:pPr>
            <w:r w:rsidRPr="00C05886">
              <w:rPr>
                <w:rFonts w:ascii="Calibri" w:eastAsia="Times New Roman" w:hAnsi="Calibri" w:cs="Calibri"/>
                <w:color w:val="000000"/>
                <w:sz w:val="22"/>
                <w:lang w:eastAsia="en-GB"/>
              </w:rPr>
              <w:t>low</w:t>
            </w:r>
          </w:p>
        </w:tc>
        <w:tc>
          <w:tcPr>
            <w:tcW w:w="0" w:type="auto"/>
            <w:noWrap/>
            <w:hideMark/>
          </w:tcPr>
          <w:p w14:paraId="1945E54F" w14:textId="77777777" w:rsidR="005F5299" w:rsidRPr="00C05886" w:rsidRDefault="005F5299" w:rsidP="005F5299">
            <w:pPr>
              <w:spacing w:line="240" w:lineRule="auto"/>
              <w:rPr>
                <w:rFonts w:ascii="Calibri" w:eastAsia="Times New Roman" w:hAnsi="Calibri" w:cs="Calibri"/>
                <w:color w:val="000000"/>
                <w:sz w:val="22"/>
                <w:lang w:eastAsia="en-GB"/>
              </w:rPr>
            </w:pPr>
            <w:r w:rsidRPr="00C05886">
              <w:rPr>
                <w:rFonts w:ascii="Calibri" w:eastAsia="Times New Roman" w:hAnsi="Calibri" w:cs="Calibri"/>
                <w:color w:val="000000"/>
                <w:sz w:val="22"/>
                <w:lang w:eastAsia="en-GB"/>
              </w:rPr>
              <w:t>10.4%</w:t>
            </w:r>
          </w:p>
        </w:tc>
        <w:tc>
          <w:tcPr>
            <w:tcW w:w="0" w:type="auto"/>
            <w:noWrap/>
            <w:hideMark/>
          </w:tcPr>
          <w:p w14:paraId="297AC97D" w14:textId="77777777" w:rsidR="005F5299" w:rsidRPr="00C05886" w:rsidRDefault="005F5299" w:rsidP="005F5299">
            <w:pPr>
              <w:spacing w:line="240" w:lineRule="auto"/>
              <w:rPr>
                <w:rFonts w:ascii="Calibri" w:eastAsia="Times New Roman" w:hAnsi="Calibri" w:cs="Calibri"/>
                <w:color w:val="000000"/>
                <w:sz w:val="22"/>
                <w:lang w:eastAsia="en-GB"/>
              </w:rPr>
            </w:pPr>
            <w:r w:rsidRPr="00C05886">
              <w:rPr>
                <w:rFonts w:ascii="Calibri" w:eastAsia="Times New Roman" w:hAnsi="Calibri" w:cs="Calibri"/>
                <w:color w:val="000000"/>
                <w:sz w:val="22"/>
                <w:lang w:eastAsia="en-GB"/>
              </w:rPr>
              <w:t>7.8%</w:t>
            </w:r>
          </w:p>
        </w:tc>
        <w:tc>
          <w:tcPr>
            <w:tcW w:w="0" w:type="auto"/>
            <w:noWrap/>
            <w:hideMark/>
          </w:tcPr>
          <w:p w14:paraId="66908651" w14:textId="77777777" w:rsidR="005F5299" w:rsidRPr="00C05886" w:rsidRDefault="005F5299" w:rsidP="005F5299">
            <w:pPr>
              <w:spacing w:line="240" w:lineRule="auto"/>
              <w:rPr>
                <w:rFonts w:ascii="Calibri" w:eastAsia="Times New Roman" w:hAnsi="Calibri" w:cs="Calibri"/>
                <w:color w:val="000000"/>
                <w:sz w:val="22"/>
                <w:lang w:eastAsia="en-GB"/>
              </w:rPr>
            </w:pPr>
            <w:r w:rsidRPr="00C05886">
              <w:rPr>
                <w:rFonts w:ascii="Calibri" w:eastAsia="Times New Roman" w:hAnsi="Calibri" w:cs="Calibri"/>
                <w:color w:val="000000"/>
                <w:sz w:val="22"/>
                <w:lang w:eastAsia="en-GB"/>
              </w:rPr>
              <w:t>28.8%</w:t>
            </w:r>
          </w:p>
        </w:tc>
        <w:tc>
          <w:tcPr>
            <w:tcW w:w="0" w:type="auto"/>
            <w:noWrap/>
            <w:hideMark/>
          </w:tcPr>
          <w:p w14:paraId="517DBD52" w14:textId="77777777" w:rsidR="005F5299" w:rsidRPr="00C05886" w:rsidRDefault="005F5299" w:rsidP="005F5299">
            <w:pPr>
              <w:spacing w:line="240" w:lineRule="auto"/>
              <w:rPr>
                <w:rFonts w:ascii="Calibri" w:eastAsia="Times New Roman" w:hAnsi="Calibri" w:cs="Calibri"/>
                <w:color w:val="000000"/>
                <w:sz w:val="22"/>
                <w:lang w:eastAsia="en-GB"/>
              </w:rPr>
            </w:pPr>
            <w:r w:rsidRPr="00C05886">
              <w:rPr>
                <w:rFonts w:ascii="Calibri" w:eastAsia="Times New Roman" w:hAnsi="Calibri" w:cs="Calibri"/>
                <w:color w:val="000000"/>
                <w:sz w:val="22"/>
                <w:lang w:eastAsia="en-GB"/>
              </w:rPr>
              <w:t>34.9%</w:t>
            </w:r>
          </w:p>
        </w:tc>
      </w:tr>
      <w:tr w:rsidR="005F5299" w:rsidRPr="00C05886" w14:paraId="00DB009B" w14:textId="77777777" w:rsidTr="00597138">
        <w:trPr>
          <w:trHeight w:val="170"/>
        </w:trPr>
        <w:tc>
          <w:tcPr>
            <w:tcW w:w="0" w:type="auto"/>
            <w:noWrap/>
            <w:hideMark/>
          </w:tcPr>
          <w:p w14:paraId="04F6E8EB" w14:textId="77777777" w:rsidR="005F5299" w:rsidRPr="00C05886" w:rsidRDefault="005F5299" w:rsidP="005F5299">
            <w:pPr>
              <w:spacing w:line="240" w:lineRule="auto"/>
              <w:rPr>
                <w:rFonts w:ascii="Calibri" w:eastAsia="Times New Roman" w:hAnsi="Calibri" w:cs="Calibri"/>
                <w:color w:val="000000"/>
                <w:sz w:val="22"/>
                <w:lang w:eastAsia="en-GB"/>
              </w:rPr>
            </w:pPr>
            <w:r w:rsidRPr="00C05886">
              <w:rPr>
                <w:rFonts w:ascii="Calibri" w:eastAsia="Times New Roman" w:hAnsi="Calibri" w:cs="Calibri"/>
                <w:color w:val="000000"/>
                <w:sz w:val="22"/>
                <w:lang w:eastAsia="en-GB"/>
              </w:rPr>
              <w:t>medium</w:t>
            </w:r>
          </w:p>
        </w:tc>
        <w:tc>
          <w:tcPr>
            <w:tcW w:w="0" w:type="auto"/>
            <w:noWrap/>
            <w:hideMark/>
          </w:tcPr>
          <w:p w14:paraId="0F5234CC" w14:textId="77777777" w:rsidR="005F5299" w:rsidRPr="00C05886" w:rsidRDefault="005F5299" w:rsidP="005F5299">
            <w:pPr>
              <w:spacing w:line="240" w:lineRule="auto"/>
              <w:rPr>
                <w:rFonts w:ascii="Calibri" w:eastAsia="Times New Roman" w:hAnsi="Calibri" w:cs="Calibri"/>
                <w:color w:val="000000"/>
                <w:sz w:val="22"/>
                <w:lang w:eastAsia="en-GB"/>
              </w:rPr>
            </w:pPr>
            <w:r w:rsidRPr="00C05886">
              <w:rPr>
                <w:rFonts w:ascii="Calibri" w:eastAsia="Times New Roman" w:hAnsi="Calibri" w:cs="Calibri"/>
                <w:color w:val="000000"/>
                <w:sz w:val="22"/>
                <w:lang w:eastAsia="en-GB"/>
              </w:rPr>
              <w:t>29.2%</w:t>
            </w:r>
          </w:p>
        </w:tc>
        <w:tc>
          <w:tcPr>
            <w:tcW w:w="0" w:type="auto"/>
            <w:noWrap/>
            <w:hideMark/>
          </w:tcPr>
          <w:p w14:paraId="5FC03D24" w14:textId="77777777" w:rsidR="005F5299" w:rsidRPr="00C05886" w:rsidRDefault="005F5299" w:rsidP="005F5299">
            <w:pPr>
              <w:spacing w:line="240" w:lineRule="auto"/>
              <w:rPr>
                <w:rFonts w:ascii="Calibri" w:eastAsia="Times New Roman" w:hAnsi="Calibri" w:cs="Calibri"/>
                <w:color w:val="000000"/>
                <w:sz w:val="22"/>
                <w:lang w:eastAsia="en-GB"/>
              </w:rPr>
            </w:pPr>
            <w:r w:rsidRPr="00C05886">
              <w:rPr>
                <w:rFonts w:ascii="Calibri" w:eastAsia="Times New Roman" w:hAnsi="Calibri" w:cs="Calibri"/>
                <w:color w:val="000000"/>
                <w:sz w:val="22"/>
                <w:lang w:eastAsia="en-GB"/>
              </w:rPr>
              <w:t>33.1%</w:t>
            </w:r>
          </w:p>
        </w:tc>
        <w:tc>
          <w:tcPr>
            <w:tcW w:w="0" w:type="auto"/>
            <w:noWrap/>
            <w:hideMark/>
          </w:tcPr>
          <w:p w14:paraId="6CF66F68" w14:textId="77777777" w:rsidR="005F5299" w:rsidRPr="00C05886" w:rsidRDefault="005F5299" w:rsidP="005F5299">
            <w:pPr>
              <w:spacing w:line="240" w:lineRule="auto"/>
              <w:rPr>
                <w:rFonts w:ascii="Calibri" w:eastAsia="Times New Roman" w:hAnsi="Calibri" w:cs="Calibri"/>
                <w:color w:val="000000"/>
                <w:sz w:val="22"/>
                <w:lang w:eastAsia="en-GB"/>
              </w:rPr>
            </w:pPr>
            <w:r w:rsidRPr="00C05886">
              <w:rPr>
                <w:rFonts w:ascii="Calibri" w:eastAsia="Times New Roman" w:hAnsi="Calibri" w:cs="Calibri"/>
                <w:color w:val="000000"/>
                <w:sz w:val="22"/>
                <w:lang w:eastAsia="en-GB"/>
              </w:rPr>
              <w:t>40.9%</w:t>
            </w:r>
          </w:p>
        </w:tc>
        <w:tc>
          <w:tcPr>
            <w:tcW w:w="0" w:type="auto"/>
            <w:noWrap/>
            <w:hideMark/>
          </w:tcPr>
          <w:p w14:paraId="451CE71C" w14:textId="77777777" w:rsidR="005F5299" w:rsidRPr="00C05886" w:rsidRDefault="005F5299" w:rsidP="005F5299">
            <w:pPr>
              <w:spacing w:line="240" w:lineRule="auto"/>
              <w:rPr>
                <w:rFonts w:ascii="Calibri" w:eastAsia="Times New Roman" w:hAnsi="Calibri" w:cs="Calibri"/>
                <w:color w:val="000000"/>
                <w:sz w:val="22"/>
                <w:lang w:eastAsia="en-GB"/>
              </w:rPr>
            </w:pPr>
            <w:r w:rsidRPr="00C05886">
              <w:rPr>
                <w:rFonts w:ascii="Calibri" w:eastAsia="Times New Roman" w:hAnsi="Calibri" w:cs="Calibri"/>
                <w:color w:val="000000"/>
                <w:sz w:val="22"/>
                <w:lang w:eastAsia="en-GB"/>
              </w:rPr>
              <w:t>38%</w:t>
            </w:r>
          </w:p>
        </w:tc>
      </w:tr>
      <w:tr w:rsidR="005F5299" w:rsidRPr="00C05886" w14:paraId="6C0B3ABC" w14:textId="77777777" w:rsidTr="00597138">
        <w:trPr>
          <w:trHeight w:val="170"/>
        </w:trPr>
        <w:tc>
          <w:tcPr>
            <w:tcW w:w="0" w:type="auto"/>
            <w:noWrap/>
            <w:hideMark/>
          </w:tcPr>
          <w:p w14:paraId="6CB2EF35" w14:textId="77777777" w:rsidR="005F5299" w:rsidRPr="00C05886" w:rsidRDefault="005F5299" w:rsidP="005F5299">
            <w:pPr>
              <w:spacing w:line="240" w:lineRule="auto"/>
              <w:rPr>
                <w:rFonts w:ascii="Calibri" w:eastAsia="Times New Roman" w:hAnsi="Calibri" w:cs="Calibri"/>
                <w:color w:val="000000"/>
                <w:sz w:val="22"/>
                <w:lang w:eastAsia="en-GB"/>
              </w:rPr>
            </w:pPr>
            <w:r w:rsidRPr="00C05886">
              <w:rPr>
                <w:rFonts w:ascii="Calibri" w:eastAsia="Times New Roman" w:hAnsi="Calibri" w:cs="Calibri"/>
                <w:color w:val="000000"/>
                <w:sz w:val="22"/>
                <w:lang w:eastAsia="en-GB"/>
              </w:rPr>
              <w:t>high</w:t>
            </w:r>
          </w:p>
        </w:tc>
        <w:tc>
          <w:tcPr>
            <w:tcW w:w="0" w:type="auto"/>
            <w:noWrap/>
            <w:hideMark/>
          </w:tcPr>
          <w:p w14:paraId="278FA73D" w14:textId="77777777" w:rsidR="005F5299" w:rsidRPr="00C05886" w:rsidRDefault="005F5299" w:rsidP="005F5299">
            <w:pPr>
              <w:spacing w:line="240" w:lineRule="auto"/>
              <w:rPr>
                <w:rFonts w:ascii="Calibri" w:eastAsia="Times New Roman" w:hAnsi="Calibri" w:cs="Calibri"/>
                <w:color w:val="000000"/>
                <w:sz w:val="22"/>
                <w:lang w:eastAsia="en-GB"/>
              </w:rPr>
            </w:pPr>
            <w:r w:rsidRPr="00C05886">
              <w:rPr>
                <w:rFonts w:ascii="Calibri" w:eastAsia="Times New Roman" w:hAnsi="Calibri" w:cs="Calibri"/>
                <w:color w:val="000000"/>
                <w:sz w:val="22"/>
                <w:lang w:eastAsia="en-GB"/>
              </w:rPr>
              <w:t>60.5%</w:t>
            </w:r>
          </w:p>
        </w:tc>
        <w:tc>
          <w:tcPr>
            <w:tcW w:w="0" w:type="auto"/>
            <w:noWrap/>
            <w:hideMark/>
          </w:tcPr>
          <w:p w14:paraId="4D0F8C3A" w14:textId="77777777" w:rsidR="005F5299" w:rsidRPr="00C05886" w:rsidRDefault="005F5299" w:rsidP="005F5299">
            <w:pPr>
              <w:spacing w:line="240" w:lineRule="auto"/>
              <w:rPr>
                <w:rFonts w:ascii="Calibri" w:eastAsia="Times New Roman" w:hAnsi="Calibri" w:cs="Calibri"/>
                <w:color w:val="000000"/>
                <w:sz w:val="22"/>
                <w:lang w:eastAsia="en-GB"/>
              </w:rPr>
            </w:pPr>
            <w:r w:rsidRPr="00C05886">
              <w:rPr>
                <w:rFonts w:ascii="Calibri" w:eastAsia="Times New Roman" w:hAnsi="Calibri" w:cs="Calibri"/>
                <w:color w:val="000000"/>
                <w:sz w:val="22"/>
                <w:lang w:eastAsia="en-GB"/>
              </w:rPr>
              <w:t>59.1%</w:t>
            </w:r>
          </w:p>
        </w:tc>
        <w:tc>
          <w:tcPr>
            <w:tcW w:w="0" w:type="auto"/>
            <w:noWrap/>
            <w:hideMark/>
          </w:tcPr>
          <w:p w14:paraId="68836855" w14:textId="77777777" w:rsidR="005F5299" w:rsidRPr="00C05886" w:rsidRDefault="005F5299" w:rsidP="005F5299">
            <w:pPr>
              <w:spacing w:line="240" w:lineRule="auto"/>
              <w:rPr>
                <w:rFonts w:ascii="Calibri" w:eastAsia="Times New Roman" w:hAnsi="Calibri" w:cs="Calibri"/>
                <w:color w:val="000000"/>
                <w:sz w:val="22"/>
                <w:lang w:eastAsia="en-GB"/>
              </w:rPr>
            </w:pPr>
            <w:r w:rsidRPr="00C05886">
              <w:rPr>
                <w:rFonts w:ascii="Calibri" w:eastAsia="Times New Roman" w:hAnsi="Calibri" w:cs="Calibri"/>
                <w:color w:val="000000"/>
                <w:sz w:val="22"/>
                <w:lang w:eastAsia="en-GB"/>
              </w:rPr>
              <w:t>30.3%</w:t>
            </w:r>
          </w:p>
        </w:tc>
        <w:tc>
          <w:tcPr>
            <w:tcW w:w="0" w:type="auto"/>
            <w:noWrap/>
            <w:hideMark/>
          </w:tcPr>
          <w:p w14:paraId="144667DD" w14:textId="77777777" w:rsidR="005F5299" w:rsidRPr="00C05886" w:rsidRDefault="005F5299" w:rsidP="005F5299">
            <w:pPr>
              <w:spacing w:line="240" w:lineRule="auto"/>
              <w:rPr>
                <w:rFonts w:ascii="Calibri" w:eastAsia="Times New Roman" w:hAnsi="Calibri" w:cs="Calibri"/>
                <w:color w:val="000000"/>
                <w:sz w:val="22"/>
                <w:lang w:eastAsia="en-GB"/>
              </w:rPr>
            </w:pPr>
            <w:r w:rsidRPr="00C05886">
              <w:rPr>
                <w:rFonts w:ascii="Calibri" w:eastAsia="Times New Roman" w:hAnsi="Calibri" w:cs="Calibri"/>
                <w:color w:val="000000"/>
                <w:sz w:val="22"/>
                <w:lang w:eastAsia="en-GB"/>
              </w:rPr>
              <w:t>27.1%</w:t>
            </w:r>
          </w:p>
        </w:tc>
      </w:tr>
      <w:tr w:rsidR="005F5299" w:rsidRPr="00C05886" w14:paraId="79930E01" w14:textId="77777777" w:rsidTr="00597138">
        <w:trPr>
          <w:trHeight w:val="170"/>
        </w:trPr>
        <w:tc>
          <w:tcPr>
            <w:tcW w:w="0" w:type="auto"/>
            <w:gridSpan w:val="5"/>
            <w:noWrap/>
            <w:hideMark/>
          </w:tcPr>
          <w:p w14:paraId="05D93A02" w14:textId="77777777" w:rsidR="005F5299" w:rsidRPr="00C05886" w:rsidRDefault="005F5299" w:rsidP="005F5299">
            <w:pPr>
              <w:spacing w:line="240" w:lineRule="auto"/>
              <w:rPr>
                <w:rFonts w:ascii="Calibri" w:eastAsia="Times New Roman" w:hAnsi="Calibri" w:cs="Calibri"/>
                <w:b/>
                <w:bCs/>
                <w:color w:val="000000"/>
                <w:sz w:val="22"/>
                <w:lang w:eastAsia="en-GB"/>
              </w:rPr>
            </w:pPr>
            <w:r w:rsidRPr="00C05886">
              <w:rPr>
                <w:rFonts w:ascii="Calibri" w:eastAsia="Times New Roman" w:hAnsi="Calibri" w:cs="Calibri"/>
                <w:b/>
                <w:bCs/>
                <w:color w:val="000000"/>
                <w:sz w:val="22"/>
                <w:lang w:eastAsia="en-GB"/>
              </w:rPr>
              <w:t>Perceived biodiversity by park variation - all experiments pooled together</w:t>
            </w:r>
          </w:p>
        </w:tc>
      </w:tr>
      <w:tr w:rsidR="005F5299" w:rsidRPr="00C05886" w14:paraId="0FB5B56A" w14:textId="77777777" w:rsidTr="00597138">
        <w:trPr>
          <w:trHeight w:val="170"/>
        </w:trPr>
        <w:tc>
          <w:tcPr>
            <w:tcW w:w="0" w:type="auto"/>
            <w:noWrap/>
          </w:tcPr>
          <w:p w14:paraId="198D2DCF" w14:textId="77777777" w:rsidR="005F5299" w:rsidRPr="00C05886" w:rsidRDefault="005F5299" w:rsidP="005F5299">
            <w:pPr>
              <w:spacing w:line="240" w:lineRule="auto"/>
              <w:rPr>
                <w:rFonts w:ascii="Calibri" w:eastAsia="Times New Roman" w:hAnsi="Calibri" w:cs="Calibri"/>
                <w:color w:val="000000"/>
                <w:sz w:val="22"/>
                <w:lang w:eastAsia="en-GB"/>
              </w:rPr>
            </w:pPr>
          </w:p>
        </w:tc>
        <w:tc>
          <w:tcPr>
            <w:tcW w:w="0" w:type="auto"/>
            <w:noWrap/>
          </w:tcPr>
          <w:p w14:paraId="582311F9" w14:textId="77777777" w:rsidR="005F5299" w:rsidRPr="00C05886" w:rsidRDefault="005F5299" w:rsidP="005F5299">
            <w:pPr>
              <w:spacing w:line="240" w:lineRule="auto"/>
              <w:rPr>
                <w:rFonts w:ascii="Calibri" w:eastAsia="Times New Roman" w:hAnsi="Calibri" w:cs="Calibri"/>
                <w:b/>
                <w:bCs/>
                <w:color w:val="000000"/>
                <w:sz w:val="22"/>
                <w:lang w:eastAsia="en-GB"/>
              </w:rPr>
            </w:pPr>
            <w:r w:rsidRPr="00C05886">
              <w:rPr>
                <w:rFonts w:ascii="Calibri" w:eastAsia="Times New Roman" w:hAnsi="Calibri" w:cs="Calibri"/>
                <w:b/>
                <w:bCs/>
                <w:color w:val="000000"/>
                <w:sz w:val="22"/>
                <w:lang w:eastAsia="en-GB"/>
              </w:rPr>
              <w:t>HBHC</w:t>
            </w:r>
          </w:p>
        </w:tc>
        <w:tc>
          <w:tcPr>
            <w:tcW w:w="0" w:type="auto"/>
            <w:noWrap/>
          </w:tcPr>
          <w:p w14:paraId="54756B00" w14:textId="77777777" w:rsidR="005F5299" w:rsidRPr="00C05886" w:rsidRDefault="005F5299" w:rsidP="005F5299">
            <w:pPr>
              <w:spacing w:line="240" w:lineRule="auto"/>
              <w:rPr>
                <w:rFonts w:ascii="Calibri" w:eastAsia="Times New Roman" w:hAnsi="Calibri" w:cs="Calibri"/>
                <w:b/>
                <w:bCs/>
                <w:color w:val="000000"/>
                <w:sz w:val="22"/>
                <w:lang w:eastAsia="en-GB"/>
              </w:rPr>
            </w:pPr>
            <w:r w:rsidRPr="00C05886">
              <w:rPr>
                <w:rFonts w:ascii="Calibri" w:eastAsia="Times New Roman" w:hAnsi="Calibri" w:cs="Calibri"/>
                <w:b/>
                <w:bCs/>
                <w:color w:val="000000"/>
                <w:sz w:val="22"/>
                <w:lang w:eastAsia="en-GB"/>
              </w:rPr>
              <w:t>HBLC</w:t>
            </w:r>
          </w:p>
        </w:tc>
        <w:tc>
          <w:tcPr>
            <w:tcW w:w="0" w:type="auto"/>
            <w:noWrap/>
          </w:tcPr>
          <w:p w14:paraId="3796CE45" w14:textId="77777777" w:rsidR="005F5299" w:rsidRPr="00C05886" w:rsidRDefault="005F5299" w:rsidP="005F5299">
            <w:pPr>
              <w:spacing w:line="240" w:lineRule="auto"/>
              <w:rPr>
                <w:rFonts w:ascii="Calibri" w:eastAsia="Times New Roman" w:hAnsi="Calibri" w:cs="Calibri"/>
                <w:b/>
                <w:bCs/>
                <w:color w:val="000000"/>
                <w:sz w:val="22"/>
                <w:lang w:eastAsia="en-GB"/>
              </w:rPr>
            </w:pPr>
            <w:r w:rsidRPr="00C05886">
              <w:rPr>
                <w:rFonts w:ascii="Calibri" w:eastAsia="Times New Roman" w:hAnsi="Calibri" w:cs="Calibri"/>
                <w:b/>
                <w:bCs/>
                <w:color w:val="000000"/>
                <w:sz w:val="22"/>
                <w:lang w:eastAsia="en-GB"/>
              </w:rPr>
              <w:t>LBHC</w:t>
            </w:r>
          </w:p>
        </w:tc>
        <w:tc>
          <w:tcPr>
            <w:tcW w:w="0" w:type="auto"/>
            <w:noWrap/>
          </w:tcPr>
          <w:p w14:paraId="2F73FCCB" w14:textId="77777777" w:rsidR="005F5299" w:rsidRPr="00C05886" w:rsidRDefault="005F5299" w:rsidP="005F5299">
            <w:pPr>
              <w:spacing w:line="240" w:lineRule="auto"/>
              <w:rPr>
                <w:rFonts w:ascii="Calibri" w:eastAsia="Times New Roman" w:hAnsi="Calibri" w:cs="Calibri"/>
                <w:b/>
                <w:bCs/>
                <w:color w:val="000000"/>
                <w:sz w:val="22"/>
                <w:lang w:eastAsia="en-GB"/>
              </w:rPr>
            </w:pPr>
            <w:r w:rsidRPr="00C05886">
              <w:rPr>
                <w:rFonts w:ascii="Calibri" w:eastAsia="Times New Roman" w:hAnsi="Calibri" w:cs="Calibri"/>
                <w:b/>
                <w:bCs/>
                <w:color w:val="000000"/>
                <w:sz w:val="22"/>
                <w:lang w:eastAsia="en-GB"/>
              </w:rPr>
              <w:t>LBLC</w:t>
            </w:r>
          </w:p>
        </w:tc>
      </w:tr>
      <w:tr w:rsidR="005F5299" w:rsidRPr="00C05886" w14:paraId="135225F9" w14:textId="77777777" w:rsidTr="00597138">
        <w:trPr>
          <w:trHeight w:val="170"/>
        </w:trPr>
        <w:tc>
          <w:tcPr>
            <w:tcW w:w="0" w:type="auto"/>
            <w:noWrap/>
            <w:hideMark/>
          </w:tcPr>
          <w:p w14:paraId="48FD69CA" w14:textId="77777777" w:rsidR="005F5299" w:rsidRPr="00C05886" w:rsidRDefault="005F5299" w:rsidP="005F5299">
            <w:pPr>
              <w:spacing w:line="240" w:lineRule="auto"/>
              <w:rPr>
                <w:rFonts w:ascii="Calibri" w:eastAsia="Times New Roman" w:hAnsi="Calibri" w:cs="Calibri"/>
                <w:color w:val="000000"/>
                <w:sz w:val="22"/>
                <w:lang w:eastAsia="en-GB"/>
              </w:rPr>
            </w:pPr>
            <w:r w:rsidRPr="00C05886">
              <w:rPr>
                <w:rFonts w:ascii="Calibri" w:eastAsia="Times New Roman" w:hAnsi="Calibri" w:cs="Calibri"/>
                <w:color w:val="000000"/>
                <w:sz w:val="22"/>
                <w:lang w:eastAsia="en-GB"/>
              </w:rPr>
              <w:t>Low</w:t>
            </w:r>
          </w:p>
        </w:tc>
        <w:tc>
          <w:tcPr>
            <w:tcW w:w="0" w:type="auto"/>
            <w:noWrap/>
            <w:hideMark/>
          </w:tcPr>
          <w:p w14:paraId="3CD052C2" w14:textId="77777777" w:rsidR="005F5299" w:rsidRPr="00C05886" w:rsidRDefault="005F5299" w:rsidP="005F5299">
            <w:pPr>
              <w:spacing w:line="240" w:lineRule="auto"/>
              <w:jc w:val="right"/>
              <w:rPr>
                <w:rFonts w:ascii="Calibri" w:eastAsia="Times New Roman" w:hAnsi="Calibri" w:cs="Calibri"/>
                <w:color w:val="000000"/>
                <w:sz w:val="22"/>
                <w:lang w:eastAsia="en-GB"/>
              </w:rPr>
            </w:pPr>
            <w:r w:rsidRPr="00C05886">
              <w:rPr>
                <w:rFonts w:ascii="Calibri" w:eastAsia="Times New Roman" w:hAnsi="Calibri" w:cs="Calibri"/>
                <w:color w:val="000000"/>
                <w:sz w:val="22"/>
                <w:lang w:eastAsia="en-GB"/>
              </w:rPr>
              <w:t>20.4%</w:t>
            </w:r>
          </w:p>
        </w:tc>
        <w:tc>
          <w:tcPr>
            <w:tcW w:w="0" w:type="auto"/>
            <w:noWrap/>
            <w:hideMark/>
          </w:tcPr>
          <w:p w14:paraId="1F03B74B" w14:textId="77777777" w:rsidR="005F5299" w:rsidRPr="00C05886" w:rsidRDefault="005F5299" w:rsidP="005F5299">
            <w:pPr>
              <w:spacing w:line="240" w:lineRule="auto"/>
              <w:jc w:val="right"/>
              <w:rPr>
                <w:rFonts w:ascii="Calibri" w:eastAsia="Times New Roman" w:hAnsi="Calibri" w:cs="Calibri"/>
                <w:color w:val="000000"/>
                <w:sz w:val="22"/>
                <w:lang w:eastAsia="en-GB"/>
              </w:rPr>
            </w:pPr>
            <w:r w:rsidRPr="00C05886">
              <w:rPr>
                <w:rFonts w:ascii="Calibri" w:eastAsia="Times New Roman" w:hAnsi="Calibri" w:cs="Calibri"/>
                <w:color w:val="000000"/>
                <w:sz w:val="22"/>
                <w:lang w:eastAsia="en-GB"/>
              </w:rPr>
              <w:t>18.7%</w:t>
            </w:r>
          </w:p>
        </w:tc>
        <w:tc>
          <w:tcPr>
            <w:tcW w:w="0" w:type="auto"/>
            <w:noWrap/>
            <w:hideMark/>
          </w:tcPr>
          <w:p w14:paraId="6C9B716A" w14:textId="77777777" w:rsidR="005F5299" w:rsidRPr="00C05886" w:rsidRDefault="005F5299" w:rsidP="005F5299">
            <w:pPr>
              <w:spacing w:line="240" w:lineRule="auto"/>
              <w:jc w:val="right"/>
              <w:rPr>
                <w:rFonts w:ascii="Calibri" w:eastAsia="Times New Roman" w:hAnsi="Calibri" w:cs="Calibri"/>
                <w:color w:val="000000"/>
                <w:sz w:val="22"/>
                <w:lang w:eastAsia="en-GB"/>
              </w:rPr>
            </w:pPr>
            <w:r w:rsidRPr="00C05886">
              <w:rPr>
                <w:rFonts w:ascii="Calibri" w:eastAsia="Times New Roman" w:hAnsi="Calibri" w:cs="Calibri"/>
                <w:color w:val="000000"/>
                <w:sz w:val="22"/>
                <w:lang w:eastAsia="en-GB"/>
              </w:rPr>
              <w:t>17.4%</w:t>
            </w:r>
          </w:p>
        </w:tc>
        <w:tc>
          <w:tcPr>
            <w:tcW w:w="0" w:type="auto"/>
            <w:noWrap/>
            <w:hideMark/>
          </w:tcPr>
          <w:p w14:paraId="225AE00D" w14:textId="77777777" w:rsidR="005F5299" w:rsidRPr="00C05886" w:rsidRDefault="005F5299" w:rsidP="005F5299">
            <w:pPr>
              <w:spacing w:line="240" w:lineRule="auto"/>
              <w:jc w:val="right"/>
              <w:rPr>
                <w:rFonts w:ascii="Calibri" w:eastAsia="Times New Roman" w:hAnsi="Calibri" w:cs="Calibri"/>
                <w:color w:val="000000"/>
                <w:sz w:val="22"/>
                <w:lang w:eastAsia="en-GB"/>
              </w:rPr>
            </w:pPr>
            <w:r w:rsidRPr="00C05886">
              <w:rPr>
                <w:rFonts w:ascii="Calibri" w:eastAsia="Times New Roman" w:hAnsi="Calibri" w:cs="Calibri"/>
                <w:color w:val="000000"/>
                <w:sz w:val="22"/>
                <w:lang w:eastAsia="en-GB"/>
              </w:rPr>
              <w:t>20.9%</w:t>
            </w:r>
          </w:p>
        </w:tc>
      </w:tr>
      <w:tr w:rsidR="005F5299" w:rsidRPr="00C05886" w14:paraId="6ABC54B7" w14:textId="77777777" w:rsidTr="00597138">
        <w:trPr>
          <w:trHeight w:val="170"/>
        </w:trPr>
        <w:tc>
          <w:tcPr>
            <w:tcW w:w="0" w:type="auto"/>
            <w:noWrap/>
            <w:hideMark/>
          </w:tcPr>
          <w:p w14:paraId="51876D5D" w14:textId="77777777" w:rsidR="005F5299" w:rsidRPr="00C05886" w:rsidRDefault="005F5299" w:rsidP="005F5299">
            <w:pPr>
              <w:spacing w:line="240" w:lineRule="auto"/>
              <w:rPr>
                <w:rFonts w:ascii="Calibri" w:eastAsia="Times New Roman" w:hAnsi="Calibri" w:cs="Calibri"/>
                <w:color w:val="000000"/>
                <w:sz w:val="22"/>
                <w:lang w:eastAsia="en-GB"/>
              </w:rPr>
            </w:pPr>
            <w:r w:rsidRPr="00C05886">
              <w:rPr>
                <w:rFonts w:ascii="Calibri" w:eastAsia="Times New Roman" w:hAnsi="Calibri" w:cs="Calibri"/>
                <w:color w:val="000000"/>
                <w:sz w:val="22"/>
                <w:lang w:eastAsia="en-GB"/>
              </w:rPr>
              <w:t>Medium</w:t>
            </w:r>
          </w:p>
        </w:tc>
        <w:tc>
          <w:tcPr>
            <w:tcW w:w="0" w:type="auto"/>
            <w:noWrap/>
            <w:hideMark/>
          </w:tcPr>
          <w:p w14:paraId="537B738F" w14:textId="77777777" w:rsidR="005F5299" w:rsidRPr="00C05886" w:rsidRDefault="005F5299" w:rsidP="005F5299">
            <w:pPr>
              <w:spacing w:line="240" w:lineRule="auto"/>
              <w:jc w:val="right"/>
              <w:rPr>
                <w:rFonts w:ascii="Calibri" w:eastAsia="Times New Roman" w:hAnsi="Calibri" w:cs="Calibri"/>
                <w:color w:val="000000"/>
                <w:sz w:val="22"/>
                <w:lang w:eastAsia="en-GB"/>
              </w:rPr>
            </w:pPr>
            <w:r w:rsidRPr="00C05886">
              <w:rPr>
                <w:rFonts w:ascii="Calibri" w:eastAsia="Times New Roman" w:hAnsi="Calibri" w:cs="Calibri"/>
                <w:color w:val="000000"/>
                <w:sz w:val="22"/>
                <w:lang w:eastAsia="en-GB"/>
              </w:rPr>
              <w:t>29.6%</w:t>
            </w:r>
          </w:p>
        </w:tc>
        <w:tc>
          <w:tcPr>
            <w:tcW w:w="0" w:type="auto"/>
            <w:noWrap/>
            <w:hideMark/>
          </w:tcPr>
          <w:p w14:paraId="420D0892" w14:textId="77777777" w:rsidR="005F5299" w:rsidRPr="00C05886" w:rsidRDefault="005F5299" w:rsidP="005F5299">
            <w:pPr>
              <w:spacing w:line="240" w:lineRule="auto"/>
              <w:jc w:val="right"/>
              <w:rPr>
                <w:rFonts w:ascii="Calibri" w:eastAsia="Times New Roman" w:hAnsi="Calibri" w:cs="Calibri"/>
                <w:color w:val="000000"/>
                <w:sz w:val="22"/>
                <w:lang w:eastAsia="en-GB"/>
              </w:rPr>
            </w:pPr>
            <w:r w:rsidRPr="00C05886">
              <w:rPr>
                <w:rFonts w:ascii="Calibri" w:eastAsia="Times New Roman" w:hAnsi="Calibri" w:cs="Calibri"/>
                <w:color w:val="000000"/>
                <w:sz w:val="22"/>
                <w:lang w:eastAsia="en-GB"/>
              </w:rPr>
              <w:t>35.7%</w:t>
            </w:r>
          </w:p>
        </w:tc>
        <w:tc>
          <w:tcPr>
            <w:tcW w:w="0" w:type="auto"/>
            <w:noWrap/>
            <w:hideMark/>
          </w:tcPr>
          <w:p w14:paraId="090E97CB" w14:textId="77777777" w:rsidR="005F5299" w:rsidRPr="00C05886" w:rsidRDefault="005F5299" w:rsidP="005F5299">
            <w:pPr>
              <w:spacing w:line="240" w:lineRule="auto"/>
              <w:jc w:val="right"/>
              <w:rPr>
                <w:rFonts w:ascii="Calibri" w:eastAsia="Times New Roman" w:hAnsi="Calibri" w:cs="Calibri"/>
                <w:color w:val="000000"/>
                <w:sz w:val="22"/>
                <w:lang w:eastAsia="en-GB"/>
              </w:rPr>
            </w:pPr>
            <w:r w:rsidRPr="00C05886">
              <w:rPr>
                <w:rFonts w:ascii="Calibri" w:eastAsia="Times New Roman" w:hAnsi="Calibri" w:cs="Calibri"/>
                <w:color w:val="000000"/>
                <w:sz w:val="22"/>
                <w:lang w:eastAsia="en-GB"/>
              </w:rPr>
              <w:t>35.4%</w:t>
            </w:r>
          </w:p>
        </w:tc>
        <w:tc>
          <w:tcPr>
            <w:tcW w:w="0" w:type="auto"/>
            <w:noWrap/>
            <w:hideMark/>
          </w:tcPr>
          <w:p w14:paraId="0FE1F68E" w14:textId="77777777" w:rsidR="005F5299" w:rsidRPr="00C05886" w:rsidRDefault="005F5299" w:rsidP="005F5299">
            <w:pPr>
              <w:spacing w:line="240" w:lineRule="auto"/>
              <w:jc w:val="right"/>
              <w:rPr>
                <w:rFonts w:ascii="Calibri" w:eastAsia="Times New Roman" w:hAnsi="Calibri" w:cs="Calibri"/>
                <w:color w:val="000000"/>
                <w:sz w:val="22"/>
                <w:lang w:eastAsia="en-GB"/>
              </w:rPr>
            </w:pPr>
            <w:r w:rsidRPr="00C05886">
              <w:rPr>
                <w:rFonts w:ascii="Calibri" w:eastAsia="Times New Roman" w:hAnsi="Calibri" w:cs="Calibri"/>
                <w:color w:val="000000"/>
                <w:sz w:val="22"/>
                <w:lang w:eastAsia="en-GB"/>
              </w:rPr>
              <w:t>39.0%</w:t>
            </w:r>
          </w:p>
        </w:tc>
      </w:tr>
      <w:tr w:rsidR="005F5299" w:rsidRPr="00C05886" w14:paraId="1FC0E581" w14:textId="77777777" w:rsidTr="00597138">
        <w:trPr>
          <w:trHeight w:val="170"/>
        </w:trPr>
        <w:tc>
          <w:tcPr>
            <w:tcW w:w="0" w:type="auto"/>
            <w:noWrap/>
            <w:hideMark/>
          </w:tcPr>
          <w:p w14:paraId="560AD3FC" w14:textId="77777777" w:rsidR="005F5299" w:rsidRPr="00C05886" w:rsidRDefault="005F5299" w:rsidP="005F5299">
            <w:pPr>
              <w:spacing w:line="240" w:lineRule="auto"/>
              <w:rPr>
                <w:rFonts w:ascii="Calibri" w:eastAsia="Times New Roman" w:hAnsi="Calibri" w:cs="Calibri"/>
                <w:color w:val="000000"/>
                <w:sz w:val="22"/>
                <w:lang w:eastAsia="en-GB"/>
              </w:rPr>
            </w:pPr>
            <w:r w:rsidRPr="00C05886">
              <w:rPr>
                <w:rFonts w:ascii="Calibri" w:eastAsia="Times New Roman" w:hAnsi="Calibri" w:cs="Calibri"/>
                <w:color w:val="000000"/>
                <w:sz w:val="22"/>
                <w:lang w:eastAsia="en-GB"/>
              </w:rPr>
              <w:t>High</w:t>
            </w:r>
          </w:p>
        </w:tc>
        <w:tc>
          <w:tcPr>
            <w:tcW w:w="0" w:type="auto"/>
            <w:noWrap/>
            <w:hideMark/>
          </w:tcPr>
          <w:p w14:paraId="78734CC6" w14:textId="77777777" w:rsidR="005F5299" w:rsidRPr="00C05886" w:rsidRDefault="005F5299" w:rsidP="005F5299">
            <w:pPr>
              <w:spacing w:line="240" w:lineRule="auto"/>
              <w:jc w:val="right"/>
              <w:rPr>
                <w:rFonts w:ascii="Calibri" w:eastAsia="Times New Roman" w:hAnsi="Calibri" w:cs="Calibri"/>
                <w:color w:val="000000"/>
                <w:sz w:val="22"/>
                <w:lang w:eastAsia="en-GB"/>
              </w:rPr>
            </w:pPr>
            <w:r w:rsidRPr="00C05886">
              <w:rPr>
                <w:rFonts w:ascii="Calibri" w:eastAsia="Times New Roman" w:hAnsi="Calibri" w:cs="Calibri"/>
                <w:color w:val="000000"/>
                <w:sz w:val="22"/>
                <w:lang w:eastAsia="en-GB"/>
              </w:rPr>
              <w:t>50.0%</w:t>
            </w:r>
          </w:p>
        </w:tc>
        <w:tc>
          <w:tcPr>
            <w:tcW w:w="0" w:type="auto"/>
            <w:noWrap/>
            <w:hideMark/>
          </w:tcPr>
          <w:p w14:paraId="7A554D26" w14:textId="77777777" w:rsidR="005F5299" w:rsidRPr="00C05886" w:rsidRDefault="005F5299" w:rsidP="005F5299">
            <w:pPr>
              <w:spacing w:line="240" w:lineRule="auto"/>
              <w:jc w:val="right"/>
              <w:rPr>
                <w:rFonts w:ascii="Calibri" w:eastAsia="Times New Roman" w:hAnsi="Calibri" w:cs="Calibri"/>
                <w:color w:val="000000"/>
                <w:sz w:val="22"/>
                <w:lang w:eastAsia="en-GB"/>
              </w:rPr>
            </w:pPr>
            <w:r w:rsidRPr="00C05886">
              <w:rPr>
                <w:rFonts w:ascii="Calibri" w:eastAsia="Times New Roman" w:hAnsi="Calibri" w:cs="Calibri"/>
                <w:color w:val="000000"/>
                <w:sz w:val="22"/>
                <w:lang w:eastAsia="en-GB"/>
              </w:rPr>
              <w:t>45.6%</w:t>
            </w:r>
          </w:p>
        </w:tc>
        <w:tc>
          <w:tcPr>
            <w:tcW w:w="0" w:type="auto"/>
            <w:noWrap/>
            <w:hideMark/>
          </w:tcPr>
          <w:p w14:paraId="357DA982" w14:textId="77777777" w:rsidR="005F5299" w:rsidRPr="00C05886" w:rsidRDefault="005F5299" w:rsidP="005F5299">
            <w:pPr>
              <w:spacing w:line="240" w:lineRule="auto"/>
              <w:jc w:val="right"/>
              <w:rPr>
                <w:rFonts w:ascii="Calibri" w:eastAsia="Times New Roman" w:hAnsi="Calibri" w:cs="Calibri"/>
                <w:color w:val="000000"/>
                <w:sz w:val="22"/>
                <w:lang w:eastAsia="en-GB"/>
              </w:rPr>
            </w:pPr>
            <w:r w:rsidRPr="00C05886">
              <w:rPr>
                <w:rFonts w:ascii="Calibri" w:eastAsia="Times New Roman" w:hAnsi="Calibri" w:cs="Calibri"/>
                <w:color w:val="000000"/>
                <w:sz w:val="22"/>
                <w:lang w:eastAsia="en-GB"/>
              </w:rPr>
              <w:t>47.2%</w:t>
            </w:r>
          </w:p>
        </w:tc>
        <w:tc>
          <w:tcPr>
            <w:tcW w:w="0" w:type="auto"/>
            <w:noWrap/>
            <w:hideMark/>
          </w:tcPr>
          <w:p w14:paraId="30DCC010" w14:textId="77777777" w:rsidR="005F5299" w:rsidRPr="00C05886" w:rsidRDefault="005F5299" w:rsidP="005F5299">
            <w:pPr>
              <w:spacing w:line="240" w:lineRule="auto"/>
              <w:jc w:val="right"/>
              <w:rPr>
                <w:rFonts w:ascii="Calibri" w:eastAsia="Times New Roman" w:hAnsi="Calibri" w:cs="Calibri"/>
                <w:color w:val="000000"/>
                <w:sz w:val="22"/>
                <w:lang w:eastAsia="en-GB"/>
              </w:rPr>
            </w:pPr>
            <w:r w:rsidRPr="00C05886">
              <w:rPr>
                <w:rFonts w:ascii="Calibri" w:eastAsia="Times New Roman" w:hAnsi="Calibri" w:cs="Calibri"/>
                <w:color w:val="000000"/>
                <w:sz w:val="22"/>
                <w:lang w:eastAsia="en-GB"/>
              </w:rPr>
              <w:t>40.1%</w:t>
            </w:r>
          </w:p>
        </w:tc>
      </w:tr>
    </w:tbl>
    <w:p w14:paraId="46314879" w14:textId="77777777" w:rsidR="005F5299" w:rsidRPr="00C05886" w:rsidRDefault="005F5299" w:rsidP="003F77F0"/>
    <w:p w14:paraId="4FF6CCC4" w14:textId="7131822A" w:rsidR="00597138" w:rsidRPr="00C05886" w:rsidRDefault="005F5299" w:rsidP="00597138">
      <w:r w:rsidRPr="00C05886">
        <w:t>Finally, a reliability test revealed satisfactory values (Cronbach alpha&gt; 0.85) for the Joviality and Negative Affect scales in all four experiments. The Serenity scale was again reliable in the English survey (Cronbach alpha&gt; 0.85) but less reliable in the Chinese (Cronbach alpha = 0.6). Means and standard deviations of all the affective scores are reported in the supporting information (S1, Tables 4-8).</w:t>
      </w:r>
    </w:p>
    <w:p w14:paraId="48485B19" w14:textId="53466E00" w:rsidR="005F5299" w:rsidRPr="00C05886" w:rsidRDefault="005F5299" w:rsidP="005F5299">
      <w:pPr>
        <w:pStyle w:val="Heading3"/>
      </w:pPr>
      <w:bookmarkStart w:id="128" w:name="_Toc179962372"/>
      <w:r w:rsidRPr="00C05886">
        <w:t>Experiment 1</w:t>
      </w:r>
      <w:bookmarkEnd w:id="128"/>
    </w:p>
    <w:p w14:paraId="1ADB9B56" w14:textId="77777777" w:rsidR="005F5299" w:rsidRPr="00C05886" w:rsidRDefault="005F5299" w:rsidP="005F5299">
      <w:pPr>
        <w:pStyle w:val="Heading4"/>
      </w:pPr>
      <w:bookmarkStart w:id="129" w:name="_Hlk138069567"/>
      <w:r w:rsidRPr="00C05886">
        <w:t>Effect of virtual park biodiversity on the affective response.</w:t>
      </w:r>
    </w:p>
    <w:bookmarkEnd w:id="129"/>
    <w:p w14:paraId="75E2F021" w14:textId="77777777" w:rsidR="005F5299" w:rsidRPr="00C05886" w:rsidRDefault="005F5299" w:rsidP="003E6ACD">
      <w:r w:rsidRPr="00C05886">
        <w:t>Exposure to the park environments improved the well-being parameters (affective scores), but there were no statistical differences based on the level of biodiversity present (Table 4). Overall, the Joviality and Serenity scores increased slightly after the park, while the Negative Affect score was reduced.</w:t>
      </w:r>
    </w:p>
    <w:p w14:paraId="1E23238B" w14:textId="2F73F905" w:rsidR="005F5299" w:rsidRPr="00C05886" w:rsidRDefault="005F5299" w:rsidP="00B57352">
      <w:pPr>
        <w:pStyle w:val="Caption"/>
        <w:keepNext/>
      </w:pPr>
      <w:r w:rsidRPr="00C05886">
        <w:lastRenderedPageBreak/>
        <w:t xml:space="preserve">Table </w:t>
      </w:r>
      <w:r w:rsidR="00F861DB" w:rsidRPr="00C05886">
        <w:t>4</w:t>
      </w:r>
      <w:r w:rsidRPr="00C05886">
        <w:t>. Experiment 1. Summary of the RM-ANOVA comparing the effect of park treatment on the three affective states.</w:t>
      </w:r>
    </w:p>
    <w:tbl>
      <w:tblPr>
        <w:tblStyle w:val="TableGrid"/>
        <w:tblW w:w="8355" w:type="dxa"/>
        <w:tblLook w:val="04A0" w:firstRow="1" w:lastRow="0" w:firstColumn="1" w:lastColumn="0" w:noHBand="0" w:noVBand="1"/>
      </w:tblPr>
      <w:tblGrid>
        <w:gridCol w:w="1737"/>
        <w:gridCol w:w="3135"/>
        <w:gridCol w:w="1567"/>
        <w:gridCol w:w="1916"/>
      </w:tblGrid>
      <w:tr w:rsidR="005F5299" w:rsidRPr="00C05886" w14:paraId="4F00648C" w14:textId="77777777" w:rsidTr="00305F24">
        <w:trPr>
          <w:trHeight w:val="227"/>
        </w:trPr>
        <w:tc>
          <w:tcPr>
            <w:tcW w:w="1737" w:type="dxa"/>
            <w:noWrap/>
            <w:hideMark/>
          </w:tcPr>
          <w:p w14:paraId="45174138" w14:textId="77777777" w:rsidR="005F5299" w:rsidRPr="00C05886" w:rsidRDefault="005F5299" w:rsidP="00773DBC">
            <w:pPr>
              <w:spacing w:line="240" w:lineRule="auto"/>
              <w:rPr>
                <w:rFonts w:ascii="Times New Roman" w:eastAsia="Times New Roman" w:hAnsi="Times New Roman" w:cs="Times New Roman"/>
                <w:b/>
                <w:bCs/>
                <w:sz w:val="22"/>
                <w:lang w:eastAsia="en-GB"/>
              </w:rPr>
            </w:pPr>
            <w:bookmarkStart w:id="130" w:name="_Hlk138069636"/>
          </w:p>
        </w:tc>
        <w:tc>
          <w:tcPr>
            <w:tcW w:w="3135" w:type="dxa"/>
          </w:tcPr>
          <w:p w14:paraId="282DE440" w14:textId="77777777" w:rsidR="005F5299" w:rsidRPr="00C05886" w:rsidRDefault="005F5299" w:rsidP="00773DBC">
            <w:pPr>
              <w:spacing w:line="240" w:lineRule="auto"/>
              <w:rPr>
                <w:rFonts w:ascii="Calibri" w:eastAsia="Times New Roman" w:hAnsi="Calibri" w:cs="Calibri"/>
                <w:b/>
                <w:bCs/>
                <w:color w:val="000000"/>
                <w:sz w:val="22"/>
                <w:lang w:eastAsia="en-GB"/>
              </w:rPr>
            </w:pPr>
          </w:p>
        </w:tc>
        <w:tc>
          <w:tcPr>
            <w:tcW w:w="3483" w:type="dxa"/>
            <w:gridSpan w:val="2"/>
            <w:noWrap/>
            <w:hideMark/>
          </w:tcPr>
          <w:p w14:paraId="039A3C1A" w14:textId="77777777" w:rsidR="005F5299" w:rsidRPr="00C05886" w:rsidRDefault="005F5299" w:rsidP="00773DBC">
            <w:pPr>
              <w:spacing w:line="240" w:lineRule="auto"/>
              <w:rPr>
                <w:rFonts w:ascii="Calibri" w:eastAsia="Times New Roman" w:hAnsi="Calibri" w:cs="Calibri"/>
                <w:b/>
                <w:bCs/>
                <w:color w:val="000000"/>
                <w:sz w:val="22"/>
                <w:lang w:eastAsia="en-GB"/>
              </w:rPr>
            </w:pPr>
            <w:r w:rsidRPr="00C05886">
              <w:rPr>
                <w:rFonts w:ascii="Calibri" w:eastAsia="Times New Roman" w:hAnsi="Calibri" w:cs="Calibri"/>
                <w:b/>
                <w:bCs/>
                <w:color w:val="000000"/>
                <w:sz w:val="22"/>
                <w:lang w:eastAsia="en-GB"/>
              </w:rPr>
              <w:t>Experiment 1</w:t>
            </w:r>
          </w:p>
        </w:tc>
      </w:tr>
      <w:tr w:rsidR="005F5299" w:rsidRPr="00C05886" w14:paraId="653F64F4" w14:textId="77777777" w:rsidTr="00305F24">
        <w:trPr>
          <w:trHeight w:val="227"/>
        </w:trPr>
        <w:tc>
          <w:tcPr>
            <w:tcW w:w="1737" w:type="dxa"/>
            <w:noWrap/>
            <w:hideMark/>
          </w:tcPr>
          <w:p w14:paraId="5D1E240D" w14:textId="77777777" w:rsidR="005F5299" w:rsidRPr="00C05886" w:rsidRDefault="005F5299" w:rsidP="00773DBC">
            <w:pPr>
              <w:spacing w:line="240" w:lineRule="auto"/>
              <w:rPr>
                <w:rFonts w:ascii="Calibri" w:eastAsia="Times New Roman" w:hAnsi="Calibri" w:cs="Calibri"/>
                <w:b/>
                <w:bCs/>
                <w:color w:val="000000"/>
                <w:sz w:val="22"/>
                <w:lang w:eastAsia="en-GB"/>
              </w:rPr>
            </w:pPr>
            <w:r w:rsidRPr="00C05886">
              <w:rPr>
                <w:rFonts w:ascii="Calibri" w:eastAsia="Times New Roman" w:hAnsi="Calibri" w:cs="Calibri"/>
                <w:b/>
                <w:bCs/>
                <w:color w:val="000000"/>
                <w:sz w:val="22"/>
                <w:lang w:eastAsia="en-GB"/>
              </w:rPr>
              <w:t>Affect</w:t>
            </w:r>
          </w:p>
        </w:tc>
        <w:tc>
          <w:tcPr>
            <w:tcW w:w="3135" w:type="dxa"/>
          </w:tcPr>
          <w:p w14:paraId="6859F4B7" w14:textId="77777777" w:rsidR="005F5299" w:rsidRPr="00C05886" w:rsidRDefault="005F5299" w:rsidP="00773DBC">
            <w:pPr>
              <w:spacing w:line="240" w:lineRule="auto"/>
              <w:rPr>
                <w:rFonts w:ascii="Calibri" w:eastAsia="Times New Roman" w:hAnsi="Calibri" w:cs="Calibri"/>
                <w:b/>
                <w:bCs/>
                <w:color w:val="000000"/>
                <w:sz w:val="22"/>
                <w:lang w:eastAsia="en-GB"/>
              </w:rPr>
            </w:pPr>
            <w:r w:rsidRPr="00C05886">
              <w:rPr>
                <w:rFonts w:ascii="Calibri" w:eastAsia="Times New Roman" w:hAnsi="Calibri" w:cs="Calibri"/>
                <w:b/>
                <w:bCs/>
                <w:color w:val="000000"/>
                <w:sz w:val="22"/>
                <w:lang w:eastAsia="en-GB"/>
              </w:rPr>
              <w:t>Component</w:t>
            </w:r>
          </w:p>
        </w:tc>
        <w:tc>
          <w:tcPr>
            <w:tcW w:w="1567" w:type="dxa"/>
            <w:noWrap/>
            <w:hideMark/>
          </w:tcPr>
          <w:p w14:paraId="5E0E0332" w14:textId="77777777" w:rsidR="005F5299" w:rsidRPr="00C05886" w:rsidRDefault="005F5299" w:rsidP="00773DBC">
            <w:pPr>
              <w:spacing w:line="240" w:lineRule="auto"/>
              <w:rPr>
                <w:rFonts w:ascii="Calibri" w:eastAsia="Times New Roman" w:hAnsi="Calibri" w:cs="Calibri"/>
                <w:b/>
                <w:bCs/>
                <w:color w:val="000000"/>
                <w:sz w:val="22"/>
                <w:lang w:eastAsia="en-GB"/>
              </w:rPr>
            </w:pPr>
            <w:r w:rsidRPr="00C05886">
              <w:rPr>
                <w:rFonts w:ascii="Calibri" w:eastAsia="Times New Roman" w:hAnsi="Calibri" w:cs="Calibri"/>
                <w:b/>
                <w:bCs/>
                <w:color w:val="000000"/>
                <w:sz w:val="22"/>
                <w:lang w:eastAsia="en-GB"/>
              </w:rPr>
              <w:t>F</w:t>
            </w:r>
          </w:p>
        </w:tc>
        <w:tc>
          <w:tcPr>
            <w:tcW w:w="1915" w:type="dxa"/>
            <w:noWrap/>
            <w:hideMark/>
          </w:tcPr>
          <w:p w14:paraId="5A9D7286" w14:textId="77777777" w:rsidR="005F5299" w:rsidRPr="00C05886" w:rsidRDefault="005F5299" w:rsidP="00773DBC">
            <w:pPr>
              <w:spacing w:line="240" w:lineRule="auto"/>
              <w:rPr>
                <w:rFonts w:ascii="Calibri" w:eastAsia="Times New Roman" w:hAnsi="Calibri" w:cs="Calibri"/>
                <w:b/>
                <w:bCs/>
                <w:color w:val="000000"/>
                <w:sz w:val="22"/>
                <w:lang w:eastAsia="en-GB"/>
              </w:rPr>
            </w:pPr>
            <w:r w:rsidRPr="00C05886">
              <w:rPr>
                <w:rFonts w:ascii="Calibri" w:eastAsia="Times New Roman" w:hAnsi="Calibri" w:cs="Calibri"/>
                <w:b/>
                <w:bCs/>
                <w:color w:val="000000"/>
                <w:sz w:val="22"/>
                <w:lang w:eastAsia="en-GB"/>
              </w:rPr>
              <w:t>p-value</w:t>
            </w:r>
          </w:p>
        </w:tc>
      </w:tr>
      <w:tr w:rsidR="005F5299" w:rsidRPr="00C05886" w14:paraId="7FB7F699" w14:textId="77777777" w:rsidTr="00305F24">
        <w:trPr>
          <w:trHeight w:val="227"/>
        </w:trPr>
        <w:tc>
          <w:tcPr>
            <w:tcW w:w="1737" w:type="dxa"/>
            <w:noWrap/>
            <w:hideMark/>
          </w:tcPr>
          <w:p w14:paraId="4C10E285" w14:textId="77777777" w:rsidR="005F5299" w:rsidRPr="00C05886" w:rsidRDefault="005F5299" w:rsidP="00773DBC">
            <w:pPr>
              <w:spacing w:line="240" w:lineRule="auto"/>
              <w:rPr>
                <w:rFonts w:ascii="Calibri" w:eastAsia="Times New Roman" w:hAnsi="Calibri" w:cs="Calibri"/>
                <w:color w:val="000000"/>
                <w:sz w:val="22"/>
                <w:lang w:eastAsia="en-GB"/>
              </w:rPr>
            </w:pPr>
            <w:r w:rsidRPr="00C05886">
              <w:rPr>
                <w:rFonts w:ascii="Calibri" w:eastAsia="Times New Roman" w:hAnsi="Calibri" w:cs="Calibri"/>
                <w:color w:val="000000"/>
                <w:sz w:val="22"/>
                <w:lang w:eastAsia="en-GB"/>
              </w:rPr>
              <w:t>Joviality</w:t>
            </w:r>
          </w:p>
        </w:tc>
        <w:tc>
          <w:tcPr>
            <w:tcW w:w="3135" w:type="dxa"/>
          </w:tcPr>
          <w:p w14:paraId="3ECEE826" w14:textId="77777777" w:rsidR="005F5299" w:rsidRPr="00C05886" w:rsidRDefault="005F5299" w:rsidP="00773DBC">
            <w:pPr>
              <w:spacing w:line="240" w:lineRule="auto"/>
              <w:rPr>
                <w:sz w:val="22"/>
              </w:rPr>
            </w:pPr>
            <w:r w:rsidRPr="00C05886">
              <w:rPr>
                <w:sz w:val="22"/>
              </w:rPr>
              <w:t>Park (Between-subjects)</w:t>
            </w:r>
          </w:p>
        </w:tc>
        <w:tc>
          <w:tcPr>
            <w:tcW w:w="1567" w:type="dxa"/>
            <w:noWrap/>
            <w:hideMark/>
          </w:tcPr>
          <w:p w14:paraId="22ACDFDC" w14:textId="77777777" w:rsidR="005F5299" w:rsidRPr="00C05886" w:rsidRDefault="005F5299" w:rsidP="00773DBC">
            <w:pPr>
              <w:spacing w:line="240" w:lineRule="auto"/>
              <w:jc w:val="right"/>
              <w:rPr>
                <w:rFonts w:ascii="Calibri" w:eastAsia="Times New Roman" w:hAnsi="Calibri" w:cs="Calibri"/>
                <w:color w:val="000000"/>
                <w:sz w:val="22"/>
                <w:lang w:eastAsia="en-GB"/>
              </w:rPr>
            </w:pPr>
            <w:r w:rsidRPr="00C05886">
              <w:rPr>
                <w:sz w:val="22"/>
              </w:rPr>
              <w:t>1.354</w:t>
            </w:r>
          </w:p>
        </w:tc>
        <w:tc>
          <w:tcPr>
            <w:tcW w:w="1915" w:type="dxa"/>
            <w:noWrap/>
            <w:hideMark/>
          </w:tcPr>
          <w:p w14:paraId="5D14BD88" w14:textId="77777777" w:rsidR="005F5299" w:rsidRPr="00C05886" w:rsidRDefault="005F5299" w:rsidP="00773DBC">
            <w:pPr>
              <w:spacing w:line="240" w:lineRule="auto"/>
              <w:jc w:val="right"/>
              <w:rPr>
                <w:rFonts w:ascii="Calibri" w:eastAsia="Times New Roman" w:hAnsi="Calibri" w:cs="Calibri"/>
                <w:color w:val="000000"/>
                <w:sz w:val="22"/>
                <w:lang w:eastAsia="en-GB"/>
              </w:rPr>
            </w:pPr>
            <w:r w:rsidRPr="00C05886">
              <w:rPr>
                <w:sz w:val="22"/>
              </w:rPr>
              <w:t>0.256</w:t>
            </w:r>
          </w:p>
        </w:tc>
      </w:tr>
      <w:tr w:rsidR="005F5299" w:rsidRPr="00C05886" w14:paraId="153A9F5B" w14:textId="77777777" w:rsidTr="00305F24">
        <w:trPr>
          <w:trHeight w:val="227"/>
        </w:trPr>
        <w:tc>
          <w:tcPr>
            <w:tcW w:w="1737" w:type="dxa"/>
            <w:noWrap/>
          </w:tcPr>
          <w:p w14:paraId="4F7C56E0" w14:textId="77777777" w:rsidR="005F5299" w:rsidRPr="00C05886" w:rsidRDefault="005F5299" w:rsidP="00773DBC">
            <w:pPr>
              <w:spacing w:line="240" w:lineRule="auto"/>
              <w:rPr>
                <w:rFonts w:ascii="Calibri" w:eastAsia="Times New Roman" w:hAnsi="Calibri" w:cs="Calibri"/>
                <w:color w:val="000000"/>
                <w:sz w:val="22"/>
                <w:lang w:eastAsia="en-GB"/>
              </w:rPr>
            </w:pPr>
          </w:p>
        </w:tc>
        <w:tc>
          <w:tcPr>
            <w:tcW w:w="3135" w:type="dxa"/>
          </w:tcPr>
          <w:p w14:paraId="701D9CA0" w14:textId="77777777" w:rsidR="005F5299" w:rsidRPr="00C05886" w:rsidRDefault="005F5299" w:rsidP="00773DBC">
            <w:pPr>
              <w:spacing w:line="240" w:lineRule="auto"/>
              <w:rPr>
                <w:sz w:val="22"/>
              </w:rPr>
            </w:pPr>
            <w:r w:rsidRPr="00C05886">
              <w:rPr>
                <w:sz w:val="22"/>
              </w:rPr>
              <w:t>Stage (Within-subjects)</w:t>
            </w:r>
          </w:p>
        </w:tc>
        <w:tc>
          <w:tcPr>
            <w:tcW w:w="1567" w:type="dxa"/>
            <w:noWrap/>
          </w:tcPr>
          <w:p w14:paraId="3B0E8A61" w14:textId="77777777" w:rsidR="005F5299" w:rsidRPr="00C05886" w:rsidRDefault="005F5299" w:rsidP="00773DBC">
            <w:pPr>
              <w:spacing w:line="240" w:lineRule="auto"/>
              <w:jc w:val="right"/>
              <w:rPr>
                <w:sz w:val="22"/>
              </w:rPr>
            </w:pPr>
            <w:r w:rsidRPr="00C05886">
              <w:rPr>
                <w:sz w:val="22"/>
              </w:rPr>
              <w:t>18.776</w:t>
            </w:r>
          </w:p>
        </w:tc>
        <w:tc>
          <w:tcPr>
            <w:tcW w:w="1915" w:type="dxa"/>
            <w:noWrap/>
          </w:tcPr>
          <w:p w14:paraId="37DF8694" w14:textId="77777777" w:rsidR="005F5299" w:rsidRPr="00C05886" w:rsidRDefault="005F5299" w:rsidP="00773DBC">
            <w:pPr>
              <w:spacing w:line="240" w:lineRule="auto"/>
              <w:jc w:val="right"/>
              <w:rPr>
                <w:sz w:val="22"/>
              </w:rPr>
            </w:pPr>
            <w:r w:rsidRPr="00C05886">
              <w:rPr>
                <w:rFonts w:ascii="Calibri" w:eastAsia="Times New Roman" w:hAnsi="Calibri" w:cs="Calibri"/>
                <w:color w:val="000000"/>
                <w:sz w:val="22"/>
                <w:lang w:eastAsia="en-GB"/>
              </w:rPr>
              <w:t>&lt;0.001</w:t>
            </w:r>
          </w:p>
        </w:tc>
      </w:tr>
      <w:tr w:rsidR="005F5299" w:rsidRPr="00C05886" w14:paraId="6DCD2A28" w14:textId="77777777" w:rsidTr="00305F24">
        <w:trPr>
          <w:trHeight w:val="227"/>
        </w:trPr>
        <w:tc>
          <w:tcPr>
            <w:tcW w:w="1737" w:type="dxa"/>
            <w:noWrap/>
            <w:hideMark/>
          </w:tcPr>
          <w:p w14:paraId="05001365" w14:textId="77777777" w:rsidR="005F5299" w:rsidRPr="00C05886" w:rsidRDefault="005F5299" w:rsidP="00773DBC">
            <w:pPr>
              <w:spacing w:line="240" w:lineRule="auto"/>
              <w:rPr>
                <w:rFonts w:ascii="Calibri" w:eastAsia="Times New Roman" w:hAnsi="Calibri" w:cs="Calibri"/>
                <w:color w:val="000000"/>
                <w:sz w:val="22"/>
                <w:lang w:eastAsia="en-GB"/>
              </w:rPr>
            </w:pPr>
            <w:r w:rsidRPr="00C05886">
              <w:rPr>
                <w:rFonts w:ascii="Calibri" w:eastAsia="Times New Roman" w:hAnsi="Calibri" w:cs="Calibri"/>
                <w:color w:val="000000"/>
                <w:sz w:val="22"/>
                <w:lang w:eastAsia="en-GB"/>
              </w:rPr>
              <w:t>Serenity</w:t>
            </w:r>
          </w:p>
        </w:tc>
        <w:tc>
          <w:tcPr>
            <w:tcW w:w="3135" w:type="dxa"/>
          </w:tcPr>
          <w:p w14:paraId="6EF4B90B" w14:textId="77777777" w:rsidR="005F5299" w:rsidRPr="00C05886" w:rsidRDefault="005F5299" w:rsidP="00773DBC">
            <w:pPr>
              <w:spacing w:line="240" w:lineRule="auto"/>
              <w:rPr>
                <w:sz w:val="22"/>
              </w:rPr>
            </w:pPr>
            <w:r w:rsidRPr="00C05886">
              <w:rPr>
                <w:sz w:val="22"/>
              </w:rPr>
              <w:t>Park (Between-subjects)</w:t>
            </w:r>
          </w:p>
        </w:tc>
        <w:tc>
          <w:tcPr>
            <w:tcW w:w="1567" w:type="dxa"/>
            <w:noWrap/>
            <w:hideMark/>
          </w:tcPr>
          <w:p w14:paraId="3D6BD368" w14:textId="77777777" w:rsidR="005F5299" w:rsidRPr="00C05886" w:rsidRDefault="005F5299" w:rsidP="00773DBC">
            <w:pPr>
              <w:spacing w:line="240" w:lineRule="auto"/>
              <w:jc w:val="right"/>
              <w:rPr>
                <w:rFonts w:ascii="Calibri" w:eastAsia="Times New Roman" w:hAnsi="Calibri" w:cs="Calibri"/>
                <w:color w:val="000000"/>
                <w:sz w:val="22"/>
                <w:lang w:eastAsia="en-GB"/>
              </w:rPr>
            </w:pPr>
            <w:r w:rsidRPr="00C05886">
              <w:rPr>
                <w:sz w:val="22"/>
              </w:rPr>
              <w:t>0.747</w:t>
            </w:r>
          </w:p>
        </w:tc>
        <w:tc>
          <w:tcPr>
            <w:tcW w:w="1915" w:type="dxa"/>
            <w:noWrap/>
            <w:hideMark/>
          </w:tcPr>
          <w:p w14:paraId="6C9A12B9" w14:textId="77777777" w:rsidR="005F5299" w:rsidRPr="00C05886" w:rsidRDefault="005F5299" w:rsidP="00773DBC">
            <w:pPr>
              <w:spacing w:line="240" w:lineRule="auto"/>
              <w:jc w:val="right"/>
              <w:rPr>
                <w:rFonts w:ascii="Calibri" w:eastAsia="Times New Roman" w:hAnsi="Calibri" w:cs="Calibri"/>
                <w:color w:val="000000"/>
                <w:sz w:val="22"/>
                <w:lang w:eastAsia="en-GB"/>
              </w:rPr>
            </w:pPr>
            <w:r w:rsidRPr="00C05886">
              <w:rPr>
                <w:sz w:val="22"/>
              </w:rPr>
              <w:t>0.525</w:t>
            </w:r>
          </w:p>
        </w:tc>
      </w:tr>
      <w:tr w:rsidR="005F5299" w:rsidRPr="00C05886" w14:paraId="6C78CE92" w14:textId="77777777" w:rsidTr="00305F24">
        <w:trPr>
          <w:trHeight w:val="227"/>
        </w:trPr>
        <w:tc>
          <w:tcPr>
            <w:tcW w:w="1737" w:type="dxa"/>
            <w:noWrap/>
          </w:tcPr>
          <w:p w14:paraId="72D7308C" w14:textId="77777777" w:rsidR="005F5299" w:rsidRPr="00C05886" w:rsidRDefault="005F5299" w:rsidP="00773DBC">
            <w:pPr>
              <w:spacing w:line="240" w:lineRule="auto"/>
              <w:rPr>
                <w:rFonts w:ascii="Calibri" w:eastAsia="Times New Roman" w:hAnsi="Calibri" w:cs="Calibri"/>
                <w:color w:val="000000"/>
                <w:sz w:val="22"/>
                <w:lang w:eastAsia="en-GB"/>
              </w:rPr>
            </w:pPr>
          </w:p>
        </w:tc>
        <w:tc>
          <w:tcPr>
            <w:tcW w:w="3135" w:type="dxa"/>
          </w:tcPr>
          <w:p w14:paraId="446E59FA" w14:textId="77777777" w:rsidR="005F5299" w:rsidRPr="00C05886" w:rsidRDefault="005F5299" w:rsidP="00773DBC">
            <w:pPr>
              <w:spacing w:line="240" w:lineRule="auto"/>
              <w:rPr>
                <w:sz w:val="22"/>
              </w:rPr>
            </w:pPr>
            <w:r w:rsidRPr="00C05886">
              <w:rPr>
                <w:sz w:val="22"/>
              </w:rPr>
              <w:t>Stage (Within-subjects)</w:t>
            </w:r>
          </w:p>
        </w:tc>
        <w:tc>
          <w:tcPr>
            <w:tcW w:w="1567" w:type="dxa"/>
            <w:noWrap/>
          </w:tcPr>
          <w:p w14:paraId="587EB40B" w14:textId="77777777" w:rsidR="005F5299" w:rsidRPr="00C05886" w:rsidRDefault="005F5299" w:rsidP="00773DBC">
            <w:pPr>
              <w:spacing w:line="240" w:lineRule="auto"/>
              <w:jc w:val="right"/>
              <w:rPr>
                <w:sz w:val="22"/>
              </w:rPr>
            </w:pPr>
            <w:r w:rsidRPr="00C05886">
              <w:rPr>
                <w:sz w:val="22"/>
              </w:rPr>
              <w:t>9.559</w:t>
            </w:r>
          </w:p>
        </w:tc>
        <w:tc>
          <w:tcPr>
            <w:tcW w:w="1915" w:type="dxa"/>
            <w:noWrap/>
          </w:tcPr>
          <w:p w14:paraId="0FCDFD3D" w14:textId="77777777" w:rsidR="005F5299" w:rsidRPr="00C05886" w:rsidRDefault="005F5299" w:rsidP="00773DBC">
            <w:pPr>
              <w:spacing w:line="240" w:lineRule="auto"/>
              <w:jc w:val="right"/>
              <w:rPr>
                <w:sz w:val="22"/>
              </w:rPr>
            </w:pPr>
            <w:r w:rsidRPr="00C05886">
              <w:rPr>
                <w:rFonts w:ascii="Calibri" w:eastAsia="Times New Roman" w:hAnsi="Calibri" w:cs="Calibri"/>
                <w:color w:val="000000"/>
                <w:sz w:val="22"/>
                <w:lang w:eastAsia="en-GB"/>
              </w:rPr>
              <w:t>0.002</w:t>
            </w:r>
          </w:p>
        </w:tc>
      </w:tr>
      <w:tr w:rsidR="005F5299" w:rsidRPr="00C05886" w14:paraId="50FB0665" w14:textId="77777777" w:rsidTr="00305F24">
        <w:trPr>
          <w:trHeight w:val="227"/>
        </w:trPr>
        <w:tc>
          <w:tcPr>
            <w:tcW w:w="1737" w:type="dxa"/>
            <w:noWrap/>
            <w:hideMark/>
          </w:tcPr>
          <w:p w14:paraId="7199A6D4" w14:textId="77777777" w:rsidR="005F5299" w:rsidRPr="00C05886" w:rsidRDefault="005F5299" w:rsidP="00773DBC">
            <w:pPr>
              <w:spacing w:line="240" w:lineRule="auto"/>
              <w:rPr>
                <w:rFonts w:ascii="Calibri" w:eastAsia="Times New Roman" w:hAnsi="Calibri" w:cs="Calibri"/>
                <w:color w:val="000000"/>
                <w:sz w:val="22"/>
                <w:lang w:eastAsia="en-GB"/>
              </w:rPr>
            </w:pPr>
            <w:r w:rsidRPr="00C05886">
              <w:rPr>
                <w:rFonts w:ascii="Calibri" w:eastAsia="Times New Roman" w:hAnsi="Calibri" w:cs="Calibri"/>
                <w:color w:val="000000"/>
                <w:sz w:val="22"/>
                <w:lang w:eastAsia="en-GB"/>
              </w:rPr>
              <w:t>Negative Affect</w:t>
            </w:r>
          </w:p>
        </w:tc>
        <w:tc>
          <w:tcPr>
            <w:tcW w:w="3135" w:type="dxa"/>
          </w:tcPr>
          <w:p w14:paraId="2EA21385" w14:textId="77777777" w:rsidR="005F5299" w:rsidRPr="00C05886" w:rsidRDefault="005F5299" w:rsidP="00773DBC">
            <w:pPr>
              <w:spacing w:line="240" w:lineRule="auto"/>
              <w:rPr>
                <w:sz w:val="22"/>
              </w:rPr>
            </w:pPr>
            <w:r w:rsidRPr="00C05886">
              <w:rPr>
                <w:sz w:val="22"/>
              </w:rPr>
              <w:t>Park (Between-subjects)</w:t>
            </w:r>
          </w:p>
        </w:tc>
        <w:tc>
          <w:tcPr>
            <w:tcW w:w="1567" w:type="dxa"/>
            <w:noWrap/>
            <w:hideMark/>
          </w:tcPr>
          <w:p w14:paraId="1AD39C93" w14:textId="77777777" w:rsidR="005F5299" w:rsidRPr="00C05886" w:rsidRDefault="005F5299" w:rsidP="00773DBC">
            <w:pPr>
              <w:spacing w:line="240" w:lineRule="auto"/>
              <w:jc w:val="right"/>
              <w:rPr>
                <w:rFonts w:ascii="Calibri" w:eastAsia="Times New Roman" w:hAnsi="Calibri" w:cs="Calibri"/>
                <w:color w:val="000000"/>
                <w:sz w:val="22"/>
                <w:lang w:eastAsia="en-GB"/>
              </w:rPr>
            </w:pPr>
            <w:r w:rsidRPr="00C05886">
              <w:rPr>
                <w:sz w:val="22"/>
              </w:rPr>
              <w:t>0.487</w:t>
            </w:r>
          </w:p>
        </w:tc>
        <w:tc>
          <w:tcPr>
            <w:tcW w:w="1915" w:type="dxa"/>
            <w:noWrap/>
            <w:hideMark/>
          </w:tcPr>
          <w:p w14:paraId="432A8347" w14:textId="77777777" w:rsidR="005F5299" w:rsidRPr="00C05886" w:rsidRDefault="005F5299" w:rsidP="00773DBC">
            <w:pPr>
              <w:spacing w:line="240" w:lineRule="auto"/>
              <w:jc w:val="right"/>
              <w:rPr>
                <w:rFonts w:ascii="Calibri" w:eastAsia="Times New Roman" w:hAnsi="Calibri" w:cs="Calibri"/>
                <w:color w:val="000000"/>
                <w:sz w:val="22"/>
                <w:lang w:eastAsia="en-GB"/>
              </w:rPr>
            </w:pPr>
            <w:r w:rsidRPr="00C05886">
              <w:rPr>
                <w:sz w:val="22"/>
              </w:rPr>
              <w:t>0.691</w:t>
            </w:r>
          </w:p>
        </w:tc>
      </w:tr>
      <w:tr w:rsidR="005F5299" w:rsidRPr="00C05886" w14:paraId="25311E80" w14:textId="77777777" w:rsidTr="00305F24">
        <w:trPr>
          <w:trHeight w:val="227"/>
        </w:trPr>
        <w:tc>
          <w:tcPr>
            <w:tcW w:w="1737" w:type="dxa"/>
            <w:noWrap/>
          </w:tcPr>
          <w:p w14:paraId="49313518" w14:textId="77777777" w:rsidR="005F5299" w:rsidRPr="00C05886" w:rsidRDefault="005F5299" w:rsidP="00773DBC">
            <w:pPr>
              <w:spacing w:line="240" w:lineRule="auto"/>
              <w:rPr>
                <w:rFonts w:ascii="Calibri" w:eastAsia="Times New Roman" w:hAnsi="Calibri" w:cs="Calibri"/>
                <w:color w:val="000000"/>
                <w:sz w:val="22"/>
                <w:lang w:eastAsia="en-GB"/>
              </w:rPr>
            </w:pPr>
          </w:p>
        </w:tc>
        <w:tc>
          <w:tcPr>
            <w:tcW w:w="3135" w:type="dxa"/>
          </w:tcPr>
          <w:p w14:paraId="7FCEC2D7" w14:textId="77777777" w:rsidR="005F5299" w:rsidRPr="00C05886" w:rsidRDefault="005F5299" w:rsidP="00773DBC">
            <w:pPr>
              <w:spacing w:line="240" w:lineRule="auto"/>
              <w:rPr>
                <w:sz w:val="22"/>
              </w:rPr>
            </w:pPr>
            <w:r w:rsidRPr="00C05886">
              <w:rPr>
                <w:sz w:val="22"/>
              </w:rPr>
              <w:t>Stage (Within-subjects)</w:t>
            </w:r>
          </w:p>
        </w:tc>
        <w:tc>
          <w:tcPr>
            <w:tcW w:w="1567" w:type="dxa"/>
            <w:noWrap/>
          </w:tcPr>
          <w:p w14:paraId="3A15AC3D" w14:textId="77777777" w:rsidR="005F5299" w:rsidRPr="00C05886" w:rsidRDefault="005F5299" w:rsidP="00773DBC">
            <w:pPr>
              <w:spacing w:line="240" w:lineRule="auto"/>
              <w:jc w:val="right"/>
              <w:rPr>
                <w:sz w:val="22"/>
              </w:rPr>
            </w:pPr>
            <w:r w:rsidRPr="00C05886">
              <w:rPr>
                <w:sz w:val="22"/>
              </w:rPr>
              <w:t>82.615</w:t>
            </w:r>
          </w:p>
        </w:tc>
        <w:tc>
          <w:tcPr>
            <w:tcW w:w="1915" w:type="dxa"/>
            <w:noWrap/>
          </w:tcPr>
          <w:p w14:paraId="6C7D7CFE" w14:textId="77777777" w:rsidR="005F5299" w:rsidRPr="00C05886" w:rsidRDefault="005F5299" w:rsidP="00773DBC">
            <w:pPr>
              <w:spacing w:line="240" w:lineRule="auto"/>
              <w:jc w:val="right"/>
              <w:rPr>
                <w:sz w:val="22"/>
              </w:rPr>
            </w:pPr>
            <w:r w:rsidRPr="00C05886">
              <w:rPr>
                <w:rFonts w:ascii="Calibri" w:eastAsia="Times New Roman" w:hAnsi="Calibri" w:cs="Calibri"/>
                <w:color w:val="000000"/>
                <w:sz w:val="22"/>
                <w:lang w:eastAsia="en-GB"/>
              </w:rPr>
              <w:t>&lt;0.001</w:t>
            </w:r>
          </w:p>
        </w:tc>
      </w:tr>
      <w:bookmarkEnd w:id="130"/>
    </w:tbl>
    <w:p w14:paraId="686BE2A6" w14:textId="77777777" w:rsidR="005F5299" w:rsidRPr="00C05886" w:rsidRDefault="005F5299" w:rsidP="003E6ACD"/>
    <w:p w14:paraId="0DE2E575" w14:textId="77777777" w:rsidR="005F5299" w:rsidRPr="00C05886" w:rsidRDefault="005F5299" w:rsidP="005F5299">
      <w:pPr>
        <w:pStyle w:val="Heading4"/>
      </w:pPr>
      <w:bookmarkStart w:id="131" w:name="_Hlk138076496"/>
      <w:r w:rsidRPr="00C05886">
        <w:t>Effect of perceived biodiversity on the affective response.</w:t>
      </w:r>
      <w:r w:rsidRPr="00C05886">
        <w:tab/>
      </w:r>
    </w:p>
    <w:bookmarkEnd w:id="131"/>
    <w:p w14:paraId="35B0FBAB" w14:textId="562CDFE3" w:rsidR="005F5299" w:rsidRPr="00C05886" w:rsidRDefault="005F5299" w:rsidP="003454CB">
      <w:pPr>
        <w:rPr>
          <w:color w:val="FF0000"/>
        </w:rPr>
      </w:pPr>
      <w:r w:rsidRPr="00C05886">
        <w:t xml:space="preserve">There were significant interactions between levels of perceived biodiversity and stage of the procedure for Joviality (F= 11.01, p= 0.001) and Serenity (F= 3.098, p= 0.046). Post hoc comparisons showed that participants perceiving medium/high biodiversity showed significantly higher Joviality and Serenity after touring the park than those who perceived low biodiversity (Fig. 2, left). Joviality and Serenity scores were reduced after the park, compared with baseline, for those who perceived low biodiversity. Negative affect decreased after park exposure, but the decrease was significantly greater (F= 6.654, p= 0.001) for those that perceived biodiversity levels as medium or high compared to low (Fig 2., right). </w:t>
      </w:r>
    </w:p>
    <w:p w14:paraId="61B3A729" w14:textId="77777777" w:rsidR="005F5299" w:rsidRPr="00C05886" w:rsidRDefault="005F5299" w:rsidP="00DE50AC">
      <w:pPr>
        <w:keepNext/>
      </w:pPr>
      <w:r w:rsidRPr="00134B49">
        <w:rPr>
          <w:noProof/>
          <w:lang w:eastAsia="en-GB"/>
        </w:rPr>
        <w:drawing>
          <wp:inline distT="0" distB="0" distL="0" distR="0" wp14:anchorId="222F1302" wp14:editId="3A5AD0C2">
            <wp:extent cx="2016000" cy="2520000"/>
            <wp:effectExtent l="0" t="0" r="3810" b="13970"/>
            <wp:docPr id="300497305" name="Chart 1">
              <a:extLst xmlns:a="http://schemas.openxmlformats.org/drawingml/2006/main">
                <a:ext uri="{FF2B5EF4-FFF2-40B4-BE49-F238E27FC236}">
                  <a16:creationId xmlns:a16="http://schemas.microsoft.com/office/drawing/2014/main" id="{4E68C88A-11AD-2F0C-5DFC-1874BD6638C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r w:rsidRPr="00134B49">
        <w:rPr>
          <w:noProof/>
          <w:lang w:eastAsia="en-GB"/>
        </w:rPr>
        <w:drawing>
          <wp:inline distT="0" distB="0" distL="0" distR="0" wp14:anchorId="23659512" wp14:editId="49A12D4A">
            <wp:extent cx="2016000" cy="2520000"/>
            <wp:effectExtent l="0" t="0" r="3810" b="13970"/>
            <wp:docPr id="1764738549" name="Chart 1764738549">
              <a:extLst xmlns:a="http://schemas.openxmlformats.org/drawingml/2006/main">
                <a:ext uri="{FF2B5EF4-FFF2-40B4-BE49-F238E27FC236}">
                  <a16:creationId xmlns:a16="http://schemas.microsoft.com/office/drawing/2014/main" id="{AC758E8C-221E-F649-0688-951794B5EDE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r w:rsidRPr="00134B49">
        <w:rPr>
          <w:noProof/>
          <w:lang w:eastAsia="en-GB"/>
        </w:rPr>
        <w:drawing>
          <wp:inline distT="0" distB="0" distL="0" distR="0" wp14:anchorId="3127439E" wp14:editId="63C23625">
            <wp:extent cx="2016000" cy="2520000"/>
            <wp:effectExtent l="0" t="0" r="3810" b="13970"/>
            <wp:docPr id="29807562" name="Chart 29807562">
              <a:extLst xmlns:a="http://schemas.openxmlformats.org/drawingml/2006/main">
                <a:ext uri="{FF2B5EF4-FFF2-40B4-BE49-F238E27FC236}">
                  <a16:creationId xmlns:a16="http://schemas.microsoft.com/office/drawing/2014/main" id="{B150478A-2FD1-1FB7-00F8-43116CE11B9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4420BA25" w14:textId="19B06BBA" w:rsidR="005F5299" w:rsidRPr="00C05886" w:rsidRDefault="005F5299" w:rsidP="00457C44">
      <w:pPr>
        <w:pStyle w:val="Caption"/>
      </w:pPr>
      <w:r w:rsidRPr="00C05886">
        <w:t xml:space="preserve">Figure </w:t>
      </w:r>
      <w:r w:rsidR="00F861DB" w:rsidRPr="00C05886">
        <w:t>2</w:t>
      </w:r>
      <w:r w:rsidRPr="00C05886">
        <w:t xml:space="preserve">. Experiment 1. Changes, after touring the park, in the Joviality (left), Serenity (centre) and Negative Affect (right) scores by perceived biodiversity. </w:t>
      </w:r>
    </w:p>
    <w:p w14:paraId="3AAF8D0C" w14:textId="77777777" w:rsidR="00F861DB" w:rsidRPr="00C05886" w:rsidRDefault="00F861DB">
      <w:pPr>
        <w:spacing w:line="259" w:lineRule="auto"/>
        <w:jc w:val="left"/>
        <w:rPr>
          <w:rFonts w:eastAsiaTheme="majorEastAsia" w:cstheme="majorBidi"/>
          <w:b/>
          <w:kern w:val="2"/>
          <w:sz w:val="28"/>
          <w:szCs w:val="24"/>
          <w14:ligatures w14:val="standardContextual"/>
        </w:rPr>
      </w:pPr>
      <w:r w:rsidRPr="00C05886">
        <w:br w:type="page"/>
      </w:r>
    </w:p>
    <w:p w14:paraId="3691E6A6" w14:textId="6D5A4254" w:rsidR="005F5299" w:rsidRPr="00C05886" w:rsidRDefault="005F5299" w:rsidP="005F5299">
      <w:pPr>
        <w:pStyle w:val="Heading3"/>
      </w:pPr>
      <w:bookmarkStart w:id="132" w:name="_Toc179962373"/>
      <w:r w:rsidRPr="00C05886">
        <w:lastRenderedPageBreak/>
        <w:t>Experiment 2</w:t>
      </w:r>
      <w:bookmarkEnd w:id="132"/>
    </w:p>
    <w:p w14:paraId="164A338B" w14:textId="77777777" w:rsidR="005F5299" w:rsidRPr="00C05886" w:rsidRDefault="005F5299" w:rsidP="005F5299">
      <w:pPr>
        <w:pStyle w:val="Heading4"/>
      </w:pPr>
      <w:r w:rsidRPr="00C05886">
        <w:t>Effect of virtual park biodiversity on the affective response.</w:t>
      </w:r>
    </w:p>
    <w:p w14:paraId="37A808AE" w14:textId="77777777" w:rsidR="005F5299" w:rsidRPr="00C05886" w:rsidRDefault="005F5299" w:rsidP="00011E91">
      <w:r w:rsidRPr="00C05886">
        <w:t>All park experiences restored affective scores after the stressor (i.e. stage was significant, Table 5), but as in Experiment 1 there was no effect due to level of biodiversity present. Overall, the Joviality and Serenity scores decreased after the stressor and then increased after the park; the Negative Affect followed an opposite trend, increasing after the stressor and decreasing after the park.</w:t>
      </w:r>
    </w:p>
    <w:p w14:paraId="4461C2FE" w14:textId="3EC200CA" w:rsidR="005F5299" w:rsidRPr="00C05886" w:rsidRDefault="005F5299" w:rsidP="00331D24">
      <w:pPr>
        <w:pStyle w:val="Caption"/>
        <w:keepNext/>
      </w:pPr>
      <w:r w:rsidRPr="00C05886">
        <w:t xml:space="preserve">Table </w:t>
      </w:r>
      <w:r w:rsidR="00F861DB" w:rsidRPr="00C05886">
        <w:t>5</w:t>
      </w:r>
      <w:r w:rsidRPr="00C05886">
        <w:t>. Experiment 2. Summary of the RM-ANOVA comparing the effect of park treatment on the three affective states.</w:t>
      </w:r>
    </w:p>
    <w:tbl>
      <w:tblPr>
        <w:tblStyle w:val="TableGrid"/>
        <w:tblW w:w="8231" w:type="dxa"/>
        <w:tblLook w:val="04A0" w:firstRow="1" w:lastRow="0" w:firstColumn="1" w:lastColumn="0" w:noHBand="0" w:noVBand="1"/>
      </w:tblPr>
      <w:tblGrid>
        <w:gridCol w:w="1712"/>
        <w:gridCol w:w="3091"/>
        <w:gridCol w:w="1514"/>
        <w:gridCol w:w="1914"/>
      </w:tblGrid>
      <w:tr w:rsidR="005F5299" w:rsidRPr="00C05886" w14:paraId="73A0B961" w14:textId="77777777" w:rsidTr="00305F24">
        <w:trPr>
          <w:trHeight w:val="170"/>
        </w:trPr>
        <w:tc>
          <w:tcPr>
            <w:tcW w:w="1712" w:type="dxa"/>
            <w:noWrap/>
            <w:hideMark/>
          </w:tcPr>
          <w:p w14:paraId="7582648F" w14:textId="77777777" w:rsidR="005F5299" w:rsidRPr="00C05886" w:rsidRDefault="005F5299" w:rsidP="00305F24">
            <w:pPr>
              <w:spacing w:line="240" w:lineRule="auto"/>
              <w:rPr>
                <w:rFonts w:ascii="Times New Roman" w:eastAsia="Times New Roman" w:hAnsi="Times New Roman" w:cs="Times New Roman"/>
                <w:b/>
                <w:bCs/>
                <w:sz w:val="22"/>
                <w:lang w:eastAsia="en-GB"/>
              </w:rPr>
            </w:pPr>
          </w:p>
        </w:tc>
        <w:tc>
          <w:tcPr>
            <w:tcW w:w="3091" w:type="dxa"/>
          </w:tcPr>
          <w:p w14:paraId="2658BD6F" w14:textId="77777777" w:rsidR="005F5299" w:rsidRPr="00C05886" w:rsidRDefault="005F5299" w:rsidP="00305F24">
            <w:pPr>
              <w:spacing w:line="240" w:lineRule="auto"/>
              <w:rPr>
                <w:rFonts w:ascii="Calibri" w:eastAsia="Times New Roman" w:hAnsi="Calibri" w:cs="Calibri"/>
                <w:b/>
                <w:bCs/>
                <w:color w:val="000000"/>
                <w:sz w:val="22"/>
                <w:lang w:eastAsia="en-GB"/>
              </w:rPr>
            </w:pPr>
          </w:p>
        </w:tc>
        <w:tc>
          <w:tcPr>
            <w:tcW w:w="3428" w:type="dxa"/>
            <w:gridSpan w:val="2"/>
            <w:noWrap/>
            <w:hideMark/>
          </w:tcPr>
          <w:p w14:paraId="35680BFD" w14:textId="77777777" w:rsidR="005F5299" w:rsidRPr="00C05886" w:rsidRDefault="005F5299" w:rsidP="00305F24">
            <w:pPr>
              <w:spacing w:line="240" w:lineRule="auto"/>
              <w:rPr>
                <w:rFonts w:ascii="Calibri" w:eastAsia="Times New Roman" w:hAnsi="Calibri" w:cs="Calibri"/>
                <w:b/>
                <w:bCs/>
                <w:color w:val="000000"/>
                <w:sz w:val="22"/>
                <w:lang w:eastAsia="en-GB"/>
              </w:rPr>
            </w:pPr>
            <w:r w:rsidRPr="00C05886">
              <w:rPr>
                <w:rFonts w:ascii="Calibri" w:eastAsia="Times New Roman" w:hAnsi="Calibri" w:cs="Calibri"/>
                <w:b/>
                <w:bCs/>
                <w:color w:val="000000"/>
                <w:sz w:val="22"/>
                <w:lang w:eastAsia="en-GB"/>
              </w:rPr>
              <w:t>Experiment 2</w:t>
            </w:r>
          </w:p>
        </w:tc>
      </w:tr>
      <w:tr w:rsidR="005F5299" w:rsidRPr="00C05886" w14:paraId="2E594F8B" w14:textId="77777777" w:rsidTr="00305F24">
        <w:trPr>
          <w:trHeight w:val="170"/>
        </w:trPr>
        <w:tc>
          <w:tcPr>
            <w:tcW w:w="1712" w:type="dxa"/>
            <w:noWrap/>
            <w:hideMark/>
          </w:tcPr>
          <w:p w14:paraId="77F4C196" w14:textId="77777777" w:rsidR="005F5299" w:rsidRPr="00C05886" w:rsidRDefault="005F5299" w:rsidP="00305F24">
            <w:pPr>
              <w:spacing w:line="240" w:lineRule="auto"/>
              <w:rPr>
                <w:rFonts w:ascii="Calibri" w:eastAsia="Times New Roman" w:hAnsi="Calibri" w:cs="Calibri"/>
                <w:b/>
                <w:bCs/>
                <w:color w:val="000000"/>
                <w:sz w:val="22"/>
                <w:lang w:eastAsia="en-GB"/>
              </w:rPr>
            </w:pPr>
            <w:r w:rsidRPr="00C05886">
              <w:rPr>
                <w:rFonts w:ascii="Calibri" w:eastAsia="Times New Roman" w:hAnsi="Calibri" w:cs="Calibri"/>
                <w:b/>
                <w:bCs/>
                <w:color w:val="000000"/>
                <w:sz w:val="22"/>
                <w:lang w:eastAsia="en-GB"/>
              </w:rPr>
              <w:t>Affect</w:t>
            </w:r>
          </w:p>
        </w:tc>
        <w:tc>
          <w:tcPr>
            <w:tcW w:w="3091" w:type="dxa"/>
          </w:tcPr>
          <w:p w14:paraId="03B3815F" w14:textId="77777777" w:rsidR="005F5299" w:rsidRPr="00C05886" w:rsidRDefault="005F5299" w:rsidP="00305F24">
            <w:pPr>
              <w:spacing w:line="240" w:lineRule="auto"/>
              <w:rPr>
                <w:rFonts w:ascii="Calibri" w:eastAsia="Times New Roman" w:hAnsi="Calibri" w:cs="Calibri"/>
                <w:b/>
                <w:bCs/>
                <w:color w:val="000000"/>
                <w:sz w:val="22"/>
                <w:lang w:eastAsia="en-GB"/>
              </w:rPr>
            </w:pPr>
            <w:r w:rsidRPr="00C05886">
              <w:rPr>
                <w:rFonts w:ascii="Calibri" w:eastAsia="Times New Roman" w:hAnsi="Calibri" w:cs="Calibri"/>
                <w:b/>
                <w:bCs/>
                <w:color w:val="000000"/>
                <w:sz w:val="22"/>
                <w:lang w:eastAsia="en-GB"/>
              </w:rPr>
              <w:t>Component</w:t>
            </w:r>
          </w:p>
        </w:tc>
        <w:tc>
          <w:tcPr>
            <w:tcW w:w="1514" w:type="dxa"/>
            <w:noWrap/>
            <w:hideMark/>
          </w:tcPr>
          <w:p w14:paraId="1876BFF4" w14:textId="77777777" w:rsidR="005F5299" w:rsidRPr="00C05886" w:rsidRDefault="005F5299" w:rsidP="00305F24">
            <w:pPr>
              <w:spacing w:line="240" w:lineRule="auto"/>
              <w:rPr>
                <w:rFonts w:ascii="Calibri" w:eastAsia="Times New Roman" w:hAnsi="Calibri" w:cs="Calibri"/>
                <w:b/>
                <w:bCs/>
                <w:color w:val="000000"/>
                <w:sz w:val="22"/>
                <w:lang w:eastAsia="en-GB"/>
              </w:rPr>
            </w:pPr>
            <w:r w:rsidRPr="00C05886">
              <w:rPr>
                <w:rFonts w:ascii="Calibri" w:eastAsia="Times New Roman" w:hAnsi="Calibri" w:cs="Calibri"/>
                <w:b/>
                <w:bCs/>
                <w:color w:val="000000"/>
                <w:sz w:val="22"/>
                <w:lang w:eastAsia="en-GB"/>
              </w:rPr>
              <w:t>F</w:t>
            </w:r>
          </w:p>
        </w:tc>
        <w:tc>
          <w:tcPr>
            <w:tcW w:w="1913" w:type="dxa"/>
            <w:noWrap/>
            <w:hideMark/>
          </w:tcPr>
          <w:p w14:paraId="1EAEAE16" w14:textId="77777777" w:rsidR="005F5299" w:rsidRPr="00C05886" w:rsidRDefault="005F5299" w:rsidP="00305F24">
            <w:pPr>
              <w:spacing w:line="240" w:lineRule="auto"/>
              <w:rPr>
                <w:rFonts w:ascii="Calibri" w:eastAsia="Times New Roman" w:hAnsi="Calibri" w:cs="Calibri"/>
                <w:b/>
                <w:bCs/>
                <w:color w:val="000000"/>
                <w:sz w:val="22"/>
                <w:lang w:eastAsia="en-GB"/>
              </w:rPr>
            </w:pPr>
            <w:r w:rsidRPr="00C05886">
              <w:rPr>
                <w:rFonts w:ascii="Calibri" w:eastAsia="Times New Roman" w:hAnsi="Calibri" w:cs="Calibri"/>
                <w:b/>
                <w:bCs/>
                <w:color w:val="000000"/>
                <w:sz w:val="22"/>
                <w:lang w:eastAsia="en-GB"/>
              </w:rPr>
              <w:t>p-value</w:t>
            </w:r>
          </w:p>
        </w:tc>
      </w:tr>
      <w:tr w:rsidR="005F5299" w:rsidRPr="00C05886" w14:paraId="03C9888B" w14:textId="77777777" w:rsidTr="00305F24">
        <w:trPr>
          <w:trHeight w:val="170"/>
        </w:trPr>
        <w:tc>
          <w:tcPr>
            <w:tcW w:w="1712" w:type="dxa"/>
            <w:noWrap/>
            <w:hideMark/>
          </w:tcPr>
          <w:p w14:paraId="334D6143" w14:textId="77777777" w:rsidR="005F5299" w:rsidRPr="00C05886" w:rsidRDefault="005F5299" w:rsidP="00305F24">
            <w:pPr>
              <w:spacing w:line="240" w:lineRule="auto"/>
              <w:rPr>
                <w:rFonts w:ascii="Calibri" w:eastAsia="Times New Roman" w:hAnsi="Calibri" w:cs="Calibri"/>
                <w:color w:val="000000"/>
                <w:sz w:val="22"/>
                <w:lang w:eastAsia="en-GB"/>
              </w:rPr>
            </w:pPr>
            <w:r w:rsidRPr="00C05886">
              <w:rPr>
                <w:rFonts w:ascii="Calibri" w:eastAsia="Times New Roman" w:hAnsi="Calibri" w:cs="Calibri"/>
                <w:color w:val="000000"/>
                <w:sz w:val="22"/>
                <w:lang w:eastAsia="en-GB"/>
              </w:rPr>
              <w:t>Joviality</w:t>
            </w:r>
          </w:p>
        </w:tc>
        <w:tc>
          <w:tcPr>
            <w:tcW w:w="3091" w:type="dxa"/>
          </w:tcPr>
          <w:p w14:paraId="3A99120B" w14:textId="77777777" w:rsidR="005F5299" w:rsidRPr="00C05886" w:rsidRDefault="005F5299" w:rsidP="00305F24">
            <w:pPr>
              <w:spacing w:line="240" w:lineRule="auto"/>
              <w:rPr>
                <w:sz w:val="22"/>
              </w:rPr>
            </w:pPr>
            <w:r w:rsidRPr="00C05886">
              <w:rPr>
                <w:sz w:val="22"/>
              </w:rPr>
              <w:t>Park (Between-subjects)</w:t>
            </w:r>
          </w:p>
        </w:tc>
        <w:tc>
          <w:tcPr>
            <w:tcW w:w="1514" w:type="dxa"/>
            <w:noWrap/>
            <w:hideMark/>
          </w:tcPr>
          <w:p w14:paraId="1D560D82" w14:textId="77777777" w:rsidR="005F5299" w:rsidRPr="00C05886" w:rsidRDefault="005F5299" w:rsidP="00305F24">
            <w:pPr>
              <w:spacing w:line="240" w:lineRule="auto"/>
              <w:jc w:val="right"/>
              <w:rPr>
                <w:rFonts w:ascii="Calibri" w:eastAsia="Times New Roman" w:hAnsi="Calibri" w:cs="Calibri"/>
                <w:color w:val="000000"/>
                <w:sz w:val="22"/>
                <w:lang w:eastAsia="en-GB"/>
              </w:rPr>
            </w:pPr>
            <w:r w:rsidRPr="00C05886">
              <w:rPr>
                <w:rFonts w:ascii="Calibri" w:eastAsia="Times New Roman" w:hAnsi="Calibri" w:cs="Calibri"/>
                <w:color w:val="000000"/>
                <w:sz w:val="22"/>
                <w:lang w:eastAsia="en-GB"/>
              </w:rPr>
              <w:t>2.663</w:t>
            </w:r>
          </w:p>
        </w:tc>
        <w:tc>
          <w:tcPr>
            <w:tcW w:w="1913" w:type="dxa"/>
            <w:noWrap/>
            <w:hideMark/>
          </w:tcPr>
          <w:p w14:paraId="09510215" w14:textId="77777777" w:rsidR="005F5299" w:rsidRPr="00C05886" w:rsidRDefault="005F5299" w:rsidP="00305F24">
            <w:pPr>
              <w:spacing w:line="240" w:lineRule="auto"/>
              <w:jc w:val="right"/>
              <w:rPr>
                <w:rFonts w:ascii="Calibri" w:eastAsia="Times New Roman" w:hAnsi="Calibri" w:cs="Calibri"/>
                <w:color w:val="000000"/>
                <w:sz w:val="22"/>
                <w:lang w:eastAsia="en-GB"/>
              </w:rPr>
            </w:pPr>
            <w:r w:rsidRPr="00C05886">
              <w:rPr>
                <w:rFonts w:ascii="Calibri" w:eastAsia="Times New Roman" w:hAnsi="Calibri" w:cs="Calibri"/>
                <w:color w:val="000000"/>
                <w:sz w:val="22"/>
                <w:lang w:eastAsia="en-GB"/>
              </w:rPr>
              <w:t>0.047</w:t>
            </w:r>
          </w:p>
        </w:tc>
      </w:tr>
      <w:tr w:rsidR="005F5299" w:rsidRPr="00C05886" w14:paraId="5E081F31" w14:textId="77777777" w:rsidTr="00305F24">
        <w:trPr>
          <w:trHeight w:val="170"/>
        </w:trPr>
        <w:tc>
          <w:tcPr>
            <w:tcW w:w="1712" w:type="dxa"/>
            <w:noWrap/>
          </w:tcPr>
          <w:p w14:paraId="6587F6B7" w14:textId="77777777" w:rsidR="005F5299" w:rsidRPr="00C05886" w:rsidRDefault="005F5299" w:rsidP="00305F24">
            <w:pPr>
              <w:spacing w:line="240" w:lineRule="auto"/>
              <w:rPr>
                <w:rFonts w:ascii="Calibri" w:eastAsia="Times New Roman" w:hAnsi="Calibri" w:cs="Calibri"/>
                <w:color w:val="000000"/>
                <w:sz w:val="22"/>
                <w:lang w:eastAsia="en-GB"/>
              </w:rPr>
            </w:pPr>
          </w:p>
        </w:tc>
        <w:tc>
          <w:tcPr>
            <w:tcW w:w="3091" w:type="dxa"/>
          </w:tcPr>
          <w:p w14:paraId="2C10A97E" w14:textId="77777777" w:rsidR="005F5299" w:rsidRPr="00C05886" w:rsidRDefault="005F5299" w:rsidP="00305F24">
            <w:pPr>
              <w:spacing w:line="240" w:lineRule="auto"/>
              <w:rPr>
                <w:sz w:val="22"/>
              </w:rPr>
            </w:pPr>
            <w:r w:rsidRPr="00C05886">
              <w:rPr>
                <w:sz w:val="22"/>
              </w:rPr>
              <w:t>Stage (Within-subjects)</w:t>
            </w:r>
          </w:p>
        </w:tc>
        <w:tc>
          <w:tcPr>
            <w:tcW w:w="1514" w:type="dxa"/>
            <w:noWrap/>
          </w:tcPr>
          <w:p w14:paraId="1643068A" w14:textId="77777777" w:rsidR="005F5299" w:rsidRPr="00C05886" w:rsidRDefault="005F5299" w:rsidP="00305F24">
            <w:pPr>
              <w:spacing w:line="240" w:lineRule="auto"/>
              <w:jc w:val="right"/>
              <w:rPr>
                <w:rFonts w:ascii="Calibri" w:eastAsia="Times New Roman" w:hAnsi="Calibri" w:cs="Calibri"/>
                <w:color w:val="000000"/>
                <w:sz w:val="22"/>
                <w:lang w:eastAsia="en-GB"/>
              </w:rPr>
            </w:pPr>
            <w:r w:rsidRPr="00C05886">
              <w:rPr>
                <w:rFonts w:ascii="Calibri" w:eastAsia="Times New Roman" w:hAnsi="Calibri" w:cs="Calibri"/>
                <w:color w:val="000000"/>
                <w:sz w:val="22"/>
                <w:lang w:eastAsia="en-GB"/>
              </w:rPr>
              <w:t>109.1</w:t>
            </w:r>
          </w:p>
        </w:tc>
        <w:tc>
          <w:tcPr>
            <w:tcW w:w="1913" w:type="dxa"/>
            <w:noWrap/>
          </w:tcPr>
          <w:p w14:paraId="245EA5B7" w14:textId="77777777" w:rsidR="005F5299" w:rsidRPr="00C05886" w:rsidRDefault="005F5299" w:rsidP="00305F24">
            <w:pPr>
              <w:spacing w:line="240" w:lineRule="auto"/>
              <w:jc w:val="right"/>
              <w:rPr>
                <w:rFonts w:ascii="Calibri" w:eastAsia="Times New Roman" w:hAnsi="Calibri" w:cs="Calibri"/>
                <w:color w:val="000000"/>
                <w:sz w:val="22"/>
                <w:lang w:eastAsia="en-GB"/>
              </w:rPr>
            </w:pPr>
            <w:r w:rsidRPr="00C05886">
              <w:rPr>
                <w:rFonts w:ascii="Calibri" w:eastAsia="Times New Roman" w:hAnsi="Calibri" w:cs="Calibri"/>
                <w:color w:val="000000"/>
                <w:sz w:val="22"/>
                <w:lang w:eastAsia="en-GB"/>
              </w:rPr>
              <w:t>&lt;0.001</w:t>
            </w:r>
          </w:p>
        </w:tc>
      </w:tr>
      <w:tr w:rsidR="005F5299" w:rsidRPr="00C05886" w14:paraId="3CF9A5F0" w14:textId="77777777" w:rsidTr="00305F24">
        <w:trPr>
          <w:trHeight w:val="170"/>
        </w:trPr>
        <w:tc>
          <w:tcPr>
            <w:tcW w:w="1712" w:type="dxa"/>
            <w:noWrap/>
            <w:hideMark/>
          </w:tcPr>
          <w:p w14:paraId="78A1801A" w14:textId="77777777" w:rsidR="005F5299" w:rsidRPr="00C05886" w:rsidRDefault="005F5299" w:rsidP="00305F24">
            <w:pPr>
              <w:spacing w:line="240" w:lineRule="auto"/>
              <w:rPr>
                <w:rFonts w:ascii="Calibri" w:eastAsia="Times New Roman" w:hAnsi="Calibri" w:cs="Calibri"/>
                <w:color w:val="000000"/>
                <w:sz w:val="22"/>
                <w:lang w:eastAsia="en-GB"/>
              </w:rPr>
            </w:pPr>
            <w:r w:rsidRPr="00C05886">
              <w:rPr>
                <w:rFonts w:ascii="Calibri" w:eastAsia="Times New Roman" w:hAnsi="Calibri" w:cs="Calibri"/>
                <w:color w:val="000000"/>
                <w:sz w:val="22"/>
                <w:lang w:eastAsia="en-GB"/>
              </w:rPr>
              <w:t>Serenity</w:t>
            </w:r>
          </w:p>
        </w:tc>
        <w:tc>
          <w:tcPr>
            <w:tcW w:w="3091" w:type="dxa"/>
          </w:tcPr>
          <w:p w14:paraId="66BC5576" w14:textId="77777777" w:rsidR="005F5299" w:rsidRPr="00C05886" w:rsidRDefault="005F5299" w:rsidP="00305F24">
            <w:pPr>
              <w:spacing w:line="240" w:lineRule="auto"/>
              <w:rPr>
                <w:sz w:val="22"/>
              </w:rPr>
            </w:pPr>
            <w:r w:rsidRPr="00C05886">
              <w:rPr>
                <w:sz w:val="22"/>
              </w:rPr>
              <w:t>Park (Between-subjects)</w:t>
            </w:r>
          </w:p>
        </w:tc>
        <w:tc>
          <w:tcPr>
            <w:tcW w:w="1514" w:type="dxa"/>
            <w:noWrap/>
            <w:hideMark/>
          </w:tcPr>
          <w:p w14:paraId="62277EFC" w14:textId="77777777" w:rsidR="005F5299" w:rsidRPr="00C05886" w:rsidRDefault="005F5299" w:rsidP="00305F24">
            <w:pPr>
              <w:spacing w:line="240" w:lineRule="auto"/>
              <w:jc w:val="right"/>
              <w:rPr>
                <w:rFonts w:ascii="Calibri" w:eastAsia="Times New Roman" w:hAnsi="Calibri" w:cs="Calibri"/>
                <w:color w:val="000000"/>
                <w:sz w:val="22"/>
                <w:lang w:eastAsia="en-GB"/>
              </w:rPr>
            </w:pPr>
            <w:r w:rsidRPr="00C05886">
              <w:rPr>
                <w:rFonts w:ascii="Calibri" w:eastAsia="Times New Roman" w:hAnsi="Calibri" w:cs="Calibri"/>
                <w:color w:val="000000"/>
                <w:sz w:val="22"/>
                <w:lang w:eastAsia="en-GB"/>
              </w:rPr>
              <w:t>0.332</w:t>
            </w:r>
          </w:p>
        </w:tc>
        <w:tc>
          <w:tcPr>
            <w:tcW w:w="1913" w:type="dxa"/>
            <w:noWrap/>
            <w:hideMark/>
          </w:tcPr>
          <w:p w14:paraId="203F71B3" w14:textId="77777777" w:rsidR="005F5299" w:rsidRPr="00C05886" w:rsidRDefault="005F5299" w:rsidP="00305F24">
            <w:pPr>
              <w:spacing w:line="240" w:lineRule="auto"/>
              <w:jc w:val="right"/>
              <w:rPr>
                <w:rFonts w:ascii="Calibri" w:eastAsia="Times New Roman" w:hAnsi="Calibri" w:cs="Calibri"/>
                <w:color w:val="000000"/>
                <w:sz w:val="22"/>
                <w:lang w:eastAsia="en-GB"/>
              </w:rPr>
            </w:pPr>
            <w:r w:rsidRPr="00C05886">
              <w:rPr>
                <w:rFonts w:ascii="Calibri" w:eastAsia="Times New Roman" w:hAnsi="Calibri" w:cs="Calibri"/>
                <w:color w:val="000000"/>
                <w:sz w:val="22"/>
                <w:lang w:eastAsia="en-GB"/>
              </w:rPr>
              <w:t>0.802</w:t>
            </w:r>
          </w:p>
        </w:tc>
      </w:tr>
      <w:tr w:rsidR="005F5299" w:rsidRPr="00C05886" w14:paraId="2DAE95E1" w14:textId="77777777" w:rsidTr="00305F24">
        <w:trPr>
          <w:trHeight w:val="170"/>
        </w:trPr>
        <w:tc>
          <w:tcPr>
            <w:tcW w:w="1712" w:type="dxa"/>
            <w:noWrap/>
          </w:tcPr>
          <w:p w14:paraId="505FADB8" w14:textId="77777777" w:rsidR="005F5299" w:rsidRPr="00C05886" w:rsidRDefault="005F5299" w:rsidP="00305F24">
            <w:pPr>
              <w:spacing w:line="240" w:lineRule="auto"/>
              <w:rPr>
                <w:rFonts w:ascii="Calibri" w:eastAsia="Times New Roman" w:hAnsi="Calibri" w:cs="Calibri"/>
                <w:color w:val="000000"/>
                <w:sz w:val="22"/>
                <w:lang w:eastAsia="en-GB"/>
              </w:rPr>
            </w:pPr>
          </w:p>
        </w:tc>
        <w:tc>
          <w:tcPr>
            <w:tcW w:w="3091" w:type="dxa"/>
          </w:tcPr>
          <w:p w14:paraId="01985B44" w14:textId="77777777" w:rsidR="005F5299" w:rsidRPr="00C05886" w:rsidRDefault="005F5299" w:rsidP="00305F24">
            <w:pPr>
              <w:spacing w:line="240" w:lineRule="auto"/>
              <w:rPr>
                <w:sz w:val="22"/>
              </w:rPr>
            </w:pPr>
            <w:r w:rsidRPr="00C05886">
              <w:rPr>
                <w:sz w:val="22"/>
              </w:rPr>
              <w:t>Stage (Within-subjects)</w:t>
            </w:r>
          </w:p>
        </w:tc>
        <w:tc>
          <w:tcPr>
            <w:tcW w:w="1514" w:type="dxa"/>
            <w:noWrap/>
          </w:tcPr>
          <w:p w14:paraId="4CF1F700" w14:textId="77777777" w:rsidR="005F5299" w:rsidRPr="00C05886" w:rsidRDefault="005F5299" w:rsidP="00305F24">
            <w:pPr>
              <w:spacing w:line="240" w:lineRule="auto"/>
              <w:jc w:val="right"/>
              <w:rPr>
                <w:rFonts w:ascii="Calibri" w:eastAsia="Times New Roman" w:hAnsi="Calibri" w:cs="Calibri"/>
                <w:color w:val="000000"/>
                <w:sz w:val="22"/>
                <w:lang w:eastAsia="en-GB"/>
              </w:rPr>
            </w:pPr>
            <w:r w:rsidRPr="00C05886">
              <w:rPr>
                <w:rFonts w:ascii="Calibri" w:eastAsia="Times New Roman" w:hAnsi="Calibri" w:cs="Calibri"/>
                <w:color w:val="000000"/>
                <w:sz w:val="22"/>
                <w:lang w:eastAsia="en-GB"/>
              </w:rPr>
              <w:t>195.1</w:t>
            </w:r>
          </w:p>
        </w:tc>
        <w:tc>
          <w:tcPr>
            <w:tcW w:w="1913" w:type="dxa"/>
            <w:noWrap/>
          </w:tcPr>
          <w:p w14:paraId="799D96C9" w14:textId="77777777" w:rsidR="005F5299" w:rsidRPr="00C05886" w:rsidRDefault="005F5299" w:rsidP="00305F24">
            <w:pPr>
              <w:spacing w:line="240" w:lineRule="auto"/>
              <w:jc w:val="right"/>
              <w:rPr>
                <w:rFonts w:ascii="Calibri" w:eastAsia="Times New Roman" w:hAnsi="Calibri" w:cs="Calibri"/>
                <w:color w:val="000000"/>
                <w:sz w:val="22"/>
                <w:lang w:eastAsia="en-GB"/>
              </w:rPr>
            </w:pPr>
            <w:r w:rsidRPr="00C05886">
              <w:rPr>
                <w:rFonts w:ascii="Calibri" w:eastAsia="Times New Roman" w:hAnsi="Calibri" w:cs="Calibri"/>
                <w:color w:val="000000"/>
                <w:sz w:val="22"/>
                <w:lang w:eastAsia="en-GB"/>
              </w:rPr>
              <w:t>&lt;0.001</w:t>
            </w:r>
          </w:p>
        </w:tc>
      </w:tr>
      <w:tr w:rsidR="005F5299" w:rsidRPr="00C05886" w14:paraId="08B29951" w14:textId="77777777" w:rsidTr="00305F24">
        <w:trPr>
          <w:trHeight w:val="170"/>
        </w:trPr>
        <w:tc>
          <w:tcPr>
            <w:tcW w:w="1712" w:type="dxa"/>
            <w:noWrap/>
            <w:hideMark/>
          </w:tcPr>
          <w:p w14:paraId="1DB8B221" w14:textId="77777777" w:rsidR="005F5299" w:rsidRPr="00C05886" w:rsidRDefault="005F5299" w:rsidP="00305F24">
            <w:pPr>
              <w:spacing w:line="240" w:lineRule="auto"/>
              <w:rPr>
                <w:rFonts w:ascii="Calibri" w:eastAsia="Times New Roman" w:hAnsi="Calibri" w:cs="Calibri"/>
                <w:color w:val="000000"/>
                <w:sz w:val="22"/>
                <w:lang w:eastAsia="en-GB"/>
              </w:rPr>
            </w:pPr>
            <w:r w:rsidRPr="00C05886">
              <w:rPr>
                <w:rFonts w:ascii="Calibri" w:eastAsia="Times New Roman" w:hAnsi="Calibri" w:cs="Calibri"/>
                <w:color w:val="000000"/>
                <w:sz w:val="22"/>
                <w:lang w:eastAsia="en-GB"/>
              </w:rPr>
              <w:t>Negative Affect</w:t>
            </w:r>
          </w:p>
        </w:tc>
        <w:tc>
          <w:tcPr>
            <w:tcW w:w="3091" w:type="dxa"/>
          </w:tcPr>
          <w:p w14:paraId="51966A36" w14:textId="77777777" w:rsidR="005F5299" w:rsidRPr="00C05886" w:rsidRDefault="005F5299" w:rsidP="00305F24">
            <w:pPr>
              <w:spacing w:line="240" w:lineRule="auto"/>
              <w:rPr>
                <w:sz w:val="22"/>
              </w:rPr>
            </w:pPr>
            <w:r w:rsidRPr="00C05886">
              <w:rPr>
                <w:sz w:val="22"/>
              </w:rPr>
              <w:t>Park (Between-subjects)</w:t>
            </w:r>
          </w:p>
        </w:tc>
        <w:tc>
          <w:tcPr>
            <w:tcW w:w="1514" w:type="dxa"/>
            <w:noWrap/>
            <w:hideMark/>
          </w:tcPr>
          <w:p w14:paraId="12758BBC" w14:textId="77777777" w:rsidR="005F5299" w:rsidRPr="00C05886" w:rsidRDefault="005F5299" w:rsidP="00305F24">
            <w:pPr>
              <w:spacing w:line="240" w:lineRule="auto"/>
              <w:jc w:val="right"/>
              <w:rPr>
                <w:rFonts w:ascii="Calibri" w:eastAsia="Times New Roman" w:hAnsi="Calibri" w:cs="Calibri"/>
                <w:color w:val="000000"/>
                <w:sz w:val="22"/>
                <w:lang w:eastAsia="en-GB"/>
              </w:rPr>
            </w:pPr>
            <w:r w:rsidRPr="00C05886">
              <w:rPr>
                <w:rFonts w:ascii="Calibri" w:eastAsia="Times New Roman" w:hAnsi="Calibri" w:cs="Calibri"/>
                <w:color w:val="000000"/>
                <w:sz w:val="22"/>
                <w:lang w:eastAsia="en-GB"/>
              </w:rPr>
              <w:t>0.724</w:t>
            </w:r>
          </w:p>
        </w:tc>
        <w:tc>
          <w:tcPr>
            <w:tcW w:w="1913" w:type="dxa"/>
            <w:noWrap/>
            <w:hideMark/>
          </w:tcPr>
          <w:p w14:paraId="427E7746" w14:textId="77777777" w:rsidR="005F5299" w:rsidRPr="00C05886" w:rsidRDefault="005F5299" w:rsidP="00305F24">
            <w:pPr>
              <w:spacing w:line="240" w:lineRule="auto"/>
              <w:jc w:val="right"/>
              <w:rPr>
                <w:rFonts w:ascii="Calibri" w:eastAsia="Times New Roman" w:hAnsi="Calibri" w:cs="Calibri"/>
                <w:color w:val="000000"/>
                <w:sz w:val="22"/>
                <w:lang w:eastAsia="en-GB"/>
              </w:rPr>
            </w:pPr>
            <w:r w:rsidRPr="00C05886">
              <w:rPr>
                <w:rFonts w:ascii="Calibri" w:eastAsia="Times New Roman" w:hAnsi="Calibri" w:cs="Calibri"/>
                <w:color w:val="000000"/>
                <w:sz w:val="22"/>
                <w:lang w:eastAsia="en-GB"/>
              </w:rPr>
              <w:t>0.538</w:t>
            </w:r>
          </w:p>
        </w:tc>
      </w:tr>
      <w:tr w:rsidR="005F5299" w:rsidRPr="00C05886" w14:paraId="13905BD5" w14:textId="77777777" w:rsidTr="00305F24">
        <w:trPr>
          <w:trHeight w:val="170"/>
        </w:trPr>
        <w:tc>
          <w:tcPr>
            <w:tcW w:w="1712" w:type="dxa"/>
            <w:noWrap/>
          </w:tcPr>
          <w:p w14:paraId="46B06695" w14:textId="77777777" w:rsidR="005F5299" w:rsidRPr="00C05886" w:rsidRDefault="005F5299" w:rsidP="00305F24">
            <w:pPr>
              <w:spacing w:line="240" w:lineRule="auto"/>
              <w:rPr>
                <w:rFonts w:ascii="Calibri" w:eastAsia="Times New Roman" w:hAnsi="Calibri" w:cs="Calibri"/>
                <w:color w:val="000000"/>
                <w:sz w:val="22"/>
                <w:lang w:eastAsia="en-GB"/>
              </w:rPr>
            </w:pPr>
          </w:p>
        </w:tc>
        <w:tc>
          <w:tcPr>
            <w:tcW w:w="3091" w:type="dxa"/>
          </w:tcPr>
          <w:p w14:paraId="785C37C5" w14:textId="77777777" w:rsidR="005F5299" w:rsidRPr="00C05886" w:rsidRDefault="005F5299" w:rsidP="00305F24">
            <w:pPr>
              <w:spacing w:line="240" w:lineRule="auto"/>
              <w:rPr>
                <w:sz w:val="22"/>
              </w:rPr>
            </w:pPr>
            <w:r w:rsidRPr="00C05886">
              <w:rPr>
                <w:sz w:val="22"/>
              </w:rPr>
              <w:t>Stage (Within-subjects)</w:t>
            </w:r>
          </w:p>
        </w:tc>
        <w:tc>
          <w:tcPr>
            <w:tcW w:w="1514" w:type="dxa"/>
            <w:noWrap/>
          </w:tcPr>
          <w:p w14:paraId="04D47203" w14:textId="77777777" w:rsidR="005F5299" w:rsidRPr="00C05886" w:rsidRDefault="005F5299" w:rsidP="00305F24">
            <w:pPr>
              <w:spacing w:line="240" w:lineRule="auto"/>
              <w:jc w:val="right"/>
              <w:rPr>
                <w:rFonts w:ascii="Calibri" w:eastAsia="Times New Roman" w:hAnsi="Calibri" w:cs="Calibri"/>
                <w:color w:val="000000"/>
                <w:sz w:val="22"/>
                <w:lang w:eastAsia="en-GB"/>
              </w:rPr>
            </w:pPr>
            <w:r w:rsidRPr="00C05886">
              <w:rPr>
                <w:rFonts w:ascii="Calibri" w:eastAsia="Times New Roman" w:hAnsi="Calibri" w:cs="Calibri"/>
                <w:color w:val="000000"/>
                <w:sz w:val="22"/>
                <w:lang w:eastAsia="en-GB"/>
              </w:rPr>
              <w:t>118.4</w:t>
            </w:r>
          </w:p>
        </w:tc>
        <w:tc>
          <w:tcPr>
            <w:tcW w:w="1913" w:type="dxa"/>
            <w:noWrap/>
          </w:tcPr>
          <w:p w14:paraId="652690DD" w14:textId="77777777" w:rsidR="005F5299" w:rsidRPr="00C05886" w:rsidRDefault="005F5299" w:rsidP="00305F24">
            <w:pPr>
              <w:spacing w:line="240" w:lineRule="auto"/>
              <w:jc w:val="right"/>
              <w:rPr>
                <w:rFonts w:ascii="Calibri" w:eastAsia="Times New Roman" w:hAnsi="Calibri" w:cs="Calibri"/>
                <w:color w:val="000000"/>
                <w:sz w:val="22"/>
                <w:lang w:eastAsia="en-GB"/>
              </w:rPr>
            </w:pPr>
            <w:r w:rsidRPr="00C05886">
              <w:rPr>
                <w:rFonts w:ascii="Calibri" w:eastAsia="Times New Roman" w:hAnsi="Calibri" w:cs="Calibri"/>
                <w:color w:val="000000"/>
                <w:sz w:val="22"/>
                <w:lang w:eastAsia="en-GB"/>
              </w:rPr>
              <w:t>&lt;0.001</w:t>
            </w:r>
          </w:p>
        </w:tc>
      </w:tr>
    </w:tbl>
    <w:p w14:paraId="7D588070" w14:textId="77777777" w:rsidR="00F861DB" w:rsidRPr="00C05886" w:rsidRDefault="00F861DB" w:rsidP="005F5299">
      <w:pPr>
        <w:pStyle w:val="Heading4"/>
      </w:pPr>
    </w:p>
    <w:p w14:paraId="7193973E" w14:textId="7BC2DB00" w:rsidR="005F5299" w:rsidRPr="00C05886" w:rsidRDefault="005F5299" w:rsidP="005F5299">
      <w:pPr>
        <w:pStyle w:val="Heading4"/>
      </w:pPr>
      <w:r w:rsidRPr="00C05886">
        <w:t>Effect of perceived biodiversity on the affective response.</w:t>
      </w:r>
      <w:r w:rsidRPr="00C05886">
        <w:tab/>
      </w:r>
    </w:p>
    <w:p w14:paraId="461E098D" w14:textId="77777777" w:rsidR="005F5299" w:rsidRPr="00C05886" w:rsidRDefault="005F5299" w:rsidP="00457C44">
      <w:pPr>
        <w:rPr>
          <w:color w:val="FF0000"/>
        </w:rPr>
      </w:pPr>
      <w:r w:rsidRPr="00C05886">
        <w:t xml:space="preserve">There were significant interactions between levels of perceived biodiversity and the different stages of the procedure for both Joviality (F=3.674, p=0.007) and Serenity (F=2.363, p=0.055). Post hoc tests, however, showed significant improvements in these emotions when participants perceived the park biodiversity to be medium or high (Fig. 3, left and middle). Negative affect decreased on park exposure after the stressor, but post hoc tests did not suggest significant differences based on perceptions of biodiversity.  </w:t>
      </w:r>
    </w:p>
    <w:p w14:paraId="096152F2" w14:textId="77777777" w:rsidR="005F5299" w:rsidRPr="00C05886" w:rsidRDefault="005F5299" w:rsidP="00DE50AC">
      <w:pPr>
        <w:keepNext/>
      </w:pPr>
      <w:r w:rsidRPr="00134B49">
        <w:rPr>
          <w:noProof/>
          <w:lang w:eastAsia="en-GB"/>
        </w:rPr>
        <w:drawing>
          <wp:inline distT="0" distB="0" distL="0" distR="0" wp14:anchorId="707C8C32" wp14:editId="49822572">
            <wp:extent cx="2016000" cy="2520000"/>
            <wp:effectExtent l="0" t="0" r="3810" b="13970"/>
            <wp:docPr id="1777744042" name="Chart 1777744042">
              <a:extLst xmlns:a="http://schemas.openxmlformats.org/drawingml/2006/main">
                <a:ext uri="{FF2B5EF4-FFF2-40B4-BE49-F238E27FC236}">
                  <a16:creationId xmlns:a16="http://schemas.microsoft.com/office/drawing/2014/main" id="{061D0E76-2319-E42D-2E41-182F408649E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r w:rsidRPr="00134B49">
        <w:rPr>
          <w:noProof/>
          <w:lang w:eastAsia="en-GB"/>
        </w:rPr>
        <w:drawing>
          <wp:inline distT="0" distB="0" distL="0" distR="0" wp14:anchorId="36580F08" wp14:editId="3C321640">
            <wp:extent cx="2016000" cy="2520000"/>
            <wp:effectExtent l="0" t="0" r="3810" b="13970"/>
            <wp:docPr id="211049144" name="Chart 211049144">
              <a:extLst xmlns:a="http://schemas.openxmlformats.org/drawingml/2006/main">
                <a:ext uri="{FF2B5EF4-FFF2-40B4-BE49-F238E27FC236}">
                  <a16:creationId xmlns:a16="http://schemas.microsoft.com/office/drawing/2014/main" id="{9C4B3793-D076-526D-9800-D21B1C73ABB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r w:rsidRPr="00134B49">
        <w:rPr>
          <w:noProof/>
          <w:lang w:eastAsia="en-GB"/>
        </w:rPr>
        <w:drawing>
          <wp:inline distT="0" distB="0" distL="0" distR="0" wp14:anchorId="651D0A3A" wp14:editId="0A6EC104">
            <wp:extent cx="2016000" cy="2520000"/>
            <wp:effectExtent l="0" t="0" r="3810" b="13970"/>
            <wp:docPr id="2062904608" name="Chart 2062904608">
              <a:extLst xmlns:a="http://schemas.openxmlformats.org/drawingml/2006/main">
                <a:ext uri="{FF2B5EF4-FFF2-40B4-BE49-F238E27FC236}">
                  <a16:creationId xmlns:a16="http://schemas.microsoft.com/office/drawing/2014/main" id="{D6A8F27E-4B13-BCFA-3262-D00E3AA0735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75B7D6E4" w14:textId="105EC313" w:rsidR="005F5299" w:rsidRPr="00C05886" w:rsidRDefault="005F5299" w:rsidP="00DE50AC">
      <w:pPr>
        <w:pStyle w:val="Caption"/>
      </w:pPr>
      <w:r w:rsidRPr="00C05886">
        <w:t>Figure</w:t>
      </w:r>
      <w:r w:rsidR="00F861DB" w:rsidRPr="00C05886">
        <w:t xml:space="preserve"> 3</w:t>
      </w:r>
      <w:r w:rsidRPr="00C05886">
        <w:t xml:space="preserve">. Experiment 2. Changes, from after receiving the stressor to after exploring the park, in the Joviality (left), Serenity (centre) and Negative Affect (right) scores by perceived biodiversity. </w:t>
      </w:r>
    </w:p>
    <w:p w14:paraId="4B6EEF16" w14:textId="77777777" w:rsidR="005F5299" w:rsidRPr="00C05886" w:rsidRDefault="005F5299" w:rsidP="005F5299">
      <w:pPr>
        <w:pStyle w:val="Heading3"/>
      </w:pPr>
      <w:bookmarkStart w:id="133" w:name="_Toc179962374"/>
      <w:r w:rsidRPr="00C05886">
        <w:lastRenderedPageBreak/>
        <w:t>Experiment 3</w:t>
      </w:r>
      <w:bookmarkEnd w:id="133"/>
    </w:p>
    <w:p w14:paraId="79D6EC9D" w14:textId="77777777" w:rsidR="005F5299" w:rsidRPr="00C05886" w:rsidRDefault="005F5299" w:rsidP="005F5299">
      <w:pPr>
        <w:pStyle w:val="Heading4"/>
      </w:pPr>
      <w:r w:rsidRPr="00C05886">
        <w:t>Effect of virtual park biodiversity on the affective response.</w:t>
      </w:r>
    </w:p>
    <w:p w14:paraId="45404A22" w14:textId="77777777" w:rsidR="005F5299" w:rsidRPr="00C05886" w:rsidRDefault="005F5299" w:rsidP="00460FE5">
      <w:r w:rsidRPr="00C05886">
        <w:t xml:space="preserve">Scores for Joviality and Serenity after the park exposure did not differ significantly from the baseline at any of the levels of biodiversity. In contrast, Negative Affect was instead significantly reduced (Table 6), but at both levels of biodiversity – i.e. no significant effect based on the level of biodiversity viewed.  </w:t>
      </w:r>
    </w:p>
    <w:p w14:paraId="4E68C102" w14:textId="0B6BB77A" w:rsidR="005F5299" w:rsidRPr="00C05886" w:rsidRDefault="005F5299" w:rsidP="007B2221">
      <w:pPr>
        <w:pStyle w:val="Caption"/>
        <w:keepNext/>
      </w:pPr>
      <w:r w:rsidRPr="00C05886">
        <w:t xml:space="preserve">Table </w:t>
      </w:r>
      <w:r w:rsidR="00F861DB" w:rsidRPr="00C05886">
        <w:t>6</w:t>
      </w:r>
      <w:r w:rsidRPr="00C05886">
        <w:t>. Experiment 3. Summary of the RM-ANOVA comparing the effect of park treatment on the three affective states.</w:t>
      </w:r>
    </w:p>
    <w:tbl>
      <w:tblPr>
        <w:tblStyle w:val="TableGrid"/>
        <w:tblW w:w="7389" w:type="dxa"/>
        <w:tblLook w:val="04A0" w:firstRow="1" w:lastRow="0" w:firstColumn="1" w:lastColumn="0" w:noHBand="0" w:noVBand="1"/>
      </w:tblPr>
      <w:tblGrid>
        <w:gridCol w:w="1805"/>
        <w:gridCol w:w="2717"/>
        <w:gridCol w:w="1207"/>
        <w:gridCol w:w="1660"/>
      </w:tblGrid>
      <w:tr w:rsidR="005F5299" w:rsidRPr="00C05886" w14:paraId="6711E33D" w14:textId="77777777" w:rsidTr="00F861DB">
        <w:trPr>
          <w:trHeight w:val="170"/>
        </w:trPr>
        <w:tc>
          <w:tcPr>
            <w:tcW w:w="1805" w:type="dxa"/>
            <w:noWrap/>
            <w:hideMark/>
          </w:tcPr>
          <w:p w14:paraId="23C14E95" w14:textId="77777777" w:rsidR="005F5299" w:rsidRPr="00C05886" w:rsidRDefault="005F5299" w:rsidP="005F5299">
            <w:pPr>
              <w:spacing w:line="240" w:lineRule="auto"/>
              <w:rPr>
                <w:rFonts w:ascii="Times New Roman" w:eastAsia="Times New Roman" w:hAnsi="Times New Roman" w:cs="Times New Roman"/>
                <w:b/>
                <w:bCs/>
                <w:sz w:val="22"/>
                <w:lang w:eastAsia="en-GB"/>
              </w:rPr>
            </w:pPr>
          </w:p>
        </w:tc>
        <w:tc>
          <w:tcPr>
            <w:tcW w:w="2717" w:type="dxa"/>
          </w:tcPr>
          <w:p w14:paraId="49F07056" w14:textId="77777777" w:rsidR="005F5299" w:rsidRPr="00C05886" w:rsidRDefault="005F5299" w:rsidP="005F5299">
            <w:pPr>
              <w:spacing w:line="240" w:lineRule="auto"/>
              <w:rPr>
                <w:rFonts w:ascii="Calibri" w:eastAsia="Times New Roman" w:hAnsi="Calibri" w:cs="Calibri"/>
                <w:b/>
                <w:bCs/>
                <w:color w:val="000000"/>
                <w:sz w:val="22"/>
                <w:lang w:eastAsia="en-GB"/>
              </w:rPr>
            </w:pPr>
          </w:p>
        </w:tc>
        <w:tc>
          <w:tcPr>
            <w:tcW w:w="2867" w:type="dxa"/>
            <w:gridSpan w:val="2"/>
            <w:noWrap/>
            <w:hideMark/>
          </w:tcPr>
          <w:p w14:paraId="281274A7" w14:textId="77777777" w:rsidR="005F5299" w:rsidRPr="00C05886" w:rsidRDefault="005F5299" w:rsidP="005F5299">
            <w:pPr>
              <w:spacing w:line="240" w:lineRule="auto"/>
              <w:rPr>
                <w:rFonts w:ascii="Calibri" w:eastAsia="Times New Roman" w:hAnsi="Calibri" w:cs="Calibri"/>
                <w:b/>
                <w:bCs/>
                <w:color w:val="000000"/>
                <w:sz w:val="22"/>
                <w:lang w:eastAsia="en-GB"/>
              </w:rPr>
            </w:pPr>
            <w:r w:rsidRPr="00C05886">
              <w:rPr>
                <w:rFonts w:ascii="Calibri" w:eastAsia="Times New Roman" w:hAnsi="Calibri" w:cs="Calibri"/>
                <w:b/>
                <w:bCs/>
                <w:color w:val="000000"/>
                <w:sz w:val="22"/>
                <w:lang w:eastAsia="en-GB"/>
              </w:rPr>
              <w:t>Experiment 3</w:t>
            </w:r>
          </w:p>
        </w:tc>
      </w:tr>
      <w:tr w:rsidR="005F5299" w:rsidRPr="00C05886" w14:paraId="05598EE7" w14:textId="77777777" w:rsidTr="00F861DB">
        <w:trPr>
          <w:trHeight w:val="170"/>
        </w:trPr>
        <w:tc>
          <w:tcPr>
            <w:tcW w:w="1805" w:type="dxa"/>
            <w:noWrap/>
            <w:hideMark/>
          </w:tcPr>
          <w:p w14:paraId="34477A52" w14:textId="77777777" w:rsidR="005F5299" w:rsidRPr="00C05886" w:rsidRDefault="005F5299" w:rsidP="005F5299">
            <w:pPr>
              <w:spacing w:line="240" w:lineRule="auto"/>
              <w:rPr>
                <w:rFonts w:ascii="Calibri" w:eastAsia="Times New Roman" w:hAnsi="Calibri" w:cs="Calibri"/>
                <w:b/>
                <w:bCs/>
                <w:color w:val="000000"/>
                <w:sz w:val="22"/>
                <w:lang w:eastAsia="en-GB"/>
              </w:rPr>
            </w:pPr>
            <w:r w:rsidRPr="00C05886">
              <w:rPr>
                <w:rFonts w:ascii="Calibri" w:eastAsia="Times New Roman" w:hAnsi="Calibri" w:cs="Calibri"/>
                <w:b/>
                <w:bCs/>
                <w:color w:val="000000"/>
                <w:sz w:val="22"/>
                <w:lang w:eastAsia="en-GB"/>
              </w:rPr>
              <w:t>Affect</w:t>
            </w:r>
          </w:p>
        </w:tc>
        <w:tc>
          <w:tcPr>
            <w:tcW w:w="2717" w:type="dxa"/>
          </w:tcPr>
          <w:p w14:paraId="352C697E" w14:textId="77777777" w:rsidR="005F5299" w:rsidRPr="00C05886" w:rsidRDefault="005F5299" w:rsidP="005F5299">
            <w:pPr>
              <w:spacing w:line="240" w:lineRule="auto"/>
              <w:rPr>
                <w:rFonts w:ascii="Calibri" w:eastAsia="Times New Roman" w:hAnsi="Calibri" w:cs="Calibri"/>
                <w:b/>
                <w:bCs/>
                <w:color w:val="000000"/>
                <w:sz w:val="22"/>
                <w:lang w:eastAsia="en-GB"/>
              </w:rPr>
            </w:pPr>
            <w:r w:rsidRPr="00C05886">
              <w:rPr>
                <w:rFonts w:ascii="Calibri" w:eastAsia="Times New Roman" w:hAnsi="Calibri" w:cs="Calibri"/>
                <w:b/>
                <w:bCs/>
                <w:color w:val="000000"/>
                <w:sz w:val="22"/>
                <w:lang w:eastAsia="en-GB"/>
              </w:rPr>
              <w:t>Component</w:t>
            </w:r>
          </w:p>
        </w:tc>
        <w:tc>
          <w:tcPr>
            <w:tcW w:w="1207" w:type="dxa"/>
            <w:noWrap/>
            <w:hideMark/>
          </w:tcPr>
          <w:p w14:paraId="03D7C81D" w14:textId="77777777" w:rsidR="005F5299" w:rsidRPr="00C05886" w:rsidRDefault="005F5299" w:rsidP="005F5299">
            <w:pPr>
              <w:spacing w:line="240" w:lineRule="auto"/>
              <w:rPr>
                <w:rFonts w:ascii="Calibri" w:eastAsia="Times New Roman" w:hAnsi="Calibri" w:cs="Calibri"/>
                <w:b/>
                <w:bCs/>
                <w:color w:val="000000"/>
                <w:sz w:val="22"/>
                <w:lang w:eastAsia="en-GB"/>
              </w:rPr>
            </w:pPr>
            <w:r w:rsidRPr="00C05886">
              <w:rPr>
                <w:rFonts w:ascii="Calibri" w:eastAsia="Times New Roman" w:hAnsi="Calibri" w:cs="Calibri"/>
                <w:b/>
                <w:bCs/>
                <w:color w:val="000000"/>
                <w:sz w:val="22"/>
                <w:lang w:eastAsia="en-GB"/>
              </w:rPr>
              <w:t>F</w:t>
            </w:r>
          </w:p>
        </w:tc>
        <w:tc>
          <w:tcPr>
            <w:tcW w:w="1660" w:type="dxa"/>
            <w:noWrap/>
            <w:hideMark/>
          </w:tcPr>
          <w:p w14:paraId="0824C300" w14:textId="77777777" w:rsidR="005F5299" w:rsidRPr="00C05886" w:rsidRDefault="005F5299" w:rsidP="005F5299">
            <w:pPr>
              <w:spacing w:line="240" w:lineRule="auto"/>
              <w:rPr>
                <w:rFonts w:ascii="Calibri" w:eastAsia="Times New Roman" w:hAnsi="Calibri" w:cs="Calibri"/>
                <w:b/>
                <w:bCs/>
                <w:color w:val="000000"/>
                <w:sz w:val="22"/>
                <w:lang w:eastAsia="en-GB"/>
              </w:rPr>
            </w:pPr>
            <w:r w:rsidRPr="00C05886">
              <w:rPr>
                <w:rFonts w:ascii="Calibri" w:eastAsia="Times New Roman" w:hAnsi="Calibri" w:cs="Calibri"/>
                <w:b/>
                <w:bCs/>
                <w:color w:val="000000"/>
                <w:sz w:val="22"/>
                <w:lang w:eastAsia="en-GB"/>
              </w:rPr>
              <w:t>p-value</w:t>
            </w:r>
          </w:p>
        </w:tc>
      </w:tr>
      <w:tr w:rsidR="005F5299" w:rsidRPr="00C05886" w14:paraId="5B702B6E" w14:textId="77777777" w:rsidTr="00F861DB">
        <w:trPr>
          <w:trHeight w:val="170"/>
        </w:trPr>
        <w:tc>
          <w:tcPr>
            <w:tcW w:w="1805" w:type="dxa"/>
            <w:noWrap/>
            <w:hideMark/>
          </w:tcPr>
          <w:p w14:paraId="57CBD45C" w14:textId="77777777" w:rsidR="005F5299" w:rsidRPr="00C05886" w:rsidRDefault="005F5299" w:rsidP="005F5299">
            <w:pPr>
              <w:spacing w:line="240" w:lineRule="auto"/>
              <w:rPr>
                <w:rFonts w:ascii="Calibri" w:eastAsia="Times New Roman" w:hAnsi="Calibri" w:cs="Calibri"/>
                <w:color w:val="000000"/>
                <w:sz w:val="22"/>
                <w:lang w:eastAsia="en-GB"/>
              </w:rPr>
            </w:pPr>
            <w:r w:rsidRPr="00C05886">
              <w:rPr>
                <w:rFonts w:ascii="Calibri" w:eastAsia="Times New Roman" w:hAnsi="Calibri" w:cs="Calibri"/>
                <w:color w:val="000000"/>
                <w:sz w:val="22"/>
                <w:lang w:eastAsia="en-GB"/>
              </w:rPr>
              <w:t>Joviality</w:t>
            </w:r>
          </w:p>
        </w:tc>
        <w:tc>
          <w:tcPr>
            <w:tcW w:w="2717" w:type="dxa"/>
          </w:tcPr>
          <w:p w14:paraId="419EC036" w14:textId="77777777" w:rsidR="005F5299" w:rsidRPr="00C05886" w:rsidRDefault="005F5299" w:rsidP="005F5299">
            <w:pPr>
              <w:spacing w:line="240" w:lineRule="auto"/>
              <w:rPr>
                <w:sz w:val="22"/>
              </w:rPr>
            </w:pPr>
            <w:r w:rsidRPr="00C05886">
              <w:rPr>
                <w:sz w:val="22"/>
              </w:rPr>
              <w:t>Park (Between-subjects)</w:t>
            </w:r>
          </w:p>
        </w:tc>
        <w:tc>
          <w:tcPr>
            <w:tcW w:w="1207" w:type="dxa"/>
            <w:noWrap/>
            <w:hideMark/>
          </w:tcPr>
          <w:p w14:paraId="0240BBF3" w14:textId="77777777" w:rsidR="005F5299" w:rsidRPr="00C05886" w:rsidRDefault="005F5299" w:rsidP="005F5299">
            <w:pPr>
              <w:spacing w:line="240" w:lineRule="auto"/>
              <w:jc w:val="right"/>
              <w:rPr>
                <w:rFonts w:ascii="Calibri" w:eastAsia="Times New Roman" w:hAnsi="Calibri" w:cs="Calibri"/>
                <w:color w:val="000000"/>
                <w:sz w:val="22"/>
                <w:lang w:eastAsia="en-GB"/>
              </w:rPr>
            </w:pPr>
            <w:r w:rsidRPr="00C05886">
              <w:rPr>
                <w:sz w:val="22"/>
              </w:rPr>
              <w:t>1.907</w:t>
            </w:r>
          </w:p>
        </w:tc>
        <w:tc>
          <w:tcPr>
            <w:tcW w:w="1660" w:type="dxa"/>
            <w:noWrap/>
            <w:hideMark/>
          </w:tcPr>
          <w:p w14:paraId="08771513" w14:textId="77777777" w:rsidR="005F5299" w:rsidRPr="00C05886" w:rsidRDefault="005F5299" w:rsidP="005F5299">
            <w:pPr>
              <w:spacing w:line="240" w:lineRule="auto"/>
              <w:jc w:val="right"/>
              <w:rPr>
                <w:rFonts w:ascii="Calibri" w:eastAsia="Times New Roman" w:hAnsi="Calibri" w:cs="Calibri"/>
                <w:color w:val="000000"/>
                <w:sz w:val="22"/>
                <w:lang w:eastAsia="en-GB"/>
              </w:rPr>
            </w:pPr>
            <w:r w:rsidRPr="00C05886">
              <w:rPr>
                <w:sz w:val="22"/>
              </w:rPr>
              <w:t>0.128</w:t>
            </w:r>
          </w:p>
        </w:tc>
      </w:tr>
      <w:tr w:rsidR="005F5299" w:rsidRPr="00C05886" w14:paraId="0172E050" w14:textId="77777777" w:rsidTr="00F861DB">
        <w:trPr>
          <w:trHeight w:val="170"/>
        </w:trPr>
        <w:tc>
          <w:tcPr>
            <w:tcW w:w="1805" w:type="dxa"/>
            <w:noWrap/>
          </w:tcPr>
          <w:p w14:paraId="793F0E43" w14:textId="77777777" w:rsidR="005F5299" w:rsidRPr="00C05886" w:rsidRDefault="005F5299" w:rsidP="005F5299">
            <w:pPr>
              <w:spacing w:line="240" w:lineRule="auto"/>
              <w:rPr>
                <w:rFonts w:ascii="Calibri" w:eastAsia="Times New Roman" w:hAnsi="Calibri" w:cs="Calibri"/>
                <w:color w:val="000000"/>
                <w:sz w:val="22"/>
                <w:lang w:eastAsia="en-GB"/>
              </w:rPr>
            </w:pPr>
          </w:p>
        </w:tc>
        <w:tc>
          <w:tcPr>
            <w:tcW w:w="2717" w:type="dxa"/>
          </w:tcPr>
          <w:p w14:paraId="0313262A" w14:textId="77777777" w:rsidR="005F5299" w:rsidRPr="00C05886" w:rsidRDefault="005F5299" w:rsidP="005F5299">
            <w:pPr>
              <w:spacing w:line="240" w:lineRule="auto"/>
              <w:rPr>
                <w:sz w:val="22"/>
              </w:rPr>
            </w:pPr>
            <w:r w:rsidRPr="00C05886">
              <w:rPr>
                <w:sz w:val="22"/>
              </w:rPr>
              <w:t>Stage (Within-subjects)</w:t>
            </w:r>
          </w:p>
        </w:tc>
        <w:tc>
          <w:tcPr>
            <w:tcW w:w="1207" w:type="dxa"/>
            <w:noWrap/>
          </w:tcPr>
          <w:p w14:paraId="10ABDC9F" w14:textId="77777777" w:rsidR="005F5299" w:rsidRPr="00C05886" w:rsidRDefault="005F5299" w:rsidP="005F5299">
            <w:pPr>
              <w:spacing w:line="240" w:lineRule="auto"/>
              <w:jc w:val="right"/>
              <w:rPr>
                <w:sz w:val="22"/>
              </w:rPr>
            </w:pPr>
            <w:r w:rsidRPr="00C05886">
              <w:rPr>
                <w:sz w:val="22"/>
              </w:rPr>
              <w:t>0.140</w:t>
            </w:r>
          </w:p>
        </w:tc>
        <w:tc>
          <w:tcPr>
            <w:tcW w:w="1660" w:type="dxa"/>
            <w:noWrap/>
          </w:tcPr>
          <w:p w14:paraId="2C3B7E8E" w14:textId="77777777" w:rsidR="005F5299" w:rsidRPr="00C05886" w:rsidRDefault="005F5299" w:rsidP="005F5299">
            <w:pPr>
              <w:spacing w:line="240" w:lineRule="auto"/>
              <w:jc w:val="right"/>
              <w:rPr>
                <w:sz w:val="22"/>
              </w:rPr>
            </w:pPr>
            <w:r w:rsidRPr="00C05886">
              <w:rPr>
                <w:sz w:val="22"/>
              </w:rPr>
              <w:t>0.709</w:t>
            </w:r>
          </w:p>
        </w:tc>
      </w:tr>
      <w:tr w:rsidR="005F5299" w:rsidRPr="00C05886" w14:paraId="510BEAFB" w14:textId="77777777" w:rsidTr="00F861DB">
        <w:trPr>
          <w:trHeight w:val="170"/>
        </w:trPr>
        <w:tc>
          <w:tcPr>
            <w:tcW w:w="1805" w:type="dxa"/>
            <w:noWrap/>
            <w:hideMark/>
          </w:tcPr>
          <w:p w14:paraId="2F13FE8F" w14:textId="77777777" w:rsidR="005F5299" w:rsidRPr="00C05886" w:rsidRDefault="005F5299" w:rsidP="005F5299">
            <w:pPr>
              <w:spacing w:line="240" w:lineRule="auto"/>
              <w:rPr>
                <w:rFonts w:ascii="Calibri" w:eastAsia="Times New Roman" w:hAnsi="Calibri" w:cs="Calibri"/>
                <w:color w:val="000000"/>
                <w:sz w:val="22"/>
                <w:lang w:eastAsia="en-GB"/>
              </w:rPr>
            </w:pPr>
            <w:r w:rsidRPr="00C05886">
              <w:rPr>
                <w:rFonts w:ascii="Calibri" w:eastAsia="Times New Roman" w:hAnsi="Calibri" w:cs="Calibri"/>
                <w:color w:val="000000"/>
                <w:sz w:val="22"/>
                <w:lang w:eastAsia="en-GB"/>
              </w:rPr>
              <w:t>Serenity</w:t>
            </w:r>
          </w:p>
        </w:tc>
        <w:tc>
          <w:tcPr>
            <w:tcW w:w="2717" w:type="dxa"/>
          </w:tcPr>
          <w:p w14:paraId="2D196ED8" w14:textId="77777777" w:rsidR="005F5299" w:rsidRPr="00C05886" w:rsidRDefault="005F5299" w:rsidP="005F5299">
            <w:pPr>
              <w:spacing w:line="240" w:lineRule="auto"/>
              <w:rPr>
                <w:sz w:val="22"/>
              </w:rPr>
            </w:pPr>
            <w:r w:rsidRPr="00C05886">
              <w:rPr>
                <w:sz w:val="22"/>
              </w:rPr>
              <w:t>Park (Between-subjects)</w:t>
            </w:r>
          </w:p>
        </w:tc>
        <w:tc>
          <w:tcPr>
            <w:tcW w:w="1207" w:type="dxa"/>
            <w:noWrap/>
            <w:hideMark/>
          </w:tcPr>
          <w:p w14:paraId="43BE30F8" w14:textId="77777777" w:rsidR="005F5299" w:rsidRPr="00C05886" w:rsidRDefault="005F5299" w:rsidP="005F5299">
            <w:pPr>
              <w:spacing w:line="240" w:lineRule="auto"/>
              <w:jc w:val="right"/>
              <w:rPr>
                <w:rFonts w:ascii="Calibri" w:eastAsia="Times New Roman" w:hAnsi="Calibri" w:cs="Calibri"/>
                <w:color w:val="000000"/>
                <w:sz w:val="22"/>
                <w:lang w:eastAsia="en-GB"/>
              </w:rPr>
            </w:pPr>
            <w:r w:rsidRPr="00C05886">
              <w:rPr>
                <w:sz w:val="22"/>
              </w:rPr>
              <w:t>0.357</w:t>
            </w:r>
          </w:p>
        </w:tc>
        <w:tc>
          <w:tcPr>
            <w:tcW w:w="1660" w:type="dxa"/>
            <w:noWrap/>
            <w:hideMark/>
          </w:tcPr>
          <w:p w14:paraId="726969C7" w14:textId="77777777" w:rsidR="005F5299" w:rsidRPr="00C05886" w:rsidRDefault="005F5299" w:rsidP="005F5299">
            <w:pPr>
              <w:spacing w:line="240" w:lineRule="auto"/>
              <w:jc w:val="right"/>
              <w:rPr>
                <w:rFonts w:ascii="Calibri" w:eastAsia="Times New Roman" w:hAnsi="Calibri" w:cs="Calibri"/>
                <w:color w:val="000000"/>
                <w:sz w:val="22"/>
                <w:lang w:eastAsia="en-GB"/>
              </w:rPr>
            </w:pPr>
            <w:r w:rsidRPr="00C05886">
              <w:rPr>
                <w:sz w:val="22"/>
              </w:rPr>
              <w:t>0.784</w:t>
            </w:r>
          </w:p>
        </w:tc>
      </w:tr>
      <w:tr w:rsidR="005F5299" w:rsidRPr="00C05886" w14:paraId="6BCDBFB4" w14:textId="77777777" w:rsidTr="00F861DB">
        <w:trPr>
          <w:trHeight w:val="170"/>
        </w:trPr>
        <w:tc>
          <w:tcPr>
            <w:tcW w:w="1805" w:type="dxa"/>
            <w:noWrap/>
          </w:tcPr>
          <w:p w14:paraId="51428A68" w14:textId="77777777" w:rsidR="005F5299" w:rsidRPr="00C05886" w:rsidRDefault="005F5299" w:rsidP="005F5299">
            <w:pPr>
              <w:spacing w:line="240" w:lineRule="auto"/>
              <w:rPr>
                <w:rFonts w:ascii="Calibri" w:eastAsia="Times New Roman" w:hAnsi="Calibri" w:cs="Calibri"/>
                <w:color w:val="000000"/>
                <w:sz w:val="22"/>
                <w:lang w:eastAsia="en-GB"/>
              </w:rPr>
            </w:pPr>
          </w:p>
        </w:tc>
        <w:tc>
          <w:tcPr>
            <w:tcW w:w="2717" w:type="dxa"/>
          </w:tcPr>
          <w:p w14:paraId="00C48EDA" w14:textId="77777777" w:rsidR="005F5299" w:rsidRPr="00C05886" w:rsidRDefault="005F5299" w:rsidP="005F5299">
            <w:pPr>
              <w:spacing w:line="240" w:lineRule="auto"/>
              <w:rPr>
                <w:sz w:val="22"/>
              </w:rPr>
            </w:pPr>
            <w:r w:rsidRPr="00C05886">
              <w:rPr>
                <w:sz w:val="22"/>
              </w:rPr>
              <w:t>Stage (Within-subjects)</w:t>
            </w:r>
          </w:p>
        </w:tc>
        <w:tc>
          <w:tcPr>
            <w:tcW w:w="1207" w:type="dxa"/>
            <w:noWrap/>
          </w:tcPr>
          <w:p w14:paraId="0FA8F739" w14:textId="77777777" w:rsidR="005F5299" w:rsidRPr="00C05886" w:rsidRDefault="005F5299" w:rsidP="005F5299">
            <w:pPr>
              <w:spacing w:line="240" w:lineRule="auto"/>
              <w:jc w:val="right"/>
              <w:rPr>
                <w:sz w:val="22"/>
              </w:rPr>
            </w:pPr>
            <w:r w:rsidRPr="00C05886">
              <w:rPr>
                <w:sz w:val="22"/>
              </w:rPr>
              <w:t>1.077</w:t>
            </w:r>
          </w:p>
        </w:tc>
        <w:tc>
          <w:tcPr>
            <w:tcW w:w="1660" w:type="dxa"/>
            <w:noWrap/>
          </w:tcPr>
          <w:p w14:paraId="6020F7C2" w14:textId="77777777" w:rsidR="005F5299" w:rsidRPr="00C05886" w:rsidRDefault="005F5299" w:rsidP="005F5299">
            <w:pPr>
              <w:spacing w:line="240" w:lineRule="auto"/>
              <w:jc w:val="right"/>
              <w:rPr>
                <w:sz w:val="22"/>
              </w:rPr>
            </w:pPr>
            <w:r w:rsidRPr="00C05886">
              <w:rPr>
                <w:sz w:val="22"/>
              </w:rPr>
              <w:t>0.3</w:t>
            </w:r>
          </w:p>
        </w:tc>
      </w:tr>
      <w:tr w:rsidR="005F5299" w:rsidRPr="00C05886" w14:paraId="13A234F3" w14:textId="77777777" w:rsidTr="00F861DB">
        <w:trPr>
          <w:trHeight w:val="170"/>
        </w:trPr>
        <w:tc>
          <w:tcPr>
            <w:tcW w:w="1805" w:type="dxa"/>
            <w:noWrap/>
            <w:hideMark/>
          </w:tcPr>
          <w:p w14:paraId="4F40460A" w14:textId="77777777" w:rsidR="005F5299" w:rsidRPr="00C05886" w:rsidRDefault="005F5299" w:rsidP="005F5299">
            <w:pPr>
              <w:spacing w:line="240" w:lineRule="auto"/>
              <w:rPr>
                <w:rFonts w:ascii="Calibri" w:eastAsia="Times New Roman" w:hAnsi="Calibri" w:cs="Calibri"/>
                <w:color w:val="000000"/>
                <w:sz w:val="22"/>
                <w:lang w:eastAsia="en-GB"/>
              </w:rPr>
            </w:pPr>
            <w:r w:rsidRPr="00C05886">
              <w:rPr>
                <w:rFonts w:ascii="Calibri" w:eastAsia="Times New Roman" w:hAnsi="Calibri" w:cs="Calibri"/>
                <w:color w:val="000000"/>
                <w:sz w:val="22"/>
                <w:lang w:eastAsia="en-GB"/>
              </w:rPr>
              <w:t>Negative Affect</w:t>
            </w:r>
          </w:p>
        </w:tc>
        <w:tc>
          <w:tcPr>
            <w:tcW w:w="2717" w:type="dxa"/>
          </w:tcPr>
          <w:p w14:paraId="6FCBCBF7" w14:textId="77777777" w:rsidR="005F5299" w:rsidRPr="00C05886" w:rsidRDefault="005F5299" w:rsidP="005F5299">
            <w:pPr>
              <w:spacing w:line="240" w:lineRule="auto"/>
              <w:rPr>
                <w:sz w:val="22"/>
              </w:rPr>
            </w:pPr>
            <w:r w:rsidRPr="00C05886">
              <w:rPr>
                <w:sz w:val="22"/>
              </w:rPr>
              <w:t>Park (Between-subjects)</w:t>
            </w:r>
          </w:p>
        </w:tc>
        <w:tc>
          <w:tcPr>
            <w:tcW w:w="1207" w:type="dxa"/>
            <w:noWrap/>
            <w:hideMark/>
          </w:tcPr>
          <w:p w14:paraId="785CB6DE" w14:textId="77777777" w:rsidR="005F5299" w:rsidRPr="00C05886" w:rsidRDefault="005F5299" w:rsidP="005F5299">
            <w:pPr>
              <w:spacing w:line="240" w:lineRule="auto"/>
              <w:jc w:val="right"/>
              <w:rPr>
                <w:rFonts w:ascii="Calibri" w:eastAsia="Times New Roman" w:hAnsi="Calibri" w:cs="Calibri"/>
                <w:color w:val="000000"/>
                <w:sz w:val="22"/>
                <w:lang w:eastAsia="en-GB"/>
              </w:rPr>
            </w:pPr>
            <w:r w:rsidRPr="00C05886">
              <w:rPr>
                <w:sz w:val="22"/>
              </w:rPr>
              <w:t>0.335</w:t>
            </w:r>
          </w:p>
        </w:tc>
        <w:tc>
          <w:tcPr>
            <w:tcW w:w="1660" w:type="dxa"/>
            <w:noWrap/>
            <w:hideMark/>
          </w:tcPr>
          <w:p w14:paraId="17E05178" w14:textId="77777777" w:rsidR="005F5299" w:rsidRPr="00C05886" w:rsidRDefault="005F5299" w:rsidP="005F5299">
            <w:pPr>
              <w:spacing w:line="240" w:lineRule="auto"/>
              <w:jc w:val="right"/>
              <w:rPr>
                <w:rFonts w:ascii="Calibri" w:eastAsia="Times New Roman" w:hAnsi="Calibri" w:cs="Calibri"/>
                <w:color w:val="000000"/>
                <w:sz w:val="22"/>
                <w:lang w:eastAsia="en-GB"/>
              </w:rPr>
            </w:pPr>
            <w:r w:rsidRPr="00C05886">
              <w:rPr>
                <w:sz w:val="22"/>
              </w:rPr>
              <w:t>0.800</w:t>
            </w:r>
          </w:p>
        </w:tc>
      </w:tr>
      <w:tr w:rsidR="005F5299" w:rsidRPr="00C05886" w14:paraId="21E7EE9C" w14:textId="77777777" w:rsidTr="00F861DB">
        <w:trPr>
          <w:trHeight w:val="170"/>
        </w:trPr>
        <w:tc>
          <w:tcPr>
            <w:tcW w:w="1805" w:type="dxa"/>
            <w:noWrap/>
          </w:tcPr>
          <w:p w14:paraId="50D60546" w14:textId="77777777" w:rsidR="005F5299" w:rsidRPr="00C05886" w:rsidRDefault="005F5299" w:rsidP="005F5299">
            <w:pPr>
              <w:spacing w:line="240" w:lineRule="auto"/>
              <w:rPr>
                <w:rFonts w:ascii="Calibri" w:eastAsia="Times New Roman" w:hAnsi="Calibri" w:cs="Calibri"/>
                <w:color w:val="000000"/>
                <w:sz w:val="22"/>
                <w:lang w:eastAsia="en-GB"/>
              </w:rPr>
            </w:pPr>
          </w:p>
        </w:tc>
        <w:tc>
          <w:tcPr>
            <w:tcW w:w="2717" w:type="dxa"/>
          </w:tcPr>
          <w:p w14:paraId="3D9534B5" w14:textId="77777777" w:rsidR="005F5299" w:rsidRPr="00C05886" w:rsidRDefault="005F5299" w:rsidP="005F5299">
            <w:pPr>
              <w:spacing w:line="240" w:lineRule="auto"/>
              <w:rPr>
                <w:sz w:val="22"/>
              </w:rPr>
            </w:pPr>
            <w:r w:rsidRPr="00C05886">
              <w:rPr>
                <w:sz w:val="22"/>
              </w:rPr>
              <w:t>Stage (Within-subjects)</w:t>
            </w:r>
          </w:p>
        </w:tc>
        <w:tc>
          <w:tcPr>
            <w:tcW w:w="1207" w:type="dxa"/>
            <w:noWrap/>
          </w:tcPr>
          <w:p w14:paraId="2013DB46" w14:textId="77777777" w:rsidR="005F5299" w:rsidRPr="00C05886" w:rsidRDefault="005F5299" w:rsidP="005F5299">
            <w:pPr>
              <w:spacing w:line="240" w:lineRule="auto"/>
              <w:jc w:val="right"/>
              <w:rPr>
                <w:sz w:val="22"/>
              </w:rPr>
            </w:pPr>
            <w:r w:rsidRPr="00C05886">
              <w:rPr>
                <w:sz w:val="22"/>
              </w:rPr>
              <w:t>41.949</w:t>
            </w:r>
          </w:p>
        </w:tc>
        <w:tc>
          <w:tcPr>
            <w:tcW w:w="1660" w:type="dxa"/>
            <w:noWrap/>
          </w:tcPr>
          <w:p w14:paraId="34CFC5E7" w14:textId="77777777" w:rsidR="005F5299" w:rsidRPr="00C05886" w:rsidRDefault="005F5299" w:rsidP="005F5299">
            <w:pPr>
              <w:spacing w:line="240" w:lineRule="auto"/>
              <w:jc w:val="right"/>
              <w:rPr>
                <w:sz w:val="22"/>
              </w:rPr>
            </w:pPr>
            <w:r w:rsidRPr="00C05886">
              <w:rPr>
                <w:sz w:val="22"/>
              </w:rPr>
              <w:t>&lt;.001</w:t>
            </w:r>
          </w:p>
        </w:tc>
      </w:tr>
    </w:tbl>
    <w:p w14:paraId="15F8664D" w14:textId="77777777" w:rsidR="00F861DB" w:rsidRPr="00C05886" w:rsidRDefault="00F861DB" w:rsidP="005F5299">
      <w:pPr>
        <w:pStyle w:val="Heading4"/>
      </w:pPr>
    </w:p>
    <w:p w14:paraId="403A4B5A" w14:textId="1F3A2DB6" w:rsidR="005F5299" w:rsidRPr="00C05886" w:rsidRDefault="005F5299" w:rsidP="005F5299">
      <w:pPr>
        <w:pStyle w:val="Heading4"/>
      </w:pPr>
      <w:r w:rsidRPr="00C05886">
        <w:t>Effect of perceived biodiversity on the affective response.</w:t>
      </w:r>
      <w:r w:rsidRPr="00C05886">
        <w:tab/>
      </w:r>
    </w:p>
    <w:p w14:paraId="1769A0A0" w14:textId="77777777" w:rsidR="005F5299" w:rsidRPr="00C05886" w:rsidRDefault="005F5299" w:rsidP="003839F1">
      <w:r w:rsidRPr="00C05886">
        <w:t>There were significant differences between the Joviality scores associated with the three levels of perceived biodiversity (F= 5.872, p=0.003). Post-hoc comparisons showed that participants who had perceived high biodiversity increased Joviality whereas those perceived medium or low levels decreased slightly compared to baseline levels (Fig. 4). Changes were significantly different between perception levels. Serenity stayed level for perceptions of medium biodiversity, but decreased for both low and high perception levels compared to baseline (F= 3.52, p = 0.03); differences compared to the medium being significant (p =0.048).  The effect of perceived biodiversity on the Negative Affect was not significant (F = 0.36, p = 0.69).</w:t>
      </w:r>
    </w:p>
    <w:p w14:paraId="4A43E74D" w14:textId="77777777" w:rsidR="005F5299" w:rsidRPr="00C05886" w:rsidRDefault="005F5299" w:rsidP="00EB6FBB">
      <w:pPr>
        <w:keepNext/>
      </w:pPr>
      <w:r w:rsidRPr="00134B49">
        <w:rPr>
          <w:noProof/>
          <w:lang w:eastAsia="en-GB"/>
        </w:rPr>
        <w:lastRenderedPageBreak/>
        <w:drawing>
          <wp:inline distT="0" distB="0" distL="0" distR="0" wp14:anchorId="7370817B" wp14:editId="1FF918E6">
            <wp:extent cx="2016000" cy="2520000"/>
            <wp:effectExtent l="0" t="0" r="3810" b="13970"/>
            <wp:docPr id="1326530161" name="Chart 1326530161">
              <a:extLst xmlns:a="http://schemas.openxmlformats.org/drawingml/2006/main">
                <a:ext uri="{FF2B5EF4-FFF2-40B4-BE49-F238E27FC236}">
                  <a16:creationId xmlns:a16="http://schemas.microsoft.com/office/drawing/2014/main" id="{4E68C88A-11AD-2F0C-5DFC-1874BD6638C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r w:rsidRPr="00134B49">
        <w:rPr>
          <w:noProof/>
          <w:lang w:eastAsia="en-GB"/>
        </w:rPr>
        <w:drawing>
          <wp:inline distT="0" distB="0" distL="0" distR="0" wp14:anchorId="0E49FA34" wp14:editId="78A30A4D">
            <wp:extent cx="2016000" cy="2520000"/>
            <wp:effectExtent l="0" t="0" r="3810" b="13970"/>
            <wp:docPr id="1298938007" name="Chart 1298938007">
              <a:extLst xmlns:a="http://schemas.openxmlformats.org/drawingml/2006/main">
                <a:ext uri="{FF2B5EF4-FFF2-40B4-BE49-F238E27FC236}">
                  <a16:creationId xmlns:a16="http://schemas.microsoft.com/office/drawing/2014/main" id="{AC758E8C-221E-F649-0688-951794B5EDE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r w:rsidRPr="00134B49">
        <w:rPr>
          <w:noProof/>
          <w:lang w:eastAsia="en-GB"/>
        </w:rPr>
        <w:drawing>
          <wp:inline distT="0" distB="0" distL="0" distR="0" wp14:anchorId="5749DEEF" wp14:editId="43BC9850">
            <wp:extent cx="2016000" cy="2520000"/>
            <wp:effectExtent l="0" t="0" r="3810" b="13970"/>
            <wp:docPr id="2059724040" name="Chart 2059724040">
              <a:extLst xmlns:a="http://schemas.openxmlformats.org/drawingml/2006/main">
                <a:ext uri="{FF2B5EF4-FFF2-40B4-BE49-F238E27FC236}">
                  <a16:creationId xmlns:a16="http://schemas.microsoft.com/office/drawing/2014/main" id="{B150478A-2FD1-1FB7-00F8-43116CE11B9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2A0D5243" w14:textId="05381CD6" w:rsidR="005F5299" w:rsidRPr="00C05886" w:rsidRDefault="005F5299" w:rsidP="00EB6FBB">
      <w:pPr>
        <w:pStyle w:val="Caption"/>
      </w:pPr>
      <w:r w:rsidRPr="00C05886">
        <w:t xml:space="preserve">Figure </w:t>
      </w:r>
      <w:r w:rsidR="00F861DB" w:rsidRPr="00C05886">
        <w:t>4.</w:t>
      </w:r>
      <w:r w:rsidRPr="00C05886">
        <w:t xml:space="preserve"> Experiment 3. Changes, after touring the park, in the Joviality (left), Serenity (centre) and Negative Affect (right) scores by perceived biodiversity.</w:t>
      </w:r>
    </w:p>
    <w:p w14:paraId="5C198D49" w14:textId="77777777" w:rsidR="005F5299" w:rsidRPr="00C05886" w:rsidRDefault="005F5299" w:rsidP="005F5299">
      <w:pPr>
        <w:pStyle w:val="Heading3"/>
      </w:pPr>
      <w:bookmarkStart w:id="134" w:name="_Toc179962375"/>
      <w:r w:rsidRPr="00C05886">
        <w:t>Experiment 4</w:t>
      </w:r>
      <w:bookmarkEnd w:id="134"/>
    </w:p>
    <w:p w14:paraId="5B4E0528" w14:textId="77777777" w:rsidR="005F5299" w:rsidRPr="00C05886" w:rsidRDefault="005F5299" w:rsidP="005F5299">
      <w:pPr>
        <w:pStyle w:val="Heading4"/>
      </w:pPr>
      <w:r w:rsidRPr="00C05886">
        <w:t>Effect of virtual park biodiversity on the affective response.</w:t>
      </w:r>
    </w:p>
    <w:p w14:paraId="5B28AEFD" w14:textId="77777777" w:rsidR="005F5299" w:rsidRPr="00C05886" w:rsidRDefault="005F5299" w:rsidP="0085187B">
      <w:r w:rsidRPr="00C05886">
        <w:t xml:space="preserve">Exposure to the park environments restored positive emotions after the stressor, but the level of biodiversity had no significant effects on Joviality, Serenity and Negative affect </w:t>
      </w:r>
      <w:proofErr w:type="gramStart"/>
      <w:r w:rsidRPr="00C05886">
        <w:t>scores..</w:t>
      </w:r>
      <w:proofErr w:type="gramEnd"/>
      <w:r w:rsidRPr="00C05886">
        <w:t xml:space="preserve"> Joviality and Serenity were reduced by the stressor and then increasing again after the park tour. The Negative Affect also changed, increasing after the stressor and decreasing after the park (Table 7).</w:t>
      </w:r>
    </w:p>
    <w:p w14:paraId="42CE097C" w14:textId="0A703616" w:rsidR="005F5299" w:rsidRPr="00C05886" w:rsidRDefault="005F5299" w:rsidP="0085187B">
      <w:pPr>
        <w:pStyle w:val="Caption"/>
        <w:keepNext/>
      </w:pPr>
      <w:r w:rsidRPr="00C05886">
        <w:t xml:space="preserve">Table </w:t>
      </w:r>
      <w:r w:rsidR="00F861DB" w:rsidRPr="00C05886">
        <w:t>7</w:t>
      </w:r>
      <w:r w:rsidRPr="00C05886">
        <w:t>. Experiment 4. Summary of the RM-ANOVA comparing the effect of park treatment on the three affective states</w:t>
      </w:r>
    </w:p>
    <w:tbl>
      <w:tblPr>
        <w:tblStyle w:val="TableGrid"/>
        <w:tblW w:w="7267" w:type="dxa"/>
        <w:tblLook w:val="04A0" w:firstRow="1" w:lastRow="0" w:firstColumn="1" w:lastColumn="0" w:noHBand="0" w:noVBand="1"/>
      </w:tblPr>
      <w:tblGrid>
        <w:gridCol w:w="1696"/>
        <w:gridCol w:w="2601"/>
        <w:gridCol w:w="1294"/>
        <w:gridCol w:w="1676"/>
      </w:tblGrid>
      <w:tr w:rsidR="005F5299" w:rsidRPr="00C05886" w14:paraId="11ECFFD0" w14:textId="77777777" w:rsidTr="00F861DB">
        <w:trPr>
          <w:trHeight w:val="113"/>
        </w:trPr>
        <w:tc>
          <w:tcPr>
            <w:tcW w:w="1696" w:type="dxa"/>
            <w:noWrap/>
            <w:hideMark/>
          </w:tcPr>
          <w:p w14:paraId="754EB143" w14:textId="77777777" w:rsidR="005F5299" w:rsidRPr="00C05886" w:rsidRDefault="005F5299" w:rsidP="005F5299">
            <w:pPr>
              <w:spacing w:line="240" w:lineRule="auto"/>
              <w:rPr>
                <w:rFonts w:ascii="Times New Roman" w:eastAsia="Times New Roman" w:hAnsi="Times New Roman" w:cs="Times New Roman"/>
                <w:b/>
                <w:bCs/>
                <w:sz w:val="22"/>
                <w:lang w:eastAsia="en-GB"/>
              </w:rPr>
            </w:pPr>
          </w:p>
        </w:tc>
        <w:tc>
          <w:tcPr>
            <w:tcW w:w="2601" w:type="dxa"/>
          </w:tcPr>
          <w:p w14:paraId="66F341A9" w14:textId="77777777" w:rsidR="005F5299" w:rsidRPr="00C05886" w:rsidRDefault="005F5299" w:rsidP="005F5299">
            <w:pPr>
              <w:spacing w:line="240" w:lineRule="auto"/>
              <w:rPr>
                <w:rFonts w:ascii="Calibri" w:eastAsia="Times New Roman" w:hAnsi="Calibri" w:cs="Calibri"/>
                <w:b/>
                <w:bCs/>
                <w:color w:val="000000"/>
                <w:sz w:val="22"/>
                <w:lang w:eastAsia="en-GB"/>
              </w:rPr>
            </w:pPr>
          </w:p>
        </w:tc>
        <w:tc>
          <w:tcPr>
            <w:tcW w:w="2970" w:type="dxa"/>
            <w:gridSpan w:val="2"/>
            <w:noWrap/>
            <w:hideMark/>
          </w:tcPr>
          <w:p w14:paraId="1D2AE702" w14:textId="77777777" w:rsidR="005F5299" w:rsidRPr="00C05886" w:rsidRDefault="005F5299" w:rsidP="005F5299">
            <w:pPr>
              <w:spacing w:line="240" w:lineRule="auto"/>
              <w:rPr>
                <w:rFonts w:ascii="Calibri" w:eastAsia="Times New Roman" w:hAnsi="Calibri" w:cs="Calibri"/>
                <w:b/>
                <w:bCs/>
                <w:color w:val="000000"/>
                <w:sz w:val="22"/>
                <w:lang w:eastAsia="en-GB"/>
              </w:rPr>
            </w:pPr>
            <w:r w:rsidRPr="00C05886">
              <w:rPr>
                <w:rFonts w:ascii="Calibri" w:eastAsia="Times New Roman" w:hAnsi="Calibri" w:cs="Calibri"/>
                <w:b/>
                <w:bCs/>
                <w:color w:val="000000"/>
                <w:sz w:val="22"/>
                <w:lang w:eastAsia="en-GB"/>
              </w:rPr>
              <w:t>Experiment 4</w:t>
            </w:r>
          </w:p>
        </w:tc>
      </w:tr>
      <w:tr w:rsidR="005F5299" w:rsidRPr="00C05886" w14:paraId="499DC36B" w14:textId="77777777" w:rsidTr="00F861DB">
        <w:trPr>
          <w:trHeight w:val="113"/>
        </w:trPr>
        <w:tc>
          <w:tcPr>
            <w:tcW w:w="1696" w:type="dxa"/>
            <w:noWrap/>
            <w:hideMark/>
          </w:tcPr>
          <w:p w14:paraId="4C1E77FF" w14:textId="77777777" w:rsidR="005F5299" w:rsidRPr="00C05886" w:rsidRDefault="005F5299" w:rsidP="005F5299">
            <w:pPr>
              <w:spacing w:line="240" w:lineRule="auto"/>
              <w:rPr>
                <w:rFonts w:ascii="Calibri" w:eastAsia="Times New Roman" w:hAnsi="Calibri" w:cs="Calibri"/>
                <w:b/>
                <w:bCs/>
                <w:color w:val="000000"/>
                <w:sz w:val="22"/>
                <w:lang w:eastAsia="en-GB"/>
              </w:rPr>
            </w:pPr>
            <w:r w:rsidRPr="00C05886">
              <w:rPr>
                <w:rFonts w:ascii="Calibri" w:eastAsia="Times New Roman" w:hAnsi="Calibri" w:cs="Calibri"/>
                <w:b/>
                <w:bCs/>
                <w:color w:val="000000"/>
                <w:sz w:val="22"/>
                <w:lang w:eastAsia="en-GB"/>
              </w:rPr>
              <w:t>Affect</w:t>
            </w:r>
          </w:p>
        </w:tc>
        <w:tc>
          <w:tcPr>
            <w:tcW w:w="2601" w:type="dxa"/>
          </w:tcPr>
          <w:p w14:paraId="47EE5CA2" w14:textId="77777777" w:rsidR="005F5299" w:rsidRPr="00C05886" w:rsidRDefault="005F5299" w:rsidP="005F5299">
            <w:pPr>
              <w:spacing w:line="240" w:lineRule="auto"/>
              <w:rPr>
                <w:rFonts w:ascii="Calibri" w:eastAsia="Times New Roman" w:hAnsi="Calibri" w:cs="Calibri"/>
                <w:b/>
                <w:bCs/>
                <w:color w:val="000000"/>
                <w:sz w:val="22"/>
                <w:lang w:eastAsia="en-GB"/>
              </w:rPr>
            </w:pPr>
            <w:r w:rsidRPr="00C05886">
              <w:rPr>
                <w:rFonts w:ascii="Calibri" w:eastAsia="Times New Roman" w:hAnsi="Calibri" w:cs="Calibri"/>
                <w:b/>
                <w:bCs/>
                <w:color w:val="000000"/>
                <w:sz w:val="22"/>
                <w:lang w:eastAsia="en-GB"/>
              </w:rPr>
              <w:t>Component</w:t>
            </w:r>
          </w:p>
        </w:tc>
        <w:tc>
          <w:tcPr>
            <w:tcW w:w="1294" w:type="dxa"/>
            <w:noWrap/>
            <w:hideMark/>
          </w:tcPr>
          <w:p w14:paraId="1E649B61" w14:textId="77777777" w:rsidR="005F5299" w:rsidRPr="00C05886" w:rsidRDefault="005F5299" w:rsidP="005F5299">
            <w:pPr>
              <w:spacing w:line="240" w:lineRule="auto"/>
              <w:rPr>
                <w:rFonts w:ascii="Calibri" w:eastAsia="Times New Roman" w:hAnsi="Calibri" w:cs="Calibri"/>
                <w:b/>
                <w:bCs/>
                <w:color w:val="000000"/>
                <w:sz w:val="22"/>
                <w:lang w:eastAsia="en-GB"/>
              </w:rPr>
            </w:pPr>
            <w:r w:rsidRPr="00C05886">
              <w:rPr>
                <w:rFonts w:ascii="Calibri" w:eastAsia="Times New Roman" w:hAnsi="Calibri" w:cs="Calibri"/>
                <w:b/>
                <w:bCs/>
                <w:color w:val="000000"/>
                <w:sz w:val="22"/>
                <w:lang w:eastAsia="en-GB"/>
              </w:rPr>
              <w:t>F</w:t>
            </w:r>
          </w:p>
        </w:tc>
        <w:tc>
          <w:tcPr>
            <w:tcW w:w="1676" w:type="dxa"/>
            <w:noWrap/>
            <w:hideMark/>
          </w:tcPr>
          <w:p w14:paraId="14A99AA1" w14:textId="77777777" w:rsidR="005F5299" w:rsidRPr="00C05886" w:rsidRDefault="005F5299" w:rsidP="005F5299">
            <w:pPr>
              <w:spacing w:line="240" w:lineRule="auto"/>
              <w:rPr>
                <w:rFonts w:ascii="Calibri" w:eastAsia="Times New Roman" w:hAnsi="Calibri" w:cs="Calibri"/>
                <w:b/>
                <w:bCs/>
                <w:color w:val="000000"/>
                <w:sz w:val="22"/>
                <w:lang w:eastAsia="en-GB"/>
              </w:rPr>
            </w:pPr>
            <w:r w:rsidRPr="00C05886">
              <w:rPr>
                <w:rFonts w:ascii="Calibri" w:eastAsia="Times New Roman" w:hAnsi="Calibri" w:cs="Calibri"/>
                <w:b/>
                <w:bCs/>
                <w:color w:val="000000"/>
                <w:sz w:val="22"/>
                <w:lang w:eastAsia="en-GB"/>
              </w:rPr>
              <w:t>p-value</w:t>
            </w:r>
          </w:p>
        </w:tc>
      </w:tr>
      <w:tr w:rsidR="005F5299" w:rsidRPr="00C05886" w14:paraId="09207B99" w14:textId="77777777" w:rsidTr="00F861DB">
        <w:trPr>
          <w:trHeight w:val="113"/>
        </w:trPr>
        <w:tc>
          <w:tcPr>
            <w:tcW w:w="1696" w:type="dxa"/>
            <w:noWrap/>
            <w:hideMark/>
          </w:tcPr>
          <w:p w14:paraId="445EAACD" w14:textId="77777777" w:rsidR="005F5299" w:rsidRPr="00C05886" w:rsidRDefault="005F5299" w:rsidP="005F5299">
            <w:pPr>
              <w:spacing w:line="240" w:lineRule="auto"/>
              <w:rPr>
                <w:rFonts w:ascii="Calibri" w:eastAsia="Times New Roman" w:hAnsi="Calibri" w:cs="Calibri"/>
                <w:color w:val="000000"/>
                <w:sz w:val="22"/>
                <w:lang w:eastAsia="en-GB"/>
              </w:rPr>
            </w:pPr>
            <w:r w:rsidRPr="00C05886">
              <w:rPr>
                <w:rFonts w:ascii="Calibri" w:eastAsia="Times New Roman" w:hAnsi="Calibri" w:cs="Calibri"/>
                <w:color w:val="000000"/>
                <w:sz w:val="22"/>
                <w:lang w:eastAsia="en-GB"/>
              </w:rPr>
              <w:t>Joviality</w:t>
            </w:r>
          </w:p>
        </w:tc>
        <w:tc>
          <w:tcPr>
            <w:tcW w:w="2601" w:type="dxa"/>
          </w:tcPr>
          <w:p w14:paraId="7ECB4685" w14:textId="77777777" w:rsidR="005F5299" w:rsidRPr="00C05886" w:rsidRDefault="005F5299" w:rsidP="005F5299">
            <w:pPr>
              <w:spacing w:line="240" w:lineRule="auto"/>
              <w:rPr>
                <w:sz w:val="22"/>
              </w:rPr>
            </w:pPr>
            <w:r w:rsidRPr="00C05886">
              <w:rPr>
                <w:sz w:val="22"/>
              </w:rPr>
              <w:t>Park (Between-subjects)</w:t>
            </w:r>
          </w:p>
        </w:tc>
        <w:tc>
          <w:tcPr>
            <w:tcW w:w="1294" w:type="dxa"/>
            <w:noWrap/>
            <w:hideMark/>
          </w:tcPr>
          <w:p w14:paraId="575D6A87" w14:textId="77777777" w:rsidR="005F5299" w:rsidRPr="00C05886" w:rsidRDefault="005F5299" w:rsidP="005F5299">
            <w:pPr>
              <w:spacing w:line="240" w:lineRule="auto"/>
              <w:jc w:val="right"/>
              <w:rPr>
                <w:rFonts w:ascii="Calibri" w:eastAsia="Times New Roman" w:hAnsi="Calibri" w:cs="Calibri"/>
                <w:color w:val="000000"/>
                <w:sz w:val="22"/>
                <w:lang w:eastAsia="en-GB"/>
              </w:rPr>
            </w:pPr>
            <w:r w:rsidRPr="00C05886">
              <w:rPr>
                <w:rFonts w:ascii="Calibri" w:eastAsia="Times New Roman" w:hAnsi="Calibri" w:cs="Calibri"/>
                <w:color w:val="000000"/>
                <w:sz w:val="22"/>
                <w:lang w:eastAsia="en-GB"/>
              </w:rPr>
              <w:t>0.404</w:t>
            </w:r>
          </w:p>
        </w:tc>
        <w:tc>
          <w:tcPr>
            <w:tcW w:w="1676" w:type="dxa"/>
            <w:noWrap/>
            <w:hideMark/>
          </w:tcPr>
          <w:p w14:paraId="35CCB3F5" w14:textId="77777777" w:rsidR="005F5299" w:rsidRPr="00C05886" w:rsidRDefault="005F5299" w:rsidP="005F5299">
            <w:pPr>
              <w:spacing w:line="240" w:lineRule="auto"/>
              <w:jc w:val="right"/>
              <w:rPr>
                <w:rFonts w:ascii="Calibri" w:eastAsia="Times New Roman" w:hAnsi="Calibri" w:cs="Calibri"/>
                <w:color w:val="000000"/>
                <w:sz w:val="22"/>
                <w:lang w:eastAsia="en-GB"/>
              </w:rPr>
            </w:pPr>
            <w:r w:rsidRPr="00C05886">
              <w:rPr>
                <w:rFonts w:ascii="Calibri" w:eastAsia="Times New Roman" w:hAnsi="Calibri" w:cs="Calibri"/>
                <w:color w:val="000000"/>
                <w:sz w:val="22"/>
                <w:lang w:eastAsia="en-GB"/>
              </w:rPr>
              <w:t>0.75</w:t>
            </w:r>
          </w:p>
        </w:tc>
      </w:tr>
      <w:tr w:rsidR="005F5299" w:rsidRPr="00C05886" w14:paraId="2E42A03F" w14:textId="77777777" w:rsidTr="00F861DB">
        <w:trPr>
          <w:trHeight w:val="113"/>
        </w:trPr>
        <w:tc>
          <w:tcPr>
            <w:tcW w:w="1696" w:type="dxa"/>
            <w:noWrap/>
          </w:tcPr>
          <w:p w14:paraId="3E325BE6" w14:textId="77777777" w:rsidR="005F5299" w:rsidRPr="00C05886" w:rsidRDefault="005F5299" w:rsidP="005F5299">
            <w:pPr>
              <w:spacing w:line="240" w:lineRule="auto"/>
              <w:rPr>
                <w:rFonts w:ascii="Calibri" w:eastAsia="Times New Roman" w:hAnsi="Calibri" w:cs="Calibri"/>
                <w:color w:val="000000"/>
                <w:sz w:val="22"/>
                <w:lang w:eastAsia="en-GB"/>
              </w:rPr>
            </w:pPr>
          </w:p>
        </w:tc>
        <w:tc>
          <w:tcPr>
            <w:tcW w:w="2601" w:type="dxa"/>
          </w:tcPr>
          <w:p w14:paraId="2CFC4CB0" w14:textId="77777777" w:rsidR="005F5299" w:rsidRPr="00C05886" w:rsidRDefault="005F5299" w:rsidP="005F5299">
            <w:pPr>
              <w:spacing w:line="240" w:lineRule="auto"/>
              <w:rPr>
                <w:sz w:val="22"/>
              </w:rPr>
            </w:pPr>
            <w:r w:rsidRPr="00C05886">
              <w:rPr>
                <w:sz w:val="22"/>
              </w:rPr>
              <w:t>Stage (Within-subjects)</w:t>
            </w:r>
          </w:p>
        </w:tc>
        <w:tc>
          <w:tcPr>
            <w:tcW w:w="1294" w:type="dxa"/>
            <w:noWrap/>
          </w:tcPr>
          <w:p w14:paraId="6616D660" w14:textId="77777777" w:rsidR="005F5299" w:rsidRPr="00C05886" w:rsidRDefault="005F5299" w:rsidP="005F5299">
            <w:pPr>
              <w:spacing w:line="240" w:lineRule="auto"/>
              <w:jc w:val="right"/>
              <w:rPr>
                <w:rFonts w:ascii="Calibri" w:eastAsia="Times New Roman" w:hAnsi="Calibri" w:cs="Calibri"/>
                <w:color w:val="000000"/>
                <w:sz w:val="22"/>
                <w:lang w:eastAsia="en-GB"/>
              </w:rPr>
            </w:pPr>
            <w:r w:rsidRPr="00C05886">
              <w:rPr>
                <w:rFonts w:ascii="Calibri" w:eastAsia="Times New Roman" w:hAnsi="Calibri" w:cs="Calibri"/>
                <w:color w:val="000000"/>
                <w:sz w:val="22"/>
                <w:lang w:eastAsia="en-GB"/>
              </w:rPr>
              <w:t>28.58</w:t>
            </w:r>
          </w:p>
        </w:tc>
        <w:tc>
          <w:tcPr>
            <w:tcW w:w="1676" w:type="dxa"/>
            <w:noWrap/>
          </w:tcPr>
          <w:p w14:paraId="152B03EF" w14:textId="77777777" w:rsidR="005F5299" w:rsidRPr="00C05886" w:rsidRDefault="005F5299" w:rsidP="005F5299">
            <w:pPr>
              <w:spacing w:line="240" w:lineRule="auto"/>
              <w:jc w:val="right"/>
              <w:rPr>
                <w:rFonts w:ascii="Calibri" w:eastAsia="Times New Roman" w:hAnsi="Calibri" w:cs="Calibri"/>
                <w:color w:val="000000"/>
                <w:sz w:val="22"/>
                <w:lang w:eastAsia="en-GB"/>
              </w:rPr>
            </w:pPr>
            <w:r w:rsidRPr="00C05886">
              <w:rPr>
                <w:rFonts w:ascii="Calibri" w:eastAsia="Times New Roman" w:hAnsi="Calibri" w:cs="Calibri"/>
                <w:color w:val="000000"/>
                <w:sz w:val="22"/>
                <w:lang w:eastAsia="en-GB"/>
              </w:rPr>
              <w:t>&lt;0.001</w:t>
            </w:r>
          </w:p>
        </w:tc>
      </w:tr>
      <w:tr w:rsidR="005F5299" w:rsidRPr="00C05886" w14:paraId="60C5871D" w14:textId="77777777" w:rsidTr="00F861DB">
        <w:trPr>
          <w:trHeight w:val="113"/>
        </w:trPr>
        <w:tc>
          <w:tcPr>
            <w:tcW w:w="1696" w:type="dxa"/>
            <w:noWrap/>
            <w:hideMark/>
          </w:tcPr>
          <w:p w14:paraId="4D0A621C" w14:textId="77777777" w:rsidR="005F5299" w:rsidRPr="00C05886" w:rsidRDefault="005F5299" w:rsidP="005F5299">
            <w:pPr>
              <w:spacing w:line="240" w:lineRule="auto"/>
              <w:rPr>
                <w:rFonts w:ascii="Calibri" w:eastAsia="Times New Roman" w:hAnsi="Calibri" w:cs="Calibri"/>
                <w:color w:val="000000"/>
                <w:sz w:val="22"/>
                <w:lang w:eastAsia="en-GB"/>
              </w:rPr>
            </w:pPr>
            <w:r w:rsidRPr="00C05886">
              <w:rPr>
                <w:rFonts w:ascii="Calibri" w:eastAsia="Times New Roman" w:hAnsi="Calibri" w:cs="Calibri"/>
                <w:color w:val="000000"/>
                <w:sz w:val="22"/>
                <w:lang w:eastAsia="en-GB"/>
              </w:rPr>
              <w:t>Serenity</w:t>
            </w:r>
          </w:p>
        </w:tc>
        <w:tc>
          <w:tcPr>
            <w:tcW w:w="2601" w:type="dxa"/>
          </w:tcPr>
          <w:p w14:paraId="2262A21E" w14:textId="77777777" w:rsidR="005F5299" w:rsidRPr="00C05886" w:rsidRDefault="005F5299" w:rsidP="005F5299">
            <w:pPr>
              <w:spacing w:line="240" w:lineRule="auto"/>
              <w:rPr>
                <w:sz w:val="22"/>
              </w:rPr>
            </w:pPr>
            <w:r w:rsidRPr="00C05886">
              <w:rPr>
                <w:sz w:val="22"/>
              </w:rPr>
              <w:t>Park (Between-subjects)</w:t>
            </w:r>
          </w:p>
        </w:tc>
        <w:tc>
          <w:tcPr>
            <w:tcW w:w="1294" w:type="dxa"/>
            <w:noWrap/>
            <w:hideMark/>
          </w:tcPr>
          <w:p w14:paraId="3CF2197D" w14:textId="77777777" w:rsidR="005F5299" w:rsidRPr="00C05886" w:rsidRDefault="005F5299" w:rsidP="005F5299">
            <w:pPr>
              <w:spacing w:line="240" w:lineRule="auto"/>
              <w:jc w:val="right"/>
              <w:rPr>
                <w:rFonts w:ascii="Calibri" w:eastAsia="Times New Roman" w:hAnsi="Calibri" w:cs="Calibri"/>
                <w:color w:val="000000"/>
                <w:sz w:val="22"/>
                <w:lang w:eastAsia="en-GB"/>
              </w:rPr>
            </w:pPr>
            <w:r w:rsidRPr="00C05886">
              <w:rPr>
                <w:rFonts w:ascii="Calibri" w:eastAsia="Times New Roman" w:hAnsi="Calibri" w:cs="Calibri"/>
                <w:color w:val="000000"/>
                <w:sz w:val="22"/>
                <w:lang w:eastAsia="en-GB"/>
              </w:rPr>
              <w:t>1.516</w:t>
            </w:r>
          </w:p>
        </w:tc>
        <w:tc>
          <w:tcPr>
            <w:tcW w:w="1676" w:type="dxa"/>
            <w:noWrap/>
            <w:hideMark/>
          </w:tcPr>
          <w:p w14:paraId="2EC899EB" w14:textId="77777777" w:rsidR="005F5299" w:rsidRPr="00C05886" w:rsidRDefault="005F5299" w:rsidP="005F5299">
            <w:pPr>
              <w:spacing w:line="240" w:lineRule="auto"/>
              <w:jc w:val="right"/>
              <w:rPr>
                <w:rFonts w:ascii="Calibri" w:eastAsia="Times New Roman" w:hAnsi="Calibri" w:cs="Calibri"/>
                <w:color w:val="000000"/>
                <w:sz w:val="22"/>
                <w:lang w:eastAsia="en-GB"/>
              </w:rPr>
            </w:pPr>
            <w:r w:rsidRPr="00C05886">
              <w:rPr>
                <w:rFonts w:ascii="Calibri" w:eastAsia="Times New Roman" w:hAnsi="Calibri" w:cs="Calibri"/>
                <w:color w:val="000000"/>
                <w:sz w:val="22"/>
                <w:lang w:eastAsia="en-GB"/>
              </w:rPr>
              <w:t>0.21</w:t>
            </w:r>
          </w:p>
        </w:tc>
      </w:tr>
      <w:tr w:rsidR="005F5299" w:rsidRPr="00C05886" w14:paraId="6B5406D2" w14:textId="77777777" w:rsidTr="00F861DB">
        <w:trPr>
          <w:trHeight w:val="113"/>
        </w:trPr>
        <w:tc>
          <w:tcPr>
            <w:tcW w:w="1696" w:type="dxa"/>
            <w:noWrap/>
          </w:tcPr>
          <w:p w14:paraId="14DD4CF6" w14:textId="77777777" w:rsidR="005F5299" w:rsidRPr="00C05886" w:rsidRDefault="005F5299" w:rsidP="005F5299">
            <w:pPr>
              <w:spacing w:line="240" w:lineRule="auto"/>
              <w:rPr>
                <w:rFonts w:ascii="Calibri" w:eastAsia="Times New Roman" w:hAnsi="Calibri" w:cs="Calibri"/>
                <w:color w:val="000000"/>
                <w:sz w:val="22"/>
                <w:lang w:eastAsia="en-GB"/>
              </w:rPr>
            </w:pPr>
          </w:p>
        </w:tc>
        <w:tc>
          <w:tcPr>
            <w:tcW w:w="2601" w:type="dxa"/>
          </w:tcPr>
          <w:p w14:paraId="08DE42A7" w14:textId="77777777" w:rsidR="005F5299" w:rsidRPr="00C05886" w:rsidRDefault="005F5299" w:rsidP="005F5299">
            <w:pPr>
              <w:spacing w:line="240" w:lineRule="auto"/>
              <w:rPr>
                <w:sz w:val="22"/>
              </w:rPr>
            </w:pPr>
            <w:r w:rsidRPr="00C05886">
              <w:rPr>
                <w:sz w:val="22"/>
              </w:rPr>
              <w:t>Stage (Within-subjects)</w:t>
            </w:r>
          </w:p>
        </w:tc>
        <w:tc>
          <w:tcPr>
            <w:tcW w:w="1294" w:type="dxa"/>
            <w:noWrap/>
          </w:tcPr>
          <w:p w14:paraId="51AFA682" w14:textId="77777777" w:rsidR="005F5299" w:rsidRPr="00C05886" w:rsidRDefault="005F5299" w:rsidP="005F5299">
            <w:pPr>
              <w:spacing w:line="240" w:lineRule="auto"/>
              <w:jc w:val="right"/>
              <w:rPr>
                <w:rFonts w:ascii="Calibri" w:eastAsia="Times New Roman" w:hAnsi="Calibri" w:cs="Calibri"/>
                <w:color w:val="000000"/>
                <w:sz w:val="22"/>
                <w:lang w:eastAsia="en-GB"/>
              </w:rPr>
            </w:pPr>
            <w:r w:rsidRPr="00C05886">
              <w:rPr>
                <w:rFonts w:ascii="Calibri" w:eastAsia="Times New Roman" w:hAnsi="Calibri" w:cs="Calibri"/>
                <w:color w:val="000000"/>
                <w:sz w:val="22"/>
                <w:lang w:eastAsia="en-GB"/>
              </w:rPr>
              <w:t>17.42</w:t>
            </w:r>
          </w:p>
        </w:tc>
        <w:tc>
          <w:tcPr>
            <w:tcW w:w="1676" w:type="dxa"/>
            <w:noWrap/>
          </w:tcPr>
          <w:p w14:paraId="5A9398A6" w14:textId="77777777" w:rsidR="005F5299" w:rsidRPr="00C05886" w:rsidRDefault="005F5299" w:rsidP="005F5299">
            <w:pPr>
              <w:spacing w:line="240" w:lineRule="auto"/>
              <w:jc w:val="right"/>
              <w:rPr>
                <w:rFonts w:ascii="Calibri" w:eastAsia="Times New Roman" w:hAnsi="Calibri" w:cs="Calibri"/>
                <w:color w:val="000000"/>
                <w:sz w:val="22"/>
                <w:lang w:eastAsia="en-GB"/>
              </w:rPr>
            </w:pPr>
            <w:r w:rsidRPr="00C05886">
              <w:rPr>
                <w:rFonts w:ascii="Calibri" w:eastAsia="Times New Roman" w:hAnsi="Calibri" w:cs="Calibri"/>
                <w:color w:val="000000"/>
                <w:sz w:val="22"/>
                <w:lang w:eastAsia="en-GB"/>
              </w:rPr>
              <w:t>&lt;0.001</w:t>
            </w:r>
          </w:p>
        </w:tc>
      </w:tr>
      <w:tr w:rsidR="005F5299" w:rsidRPr="00C05886" w14:paraId="6EE50FD7" w14:textId="77777777" w:rsidTr="00F861DB">
        <w:trPr>
          <w:trHeight w:val="113"/>
        </w:trPr>
        <w:tc>
          <w:tcPr>
            <w:tcW w:w="1696" w:type="dxa"/>
            <w:noWrap/>
            <w:hideMark/>
          </w:tcPr>
          <w:p w14:paraId="1196A36C" w14:textId="77777777" w:rsidR="005F5299" w:rsidRPr="00C05886" w:rsidRDefault="005F5299" w:rsidP="005F5299">
            <w:pPr>
              <w:spacing w:line="240" w:lineRule="auto"/>
              <w:rPr>
                <w:rFonts w:ascii="Calibri" w:eastAsia="Times New Roman" w:hAnsi="Calibri" w:cs="Calibri"/>
                <w:color w:val="000000"/>
                <w:sz w:val="22"/>
                <w:lang w:eastAsia="en-GB"/>
              </w:rPr>
            </w:pPr>
            <w:r w:rsidRPr="00C05886">
              <w:rPr>
                <w:rFonts w:ascii="Calibri" w:eastAsia="Times New Roman" w:hAnsi="Calibri" w:cs="Calibri"/>
                <w:color w:val="000000"/>
                <w:sz w:val="22"/>
                <w:lang w:eastAsia="en-GB"/>
              </w:rPr>
              <w:t>Negative affect</w:t>
            </w:r>
          </w:p>
        </w:tc>
        <w:tc>
          <w:tcPr>
            <w:tcW w:w="2601" w:type="dxa"/>
          </w:tcPr>
          <w:p w14:paraId="5B0826E5" w14:textId="77777777" w:rsidR="005F5299" w:rsidRPr="00C05886" w:rsidRDefault="005F5299" w:rsidP="005F5299">
            <w:pPr>
              <w:spacing w:line="240" w:lineRule="auto"/>
              <w:rPr>
                <w:sz w:val="22"/>
              </w:rPr>
            </w:pPr>
            <w:r w:rsidRPr="00C05886">
              <w:rPr>
                <w:sz w:val="22"/>
              </w:rPr>
              <w:t>Park (Between-subjects)</w:t>
            </w:r>
          </w:p>
        </w:tc>
        <w:tc>
          <w:tcPr>
            <w:tcW w:w="1294" w:type="dxa"/>
            <w:noWrap/>
            <w:hideMark/>
          </w:tcPr>
          <w:p w14:paraId="62C91607" w14:textId="77777777" w:rsidR="005F5299" w:rsidRPr="00C05886" w:rsidRDefault="005F5299" w:rsidP="005F5299">
            <w:pPr>
              <w:spacing w:line="240" w:lineRule="auto"/>
              <w:jc w:val="right"/>
              <w:rPr>
                <w:rFonts w:ascii="Calibri" w:eastAsia="Times New Roman" w:hAnsi="Calibri" w:cs="Calibri"/>
                <w:color w:val="000000"/>
                <w:sz w:val="22"/>
                <w:lang w:eastAsia="en-GB"/>
              </w:rPr>
            </w:pPr>
            <w:r w:rsidRPr="00C05886">
              <w:rPr>
                <w:rFonts w:ascii="Calibri" w:eastAsia="Times New Roman" w:hAnsi="Calibri" w:cs="Calibri"/>
                <w:color w:val="000000"/>
                <w:sz w:val="22"/>
                <w:lang w:eastAsia="en-GB"/>
              </w:rPr>
              <w:t>0.101</w:t>
            </w:r>
          </w:p>
        </w:tc>
        <w:tc>
          <w:tcPr>
            <w:tcW w:w="1676" w:type="dxa"/>
            <w:noWrap/>
            <w:hideMark/>
          </w:tcPr>
          <w:p w14:paraId="575EE787" w14:textId="77777777" w:rsidR="005F5299" w:rsidRPr="00C05886" w:rsidRDefault="005F5299" w:rsidP="005F5299">
            <w:pPr>
              <w:spacing w:line="240" w:lineRule="auto"/>
              <w:jc w:val="right"/>
              <w:rPr>
                <w:rFonts w:ascii="Calibri" w:eastAsia="Times New Roman" w:hAnsi="Calibri" w:cs="Calibri"/>
                <w:color w:val="000000"/>
                <w:sz w:val="22"/>
                <w:lang w:eastAsia="en-GB"/>
              </w:rPr>
            </w:pPr>
            <w:r w:rsidRPr="00C05886">
              <w:rPr>
                <w:rFonts w:ascii="Calibri" w:eastAsia="Times New Roman" w:hAnsi="Calibri" w:cs="Calibri"/>
                <w:color w:val="000000"/>
                <w:sz w:val="22"/>
                <w:lang w:eastAsia="en-GB"/>
              </w:rPr>
              <w:t>0.959</w:t>
            </w:r>
          </w:p>
        </w:tc>
      </w:tr>
      <w:tr w:rsidR="005F5299" w:rsidRPr="00C05886" w14:paraId="4144CC82" w14:textId="77777777" w:rsidTr="00F861DB">
        <w:trPr>
          <w:trHeight w:val="113"/>
        </w:trPr>
        <w:tc>
          <w:tcPr>
            <w:tcW w:w="1696" w:type="dxa"/>
            <w:noWrap/>
          </w:tcPr>
          <w:p w14:paraId="649D973A" w14:textId="77777777" w:rsidR="005F5299" w:rsidRPr="00C05886" w:rsidRDefault="005F5299" w:rsidP="005F5299">
            <w:pPr>
              <w:spacing w:line="240" w:lineRule="auto"/>
              <w:rPr>
                <w:rFonts w:ascii="Calibri" w:eastAsia="Times New Roman" w:hAnsi="Calibri" w:cs="Calibri"/>
                <w:color w:val="000000"/>
                <w:sz w:val="22"/>
                <w:lang w:eastAsia="en-GB"/>
              </w:rPr>
            </w:pPr>
          </w:p>
        </w:tc>
        <w:tc>
          <w:tcPr>
            <w:tcW w:w="2601" w:type="dxa"/>
          </w:tcPr>
          <w:p w14:paraId="0CBF6A1C" w14:textId="77777777" w:rsidR="005F5299" w:rsidRPr="00C05886" w:rsidRDefault="005F5299" w:rsidP="005F5299">
            <w:pPr>
              <w:spacing w:line="240" w:lineRule="auto"/>
              <w:rPr>
                <w:sz w:val="22"/>
              </w:rPr>
            </w:pPr>
            <w:r w:rsidRPr="00C05886">
              <w:rPr>
                <w:sz w:val="22"/>
              </w:rPr>
              <w:t>Stage (Within-subjects)</w:t>
            </w:r>
          </w:p>
        </w:tc>
        <w:tc>
          <w:tcPr>
            <w:tcW w:w="1294" w:type="dxa"/>
            <w:noWrap/>
          </w:tcPr>
          <w:p w14:paraId="26566613" w14:textId="77777777" w:rsidR="005F5299" w:rsidRPr="00C05886" w:rsidRDefault="005F5299" w:rsidP="005F5299">
            <w:pPr>
              <w:spacing w:line="240" w:lineRule="auto"/>
              <w:jc w:val="right"/>
              <w:rPr>
                <w:rFonts w:ascii="Calibri" w:eastAsia="Times New Roman" w:hAnsi="Calibri" w:cs="Calibri"/>
                <w:color w:val="000000"/>
                <w:sz w:val="22"/>
                <w:lang w:eastAsia="en-GB"/>
              </w:rPr>
            </w:pPr>
            <w:r w:rsidRPr="00C05886">
              <w:rPr>
                <w:rFonts w:ascii="Calibri" w:eastAsia="Times New Roman" w:hAnsi="Calibri" w:cs="Calibri"/>
                <w:color w:val="000000"/>
                <w:sz w:val="22"/>
                <w:lang w:eastAsia="en-GB"/>
              </w:rPr>
              <w:t>36.64</w:t>
            </w:r>
          </w:p>
        </w:tc>
        <w:tc>
          <w:tcPr>
            <w:tcW w:w="1676" w:type="dxa"/>
            <w:noWrap/>
          </w:tcPr>
          <w:p w14:paraId="5B96BFB1" w14:textId="77777777" w:rsidR="005F5299" w:rsidRPr="00C05886" w:rsidRDefault="005F5299" w:rsidP="005F5299">
            <w:pPr>
              <w:spacing w:line="240" w:lineRule="auto"/>
              <w:jc w:val="right"/>
              <w:rPr>
                <w:rFonts w:ascii="Calibri" w:eastAsia="Times New Roman" w:hAnsi="Calibri" w:cs="Calibri"/>
                <w:color w:val="000000"/>
                <w:sz w:val="22"/>
                <w:lang w:eastAsia="en-GB"/>
              </w:rPr>
            </w:pPr>
            <w:r w:rsidRPr="00C05886">
              <w:rPr>
                <w:rFonts w:ascii="Calibri" w:eastAsia="Times New Roman" w:hAnsi="Calibri" w:cs="Calibri"/>
                <w:color w:val="000000"/>
                <w:sz w:val="22"/>
                <w:lang w:eastAsia="en-GB"/>
              </w:rPr>
              <w:t>&lt;0.001</w:t>
            </w:r>
          </w:p>
        </w:tc>
      </w:tr>
    </w:tbl>
    <w:p w14:paraId="07665D97" w14:textId="77777777" w:rsidR="005F5299" w:rsidRPr="00C05886" w:rsidRDefault="005F5299" w:rsidP="0085187B"/>
    <w:p w14:paraId="7D210C78" w14:textId="77777777" w:rsidR="005F5299" w:rsidRPr="00C05886" w:rsidRDefault="005F5299" w:rsidP="005F5299">
      <w:pPr>
        <w:pStyle w:val="Heading4"/>
      </w:pPr>
      <w:r w:rsidRPr="00C05886">
        <w:t>Effect of perceived biodiversity on the affective response.</w:t>
      </w:r>
      <w:r w:rsidRPr="00C05886">
        <w:tab/>
      </w:r>
    </w:p>
    <w:p w14:paraId="77E854A5" w14:textId="77777777" w:rsidR="005F5299" w:rsidRPr="00C05886" w:rsidRDefault="005F5299" w:rsidP="003839F1">
      <w:r w:rsidRPr="00C05886">
        <w:t xml:space="preserve">Higher perceived biodiversity was associated with greater restoration of Joviality and Serenity, after the stressor (Fig. 5) (e.g. for joviality H vs L, p = 0.001; M vs L, p = 0.002). Negative Affect decreased after the park exposure, but the perception of biodiversity did not show a significant effect (F = 0.885, p = 0.156).  </w:t>
      </w:r>
    </w:p>
    <w:p w14:paraId="2704444A" w14:textId="77777777" w:rsidR="005F5299" w:rsidRPr="00C05886" w:rsidRDefault="005F5299" w:rsidP="00EB6FBB">
      <w:pPr>
        <w:keepNext/>
      </w:pPr>
      <w:r w:rsidRPr="00134B49">
        <w:rPr>
          <w:noProof/>
          <w:lang w:eastAsia="en-GB"/>
        </w:rPr>
        <w:lastRenderedPageBreak/>
        <w:drawing>
          <wp:inline distT="0" distB="0" distL="0" distR="0" wp14:anchorId="685D0248" wp14:editId="532D7825">
            <wp:extent cx="2016000" cy="2743200"/>
            <wp:effectExtent l="0" t="0" r="3810" b="0"/>
            <wp:docPr id="306715580" name="Chart 306715580">
              <a:extLst xmlns:a="http://schemas.openxmlformats.org/drawingml/2006/main">
                <a:ext uri="{FF2B5EF4-FFF2-40B4-BE49-F238E27FC236}">
                  <a16:creationId xmlns:a16="http://schemas.microsoft.com/office/drawing/2014/main" id="{061D0E76-2319-E42D-2E41-182F408649E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r w:rsidRPr="00134B49">
        <w:rPr>
          <w:noProof/>
          <w:lang w:eastAsia="en-GB"/>
        </w:rPr>
        <w:drawing>
          <wp:inline distT="0" distB="0" distL="0" distR="0" wp14:anchorId="1267042D" wp14:editId="1517F8EF">
            <wp:extent cx="2016000" cy="2743200"/>
            <wp:effectExtent l="0" t="0" r="3810" b="0"/>
            <wp:docPr id="1836127531" name="Chart 1836127531">
              <a:extLst xmlns:a="http://schemas.openxmlformats.org/drawingml/2006/main">
                <a:ext uri="{FF2B5EF4-FFF2-40B4-BE49-F238E27FC236}">
                  <a16:creationId xmlns:a16="http://schemas.microsoft.com/office/drawing/2014/main" id="{9C4B3793-D076-526D-9800-D21B1C73ABB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r w:rsidRPr="00134B49">
        <w:rPr>
          <w:noProof/>
          <w:lang w:eastAsia="en-GB"/>
        </w:rPr>
        <w:drawing>
          <wp:inline distT="0" distB="0" distL="0" distR="0" wp14:anchorId="53B5A058" wp14:editId="79D540A8">
            <wp:extent cx="2016000" cy="2743200"/>
            <wp:effectExtent l="0" t="0" r="3810" b="0"/>
            <wp:docPr id="1216673083" name="Chart 1216673083">
              <a:extLst xmlns:a="http://schemas.openxmlformats.org/drawingml/2006/main">
                <a:ext uri="{FF2B5EF4-FFF2-40B4-BE49-F238E27FC236}">
                  <a16:creationId xmlns:a16="http://schemas.microsoft.com/office/drawing/2014/main" id="{D6A8F27E-4B13-BCFA-3262-D00E3AA0735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69BC9895" w14:textId="252B05F9" w:rsidR="005F5299" w:rsidRPr="00C05886" w:rsidRDefault="005F5299" w:rsidP="00EB6FBB">
      <w:pPr>
        <w:pStyle w:val="Caption"/>
      </w:pPr>
      <w:r w:rsidRPr="00C05886">
        <w:t xml:space="preserve">Figure </w:t>
      </w:r>
      <w:r w:rsidR="00F861DB" w:rsidRPr="00C05886">
        <w:t>5</w:t>
      </w:r>
      <w:r w:rsidRPr="00C05886">
        <w:t>. Experiment 4. Changes, from after receiving the stressor to after exploring the park, in the Joviality (left), Serenity (centre) and Negative Affect (right) scores by perceived biodiversity.</w:t>
      </w:r>
    </w:p>
    <w:p w14:paraId="033673D5" w14:textId="77777777" w:rsidR="005F5299" w:rsidRPr="00C05886" w:rsidRDefault="005F5299" w:rsidP="005F5299">
      <w:pPr>
        <w:pStyle w:val="Heading3"/>
      </w:pPr>
      <w:bookmarkStart w:id="135" w:name="_Toc179962376"/>
      <w:r w:rsidRPr="00C05886">
        <w:t>Noticing individual features of the parks (Experiments 1-4)</w:t>
      </w:r>
      <w:bookmarkEnd w:id="135"/>
    </w:p>
    <w:p w14:paraId="5B0674D7" w14:textId="77777777" w:rsidR="005F5299" w:rsidRPr="00C05886" w:rsidRDefault="005F5299" w:rsidP="005B4BB0">
      <w:r w:rsidRPr="00C05886">
        <w:t>Content analysis of the comments showed participants in Experiments 1 and 2 (i.e. English-speaking) mostly noticed the presence of birds (N=58), small mammals (N=146) and trees (N=60). Fewer noticed or appreciated the flowers (N=48). A series of exploratory RM-ANOVAs revealed that participants in Experiment 1 (i.e. unstressed) who noticed the mammals and birds reported overall lower Negative Affect (F=4.402, p=0.045) than other participants. Participants assigned to Experiment 1 who noticed the birds showed increased Serenity after the park experience (F= 5.291, p=0.006). Noticing mammals and birds had an effect also on Experiment 2 participants (stressed) who reported lower overall Negative Affect (F=4.023, p=0.045) than other participants. In both Experiments 1 and 2, participants who noticed the trees reported lower overall Negative Affect scores than those who did not mention the trees (Experiment 1, F= 5.0, p= 0.026; Experiment 2, F=5.827, p= 0.016). Additionally, participants in Experiment 2 who noticed the trees showed a much higher increase in Serenity after the park compared with the others (F=5.291, p=0.006). The analysis did not show a statistically significant difference between participants who mentioned the flowers and those who didn’t.</w:t>
      </w:r>
    </w:p>
    <w:p w14:paraId="21BD3A5F" w14:textId="77777777" w:rsidR="005F5299" w:rsidRPr="00C05886" w:rsidRDefault="005F5299" w:rsidP="00BA60FF">
      <w:r w:rsidRPr="00C05886">
        <w:t>Participants In Experiments 3 and 4 (i.e. Chinese-speaking) primarily noticed the flowers (N=115) and the “grasses” (</w:t>
      </w:r>
      <w:proofErr w:type="spellStart"/>
      <w:r w:rsidRPr="00C05886">
        <w:rPr>
          <w:rFonts w:ascii="MS Gothic" w:eastAsia="MS Gothic" w:hAnsi="MS Gothic" w:cs="MS Gothic"/>
        </w:rPr>
        <w:t>草地</w:t>
      </w:r>
      <w:proofErr w:type="spellEnd"/>
      <w:r w:rsidRPr="00C05886">
        <w:rPr>
          <w:rFonts w:ascii="MS Gothic" w:eastAsia="MS Gothic" w:hAnsi="MS Gothic" w:cs="MS Gothic"/>
        </w:rPr>
        <w:t>)</w:t>
      </w:r>
      <w:r w:rsidRPr="00C05886">
        <w:t xml:space="preserve"> (N=44). Only a few mentioned the mammals (N=16) or the birds (N=11). The participants who noticed the flowers showed overall higher Joviality than the others in both Experiment 3 (F=5.885, p=0.016) and 4 (F=12.01, p= 0.001). Additionally, participants in Experiment 4 reported higher Serenity (F=6.912, p= 0.009) and higher Joviality scores when they noticed the </w:t>
      </w:r>
      <w:r w:rsidRPr="00C05886">
        <w:lastRenderedPageBreak/>
        <w:t>grasses (F= 6.761, P=0.001). Noticing these elements did not show any differences in Negative Affect.</w:t>
      </w:r>
    </w:p>
    <w:p w14:paraId="737505F5" w14:textId="77777777" w:rsidR="005F5299" w:rsidRPr="00C05886" w:rsidRDefault="005F5299" w:rsidP="005F5299">
      <w:pPr>
        <w:pStyle w:val="Heading2"/>
      </w:pPr>
      <w:bookmarkStart w:id="136" w:name="_Toc179962377"/>
      <w:r w:rsidRPr="00C05886">
        <w:t>Discussion</w:t>
      </w:r>
      <w:bookmarkEnd w:id="136"/>
    </w:p>
    <w:p w14:paraId="6B7271BA" w14:textId="77777777" w:rsidR="005F5299" w:rsidRPr="00C05886" w:rsidRDefault="005F5299" w:rsidP="005F5299">
      <w:pPr>
        <w:pStyle w:val="Heading3"/>
      </w:pPr>
      <w:bookmarkStart w:id="137" w:name="_Toc179962378"/>
      <w:r w:rsidRPr="00C05886">
        <w:t>Virtual parks improved emotional well-being</w:t>
      </w:r>
      <w:bookmarkEnd w:id="137"/>
    </w:p>
    <w:p w14:paraId="2081D1CD" w14:textId="337F3986" w:rsidR="005F5299" w:rsidRPr="00C05886" w:rsidRDefault="005F5299" w:rsidP="00F02B03">
      <w:r w:rsidRPr="00C05886">
        <w:t xml:space="preserve">Overall, this research supports the notion that green spaces, in this case parks, can improve emotional well-being. All virtual park variations improved the affective states compared to the baseline, increasing Joviality and Serenity and reducing the Negative Affect. For those participants who received a minor stress induction, virtually exploring the parks also improved the affective states compared with the post-stressor levels. Despite their differences (see below), the results showed that both English-speaking and Chinese-speaking participants had similar responses to the parks. These results agree with other studies which have used simulated parks to elicit well-being improvements. Videos of urban and natural parks shown to Australian participants resulted in lower negative affect and higher positive affect compared with an urban control </w:t>
      </w:r>
      <w:r w:rsidRPr="00C05886">
        <w:fldChar w:fldCharType="begin"/>
      </w:r>
      <w:r w:rsidRPr="00C05886">
        <w:instrText xml:space="preserve"> ADDIN ZOTERO_ITEM CSL_CITATION {"citationID":"TIKC7dhy","properties":{"formattedCitation":"(McAllister, Bhullar and Schutte, 2017)","plainCitation":"(McAllister, Bhullar and Schutte, 2017)","noteIndex":0},"citationItems":[{"id":10302,"uris":["http://zotero.org/users/10951124/items/SAW3X46N"],"itemData":{"id":10302,"type":"article-journal","container-title":"International Journal of Environmental Research and Public Health","DOI":"10.3390/ijerph14070786","ISSN":"1660-4601","issue":"7","journalAbbreviation":"IJERPH","language":"en","page":"786","source":"DOI.org (Crossref)","title":"Into the Woods or a Stroll in the Park: How Virtual Contact with Nature Impacts Positive and Negative Affect","title-short":"Into the Woods or a Stroll in the Park","volume":"14","author":[{"family":"McAllister","given":"Elizabeth"},{"family":"Bhullar","given":"Navjot"},{"family":"Schutte","given":"Nicola S."}],"issued":{"date-parts":[["2017",7,14]]}}}],"schema":"https://github.com/citation-style-language/schema/raw/master/csl-citation.json"} </w:instrText>
      </w:r>
      <w:r w:rsidRPr="00C05886">
        <w:fldChar w:fldCharType="separate"/>
      </w:r>
      <w:r w:rsidRPr="00C05886">
        <w:rPr>
          <w:rFonts w:ascii="Calibri" w:hAnsi="Calibri" w:cs="Calibri"/>
        </w:rPr>
        <w:t>(McAllister, Bhullar and Schutte, 2017)</w:t>
      </w:r>
      <w:r w:rsidRPr="00C05886">
        <w:fldChar w:fldCharType="end"/>
      </w:r>
      <w:r w:rsidRPr="00C05886">
        <w:t xml:space="preserve">. More recently, researchers measured levels of happiness, calm and anger in response to images of three park types: parks with green vegetation, parks with colourful (man-made) amenities and sculptures and squares with pleasant architecture but no vegetation. Green parks elicited higher happiness and calm and lower anger than both colourful and non-vegetated parks </w:t>
      </w:r>
      <w:r w:rsidRPr="00C05886">
        <w:fldChar w:fldCharType="begin"/>
      </w:r>
      <w:r w:rsidRPr="00C05886">
        <w:instrText xml:space="preserve"> ADDIN ZOTERO_ITEM CSL_CITATION {"citationID":"gyH8QmAi","properties":{"formattedCitation":"(Rapuano {\\i{}et al.}, 2022)","plainCitation":"(Rapuano et al., 2022)","noteIndex":0},"citationItems":[{"id":10301,"uris":["http://zotero.org/users/10951124/items/UZ6KTSI4"],"itemData":{"id":10301,"type":"article-journal","container-title":"Journal of Environmental Psychology","DOI":"10.1016/j.jenvp.2022.101809","ISSN":"02724944","journalAbbreviation":"Journal of Environmental Psychology","language":"en","page":"101809","source":"DOI.org (Crossref)","title":"Spaces for relaxing, spaces for recharging: How parks affect people's emotions","title-short":"Spaces for relaxing, spaces for recharging","volume":"81","author":[{"family":"Rapuano","given":"Mariachiara"},{"family":"Ruotolo","given":"Francesco"},{"family":"Ruggiero","given":"Gennaro"},{"family":"Masullo","given":"Massimiliano"},{"family":"Maffei","given":"Luigi"},{"family":"Galderisi","given":"Adriana"},{"family":"Palmieri","given":"Alice"},{"family":"Iachini","given":"Tina"}],"issued":{"date-parts":[["2022",6]]}}}],"schema":"https://github.com/citation-style-language/schema/raw/master/csl-citation.json"} </w:instrText>
      </w:r>
      <w:r w:rsidRPr="00C05886">
        <w:fldChar w:fldCharType="separate"/>
      </w:r>
      <w:r w:rsidRPr="00C05886">
        <w:rPr>
          <w:rFonts w:ascii="Calibri" w:hAnsi="Calibri" w:cs="Calibri"/>
          <w:szCs w:val="24"/>
        </w:rPr>
        <w:t xml:space="preserve">(Rapuano </w:t>
      </w:r>
      <w:r w:rsidRPr="00C05886">
        <w:rPr>
          <w:rFonts w:ascii="Calibri" w:hAnsi="Calibri" w:cs="Calibri"/>
          <w:i/>
          <w:iCs/>
          <w:szCs w:val="24"/>
        </w:rPr>
        <w:t>et al.</w:t>
      </w:r>
      <w:r w:rsidRPr="00C05886">
        <w:rPr>
          <w:rFonts w:ascii="Calibri" w:hAnsi="Calibri" w:cs="Calibri"/>
          <w:szCs w:val="24"/>
        </w:rPr>
        <w:t>, 2022)</w:t>
      </w:r>
      <w:r w:rsidRPr="00C05886">
        <w:fldChar w:fldCharType="end"/>
      </w:r>
      <w:r w:rsidRPr="00C05886">
        <w:t xml:space="preserve">. In China, videos of urban parks produced stress recovery and decreased anxiety in participants who were previously stressed </w:t>
      </w:r>
      <w:r w:rsidRPr="00C05886">
        <w:fldChar w:fldCharType="begin"/>
      </w:r>
      <w:r w:rsidR="003E681B" w:rsidRPr="00C05886">
        <w:instrText xml:space="preserve"> ADDIN ZOTERO_ITEM CSL_CITATION {"citationID":"tUiCrcSY","properties":{"formattedCitation":"(Wang {\\i{}et al.}, 2016)","plainCitation":"(Wang et al., 2016)","noteIndex":0},"citationItems":[{"id":6398,"uris":["http://zotero.org/users/10951124/items/WZYVPK69"],"itemData":{"id":6398,"type":"article-journal","abstract":"Objectives: Many studies have found that natural environments benefit human health and wellbeing, but few have measured restorativeness of specific landscape components, especially in Chinese settings. Because the rapid urbanization of China is accompanied by increasing predomination of hardscape components in cities, the restorative quality of urban green space is a crucial issue. This study explored the stress recovery effects of different videotaped scenes, using six urban parks and one urban roadway scene. Potentially restorative urban park scenes were controlled for nature-based vs. hardscape components, presence/absence of people, and level of openness. Methods: Subjects were Chinese university students (N = 140) aged 18-24. After completing an oral exam as a stressor, an equal number of males and females were randomly assigned to watch one of the seven videotaped scenes during a stress recovery stage, while data were collected on changes in stress and attentional levels. Physiological responses were measured by Electrocardiography (ECG) and Skin Conductance Response (SCR). Psychological responses were measured by the state (short-term) version of the State-Trait Anxiety Inventory (STAI-S), the Digit Span Backwards (DSB) test, and the Perceived Restorativeness Scale (PRS). Results: In a Chinese sample, this study confirmed previous findings that nature-based urban park scenes relieved stress and restored attentional levels, while viewing an urban roadway increased negative feelings. Overall perceived restorativeness was significantly higher in two scenes depicting a Lawn without people and a Small Lake, compared with a paved Plaza with or without people, confirming previous findings that restorativeness is associated with predominance of nature-based landscape components. This study also confirmed previous findings that outdoor scenes without people were more restorative than scenes depicting people. Discussion: This study found different levels of restorativeness associated with different landscape features, and helped confirm that nature-based components are more likely to reduce stress than hardscape components, using Chinese urban scenes with a Chinese population. Findings can be used in future planning and design of urban spaces in China, emphasizing the value of parks and green spaces in relevant contexts.","container-title":"Urban Forestry and Urban Greening","DOI":"10.1016/j.ufug.2015.12.003","ISSN":"16108167","page":"112-122","title":"Stress recovery and restorative effects of viewing different urban park scenes in Shanghai, China","volume":"15","author":[{"family":"Wang","given":"Xinxin"},{"family":"Rodiek","given":"Susan"},{"family":"Wu","given":"Chengzhao"},{"family":"Chen","given":"Yi"},{"family":"Li","given":"Yuxian"}],"issued":{"date-parts":[["2016"]]}}}],"schema":"https://github.com/citation-style-language/schema/raw/master/csl-citation.json"} </w:instrText>
      </w:r>
      <w:r w:rsidRPr="00C05886">
        <w:fldChar w:fldCharType="separate"/>
      </w:r>
      <w:r w:rsidR="003E681B" w:rsidRPr="00C05886">
        <w:rPr>
          <w:rFonts w:ascii="Calibri" w:hAnsi="Calibri" w:cs="Calibri"/>
          <w:szCs w:val="24"/>
        </w:rPr>
        <w:t xml:space="preserve">(Wang </w:t>
      </w:r>
      <w:r w:rsidR="003E681B" w:rsidRPr="00C05886">
        <w:rPr>
          <w:rFonts w:ascii="Calibri" w:hAnsi="Calibri" w:cs="Calibri"/>
          <w:i/>
          <w:iCs/>
          <w:szCs w:val="24"/>
        </w:rPr>
        <w:t>et al.</w:t>
      </w:r>
      <w:r w:rsidR="003E681B" w:rsidRPr="00C05886">
        <w:rPr>
          <w:rFonts w:ascii="Calibri" w:hAnsi="Calibri" w:cs="Calibri"/>
          <w:szCs w:val="24"/>
        </w:rPr>
        <w:t>, 2016)</w:t>
      </w:r>
      <w:r w:rsidRPr="00C05886">
        <w:fldChar w:fldCharType="end"/>
      </w:r>
      <w:r w:rsidRPr="00C05886">
        <w:t>. In the current study, Chinese-speaking participants reported reduced Negative Affect after virtually visiting the park, however, their Joviality and Serenity improved significantly only for those who received the stress induction (i.e. had higher levels of stress</w:t>
      </w:r>
      <w:r w:rsidRPr="00C05886">
        <w:rPr>
          <w:color w:val="7F7F7F" w:themeColor="text1" w:themeTint="80"/>
        </w:rPr>
        <w:t xml:space="preserve">). </w:t>
      </w:r>
      <w:r w:rsidRPr="00C05886">
        <w:t xml:space="preserve">This suggests that contact with green spaces (and their biodiversity) could have different benefits for stressed and unstressed individuals. Even if the exposure to the park was short and limited to visual (online) stimulation </w:t>
      </w:r>
      <w:r w:rsidRPr="00C05886">
        <w:fldChar w:fldCharType="begin"/>
      </w:r>
      <w:r w:rsidR="009F0A3D" w:rsidRPr="00C05886">
        <w:instrText xml:space="preserve"> ADDIN ZOTERO_ITEM CSL_CITATION {"citationID":"6G30zng1","properties":{"formattedCitation":"(Elsadek, Liu and Xie, 2020)","plainCitation":"(Elsadek, Liu and Xie, 2020)","noteIndex":0},"citationItems":[{"id":5197,"uris":["http://zotero.org/users/10951124/items/F4DP2D6Y"],"itemData":{"id":5197,"type":"article-journal","abstract":"The current challenges of urbanization and densification threaten the health of urban dwellers. Previous studies have shown that contact with; or perception of green spaces has beneficial impacts on human psychological wellbeing. However, residents and employees who live or work in high-rise buildings have little opportunity to access green spaces during working hours. We do not know whether viewing green space through a high-rise estate window can potentially contribute to the psychological wellbeing of urban dwellers. Thirty participants were randomly assigned to two offices, a window looking out onto urban space, or a window looking out onto green space from a wide-angle of the 21st floor of the Jin-Mao Tower. During visual stimulation, sensors took physiological measures of their stress levels by measuring Electroencephalography, heart rate variability, and skin conductance, while their psychological reactions were collected using Profile of Mood States and Semantic Differential Questionnaire. Results showed that compared with the urban space view; viewing green space through a high-rise window resulted in a significant increase in alpha wave power in the frontal and occipital lobes, a significant increase in parasympathetic activity; and a significant decrease in the skin conductance. Moreover; a significant increase in “comfortable”, “beautiful”, “attractive”, “relaxed”, and “cheerful’’ feelings, and a significant improvement in mood states. Window views can significantly lead to better mental health and psychological wellbeing for urban dwellers. The observed results highlight the significance of considering the window views in urban high-rise neighborhood planning and design.","container-title":"Urban Forestry &amp; Urban Greening","DOI":"https://doi.org/10.1016/j.ufug.2020.126846","ISSN":"1618-8667","page":"126846","title":"Window view and relaxation: Viewing green space from a high-rise estate improves urban dwellers’ wellbeing","volume":"55","author":[{"family":"Elsadek","given":"Mohamed"},{"family":"Liu","given":"Binyi"},{"family":"Xie","given":"Junfang"}],"issued":{"date-parts":[["2020"]]}}}],"schema":"https://github.com/citation-style-language/schema/raw/master/csl-citation.json"} </w:instrText>
      </w:r>
      <w:r w:rsidRPr="00C05886">
        <w:fldChar w:fldCharType="separate"/>
      </w:r>
      <w:r w:rsidR="009F0A3D" w:rsidRPr="00C05886">
        <w:rPr>
          <w:rFonts w:ascii="Calibri" w:hAnsi="Calibri" w:cs="Calibri"/>
        </w:rPr>
        <w:t>(Elsadek, Liu and Xie, 2020)</w:t>
      </w:r>
      <w:r w:rsidRPr="00C05886">
        <w:fldChar w:fldCharType="end"/>
      </w:r>
      <w:r w:rsidRPr="00C05886">
        <w:t xml:space="preserve">, stressed individuals seemed happier and more relaxed. </w:t>
      </w:r>
    </w:p>
    <w:p w14:paraId="2F5A683C" w14:textId="0ABEEEC6" w:rsidR="005F5299" w:rsidRPr="00C05886" w:rsidRDefault="005F5299" w:rsidP="005F5299">
      <w:pPr>
        <w:pStyle w:val="Heading3"/>
      </w:pPr>
      <w:bookmarkStart w:id="138" w:name="_Toc179962379"/>
      <w:r w:rsidRPr="00C05886">
        <w:t>Actual biodiversity was not associated with better or worse emotional well-being</w:t>
      </w:r>
      <w:bookmarkEnd w:id="138"/>
    </w:p>
    <w:p w14:paraId="3A5D9991" w14:textId="77777777" w:rsidR="005F5299" w:rsidRPr="00C05886" w:rsidRDefault="005F5299" w:rsidP="00F02B03">
      <w:r w:rsidRPr="00C05886">
        <w:t xml:space="preserve">The analysis showed that parks at different levels of biodiversity did not produce different responses. These results contradict the expectations for the first research hypothesis (i.e. more biodiversity elicits better well-being) because both higher and lower biodiversity performed similarly. To make these results more robust, the diversity of flower colours, which may overlap with plant biodiversity </w:t>
      </w:r>
      <w:r w:rsidRPr="00C05886">
        <w:fldChar w:fldCharType="begin"/>
      </w:r>
      <w:r w:rsidRPr="00C05886">
        <w:instrText xml:space="preserve"> ADDIN ZOTERO_ITEM CSL_CITATION {"citationID":"tzoOeU8v","properties":{"formattedCitation":"(Hoyle {\\i{}et al.}, 2018)","plainCitation":"(Hoyle et al., 2018)","noteIndex":0},"citationItems":[{"id":9417,"uris":["http://zotero.org/users/10951124/items/THP5WKQ5"],"itemData":{"id":9417,"type":"article-journal","abstract":"There is increasing evidence of the benefits of introducing urban meadows as an alternative to amenity mown grass in public greenspaces, both for biodiversity, and human wellbeing. Developing a better understanding of the meadow characteristics driving human and wildlife response is therefore critical. We addressed this by assessing public and invertebrate response to eight different annual meadow mixes defined by two levels of plant species diversity and two levels of colour diversity, sown in an urban park in Luton, UK, in April 2015. On-site questionnaires with the visiting public were conducted in July, August and September 2015. Invertebrate responses were assessed via contemporaneous visual surveys and one sweep net survey (August 2015). Flower colour diversity had effects on human aesthetic response and the response of pollinators such as bumblebees and hoverflies. Plant species diversity, however, was not a driver of human response with evidence that people used colour diversity as a cue to assessing species diversity. Plant species diversity did affect some invertebrates, with higher abundances of certain taxa in low species diversity meadows. Our findings indicate that if the priority for sown meadows is to maximise human aesthetic enjoyment and the abundance and diversity of observable invertebrates, particularly pollinators, managers of urban green infrastructure should prioritise high flower colour diversity mixes over those of high plant species diversity. Incorporating late-flowering non-native species such as Coreopsis tinctoria (plains coreopsis) can prolong the attractiveness of the meadows for people and availability of resources for pollinators and would therefore be beneficial.","container-title":"Landscape and Urban Planning","DOI":"10.1016/j.landurbplan.2018.08.017","ISSN":"0169-2046","journalAbbreviation":"Landscape and Urban Planning","page":"103-113","title":"Plant species or flower colour diversity? Identifying the drivers of public and invertebrate response to designed annual meadows","volume":"180","author":[{"family":"Hoyle","given":"Helen"},{"family":"Norton","given":"Briony"},{"family":"Dunnett","given":"Nigel"},{"family":"Richards","given":"J. Paul"},{"family":"Russell","given":"Jean M."},{"family":"Warren","given":"Philip"}],"issued":{"date-parts":[["2018",12,1]]}}}],"schema":"https://github.com/citation-style-language/schema/raw/master/csl-citation.json"} </w:instrText>
      </w:r>
      <w:r w:rsidRPr="00C05886">
        <w:fldChar w:fldCharType="separate"/>
      </w:r>
      <w:r w:rsidRPr="00C05886">
        <w:rPr>
          <w:rFonts w:ascii="Calibri" w:hAnsi="Calibri" w:cs="Calibri"/>
          <w:szCs w:val="24"/>
        </w:rPr>
        <w:t xml:space="preserve">(Hoyle </w:t>
      </w:r>
      <w:r w:rsidRPr="00C05886">
        <w:rPr>
          <w:rFonts w:ascii="Calibri" w:hAnsi="Calibri" w:cs="Calibri"/>
          <w:i/>
          <w:iCs/>
          <w:szCs w:val="24"/>
        </w:rPr>
        <w:t>et al.</w:t>
      </w:r>
      <w:r w:rsidRPr="00C05886">
        <w:rPr>
          <w:rFonts w:ascii="Calibri" w:hAnsi="Calibri" w:cs="Calibri"/>
          <w:szCs w:val="24"/>
        </w:rPr>
        <w:t>, 2018)</w:t>
      </w:r>
      <w:r w:rsidRPr="00C05886">
        <w:fldChar w:fldCharType="end"/>
      </w:r>
      <w:r w:rsidRPr="00C05886">
        <w:t xml:space="preserve">, was controlled. Exposure to biodiversity was also made </w:t>
      </w:r>
      <w:r w:rsidRPr="00C05886">
        <w:lastRenderedPageBreak/>
        <w:t>consistent throughout the tour by working with identical planting blocks, which showed the same plant species and abundance.</w:t>
      </w:r>
    </w:p>
    <w:p w14:paraId="33D92C5D" w14:textId="7B60FDE6" w:rsidR="005F5299" w:rsidRPr="00C05886" w:rsidRDefault="005F5299" w:rsidP="00F02B03">
      <w:r w:rsidRPr="00C05886">
        <w:t xml:space="preserve">Previous studies have reported similar neutral effects of actual biodiversity. For example, </w:t>
      </w:r>
      <w:r w:rsidRPr="00C05886">
        <w:fldChar w:fldCharType="begin"/>
      </w:r>
      <w:r w:rsidR="00FB3282" w:rsidRPr="00C05886">
        <w:instrText xml:space="preserve"> ADDIN ZOTERO_ITEM CSL_CITATION {"citationID":"yf83csZb","properties":{"formattedCitation":"(Van Den Berg, Jorgensen and Wilson, 2014)","plainCitation":"(Van Den Berg, Jorgensen and Wilson, 2014)","noteIndex":0},"citationItems":[{"id":7023,"uris":["http://zotero.org/users/10951124/items/9KGD5Q28"],"itemData":{"id":7023,"type":"article-journal","abstract":"A growing body of research suggests that natural settings are more effective in providing restoration from depleted emotional and cognitive resources than built settings. However, there is a lack of evidence-based guidelines on which options for urban green space design and management are most effective in providing restoration. To address this need, the present study examined the restorative impacts of urban public spaces differing in naturalness. After having been pre-stressed by watching a scary movie, 102 participants were randomly assigned to viewing one of four photo/video presentations depicting an urban street, parkland, tended woodland, or wild woods. Self-reported mood and restorative state were measured at baseline, after the stressor and after viewing the environment. After controlling for stress reactivity, participants in the natural conditions showed stronger recovery on all dependent measures than those in the urban street condition. Differences in recovery among the natural settings did not reach significance. Keyword analysis revealed that the wild woods were described as more arousing than the parkland and tended woodland. There was substantial variation in recovery of vitality within natural conditions, which was related to perceptions of naturalness. In general, the findings suggest that restoration in urban public spaces depends on individual perceptions and needs as well as physical characteristics of the setting.","container-title":"Landscape and Urban Planning","DOI":"10.1016/j.landurbplan.2014.04.012","ISSN":"0169-2046","issue":"C","page":"173-181","title":"Evaluating restoration in urban green spaces: Does setting type make a difference?","volume":"127","author":[{"family":"Van Den Berg","given":"Agnes E"},{"family":"Jorgensen","given":"Anna"},{"family":"Wilson","given":"Edward R"}],"issued":{"date-parts":[["2014"]]}}}],"schema":"https://github.com/citation-style-language/schema/raw/master/csl-citation.json"} </w:instrText>
      </w:r>
      <w:r w:rsidRPr="00C05886">
        <w:fldChar w:fldCharType="separate"/>
      </w:r>
      <w:r w:rsidR="00FB3282" w:rsidRPr="00C05886">
        <w:rPr>
          <w:rFonts w:ascii="Calibri" w:hAnsi="Calibri" w:cs="Calibri"/>
        </w:rPr>
        <w:t>(Van Den Berg, Jorgensen and Wilson, 2014)</w:t>
      </w:r>
      <w:r w:rsidRPr="00C05886">
        <w:fldChar w:fldCharType="end"/>
      </w:r>
      <w:r w:rsidRPr="00C05886">
        <w:t xml:space="preserve"> relaxed pre-stressed participants by showing them a video featuring three green spaces (which had different biodiversity levels) or an urban control; they observed a significant mood improvement comparing the green spaces with the control, but no differences comparing the three green spaces. Similarly, </w:t>
      </w:r>
      <w:r w:rsidRPr="00C05886">
        <w:fldChar w:fldCharType="begin"/>
      </w:r>
      <w:r w:rsidR="000309A4" w:rsidRPr="00C05886">
        <w:instrText xml:space="preserve"> ADDIN ZOTERO_ITEM CSL_CITATION {"citationID":"WGxac2oS","properties":{"formattedCitation":"(Douglas and Evans, 2022)","plainCitation":"(Douglas and Evans, 2022)","noteIndex":0},"citationItems":[{"id":9921,"uris":["http://zotero.org/users/10951124/items/BHP82I45"],"itemData":{"id":9921,"type":"article-journal","container-title":"People and Nature","DOI":"10.1002/pan3.10279","ISSN":"2575-8314, 2575-8314","issue":"1","journalAbbreviation":"People and Nature","language":"en","page":"243-259","source":"DOI.org (Crossref)","title":"An experimental test of the impact of avian diversity on attentional benefits and enjoyment of people experiencing urban green‐space","volume":"4","author":[{"family":"Douglas","given":"Joseph W. A."},{"family":"Evans","given":"Karl L."}],"issued":{"date-parts":[["2022",2]]}}}],"schema":"https://github.com/citation-style-language/schema/raw/master/csl-citation.json"} </w:instrText>
      </w:r>
      <w:r w:rsidRPr="00C05886">
        <w:fldChar w:fldCharType="separate"/>
      </w:r>
      <w:r w:rsidRPr="00C05886">
        <w:rPr>
          <w:rFonts w:ascii="Calibri" w:hAnsi="Calibri" w:cs="Calibri"/>
        </w:rPr>
        <w:t>(Douglas and Evans, 2022)</w:t>
      </w:r>
      <w:r w:rsidRPr="00C05886">
        <w:fldChar w:fldCharType="end"/>
      </w:r>
      <w:r w:rsidRPr="00C05886">
        <w:t xml:space="preserve"> did not observe significant differences in attention restoration and cognitive improvement after exposing their participants to videos with 8 or 2 species of birds singing. In contrast, </w:t>
      </w:r>
      <w:r w:rsidRPr="00C05886">
        <w:rPr>
          <w:i/>
          <w:iCs/>
        </w:rPr>
        <w:t>in-situ</w:t>
      </w:r>
      <w:r w:rsidRPr="00C05886">
        <w:t xml:space="preserve"> studies of urban parks in the UK, have correlated higher biodiversity with increased positive affect </w:t>
      </w:r>
      <w:r w:rsidRPr="00C05886">
        <w:fldChar w:fldCharType="begin"/>
      </w:r>
      <w:r w:rsidR="00001725" w:rsidRPr="00C05886">
        <w:instrText xml:space="preserve"> ADDIN ZOTERO_ITEM CSL_CITATION {"citationID":"m1MHfEzW","properties":{"formattedCitation":"(Cameron {\\i{}et al.}, 2020)","plainCitation":"(Cameron et al., 2020)","noteIndex":0},"citationItems":[{"id":5002,"uris":["http://zotero.org/users/10951124/items/CAJX7VIQ"],"itemData":{"id":5002,"type":"article-journal","abstract":"Urban green space can help mitigate the negative impacts of urban living and provide positive effects on citizens’ mood, health and well-being. Questions remain, however, as to whether all types of green space are equally beneficial, and if not, what landscape forms or key features optimise the desired benefits. For example, it has been cited that urban landscapes rich in wildlife (high biodiversity) may promote more positive emotions and enhance well-being. This research utilised a mobile phone App, employed to assess people’s emotions when they entered any one of 945 green spaces within the city of Sheffield, UK. Emotional responses were correlated to key traits of the individual green spaces, including levels of biodiversity the participant perceived around them. For a subsample of these green spaces, actual levels of biodiversity were assessed through avian and habitat surveys. Results demonstrated strong correlations between levels of avian biodiversity within a green space and human emotional response to that space. Respondents reported being happier in sites with greater avian biodiversity (p &lt; 0.01, r = 0.78) and a greater variety of habitats (p &lt; 0.02, r = 0.72). Relationships were strengthened when emotions were linked to perceptions of overall biodiversity (p &lt; 0.001, r = 0.89). So, when participants thought the site was wildlife rich, they reported more positive emotions, even when actual avian biodiversity levels were not necessarily enhanced. The data strengthens the arguments that nature enhances well-being through positive affect, and that increased ‘engagement with nature’ may help support human health within urban environments. The results have strong implications for city planning with respect to the design, management and use of city green spaces.","container-title":"Urban Ecosystems","DOI":"10.1007/s11252-020-00929-z","ISSN":"15731642","note":"publisher: Urban Ecosystems","title":"Where the wild things are! Do urban green spaces with greater avian biodiversity promote more positive emotions in humans?","author":[{"family":"Cameron","given":"Ross W.F."},{"family":"Brindley","given":"Paul"},{"family":"Mears","given":"Meghann"},{"family":"McEwan","given":"Kirsten"},{"family":"Ferguson","given":"Fiona"},{"family":"Sheffield","given":"David"},{"family":"Jorgensen","given":"Anna"},{"family":"Riley","given":"Julie"},{"family":"Goodrick","given":"Jon"},{"family":"Ballard","given":"Liz"},{"family":"Richardson","given":"Miles"}],"issued":{"date-parts":[["2020"]]}}}],"schema":"https://github.com/citation-style-language/schema/raw/master/csl-citation.json"} </w:instrText>
      </w:r>
      <w:r w:rsidRPr="00C05886">
        <w:fldChar w:fldCharType="separate"/>
      </w:r>
      <w:r w:rsidR="00001725" w:rsidRPr="00C05886">
        <w:rPr>
          <w:rFonts w:ascii="Calibri" w:hAnsi="Calibri" w:cs="Calibri"/>
          <w:szCs w:val="24"/>
        </w:rPr>
        <w:t xml:space="preserve">(Cameron </w:t>
      </w:r>
      <w:r w:rsidR="00001725" w:rsidRPr="00C05886">
        <w:rPr>
          <w:rFonts w:ascii="Calibri" w:hAnsi="Calibri" w:cs="Calibri"/>
          <w:i/>
          <w:iCs/>
          <w:szCs w:val="24"/>
        </w:rPr>
        <w:t>et al.</w:t>
      </w:r>
      <w:r w:rsidR="00001725" w:rsidRPr="00C05886">
        <w:rPr>
          <w:rFonts w:ascii="Calibri" w:hAnsi="Calibri" w:cs="Calibri"/>
          <w:szCs w:val="24"/>
        </w:rPr>
        <w:t>, 2020)</w:t>
      </w:r>
      <w:r w:rsidRPr="00C05886">
        <w:fldChar w:fldCharType="end"/>
      </w:r>
      <w:r w:rsidRPr="00C05886">
        <w:t xml:space="preserve"> and higher attention restoration </w:t>
      </w:r>
      <w:r w:rsidRPr="00C05886">
        <w:fldChar w:fldCharType="begin"/>
      </w:r>
      <w:r w:rsidR="009947CC" w:rsidRPr="00C05886">
        <w:instrText xml:space="preserve"> ADDIN ZOTERO_ITEM CSL_CITATION {"citationID":"szKgdqHb","properties":{"formattedCitation":"(Wood {\\i{}et al.}, 2018)","plainCitation":"(Wood et al., 2018)","noteIndex":0},"citationItems":[{"id":6137,"uris":["http://zotero.org/users/10951124/items/MSVULKE3"],"itemData":{"id":6137,"type":"article-journal","abstract":"© 2018 Wood, Harsant, Dallimer, Cronin de Chavez, McEachan and Hassall. Contemporary epidemiological methods testing the associations between green space and psychological well-being treat all vegetation cover as equal. However, there is very good reason to expect that variations in ecological \"quality\" (number of species, integrity of ecological processes) may influence the link between access to green space and benefits to human health and well-being. We test the relationship between green space quality and restorative benefit in an inner city urban population in Bradford, United Kingdom. We selected 12 urban parks for study where we carried out botanical and faunal surveys to quantify biodiversity and assessed the site facilities of the green space (cleanliness, provision of amenities). We also conducted 128 surveys with park users to quantify psychological restoration based on four self-reported measure of general restoration, attention-grabbing distractions, being away from everyday life, and site preference. We present three key results. First, there is a positive association between site facilities and biodiversity. Second, restorative benefit is predicted by biodiversity, which explained 43% of the variance in restorative benefit across the parks, with minimal input from other variables. Third, the benefits accrued through access to green space were unrelated to age, gender, and ethnic background. The results add to a small but growing body of evidence that emphasize the role of nature in contributing to the well-being of urban populations and, hence, the need to consider biodiversity in the design of landscapes that enhance multiple ecosystem services.","container-title":"Frontiers in Psychology","DOI":"10.3389/fpsyg.2018.02320","issue":"NOV","title":"Not all green space is created equal: Biodiversity predicts psychological restorative benefits from urban green space","volume":"9","author":[{"family":"Wood","given":"E."},{"family":"Harsant","given":"A."},{"family":"Dallimer","given":"M."},{"family":"Chavez","given":"A.C.","non-dropping-particle":"de"},{"family":"McEachan","given":"R.R.C."},{"family":"Hassall","given":"C."}],"issued":{"date-parts":[["2018"]]}}}],"schema":"https://github.com/citation-style-language/schema/raw/master/csl-citation.json"} </w:instrText>
      </w:r>
      <w:r w:rsidRPr="00C05886">
        <w:fldChar w:fldCharType="separate"/>
      </w:r>
      <w:r w:rsidR="009947CC" w:rsidRPr="00C05886">
        <w:rPr>
          <w:rFonts w:ascii="Calibri" w:hAnsi="Calibri" w:cs="Calibri"/>
          <w:szCs w:val="24"/>
        </w:rPr>
        <w:t xml:space="preserve">(Wood </w:t>
      </w:r>
      <w:r w:rsidR="009947CC" w:rsidRPr="00C05886">
        <w:rPr>
          <w:rFonts w:ascii="Calibri" w:hAnsi="Calibri" w:cs="Calibri"/>
          <w:i/>
          <w:iCs/>
          <w:szCs w:val="24"/>
        </w:rPr>
        <w:t>et al.</w:t>
      </w:r>
      <w:r w:rsidR="009947CC" w:rsidRPr="00C05886">
        <w:rPr>
          <w:rFonts w:ascii="Calibri" w:hAnsi="Calibri" w:cs="Calibri"/>
          <w:szCs w:val="24"/>
        </w:rPr>
        <w:t>, 2018)</w:t>
      </w:r>
      <w:r w:rsidRPr="00C05886">
        <w:fldChar w:fldCharType="end"/>
      </w:r>
      <w:r w:rsidRPr="00C05886">
        <w:t xml:space="preserve">. These differences could be explained by the different types of contact with biodiversity, </w:t>
      </w:r>
      <w:r w:rsidRPr="00C05886">
        <w:rPr>
          <w:i/>
          <w:iCs/>
        </w:rPr>
        <w:t>direct</w:t>
      </w:r>
      <w:r w:rsidRPr="00C05886">
        <w:t xml:space="preserve"> vs </w:t>
      </w:r>
      <w:r w:rsidRPr="00C05886">
        <w:rPr>
          <w:i/>
          <w:iCs/>
        </w:rPr>
        <w:t>indirect</w:t>
      </w:r>
      <w:r w:rsidRPr="00C05886">
        <w:t xml:space="preserve"> (i.e. video-based). Although media-based studies provide access to a wider population and allow better control of the experimental conditions (e.g. the same exposure, the same weather, the same park), </w:t>
      </w:r>
      <w:r w:rsidRPr="00C05886">
        <w:rPr>
          <w:i/>
        </w:rPr>
        <w:t>in-situ</w:t>
      </w:r>
      <w:r w:rsidRPr="00C05886">
        <w:t xml:space="preserve"> measurements of well-being are likely to reflect a richer experience, which can include multi-sensory stimulation and engagement with biodiversity, in turn producing stronger feelings, especially for the Positive affect </w:t>
      </w:r>
      <w:r w:rsidRPr="00C05886">
        <w:fldChar w:fldCharType="begin"/>
      </w:r>
      <w:r w:rsidR="00DC0B4B" w:rsidRPr="00C05886">
        <w:instrText xml:space="preserve"> ADDIN ZOTERO_ITEM CSL_CITATION {"citationID":"aDhQHrzm","properties":{"formattedCitation":"(Browning, Mimnaugh, {\\i{}et al.}, 2020)","plainCitation":"(Browning, Mimnaugh, et al., 2020)","noteIndex":0},"citationItems":[{"id":4706,"uris":["http://zotero.org/users/10951124/items/I7ZC24VP"],"itemData":{"id":4706,"type":"article-journal","abstract":"Nature exposure in virtual reality (VR) can provide emotional well-being benefits for people who cannot access the outdoors. Little is known about how these simulated experiences compare with real outdoor experiences. We conduct an experiment with healthy undergraduate students that tests the effects of 6 min of outdoor nature exposure with 6 min of exposure to a 360-degree VR nature video, which is recorded at the outdoor nature exposure location. Skin conductivity, restorativeness, and mood before and after exposure are measured. We find that both types of nature exposure increase physiological arousal, benefit positive mood levels, and are restorative compared to an indoor setting without nature","container-title":"Frontiers in psychology","DOI":"10.3389/fpsyg.2019.02667","ISSN":"1664-1078","note":"publisher: Frontiers Media S.A","title":"Can Simulated Nature Support Mental Health? Comparing Short, Single-Doses of 360-Degree Nature Videos in Virtual Reality With the Outdoors","volume":"10","author":[{"family":"Browning","given":"Matthew"},{"family":"Mimnaugh","given":"Katherine J"},{"family":"Riper","given":"Carena J","non-dropping-particle":"van"},{"family":"Laurent","given":"Heidemarie K"},{"family":"LaValle","given":"Steven M"}],"issued":{"date-parts":[["2020"]]}}}],"schema":"https://github.com/citation-style-language/schema/raw/master/csl-citation.json"} </w:instrText>
      </w:r>
      <w:r w:rsidRPr="00C05886">
        <w:fldChar w:fldCharType="separate"/>
      </w:r>
      <w:r w:rsidR="00DC0B4B" w:rsidRPr="00C05886">
        <w:rPr>
          <w:rFonts w:ascii="Calibri" w:hAnsi="Calibri" w:cs="Calibri"/>
          <w:szCs w:val="24"/>
        </w:rPr>
        <w:t xml:space="preserve">(Browning, Mimnaugh, </w:t>
      </w:r>
      <w:r w:rsidR="00DC0B4B" w:rsidRPr="00C05886">
        <w:rPr>
          <w:rFonts w:ascii="Calibri" w:hAnsi="Calibri" w:cs="Calibri"/>
          <w:i/>
          <w:iCs/>
          <w:szCs w:val="24"/>
        </w:rPr>
        <w:t>et al.</w:t>
      </w:r>
      <w:r w:rsidR="00DC0B4B" w:rsidRPr="00C05886">
        <w:rPr>
          <w:rFonts w:ascii="Calibri" w:hAnsi="Calibri" w:cs="Calibri"/>
          <w:szCs w:val="24"/>
        </w:rPr>
        <w:t>, 2020)</w:t>
      </w:r>
      <w:r w:rsidRPr="00C05886">
        <w:fldChar w:fldCharType="end"/>
      </w:r>
      <w:r w:rsidRPr="00C05886">
        <w:t>.</w:t>
      </w:r>
    </w:p>
    <w:p w14:paraId="2D87B9B6" w14:textId="46238E08" w:rsidR="005F5299" w:rsidRPr="00C05886" w:rsidRDefault="005F5299" w:rsidP="00F02B03">
      <w:r w:rsidRPr="00C05886">
        <w:t>Ultimately, even if there was no direct effect of the park biodiversity level on emotional well-being, there was no indication that increasing the number of plant species could be detrimental to the affective states. This finding provides evidence against the notion that high plant biodiversity may produce negative outcomes on wellbeing</w:t>
      </w:r>
      <w:r w:rsidRPr="00C05886">
        <w:rPr>
          <w:color w:val="7F7F7F" w:themeColor="text1" w:themeTint="80"/>
        </w:rPr>
        <w:t xml:space="preserve"> </w:t>
      </w:r>
      <w:r w:rsidRPr="00C05886">
        <w:fldChar w:fldCharType="begin"/>
      </w:r>
      <w:r w:rsidRPr="00C05886">
        <w:instrText xml:space="preserve"> ADDIN ZOTERO_ITEM CSL_CITATION {"citationID":"h54p1O5v","properties":{"formattedCitation":"(Dallimer {\\i{}et al.}, 2012)","plainCitation":"(Dallimer et al., 2012)","noteIndex":0},"citationItems":[{"id":5841,"uris":["http://zotero.org/users/10951124/items/KQUVK8G6"],"itemData":{"id":5841,"type":"article-journal","abstract":"Over half of the world's human population lives in cities, and for many, urban greenspaces are the only places where they encounter biodiversity. This is of particular concern because there is growing evidence that human well-being is enhanced by exposure to nature. However, the specific qualities of greenspaces that offer the greatest benefits remain poorly understood. One possibility is that humans respond positively to increased levels of biodiversity. Here, we demonstrate the lack of a consistent relationship between actual plant, butterfly, and bird species richness and the psychological well-being of urban greenspace visitors. Instead, well-being shows a positive relationship with the richness that the greenspace users perceived to be present. One plausible explanation for this discrepancy, which we investigate, is that people generally have poor biodiversity-identification skills. The apparent importance of perceived species richness and the mismatch between reality and perception pose a serious challenge for aligning conservation and human well-being agendas.","container-title":"BioScience","DOI":"10.1525/bio.2012.62.1.9","ISSN":"00063568","issue":"1","page":"47-55","title":"Biodiversity and the Feel-Good Factor: Understanding Associations between Self-Reported Human Well-being and Species Richness","volume":"62","author":[{"family":"Dallimer","given":"Martin"},{"family":"Irvine","given":"Katherine N."},{"family":"Skinner","given":"Andrew M.J. J"},{"family":"Davies","given":"Zoe G."},{"family":"Rouquette","given":"James R."},{"family":"Maltby","given":"Lorraine L."},{"family":"Warren","given":"Philip H."},{"family":"Armsworth","given":"Paul R."},{"family":"Gaston","given":"Kevin J."}],"issued":{"date-parts":[["2012"]]}}}],"schema":"https://github.com/citation-style-language/schema/raw/master/csl-citation.json"} </w:instrText>
      </w:r>
      <w:r w:rsidRPr="00C05886">
        <w:fldChar w:fldCharType="separate"/>
      </w:r>
      <w:r w:rsidRPr="00C05886">
        <w:rPr>
          <w:rFonts w:ascii="Calibri" w:hAnsi="Calibri" w:cs="Calibri"/>
          <w:szCs w:val="24"/>
        </w:rPr>
        <w:t xml:space="preserve">(Dallimer </w:t>
      </w:r>
      <w:r w:rsidRPr="00C05886">
        <w:rPr>
          <w:rFonts w:ascii="Calibri" w:hAnsi="Calibri" w:cs="Calibri"/>
          <w:i/>
          <w:iCs/>
          <w:szCs w:val="24"/>
        </w:rPr>
        <w:t>et al.</w:t>
      </w:r>
      <w:r w:rsidRPr="00C05886">
        <w:rPr>
          <w:rFonts w:ascii="Calibri" w:hAnsi="Calibri" w:cs="Calibri"/>
          <w:szCs w:val="24"/>
        </w:rPr>
        <w:t>, 2012)</w:t>
      </w:r>
      <w:r w:rsidRPr="00C05886">
        <w:fldChar w:fldCharType="end"/>
      </w:r>
      <w:r w:rsidRPr="00C05886">
        <w:t xml:space="preserve">. Such contrast may reflect a comparison between designed and semi-natural green spaces (as in </w:t>
      </w:r>
      <w:proofErr w:type="spellStart"/>
      <w:r w:rsidRPr="00C05886">
        <w:t>Dallimer</w:t>
      </w:r>
      <w:proofErr w:type="spellEnd"/>
      <w:r w:rsidRPr="00C05886">
        <w:t xml:space="preserve"> et al.), in which denser, untamed vegetation may have prompted feelings of unsafety </w:t>
      </w:r>
      <w:r w:rsidRPr="00C05886">
        <w:fldChar w:fldCharType="begin"/>
      </w:r>
      <w:r w:rsidR="004A46A3" w:rsidRPr="00C05886">
        <w:instrText xml:space="preserve"> ADDIN ZOTERO_ITEM CSL_CITATION {"citationID":"i3sW1Ydu","properties":{"formattedCitation":"(Jorgensen, Hitchmough and Dunnett, 2007)","plainCitation":"(Jorgensen, Hitchmough and Dunnett, 2007)","noteIndex":0},"citationItems":[{"id":6979,"uris":["http://zotero.org/users/10951124/items/WETQACWY"],"itemData":{"id":6979,"type":"article-journal","abstract":"This study evaluates “woodland in the ecological style” as a setting for contemporary housing by means of a case study of Birchwood, Warrington New Town, UK, using a postal questionnaire and semi-structured interviews to reveal residents’ perceptions of the aesthetic and safety aspects of the woodland, together with its underlying meanings. Most Birchwood residents liked the visual appearance of their street, though they had both positive and negative feelings towards its “trees and greenery”. Woodland in the local area figured prominently amongst the residents’ favourite places though some feared that they would be the victims of physical or sexual assault, or of robbery or intimidation from groups of young people in the woodland, and women felt particularly vulnerable. Whilst the woodland was significant for many residents it was not strongly identified with Birchwood as a place: the quality of the community as symbolised by the behaviour of local individuals, community groups and institutions was regarded as a more potent measure of local identity. Colourful and well-tended landscape interventions had the ability to act as signs of a caring community. The contribution of these findings to theoretical frameworks of residential satisfaction, restorative experiences and place identity is discussed: it is suggested, inter alia, that whilst signs of individual and collective care in the landscape contribute to communal place identity, individual experiences of wilder urban green spaces, including those of a restorative nature, are formative of individual place attachment. The implications for planning, design and management with ecological woodland are explored: urban dwellers should be able to choose their preferred way of interacting with the woodland, residential settings should accommodate a wide variety of user needs, and the vegetation on and around the streetscape should be proactively managed in consultation with the community.","container-title":"Landscape and Urban Planning","DOI":"10.1016/j.landurbplan.2006.02.015","ISSN":"0169-2046","issue":"3-4","page":"273-287","title":"Woodland as a setting for housing-appreciation and fear and the contribution to residential satisfaction and place identity in Warrington New Town, UK","volume":"79","author":[{"family":"Jorgensen","given":"Anna"},{"family":"Hitchmough","given":"James"},{"family":"Dunnett","given":"Nigel"}],"issued":{"date-parts":[["2007"]]}}}],"schema":"https://github.com/citation-style-language/schema/raw/master/csl-citation.json"} </w:instrText>
      </w:r>
      <w:r w:rsidRPr="00C05886">
        <w:fldChar w:fldCharType="separate"/>
      </w:r>
      <w:r w:rsidR="004A46A3" w:rsidRPr="00C05886">
        <w:rPr>
          <w:rFonts w:ascii="Calibri" w:hAnsi="Calibri" w:cs="Calibri"/>
        </w:rPr>
        <w:t>(Jorgensen, Hitchmough and Dunnett, 2007)</w:t>
      </w:r>
      <w:r w:rsidRPr="00C05886">
        <w:fldChar w:fldCharType="end"/>
      </w:r>
      <w:r w:rsidRPr="00C05886">
        <w:t>. Instead, the virtual park was designed to feel unthreatening, being not crowded and without large animals (e.g. dogs). Although not conclusive</w:t>
      </w:r>
      <w:r w:rsidRPr="00C05886">
        <w:rPr>
          <w:color w:val="7F7F7F" w:themeColor="text1" w:themeTint="80"/>
        </w:rPr>
        <w:t xml:space="preserve">, </w:t>
      </w:r>
      <w:r w:rsidRPr="00C05886">
        <w:t xml:space="preserve">this evidence has value for the development of nature-based solutions. Since enhancing biodiversity is important to maintain the functionality of other ecosystem services </w:t>
      </w:r>
      <w:r w:rsidRPr="00C05886">
        <w:fldChar w:fldCharType="begin"/>
      </w:r>
      <w:r w:rsidRPr="00C05886">
        <w:instrText xml:space="preserve"> ADDIN ZOTERO_ITEM CSL_CITATION {"citationID":"lfIJG9hv","properties":{"formattedCitation":"(Fisher {\\i{}et al.}, 2021)","plainCitation":"(Fisher et al., 2021)","noteIndex":0},"citationItems":[{"id":9625,"uris":["http://zotero.org/users/10951124/items/ZBM8VDQR"],"itemData":{"id":9625,"type":"article-journal","abstract":"Urban land cover expansion and human population growth are accelerating worldwide. This is resulting in the loss and degradation of green and blue spaces (e.g. parks, waterways, lakes) in cities, which provide resources to sustain biodiversity and improve human wellbeing. The specific characteristics of these spaces (e.g. sounds, species, safety) that enhance or detract from wellbeing are underexplored, yet this knowledge is needed to inform urban planning, management and policies that will ultimately benefit both people and biodiversity. Research of this kind is rarely conducted in the Global South, where rapid urbanisation threatens biodiversity-rich ecosystems of worldwide significance. Here, we examine how perceptions of green, waterway, and dense urban spaces relate to wellbeing in Georgetown, Guyana. Specifically, we use mediation models to test how perceptions of sound, bird species richness, naturalness, and safety concerns contribute to sites being perceived as restorative which, subsequently, influences wellbeing. We assess the accuracy of these site perceptions with objective measures of sound (using a bioacoustic sound index), bird species richness, and percent coverage of vegetation, water, and impervious surfaces. Results showed that if sites were perceived as species rich, containing natural sounds like birdsong, natural rather than artificial, and safe, they were perceived as more restorative, resulting in improved wellbeing. In general, people's perceptions were consistent with objective measures. Green, compared with waterway and dense urban sites, contained more biophonic sounds, higher species richness, greater vegetation and water coverage. Although waterways were biodiverse, they were dominated by anthrophonic sounds, so were perceived as artificial and non-restorative. We shed light on how city planners might augment specific characteristics to improve the wellbeing of urban dwellers, with implications for biodiversity conservation. Our findings provide a scientific evidence base for urban design and management plans that could deliver multiple co-benefits, particularly in biodiversity-rich cities in neotropical regions.","container-title":"Science of The Total Environment","DOI":"10.1016/j.scitotenv.2020.143095","ISSN":"0048-9697","journalAbbreviation":"Science of The Total Environment","page":"143095","title":"Perceived biodiversity, sound, naturalness and safety enhance the restorative quality and wellbeing benefits of green and blue space in a neotropical city","volume":"755","author":[{"family":"Fisher","given":"Jessica Claris"},{"family":"Irvine","given":"Katherine Nesbitt"},{"family":"Bicknell","given":"Jake Emmerson"},{"family":"Hayes","given":"William Michael"},{"family":"Fernandes","given":"Damian"},{"family":"Mistry","given":"Jayalaxshmi"},{"family":"Davies","given":"Zoe Georgina"}],"issued":{"date-parts":[["2021",2,10]]}}}],"schema":"https://github.com/citation-style-language/schema/raw/master/csl-citation.json"} </w:instrText>
      </w:r>
      <w:r w:rsidRPr="00C05886">
        <w:fldChar w:fldCharType="separate"/>
      </w:r>
      <w:r w:rsidRPr="00C05886">
        <w:rPr>
          <w:rFonts w:ascii="Calibri" w:hAnsi="Calibri" w:cs="Calibri"/>
          <w:szCs w:val="24"/>
        </w:rPr>
        <w:t xml:space="preserve">(Fisher </w:t>
      </w:r>
      <w:r w:rsidRPr="00C05886">
        <w:rPr>
          <w:rFonts w:ascii="Calibri" w:hAnsi="Calibri" w:cs="Calibri"/>
          <w:i/>
          <w:iCs/>
          <w:szCs w:val="24"/>
        </w:rPr>
        <w:t>et al.</w:t>
      </w:r>
      <w:r w:rsidRPr="00C05886">
        <w:rPr>
          <w:rFonts w:ascii="Calibri" w:hAnsi="Calibri" w:cs="Calibri"/>
          <w:szCs w:val="24"/>
        </w:rPr>
        <w:t>, 2021)</w:t>
      </w:r>
      <w:r w:rsidRPr="00C05886">
        <w:fldChar w:fldCharType="end"/>
      </w:r>
      <w:r w:rsidRPr="00C05886">
        <w:t>, appropriately designing biodiversity could minimise the risk of negative well-being outcomes.</w:t>
      </w:r>
    </w:p>
    <w:p w14:paraId="4AEC515C" w14:textId="59DAD7F4" w:rsidR="005F5299" w:rsidRPr="00C05886" w:rsidRDefault="005F5299" w:rsidP="005F5299">
      <w:pPr>
        <w:pStyle w:val="Heading3"/>
      </w:pPr>
      <w:bookmarkStart w:id="139" w:name="_Toc179962380"/>
      <w:r w:rsidRPr="00C05886">
        <w:t>Higher perceived biodiversity predicted higher positive affect</w:t>
      </w:r>
      <w:bookmarkEnd w:id="139"/>
    </w:p>
    <w:p w14:paraId="66FA12E2" w14:textId="77777777" w:rsidR="005F5299" w:rsidRPr="00C05886" w:rsidRDefault="005F5299" w:rsidP="00F02B03">
      <w:r w:rsidRPr="00C05886">
        <w:t xml:space="preserve">Although actual biodiversity showed a neutral effect on emotional well-being, this varied significantly across the levels of perceived biodiversity (i.e. the </w:t>
      </w:r>
      <w:proofErr w:type="gramStart"/>
      <w:r w:rsidRPr="00C05886">
        <w:t>amount</w:t>
      </w:r>
      <w:proofErr w:type="gramEnd"/>
      <w:r w:rsidRPr="00C05886">
        <w:t xml:space="preserve"> of species people estimated </w:t>
      </w:r>
      <w:r w:rsidRPr="00C05886">
        <w:lastRenderedPageBreak/>
        <w:t xml:space="preserve">in the park). A few nuances were found, depending on the stress condition and the language group. English-speaking participants who perceived a medium or a high level of biodiversity showed a higher increase in Joviality and Serenity, and a greater reduction in Negative Affect, than those who perceived the park as not biodiverse. Perceiving low biodiversity was also associated with reduced Joviality and Serenity, but only in unstressed participants. Unstressed participants may have experienced boredom due to the perceived low biodiversity, while their stressed counterparts felt uplifted. This again suggests that stress levels may play a role in the recovery process, in this case making a boring park able to induce joy and calm. Chinese-speaking participants who perceived High biodiversity reported only increased Positive affect (Joviality and Serenity) compared to those who perceived low or medium biodiversity. These results are in line with previous studies that have found a positive effect on mental well-being more associated with perceived biodiversity than actual biodiversity </w:t>
      </w:r>
      <w:r w:rsidRPr="00C05886">
        <w:fldChar w:fldCharType="begin"/>
      </w:r>
      <w:r w:rsidRPr="00C05886">
        <w:instrText xml:space="preserve"> ADDIN ZOTERO_ITEM CSL_CITATION {"citationID":"QgGVUJGv","properties":{"formattedCitation":"(Gon\\uc0\\u231{}alves {\\i{}et al.}, 2021; Reining, Lemieux and Doherty, 2021)","plainCitation":"(Gonçalves et al., 2021; Reining, Lemieux and Doherty, 2021)","noteIndex":0},"citationItems":[{"id":9234,"uris":["http://zotero.org/users/10951124/items/7WC2F9AD"],"itemData":{"id":9234,"type":"article-journal","abstract":"Understanding the mechanisms underlying the positive influence of urban biodiversity on dwellers’ well-being is critical to inform sustainable management of urban greenspaces, but studies published to date on the role of biodiversity in mental restoration have provided contradictory results. Both urban greenspace biophysical characteristics and the emotional connection with the place may play a role in mental restoration. Using urban greenspace landscape and biodiversity metrics, and on-site observations and questionnaires to assess site quality and visitors’ perceptions, we explore the influence of biodiversity (perceived and measured at different levels), urban greenspace characteristics, and visitors profiles in mental restoration. Our statistical analysis demonstrates that perception of biodiversity, along with satisfaction and connection to place, were the most important predictors of mental restoration. The proportion of broadleaf and evergreen tree species also had a positive influence on biodiversity perception and mental restoration. People perceive existing biodiversity through visual cues as the diversity of leaf forms in broadleaf species, with this process being almost completely mediated by the perception of tree diversity. These findings have direct translation into planning and management practices by acknowledging the importance of biodiversity and, above all, specific traits, namely of evergreen broadleaf species, in promoting restorativeness of urban parks for users. Our results highlight the importance of using standard ecological methods when assessing biodiversity in urban greenspaces and their influence on human well-being.","container-title":"Ecology and Society","DOI":"10.5751/ES-12598-260325","issue":"3","journalAbbreviation":"Ecology and Society","note":"publisher: The Resilience Alliance","title":"What’s biodiversity got to do with it? Perceptions of biodiversity and restorativeness in urban parks","URL":"https://www.ecologyandsociety.org/vol26/iss3/art25/","volume":"26","author":[{"family":"Gonçalves","given":"Paula"},{"family":"Grilo","given":"Filipa"},{"family":"Mendes","given":"Raquel C."},{"family":"Vierikko","given":"Kati"},{"family":"Elands","given":"Birgit"},{"family":"Marques","given":"Tiago A."},{"family":"Santos-Reis","given":"Margarida"}],"issued":{"date-parts":[["2021"]]}}},{"id":9663,"uris":["http://zotero.org/users/10951124/items/J9NXCZ7N"],"itemData":{"id":9663,"type":"article-journal","container-title":"Journal of Environmental Planning and Management","DOI":"10.1080/09640568.2020.1857227","ISSN":"0964-0568","issue":"13","journalAbbreviation":"Journal of Environmental Planning and Management","note":"publisher: Routledge","page":"2300-2325","title":"Linking restorative human health outcomes to protected area ecosystem diversity and integrity","volume":"64","author":[{"family":"Reining","given":"Catherine E."},{"family":"Lemieux","given":"Christopher J."},{"family":"Doherty","given":"Sean T."}],"issued":{"date-parts":[["2021",11,10]]}}}],"schema":"https://github.com/citation-style-language/schema/raw/master/csl-citation.json"} </w:instrText>
      </w:r>
      <w:r w:rsidRPr="00C05886">
        <w:fldChar w:fldCharType="separate"/>
      </w:r>
      <w:r w:rsidRPr="00C05886">
        <w:rPr>
          <w:rFonts w:ascii="Calibri" w:hAnsi="Calibri" w:cs="Calibri"/>
          <w:szCs w:val="24"/>
        </w:rPr>
        <w:t xml:space="preserve">(Gonçalves </w:t>
      </w:r>
      <w:r w:rsidRPr="00C05886">
        <w:rPr>
          <w:rFonts w:ascii="Calibri" w:hAnsi="Calibri" w:cs="Calibri"/>
          <w:i/>
          <w:iCs/>
          <w:szCs w:val="24"/>
        </w:rPr>
        <w:t>et al.</w:t>
      </w:r>
      <w:r w:rsidRPr="00C05886">
        <w:rPr>
          <w:rFonts w:ascii="Calibri" w:hAnsi="Calibri" w:cs="Calibri"/>
          <w:szCs w:val="24"/>
        </w:rPr>
        <w:t>, 2021; Reining, Lemieux and Doherty, 2021)</w:t>
      </w:r>
      <w:r w:rsidRPr="00C05886">
        <w:fldChar w:fldCharType="end"/>
      </w:r>
      <w:r w:rsidRPr="00C05886">
        <w:t>.</w:t>
      </w:r>
    </w:p>
    <w:p w14:paraId="22B3477D" w14:textId="19216B36" w:rsidR="005F5299" w:rsidRPr="00C05886" w:rsidRDefault="005F5299" w:rsidP="00F02B03">
      <w:r w:rsidRPr="00C05886">
        <w:t xml:space="preserve">Interestingly, despite the parks’ biodiversity being designed to be obvious, featuring attractive flamboyant flowers and non-threatening, endearing animals, all park variations received similar ratings of perceived biodiversity. Both the parks with 15 species (low biodiversity) and those with 28 species (high biodiversity) were perceived as “high” in biodiversity (i.e. having “a lot” of species) by roughly 60% of the English-speaking participants (Supporting information, Tables 8-9). This inaccurate estimation of the species richness from the public is not unprecedented </w:t>
      </w:r>
      <w:r w:rsidRPr="00C05886">
        <w:fldChar w:fldCharType="begin"/>
      </w:r>
      <w:r w:rsidRPr="00C05886">
        <w:instrText xml:space="preserve"> ADDIN ZOTERO_ITEM CSL_CITATION {"citationID":"m0PkrTwv","properties":{"formattedCitation":"(Lindemann-Matthies and Bose, 2008)","plainCitation":"(Lindemann-Matthies and Bose, 2008)","noteIndex":0},"citationItems":[{"id":8229,"uris":["http://zotero.org/users/10951124/items/ZNFYF3FU"],"itemData":{"id":8229,"type":"article-journal","abstract":"This paper presents the results of interviews and a questionnaire study on public knowledge of the concept of biodiversity and of plant species richness in Switzerland. Despite its extensive use in science and policy making, the concept of biodiversity is not widely recognized or known to people in Switzerland. Overall, 60% of all study participants (161 grammar school pupils, 110 non-graduates, and 96 graduates in the Canton of Zurich) had never heard the term biodiversity, while the others had come across it primarily in the media. Few study participants considered their school education a relevant source of information about biodiversity. Study participants most frequently referred to the diversity of plants and animals when defining biodiversity, but also quite often believed that biodiversity had something to do with ecological concepts such as the equilibrium between all components of nature. Both young people and adults held widely inaccurate ideas of the plant species richness of communities. Particularly for Switzerland, plant species richness was strongly overestimated.","container-title":"Human Ecology","DOI":"10.1007/s10745-008-9194-1","ISSN":"1572-9915","issue":"5","page":"731-742","title":"How Many Species Are There? Public Understanding and Awareness of Biodiversity in Switzerland","volume":"36","author":[{"family":"Lindemann-Matthies","given":"Petra"},{"family":"Bose","given":"Elisabeth"}],"issued":{"date-parts":[["2008"]]}}}],"schema":"https://github.com/citation-style-language/schema/raw/master/csl-citation.json"} </w:instrText>
      </w:r>
      <w:r w:rsidRPr="00C05886">
        <w:fldChar w:fldCharType="separate"/>
      </w:r>
      <w:r w:rsidRPr="00C05886">
        <w:rPr>
          <w:rFonts w:ascii="Calibri" w:hAnsi="Calibri" w:cs="Calibri"/>
        </w:rPr>
        <w:t>(Lindemann-Matthies and Bose, 2008)</w:t>
      </w:r>
      <w:r w:rsidRPr="00C05886">
        <w:fldChar w:fldCharType="end"/>
      </w:r>
      <w:r w:rsidRPr="00C05886">
        <w:t xml:space="preserve"> and has sometimes been defined as the “people-biodiversity paradox” </w:t>
      </w:r>
      <w:r w:rsidRPr="00C05886">
        <w:fldChar w:fldCharType="begin"/>
      </w:r>
      <w:r w:rsidR="00DC0B4B" w:rsidRPr="00C05886">
        <w:instrText xml:space="preserve"> ADDIN ZOTERO_ITEM CSL_CITATION {"citationID":"6tKPsQml","properties":{"formattedCitation":"(Assaf Shwartz {\\i{}et al.}, 2014; Pett {\\i{}et al.}, 2016)","plainCitation":"(Assaf Shwartz et al., 2014; Pett et al., 2016)","noteIndex":0},"citationItems":[{"id":6245,"uris":["http://zotero.org/users/10951124/items/ER322ZT3"],"itemData":{"id":6245,"type":"article-journal","abstract":"&lt;p&gt;Urbanization is presenting a growing problem for biodiversity conservation, notably by increasingly isolating over half of the world’s population from the experience of nature. This separation of people from nature is an important environmental issue, as it could fundamentally influence the way people value nature and their willingness to conserve it. Here we provide the first experimental study that jointly explores how urban biodiversity can be enhanced and how these changes may influence some aspects of people–biodiversity interactions.&lt;/p&gt; &lt;p&gt;We significantly increased the diversity of flowers, birds and pollinators in small public gardens (Paris, France) by providing additional resources (i.e., planting flower-meadows and placing nesting-boxes). Semi-structured interviews were conducted &lt;/p&gt; &lt;p&gt; with 1116 regular garden users before and after the manipulation. Close-ended questionnaires were completed exploring the respondents’ biodiversity perception and their sensitivity to the changes in biodiversity. Our results highlight a people–biodiversity paradox between people’s perceptions and biodiversity awareness. Respondents expressed a strong preference for a rich diversity of species (excluding insects) and related this diversity to their well-being in the gardens. However, they did not notice the diversity of species. Respondents underestimated species richness and only noticed the changes in native flower richness in those gardens where advertisement and public involvement were organized. More experimental interdisciplinary studies are needed to further explore the people–biodiversity interactions. This would help expose the role that urban biodiversity plays in people’s daily life and the importance of this interaction for raising public support for general conservation policies.&lt;/p&gt;","container-title":"Biological Conservation","DOI":"10.1016/j.biocon.2014.01.009","ISSN":"0006-3207","page":"82-90","title":"Enhancing urban biodiversity and its influence on city-dwellers: An experiment","volume":"171","author":[{"family":"Shwartz","given":"Assaf"},{"family":"Turbé","given":"Anne"},{"family":"Simon","given":"Laurent"},{"family":"Julliard","given":"Romain"}],"issued":{"date-parts":[["2014"]]}}},{"id":6856,"uris":["http://zotero.org/users/10951124/items/X7EKZDIM"],"itemData":{"id":6856,"type":"article-journal","abstract":"© 2016. Published by Oxford University Press on behalf of the American Institute of Biological Sciences. All rights reserved. Global phenomena, including urbanization, agricultural intensification, and biotic homogenization, have led to extensive ecosystem degradation, species extinctions, and, consequently, a reduction in biodiversity. However, although it is now widely asserted in the research, policy, and practice arenas that interacting with nature is fundamental to human health and well-being, there is a paucity of nuanced evidence characterizing how the living components of nature, biodiversity, play a role in this accepted truth. Understanding these human-biodiversity relationships is essential if the conservation agenda is to be aligned successfully with that of public health by policymakers and practitioners. Here, we show that an apparent \"people-biodiversity paradox\" is emerging from the literature, comprising a mismatch between (a) people's biodiversity preferences and how these inclinations relate to personal subjective well-being and (b) the limited ability of individuals to accurately perceive the biodiversity surrounding them. In addition, we present a conceptual framework for understanding the complexity underpinning human-biodiversity interactions.","container-title":"BioScience","DOI":"10.1093/biosci/biw036","issue":"7","page":"576-583","title":"Unpacking the people-biodiversity paradox: A conceptual framework","volume":"66","author":[{"family":"Pett","given":"T.J."},{"family":"Shwartz","given":"A."},{"family":"Irvine","given":"K.N."},{"family":"Dallimer","given":"M."},{"family":"Davies","given":"Z.G."}],"issued":{"date-parts":[["2016"]]}}}],"schema":"https://github.com/citation-style-language/schema/raw/master/csl-citation.json"} </w:instrText>
      </w:r>
      <w:r w:rsidRPr="00C05886">
        <w:fldChar w:fldCharType="separate"/>
      </w:r>
      <w:r w:rsidR="00DC0B4B" w:rsidRPr="00C05886">
        <w:rPr>
          <w:rFonts w:ascii="Calibri" w:hAnsi="Calibri" w:cs="Calibri"/>
          <w:szCs w:val="24"/>
        </w:rPr>
        <w:t xml:space="preserve">(Assaf Shwartz </w:t>
      </w:r>
      <w:r w:rsidR="00DC0B4B" w:rsidRPr="00C05886">
        <w:rPr>
          <w:rFonts w:ascii="Calibri" w:hAnsi="Calibri" w:cs="Calibri"/>
          <w:i/>
          <w:iCs/>
          <w:szCs w:val="24"/>
        </w:rPr>
        <w:t>et al.</w:t>
      </w:r>
      <w:r w:rsidR="00DC0B4B" w:rsidRPr="00C05886">
        <w:rPr>
          <w:rFonts w:ascii="Calibri" w:hAnsi="Calibri" w:cs="Calibri"/>
          <w:szCs w:val="24"/>
        </w:rPr>
        <w:t xml:space="preserve">, 2014; Pett </w:t>
      </w:r>
      <w:r w:rsidR="00DC0B4B" w:rsidRPr="00C05886">
        <w:rPr>
          <w:rFonts w:ascii="Calibri" w:hAnsi="Calibri" w:cs="Calibri"/>
          <w:i/>
          <w:iCs/>
          <w:szCs w:val="24"/>
        </w:rPr>
        <w:t>et al.</w:t>
      </w:r>
      <w:r w:rsidR="00DC0B4B" w:rsidRPr="00C05886">
        <w:rPr>
          <w:rFonts w:ascii="Calibri" w:hAnsi="Calibri" w:cs="Calibri"/>
          <w:szCs w:val="24"/>
        </w:rPr>
        <w:t>, 2016)</w:t>
      </w:r>
      <w:r w:rsidRPr="00C05886">
        <w:fldChar w:fldCharType="end"/>
      </w:r>
      <w:r w:rsidRPr="00C05886">
        <w:t xml:space="preserve">. Members of the public would prefer and feel better in spaces that they believe are very biodiverse but they would be unable to recognise the actual biodiversity of that space. Under this perspective, the results from this experiment are in line with </w:t>
      </w:r>
      <w:proofErr w:type="spellStart"/>
      <w:r w:rsidRPr="00C05886">
        <w:t>Dallimer</w:t>
      </w:r>
      <w:proofErr w:type="spellEnd"/>
      <w:r w:rsidRPr="00C05886">
        <w:t xml:space="preserve"> and colleagues (2012), whose participants reported higher well-being when perceiving a place as biodiverse, irrespectively of its actual biodiversity.</w:t>
      </w:r>
    </w:p>
    <w:p w14:paraId="52CA42A7" w14:textId="77777777" w:rsidR="005F5299" w:rsidRPr="00C05886" w:rsidRDefault="005F5299" w:rsidP="00F02B03">
      <w:r w:rsidRPr="00C05886">
        <w:t xml:space="preserve">There are a few possible explanations about why the participants may have perceived all parks as similar in biodiversity. The vegetation structure, which included a low-density tree layer and three levels of height for the flowering plants (creeping, knee-high and waist-high), was kept consistent. The vegetation coverage has been cited as an important predictor of perceived biodiversity </w:t>
      </w:r>
      <w:r w:rsidRPr="00C05886">
        <w:fldChar w:fldCharType="begin"/>
      </w:r>
      <w:r w:rsidRPr="00C05886">
        <w:instrText xml:space="preserve"> ADDIN ZOTERO_ITEM CSL_CITATION {"citationID":"TTGEvgSZ","properties":{"formattedCitation":"(Schebella {\\i{}et al.}, 2019)","plainCitation":"(Schebella et al., 2019)","noteIndex":0},"citationItems":[{"id":9985,"uris":["http://zotero.org/users/10951124/items/TWY3NIZJ"],"itemData":{"id":9985,"type":"article-journal","container-title":"International Journal of Environmental Research","DOI":"10.1007/s41742-019-00200-0","ISSN":"1735-6865, 2008-2304","issue":"4","journalAbbreviation":"Int J Environ Res","language":"en","page":"707-720","source":"DOI.org (Crossref)","title":"In Pursuit of Urban Sustainability: Predicting Public Perceptions of Park Biodiversity Using Simple Assessment Tools","title-short":"In Pursuit of Urban Sustainability","volume":"13","author":[{"family":"Schebella","given":"M. F."},{"family":"Weber","given":"D."},{"family":"Schultz","given":"L."},{"family":"Weinstein","given":"P."}],"issued":{"date-parts":[["2019",8]]}}}],"schema":"https://github.com/citation-style-language/schema/raw/master/csl-citation.json"} </w:instrText>
      </w:r>
      <w:r w:rsidRPr="00C05886">
        <w:fldChar w:fldCharType="separate"/>
      </w:r>
      <w:r w:rsidRPr="00C05886">
        <w:rPr>
          <w:rFonts w:ascii="Calibri" w:hAnsi="Calibri" w:cs="Calibri"/>
          <w:szCs w:val="24"/>
        </w:rPr>
        <w:t xml:space="preserve">(Schebella </w:t>
      </w:r>
      <w:r w:rsidRPr="00C05886">
        <w:rPr>
          <w:rFonts w:ascii="Calibri" w:hAnsi="Calibri" w:cs="Calibri"/>
          <w:i/>
          <w:iCs/>
          <w:szCs w:val="24"/>
        </w:rPr>
        <w:t>et al.</w:t>
      </w:r>
      <w:r w:rsidRPr="00C05886">
        <w:rPr>
          <w:rFonts w:ascii="Calibri" w:hAnsi="Calibri" w:cs="Calibri"/>
          <w:szCs w:val="24"/>
        </w:rPr>
        <w:t>, 2019)</w:t>
      </w:r>
      <w:r w:rsidRPr="00C05886">
        <w:fldChar w:fldCharType="end"/>
      </w:r>
      <w:r w:rsidRPr="00C05886">
        <w:t xml:space="preserve">, therefore the regular presence of the same trees and planting blocks across the park variations could have prompted similar perceptions. Another possible explanation is that perceptions of biodiversity could also be non-linear. Hypothetically, it may be easier to correctly </w:t>
      </w:r>
      <w:r w:rsidRPr="00C05886">
        <w:lastRenderedPageBreak/>
        <w:t>perceive biodiversity when it is at the extremes (i.e. too little or too abundant) than when it is at any levels in between.</w:t>
      </w:r>
    </w:p>
    <w:p w14:paraId="346BDC02" w14:textId="77777777" w:rsidR="005F5299" w:rsidRPr="00C05886" w:rsidRDefault="005F5299" w:rsidP="00F02B03">
      <w:r w:rsidRPr="00C05886">
        <w:t>Finally, noticing the animals and the trees seemed to reduce Negative Affect and increase Serenity for some English-speaking participants. Noticing flowers instead had no effect, contrary to the expectations. For Chinese-speaking participants, noticing flowers and grasses (</w:t>
      </w:r>
      <w:proofErr w:type="spellStart"/>
      <w:r w:rsidRPr="00C05886">
        <w:rPr>
          <w:rFonts w:ascii="MS Gothic" w:eastAsia="MS Gothic" w:hAnsi="MS Gothic" w:cs="MS Gothic"/>
        </w:rPr>
        <w:t>草地</w:t>
      </w:r>
      <w:proofErr w:type="spellEnd"/>
      <w:r w:rsidRPr="00C05886">
        <w:rPr>
          <w:rFonts w:ascii="MS Gothic" w:eastAsia="MS Gothic" w:hAnsi="MS Gothic" w:cs="MS Gothic"/>
        </w:rPr>
        <w:t>)</w:t>
      </w:r>
      <w:r w:rsidRPr="00C05886">
        <w:t xml:space="preserve">was instead associated with improved Joviality and Serenity, but only if the participants were stressed. </w:t>
      </w:r>
    </w:p>
    <w:p w14:paraId="28E3FC50" w14:textId="2B8C8D13" w:rsidR="005F5299" w:rsidRPr="00C05886" w:rsidRDefault="005F5299" w:rsidP="005F5299">
      <w:pPr>
        <w:pStyle w:val="Heading3"/>
      </w:pPr>
      <w:bookmarkStart w:id="140" w:name="_Toc179962381"/>
      <w:r w:rsidRPr="00C05886">
        <w:t>Cross-cultural findings</w:t>
      </w:r>
      <w:bookmarkEnd w:id="140"/>
    </w:p>
    <w:p w14:paraId="4D535CC2" w14:textId="77777777" w:rsidR="005F5299" w:rsidRPr="00C05886" w:rsidRDefault="005F5299" w:rsidP="00D45D6B">
      <w:r w:rsidRPr="00C05886">
        <w:t>The analysis of the comments showed that the two language groups noticed different features. This could be due to the screen size of the device used to explore the park. The two groups also differed in the device used to take part in the study, as one group used mostly mobile devices (Chinese-speaking) while the other favoured laptops or larger screens (English-speaking). On a desktop/laptop, animals would have been much more noticeable than on a mobile screen.</w:t>
      </w:r>
    </w:p>
    <w:p w14:paraId="121A5433" w14:textId="77777777" w:rsidR="005F5299" w:rsidRPr="00C05886" w:rsidRDefault="005F5299" w:rsidP="00A30303">
      <w:r w:rsidRPr="00C05886">
        <w:t xml:space="preserve">The composition of the two language groups differed in many ways. Demographically, in terms of gender (Female English-speaking = 65%, Chinese-speaking = 35%), average age (Chinese-speaking participants were on average 10 years older than English-speaking participants) and Education Level. Nature connectedness was also different, with 50% of the Chinese-speaking sample reporting high Nature connectedness, compared with 30% of the English-speaking sample. This may suggest a different conceptualisation of Nature and Self in the Chinese context, although the INS scale has been argued to be reliable in cross-cultural comparisons </w:t>
      </w:r>
      <w:r w:rsidRPr="00C05886">
        <w:fldChar w:fldCharType="begin"/>
      </w:r>
      <w:r w:rsidRPr="00C05886">
        <w:instrText xml:space="preserve"> ADDIN ZOTERO_ITEM CSL_CITATION {"citationID":"4V7DwuGU","properties":{"formattedCitation":"(Liu {\\i{}et al.}, 2023)","plainCitation":"(Liu et al., 2023)","noteIndex":0},"citationItems":[{"id":9951,"uris":["http://zotero.org/users/10951124/items/I5UMPTSP"],"itemData":{"id":9951,"type":"article-journal","container-title":"Personality and Individual Differences","DOI":"10.1016/j.paid.2022.111946","ISSN":"01918869","journalAbbreviation":"Personality and Individual Differences","language":"en","page":"111946","source":"DOI.org (Crossref)","title":"Awe of nature and well-being: Roles of nature connectedness and powerlessness","title-short":"Awe of nature and well-being","volume":"201","author":[{"family":"Liu","given":"Jia"},{"family":"Huo","given":"Yongquan"},{"family":"Wang","given":"Jing"},{"family":"Bai","given":"Yang"},{"family":"Zhao","given":"Meng"},{"family":"Di","given":"Meilin"}],"issued":{"date-parts":[["2023",2]]}}}],"schema":"https://github.com/citation-style-language/schema/raw/master/csl-citation.json"} </w:instrText>
      </w:r>
      <w:r w:rsidRPr="00C05886">
        <w:fldChar w:fldCharType="separate"/>
      </w:r>
      <w:r w:rsidRPr="00C05886">
        <w:rPr>
          <w:rFonts w:ascii="Calibri" w:hAnsi="Calibri" w:cs="Calibri"/>
          <w:szCs w:val="24"/>
        </w:rPr>
        <w:t xml:space="preserve">(Liu </w:t>
      </w:r>
      <w:r w:rsidRPr="00C05886">
        <w:rPr>
          <w:rFonts w:ascii="Calibri" w:hAnsi="Calibri" w:cs="Calibri"/>
          <w:i/>
          <w:iCs/>
          <w:szCs w:val="24"/>
        </w:rPr>
        <w:t>et al.</w:t>
      </w:r>
      <w:r w:rsidRPr="00C05886">
        <w:rPr>
          <w:rFonts w:ascii="Calibri" w:hAnsi="Calibri" w:cs="Calibri"/>
          <w:szCs w:val="24"/>
        </w:rPr>
        <w:t>, 2023)</w:t>
      </w:r>
      <w:r w:rsidRPr="00C05886">
        <w:fldChar w:fldCharType="end"/>
      </w:r>
      <w:r w:rsidRPr="00C05886">
        <w:t xml:space="preserve">. Chinese-speaking participants also reported a weaker effect of the stressor alarm compared with the English-speaking respondents, which could be explained by their age and reduced sensitivity to that particular sound. </w:t>
      </w:r>
    </w:p>
    <w:p w14:paraId="171CD437" w14:textId="364D1FF3" w:rsidR="005F5299" w:rsidRPr="00C05886" w:rsidRDefault="005F5299" w:rsidP="00A30303">
      <w:r w:rsidRPr="00C05886">
        <w:t xml:space="preserve">Despite these differences, both groups showed comparable improvements after their virtual tour of the park. This supports the notion proposed in previous studies that benefits provided by parks, including perceiving biodiversity, can go beyond geographical and cultural boundaries </w:t>
      </w:r>
      <w:r w:rsidRPr="00C05886">
        <w:fldChar w:fldCharType="begin"/>
      </w:r>
      <w:r w:rsidR="009947CC" w:rsidRPr="00C05886">
        <w:instrText xml:space="preserve"> ADDIN ZOTERO_ITEM CSL_CITATION {"citationID":"soTPShwu","properties":{"formattedCitation":"(Wood {\\i{}et al.}, 2018)","plainCitation":"(Wood et al., 2018)","noteIndex":0},"citationItems":[{"id":6137,"uris":["http://zotero.org/users/10951124/items/MSVULKE3"],"itemData":{"id":6137,"type":"article-journal","abstract":"© 2018 Wood, Harsant, Dallimer, Cronin de Chavez, McEachan and Hassall. Contemporary epidemiological methods testing the associations between green space and psychological well-being treat all vegetation cover as equal. However, there is very good reason to expect that variations in ecological \"quality\" (number of species, integrity of ecological processes) may influence the link between access to green space and benefits to human health and well-being. We test the relationship between green space quality and restorative benefit in an inner city urban population in Bradford, United Kingdom. We selected 12 urban parks for study where we carried out botanical and faunal surveys to quantify biodiversity and assessed the site facilities of the green space (cleanliness, provision of amenities). We also conducted 128 surveys with park users to quantify psychological restoration based on four self-reported measure of general restoration, attention-grabbing distractions, being away from everyday life, and site preference. We present three key results. First, there is a positive association between site facilities and biodiversity. Second, restorative benefit is predicted by biodiversity, which explained 43% of the variance in restorative benefit across the parks, with minimal input from other variables. Third, the benefits accrued through access to green space were unrelated to age, gender, and ethnic background. The results add to a small but growing body of evidence that emphasize the role of nature in contributing to the well-being of urban populations and, hence, the need to consider biodiversity in the design of landscapes that enhance multiple ecosystem services.","container-title":"Frontiers in Psychology","DOI":"10.3389/fpsyg.2018.02320","issue":"NOV","title":"Not all green space is created equal: Biodiversity predicts psychological restorative benefits from urban green space","volume":"9","author":[{"family":"Wood","given":"E."},{"family":"Harsant","given":"A."},{"family":"Dallimer","given":"M."},{"family":"Chavez","given":"A.C.","non-dropping-particle":"de"},{"family":"McEachan","given":"R.R.C."},{"family":"Hassall","given":"C."}],"issued":{"date-parts":[["2018"]]}}}],"schema":"https://github.com/citation-style-language/schema/raw/master/csl-citation.json"} </w:instrText>
      </w:r>
      <w:r w:rsidRPr="00C05886">
        <w:fldChar w:fldCharType="separate"/>
      </w:r>
      <w:r w:rsidR="009947CC" w:rsidRPr="00C05886">
        <w:rPr>
          <w:rFonts w:ascii="Calibri" w:hAnsi="Calibri" w:cs="Calibri"/>
          <w:szCs w:val="24"/>
        </w:rPr>
        <w:t xml:space="preserve">(Wood </w:t>
      </w:r>
      <w:r w:rsidR="009947CC" w:rsidRPr="00C05886">
        <w:rPr>
          <w:rFonts w:ascii="Calibri" w:hAnsi="Calibri" w:cs="Calibri"/>
          <w:i/>
          <w:iCs/>
          <w:szCs w:val="24"/>
        </w:rPr>
        <w:t>et al.</w:t>
      </w:r>
      <w:r w:rsidR="009947CC" w:rsidRPr="00C05886">
        <w:rPr>
          <w:rFonts w:ascii="Calibri" w:hAnsi="Calibri" w:cs="Calibri"/>
          <w:szCs w:val="24"/>
        </w:rPr>
        <w:t>, 2018)</w:t>
      </w:r>
      <w:r w:rsidRPr="00C05886">
        <w:fldChar w:fldCharType="end"/>
      </w:r>
      <w:r w:rsidRPr="00C05886">
        <w:t xml:space="preserve">. For instance, in their analysis of psychological and physiological responses to different parks, </w:t>
      </w:r>
      <w:r w:rsidRPr="00C05886">
        <w:fldChar w:fldCharType="begin"/>
      </w:r>
      <w:r w:rsidRPr="00C05886">
        <w:instrText xml:space="preserve"> ADDIN ZOTERO_ITEM CSL_CITATION {"citationID":"aoXtXc6O","properties":{"formattedCitation":"(Elsadek {\\i{}et al.}, 2019)","plainCitation":"(Elsadek et al., 2019)","noteIndex":0},"citationItems":[{"id":9946,"uris":["http://zotero.org/users/10951124/items/33H52LAD"],"itemData":{"id":9946,"type":"article-journal","container-title":"Urban Forestry &amp; Urban Greening","DOI":"10.1016/j.ufug.2018.11.007","ISSN":"16188667","journalAbbreviation":"Urban Forestry &amp; Urban Greening","language":"en","page":"74-83","source":"DOI.org (Crossref)","title":"Cross-cultural comparison of physiological and psychological responses to different garden styles","volume":"38","author":[{"family":"Elsadek","given":"Mohamed"},{"family":"Sun","given":"Minkai"},{"family":"Sugiyama","given":"Ryo"},{"family":"Fujii","given":"Eijiro"}],"issued":{"date-parts":[["2019",2]]}}}],"schema":"https://github.com/citation-style-language/schema/raw/master/csl-citation.json"} </w:instrText>
      </w:r>
      <w:r w:rsidRPr="00C05886">
        <w:fldChar w:fldCharType="separate"/>
      </w:r>
      <w:r w:rsidRPr="00C05886">
        <w:rPr>
          <w:rFonts w:ascii="Calibri" w:hAnsi="Calibri" w:cs="Calibri"/>
          <w:szCs w:val="24"/>
        </w:rPr>
        <w:t xml:space="preserve">(Elsadek </w:t>
      </w:r>
      <w:r w:rsidRPr="00C05886">
        <w:rPr>
          <w:rFonts w:ascii="Calibri" w:hAnsi="Calibri" w:cs="Calibri"/>
          <w:i/>
          <w:iCs/>
          <w:szCs w:val="24"/>
        </w:rPr>
        <w:t>et al.</w:t>
      </w:r>
      <w:r w:rsidRPr="00C05886">
        <w:rPr>
          <w:rFonts w:ascii="Calibri" w:hAnsi="Calibri" w:cs="Calibri"/>
          <w:szCs w:val="24"/>
        </w:rPr>
        <w:t>, 2019)</w:t>
      </w:r>
      <w:r w:rsidRPr="00C05886">
        <w:fldChar w:fldCharType="end"/>
      </w:r>
      <w:r w:rsidRPr="00C05886">
        <w:t xml:space="preserve"> found that Japanese and Canadian students were statistically similar. Sentiment analysis from a vast social network dataset </w:t>
      </w:r>
      <w:r w:rsidRPr="00C05886">
        <w:fldChar w:fldCharType="begin"/>
      </w:r>
      <w:r w:rsidRPr="00C05886">
        <w:instrText xml:space="preserve"> ADDIN ZOTERO_ITEM CSL_CITATION {"citationID":"tw9um9BC","properties":{"formattedCitation":"(Huai and Van De Voorde, 2022)","plainCitation":"(Huai and Van De Voorde, 2022)","noteIndex":0},"citationItems":[{"id":9947,"uris":["http://zotero.org/users/10951124/items/JR2A6D5A"],"itemData":{"id":9947,"type":"article-journal","container-title":"Landscape and Urban Planning","DOI":"10.1016/j.landurbplan.2021.104307","ISSN":"01692046","journalAbbreviation":"Landscape and Urban Planning","language":"en","page":"104307","source":"DOI.org (Crossref)","title":"Which environmental features contribute to positive and negative perceptions of urban parks? A cross-cultural comparison using online reviews and Natural Language Processing methods","title-short":"Which environmental features contribute to positive and negative perceptions of urban parks?","volume":"218","author":[{"family":"Huai","given":"Songyao"},{"family":"Van De Voorde","given":"Tim"}],"issued":{"date-parts":[["2022",2]]}}}],"schema":"https://github.com/citation-style-language/schema/raw/master/csl-citation.json"} </w:instrText>
      </w:r>
      <w:r w:rsidRPr="00C05886">
        <w:fldChar w:fldCharType="separate"/>
      </w:r>
      <w:r w:rsidRPr="00C05886">
        <w:rPr>
          <w:rFonts w:ascii="Calibri" w:hAnsi="Calibri" w:cs="Calibri"/>
        </w:rPr>
        <w:t>(Huai and Van De Voorde, 2022)</w:t>
      </w:r>
      <w:r w:rsidRPr="00C05886">
        <w:fldChar w:fldCharType="end"/>
      </w:r>
      <w:r w:rsidRPr="00C05886">
        <w:t xml:space="preserve"> showed that park users in Brussels (Belgium) and Shanghai (China) substantially agreed on what park features were positive. Perceived benefits provided by parks, such as “happiness” and “relaxation”, were also argued to be the same in Turkey and in the UK </w:t>
      </w:r>
      <w:r w:rsidRPr="00C05886">
        <w:fldChar w:fldCharType="begin"/>
      </w:r>
      <w:r w:rsidRPr="00C05886">
        <w:instrText xml:space="preserve"> ADDIN ZOTERO_ITEM CSL_CITATION {"citationID":"WxW0hT0G","properties":{"formattedCitation":"(\\uc0\\u214{}zg\\uc0\\u252{}ner, 2011)","plainCitation":"(Özgüner, 2011)","noteIndex":0},"citationItems":[{"id":9945,"uris":["http://zotero.org/users/10951124/items/XC5J387A"],"itemData":{"id":9945,"type":"article-journal","container-title":"Landscape Research","DOI":"10.1080/01426397.2011.560474","ISSN":"0142-6397, 1469-9710","issue":"5","journalAbbreviation":"Landscape Research","language":"en","page":"599-620","source":"DOI.org (Crossref)","title":"Cultural Differences in Attitudes towards Urban Parks and Green Spaces","volume":"36","author":[{"family":"Özgüner","given":"Halil"}],"issued":{"date-parts":[["2011",10]]}}}],"schema":"https://github.com/citation-style-language/schema/raw/master/csl-citation.json"} </w:instrText>
      </w:r>
      <w:r w:rsidRPr="00C05886">
        <w:fldChar w:fldCharType="separate"/>
      </w:r>
      <w:r w:rsidRPr="00C05886">
        <w:rPr>
          <w:rFonts w:ascii="Calibri" w:hAnsi="Calibri" w:cs="Calibri"/>
          <w:szCs w:val="24"/>
        </w:rPr>
        <w:t>(Özgüner, 2011)</w:t>
      </w:r>
      <w:r w:rsidRPr="00C05886">
        <w:fldChar w:fldCharType="end"/>
      </w:r>
      <w:r w:rsidRPr="00C05886">
        <w:t>, despite how the park was used being different in the two cultures.</w:t>
      </w:r>
    </w:p>
    <w:p w14:paraId="4805F17C" w14:textId="77777777" w:rsidR="005F5299" w:rsidRPr="00C05886" w:rsidRDefault="005F5299" w:rsidP="005F5299">
      <w:pPr>
        <w:pStyle w:val="Heading2"/>
      </w:pPr>
      <w:bookmarkStart w:id="141" w:name="_Toc179962382"/>
      <w:r w:rsidRPr="00C05886">
        <w:lastRenderedPageBreak/>
        <w:t>Limitations</w:t>
      </w:r>
      <w:bookmarkEnd w:id="141"/>
    </w:p>
    <w:p w14:paraId="270E0208" w14:textId="77777777" w:rsidR="005F5299" w:rsidRPr="00C05886" w:rsidRDefault="005F5299" w:rsidP="00712457">
      <w:r w:rsidRPr="00C05886">
        <w:t>Despite the robust control exerted over the data collection and analysis, a few factors limit the generalisation of these findings. First, this experiment focused on short-term improvement of well-being following exposure to virtual green space.</w:t>
      </w:r>
    </w:p>
    <w:p w14:paraId="5F70BA88" w14:textId="77777777" w:rsidR="005F5299" w:rsidRPr="00C05886" w:rsidRDefault="005F5299" w:rsidP="00712457">
      <w:r w:rsidRPr="00C05886">
        <w:t>Further, the interaction with the park’s biodiversity was only indirect and limited to visual stimulations. Although indirect interactions are easier to control and can reach larger audiences, it is possible that without the physical presence the effect of biodiversity may have been underestimated.</w:t>
      </w:r>
    </w:p>
    <w:p w14:paraId="02B0D425" w14:textId="77777777" w:rsidR="005F5299" w:rsidRPr="00C05886" w:rsidRDefault="005F5299" w:rsidP="00712457">
      <w:r w:rsidRPr="00C05886">
        <w:t>Finally, it is not clear what features were driving the perceptions of biodiversity. These seemed unrelated to the actual species number. Some hints from the comments suggested that noticing specific features of the park’s biodiversity could be beneficial for well-being.</w:t>
      </w:r>
    </w:p>
    <w:p w14:paraId="54C72FA9" w14:textId="77777777" w:rsidR="005F5299" w:rsidRPr="00C05886" w:rsidRDefault="005F5299" w:rsidP="005F5299">
      <w:pPr>
        <w:pStyle w:val="Heading2"/>
      </w:pPr>
      <w:bookmarkStart w:id="142" w:name="_Toc179962383"/>
      <w:r w:rsidRPr="00C05886">
        <w:t>Conclusion</w:t>
      </w:r>
      <w:bookmarkEnd w:id="142"/>
    </w:p>
    <w:p w14:paraId="787C4447" w14:textId="77777777" w:rsidR="005F5299" w:rsidRPr="00C05886" w:rsidRDefault="005F5299" w:rsidP="003E2E4E">
      <w:r w:rsidRPr="00C05886">
        <w:t xml:space="preserve">In summary, this experiment provided cross-cultural evidence of the beneficial effect of viewing a virtual park on mental well-being. Despite the demographic differences in the two language samples, the analyses showed similar responses, such as the significant improvement of the affective states when perceiving higher biodiversity and more evident improvement when recovering from a stressful event. This contributes to the previous notions that parks can be important providers of mental well-being, especially for those who are stressed. Although the level of biodiversity </w:t>
      </w:r>
      <w:r w:rsidRPr="00C05886">
        <w:rPr>
          <w:i/>
        </w:rPr>
        <w:t xml:space="preserve">per se </w:t>
      </w:r>
      <w:r w:rsidRPr="00C05886">
        <w:t xml:space="preserve">did not show a significant effect on well-being, we found no evidence that high park biodiversity could be detrimental. </w:t>
      </w:r>
    </w:p>
    <w:p w14:paraId="52545F7D" w14:textId="77777777" w:rsidR="005F5299" w:rsidRPr="00C05886" w:rsidRDefault="005F5299" w:rsidP="003E2E4E">
      <w:r w:rsidRPr="00C05886">
        <w:t>The implications for landscape management and design are multiple. This is compelling evidence that managing green spaces to increase biodiversity can be promoted without reducing the well-being provisioning. More biodiverse parks are more resilient against climate change and provide more ecosystem services. More importantly, designers of green spaces could aim to increase the perceived biodiversity, which has shown the potential to improve the well-being provided. Helping people to notice, perhaps through guided walks, signage and educational activities might help increase their perception and noticing of biodiversity and therefore offer more well-being benefits. The role of managers in sustaining and enhancing park landscapes for biodiversity is not to be underestimated, given the potential benefits for long-term well-being.</w:t>
      </w:r>
    </w:p>
    <w:p w14:paraId="09E01674" w14:textId="77777777" w:rsidR="005F5299" w:rsidRPr="00C05886" w:rsidRDefault="005F5299" w:rsidP="005F5299">
      <w:pPr>
        <w:pStyle w:val="Heading2"/>
      </w:pPr>
      <w:bookmarkStart w:id="143" w:name="_Toc179962384"/>
      <w:r w:rsidRPr="00C05886">
        <w:lastRenderedPageBreak/>
        <w:t>Acknowledgements</w:t>
      </w:r>
      <w:bookmarkEnd w:id="143"/>
    </w:p>
    <w:p w14:paraId="74CA2406" w14:textId="77777777" w:rsidR="005F5299" w:rsidRDefault="005F5299" w:rsidP="00662650">
      <w:r w:rsidRPr="00C05886">
        <w:t xml:space="preserve">The authors would like to thank Ms </w:t>
      </w:r>
      <w:proofErr w:type="spellStart"/>
      <w:r w:rsidRPr="00C05886">
        <w:t>Zhixing</w:t>
      </w:r>
      <w:proofErr w:type="spellEnd"/>
      <w:r w:rsidRPr="00C05886">
        <w:t xml:space="preserve"> Kong for her help with the Chinese translation of the questionnaire. We also thank Mr Bartolomeo Sasso for his help in rendering the digital models of the park.</w:t>
      </w:r>
    </w:p>
    <w:p w14:paraId="09D4E9C0" w14:textId="77777777" w:rsidR="005F5299" w:rsidRPr="00C05886" w:rsidRDefault="005F5299" w:rsidP="005F5299">
      <w:pPr>
        <w:pStyle w:val="Heading2"/>
      </w:pPr>
      <w:bookmarkStart w:id="144" w:name="_Toc179962385"/>
      <w:r w:rsidRPr="00C05886">
        <w:t>References</w:t>
      </w:r>
      <w:bookmarkEnd w:id="144"/>
    </w:p>
    <w:p w14:paraId="00C5AC92" w14:textId="77777777" w:rsidR="00950AF3" w:rsidRPr="00C05886" w:rsidRDefault="00950AF3" w:rsidP="00950AF3">
      <w:pPr>
        <w:spacing w:line="276" w:lineRule="auto"/>
      </w:pPr>
      <w:r w:rsidRPr="00C05886">
        <w:t xml:space="preserve">Aronson, M.F.J. et al. (2014) ‘A global analysis of the impacts of urbanization on bird and plant diversity reveals key anthropogenic drivers’, Proc </w:t>
      </w:r>
      <w:proofErr w:type="spellStart"/>
      <w:r w:rsidRPr="00C05886">
        <w:t>Biol</w:t>
      </w:r>
      <w:proofErr w:type="spellEnd"/>
      <w:r w:rsidRPr="00C05886">
        <w:t xml:space="preserve"> Sci, 281(1780), p. 20133330. Available at: https://doi.org/10.1098/rspb.2013.3330.</w:t>
      </w:r>
    </w:p>
    <w:p w14:paraId="3A79FB63" w14:textId="77777777" w:rsidR="00950AF3" w:rsidRPr="00C05886" w:rsidRDefault="00950AF3" w:rsidP="00950AF3">
      <w:pPr>
        <w:spacing w:line="276" w:lineRule="auto"/>
      </w:pPr>
      <w:r w:rsidRPr="00C05886">
        <w:t>Austen, G.E. et al. (2021) ‘Exploring shared public perspectives on biodiversity attributes’, People and Nature, 3(4), pp. 901–913. Available at: https://doi.org/10.1002/pan3.10237.</w:t>
      </w:r>
    </w:p>
    <w:p w14:paraId="74ADCE18" w14:textId="77777777" w:rsidR="00950AF3" w:rsidRPr="00C05886" w:rsidRDefault="00950AF3" w:rsidP="00950AF3">
      <w:pPr>
        <w:spacing w:line="276" w:lineRule="auto"/>
      </w:pPr>
      <w:r w:rsidRPr="00C05886">
        <w:t xml:space="preserve">van den Bosch, M.A. et al. (2015) ‘Moving to serene nature may prevent poor mental health— results from a </w:t>
      </w:r>
      <w:proofErr w:type="spellStart"/>
      <w:r w:rsidRPr="00C05886">
        <w:t>swedish</w:t>
      </w:r>
      <w:proofErr w:type="spellEnd"/>
      <w:r w:rsidRPr="00C05886">
        <w:t xml:space="preserve"> longitudinal cohort study’, International Journal of Environmental Research and Public Health, 12(7), pp. 7974–7989. Available at: https://doi.org/10.3390/ijerph120707974.</w:t>
      </w:r>
    </w:p>
    <w:p w14:paraId="4AC85ED0" w14:textId="77777777" w:rsidR="00950AF3" w:rsidRPr="00C05886" w:rsidRDefault="00950AF3" w:rsidP="00950AF3">
      <w:pPr>
        <w:spacing w:line="276" w:lineRule="auto"/>
      </w:pPr>
      <w:r w:rsidRPr="00C05886">
        <w:t>Brown, D.K., Barton, J.L. and Gladwell, V.F. (2013) ‘Viewing Nature Scenes Positively Affects Recovery of Autonomic Function Following Acute-Mental Stress’, Environmental Science &amp; Technology, 47(11), pp. 5562–5569. Available at: https://doi.org/10.1021/es305019p.</w:t>
      </w:r>
    </w:p>
    <w:p w14:paraId="03EA2137" w14:textId="77777777" w:rsidR="00950AF3" w:rsidRPr="00C05886" w:rsidRDefault="00950AF3" w:rsidP="00950AF3">
      <w:pPr>
        <w:spacing w:line="276" w:lineRule="auto"/>
      </w:pPr>
      <w:r w:rsidRPr="00C05886">
        <w:t xml:space="preserve">Browning, M. et al. (2020) ‘Can Simulated Nature Support Mental Health? Comparing Short, Single-Doses of 360-Degree Nature Videos in Virtual Reality </w:t>
      </w:r>
      <w:proofErr w:type="gramStart"/>
      <w:r w:rsidRPr="00C05886">
        <w:t>With</w:t>
      </w:r>
      <w:proofErr w:type="gramEnd"/>
      <w:r w:rsidRPr="00C05886">
        <w:t xml:space="preserve"> the Outdoors’, Frontiers in psychology, 10. Available at: https://doi.org/10.3389/fpsyg.2019.02667.</w:t>
      </w:r>
    </w:p>
    <w:p w14:paraId="4808F1AE" w14:textId="77777777" w:rsidR="00950AF3" w:rsidRPr="00C05886" w:rsidRDefault="00950AF3" w:rsidP="00950AF3">
      <w:pPr>
        <w:spacing w:line="276" w:lineRule="auto"/>
      </w:pPr>
      <w:r w:rsidRPr="00C05886">
        <w:t>Cameron, R.W.F. et al. (2020) ‘Where the wild things are! Do urban green spaces with greater avian biodiversity promote more positive emotions in humans?’, Urban Ecosystems [Preprint]. Available at: https://doi.org/10.1007/s11252-020-00929-z.</w:t>
      </w:r>
    </w:p>
    <w:p w14:paraId="1A2C6A9E" w14:textId="77777777" w:rsidR="00950AF3" w:rsidRPr="00C05886" w:rsidRDefault="00950AF3" w:rsidP="00950AF3">
      <w:pPr>
        <w:spacing w:line="276" w:lineRule="auto"/>
      </w:pPr>
      <w:r w:rsidRPr="00C05886">
        <w:t>Cameron, R.W.F., Taylor, J.E. and Emmett, M.R. (2014) ‘What’s “cool” in the world of green façades? How plant choice influences the cooling properties of green walls’, Building and Environment, 73, pp. 198–207. Available at: https://doi.org/10.1016/j.buildenv.2013.12.005.</w:t>
      </w:r>
    </w:p>
    <w:p w14:paraId="3502F109" w14:textId="77777777" w:rsidR="00950AF3" w:rsidRPr="00C05886" w:rsidRDefault="00950AF3" w:rsidP="00950AF3">
      <w:pPr>
        <w:spacing w:line="276" w:lineRule="auto"/>
      </w:pPr>
      <w:r w:rsidRPr="00C05886">
        <w:t>Cohen-</w:t>
      </w:r>
      <w:proofErr w:type="spellStart"/>
      <w:r w:rsidRPr="00C05886">
        <w:t>Shacham</w:t>
      </w:r>
      <w:proofErr w:type="spellEnd"/>
      <w:r w:rsidRPr="00C05886">
        <w:t>, E. et al. (eds) (2016) Nature-based solutions to address global societal challenges. IUCN International Union for Conservation of Nature. Available at: https://doi.org/10.2305/IUCN.CH.2016.13.en.</w:t>
      </w:r>
    </w:p>
    <w:p w14:paraId="4CE5C49B" w14:textId="77777777" w:rsidR="00950AF3" w:rsidRPr="00C05886" w:rsidRDefault="00950AF3" w:rsidP="00950AF3">
      <w:pPr>
        <w:spacing w:line="276" w:lineRule="auto"/>
      </w:pPr>
      <w:r w:rsidRPr="00C05886">
        <w:t>Cox, D.T.C. et al. (2017) ‘Doses of nearby nature simultaneously associated with multiple health benefits’, Int J Environ Res Public Health, 14(2), p. 172. Available at: https://doi.org/10.3390/ijerph14020172.</w:t>
      </w:r>
    </w:p>
    <w:p w14:paraId="25B43C16" w14:textId="77777777" w:rsidR="00950AF3" w:rsidRPr="00C05886" w:rsidRDefault="00950AF3" w:rsidP="00950AF3">
      <w:pPr>
        <w:spacing w:line="276" w:lineRule="auto"/>
      </w:pPr>
      <w:r w:rsidRPr="00C05886">
        <w:t>Cracknell, D. et al. (2017) ‘A preliminary investigation into the restorative potential of public aquaria exhibits: a UK student-based study’, Landscape Research, 42(1), pp. 18–32. Available at: https://doi.org/10.1080/01426397.2016.1243236.</w:t>
      </w:r>
    </w:p>
    <w:p w14:paraId="0E71E04D" w14:textId="77777777" w:rsidR="00950AF3" w:rsidRPr="00C05886" w:rsidRDefault="00950AF3" w:rsidP="00950AF3">
      <w:pPr>
        <w:spacing w:line="276" w:lineRule="auto"/>
      </w:pPr>
      <w:proofErr w:type="spellStart"/>
      <w:r w:rsidRPr="00C05886">
        <w:lastRenderedPageBreak/>
        <w:t>Dallimer</w:t>
      </w:r>
      <w:proofErr w:type="spellEnd"/>
      <w:r w:rsidRPr="00C05886">
        <w:t xml:space="preserve">, M. et al. (2012) ‘Biodiversity and the Feel-Good Factor: Understanding Associations between Self-Reported Human Well-being and Species Richness’, </w:t>
      </w:r>
      <w:proofErr w:type="spellStart"/>
      <w:r w:rsidRPr="00C05886">
        <w:t>BioScience</w:t>
      </w:r>
      <w:proofErr w:type="spellEnd"/>
      <w:r w:rsidRPr="00C05886">
        <w:t>, 62(1), pp. 47–55. Available at: https://doi.org/10.1525/bio.2012.62.1.9.</w:t>
      </w:r>
    </w:p>
    <w:p w14:paraId="41B6A850" w14:textId="77777777" w:rsidR="00950AF3" w:rsidRPr="00C05886" w:rsidRDefault="00950AF3" w:rsidP="00950AF3">
      <w:pPr>
        <w:spacing w:line="276" w:lineRule="auto"/>
      </w:pPr>
      <w:r w:rsidRPr="00C05886">
        <w:t>Douglas, J.W.A. and Evans, K.L. (2022) ‘An experimental test of the impact of avian diversity on attentional benefits and enjoyment of people experiencing urban green‐space’, People and Nature, 4(1), pp. 243–259. Available at: https://doi.org/10.1002/pan3.10279.</w:t>
      </w:r>
    </w:p>
    <w:p w14:paraId="1763E3B3" w14:textId="77777777" w:rsidR="00950AF3" w:rsidRPr="00C05886" w:rsidRDefault="00950AF3" w:rsidP="00950AF3">
      <w:pPr>
        <w:spacing w:line="276" w:lineRule="auto"/>
      </w:pPr>
      <w:proofErr w:type="spellStart"/>
      <w:r w:rsidRPr="00C05886">
        <w:t>Elsadek</w:t>
      </w:r>
      <w:proofErr w:type="spellEnd"/>
      <w:r w:rsidRPr="00C05886">
        <w:t>, M. et al. (2019) ‘Cross-cultural comparison of physiological and psychological responses to different garden styles’, Urban Forestry &amp; Urban Greening, 38, pp. 74–83. Available at: https://doi.org/10.1016/j.ufug.2018.11.007.</w:t>
      </w:r>
    </w:p>
    <w:p w14:paraId="6E230D4F" w14:textId="77777777" w:rsidR="00950AF3" w:rsidRPr="00C05886" w:rsidRDefault="00950AF3" w:rsidP="00950AF3">
      <w:pPr>
        <w:spacing w:line="276" w:lineRule="auto"/>
      </w:pPr>
      <w:proofErr w:type="spellStart"/>
      <w:r w:rsidRPr="00C05886">
        <w:t>Elsadek</w:t>
      </w:r>
      <w:proofErr w:type="spellEnd"/>
      <w:r w:rsidRPr="00C05886">
        <w:t>, M. and Liu, B. (2020) ‘Effects of viewing flowering plants on employees’ wellbeing in an office-like environment’, Indoor and Built Environment, p. 1420326X20942572. Available at: https://doi.org/10.1177/1420326X20942572.</w:t>
      </w:r>
    </w:p>
    <w:p w14:paraId="51C2943F" w14:textId="77777777" w:rsidR="00950AF3" w:rsidRPr="00C05886" w:rsidRDefault="00950AF3" w:rsidP="00950AF3">
      <w:pPr>
        <w:spacing w:line="276" w:lineRule="auto"/>
      </w:pPr>
      <w:proofErr w:type="spellStart"/>
      <w:r w:rsidRPr="00C05886">
        <w:t>Elsadek</w:t>
      </w:r>
      <w:proofErr w:type="spellEnd"/>
      <w:r w:rsidRPr="00C05886">
        <w:t>, M., Liu, B. and Xie, J. (2020) ‘Window view and relaxation: Viewing green space from a high-rise estate improves urban dwellers’ wellbeing’, Urban Forestry &amp; Urban Greening, 55, p. 126846. Available at: https://doi.org/10.1016/j.ufug.2020.126846.</w:t>
      </w:r>
    </w:p>
    <w:p w14:paraId="30BE1B2A" w14:textId="77777777" w:rsidR="00950AF3" w:rsidRPr="00C05886" w:rsidRDefault="00950AF3" w:rsidP="00950AF3">
      <w:pPr>
        <w:spacing w:line="276" w:lineRule="auto"/>
      </w:pPr>
      <w:r w:rsidRPr="00C05886">
        <w:t xml:space="preserve">European Commission et al. (2020) Nature-based solutions – State of the art in EU-funded projects. Edited by T. Freitas, S. </w:t>
      </w:r>
      <w:proofErr w:type="spellStart"/>
      <w:r w:rsidRPr="00C05886">
        <w:t>Vandewoestijne</w:t>
      </w:r>
      <w:proofErr w:type="spellEnd"/>
      <w:r w:rsidRPr="00C05886">
        <w:t>, and T. Wild. Publications Office of the European Union. Available at: https://doi.org/10.2777/236007.</w:t>
      </w:r>
    </w:p>
    <w:p w14:paraId="0824F1C7" w14:textId="77777777" w:rsidR="00950AF3" w:rsidRPr="00C05886" w:rsidRDefault="00950AF3" w:rsidP="00950AF3">
      <w:pPr>
        <w:spacing w:line="276" w:lineRule="auto"/>
      </w:pPr>
      <w:r w:rsidRPr="00C05886">
        <w:t xml:space="preserve">Faul, F. et al. (2007) ‘G*Power 3: A flexible statistical power analysis program for the social, </w:t>
      </w:r>
      <w:proofErr w:type="spellStart"/>
      <w:r w:rsidRPr="00C05886">
        <w:t>behavioral</w:t>
      </w:r>
      <w:proofErr w:type="spellEnd"/>
      <w:r w:rsidRPr="00C05886">
        <w:t xml:space="preserve">, and biomedical sciences’, </w:t>
      </w:r>
      <w:proofErr w:type="spellStart"/>
      <w:r w:rsidRPr="00C05886">
        <w:t>Behavior</w:t>
      </w:r>
      <w:proofErr w:type="spellEnd"/>
      <w:r w:rsidRPr="00C05886">
        <w:t xml:space="preserve"> Research Methods, 39(2), pp. 175–191. Available at: https://doi.org/10.3758/BF03193146.</w:t>
      </w:r>
    </w:p>
    <w:p w14:paraId="0C5C18C4" w14:textId="77777777" w:rsidR="00950AF3" w:rsidRPr="00C05886" w:rsidRDefault="00950AF3" w:rsidP="00950AF3">
      <w:pPr>
        <w:spacing w:line="276" w:lineRule="auto"/>
      </w:pPr>
      <w:r w:rsidRPr="00C05886">
        <w:t>Fisher, J.C. et al. (2021) ‘Perceived biodiversity, sound, naturalness and safety enhance the restorative quality and wellbeing benefits of green and blue space in a neotropical city’, Science of The Total Environment, 755, p. 143095. Available at: https://doi.org/10.1016/j.scitotenv.2020.143095.</w:t>
      </w:r>
    </w:p>
    <w:p w14:paraId="442ED6E4" w14:textId="77777777" w:rsidR="00950AF3" w:rsidRPr="00C05886" w:rsidRDefault="00950AF3" w:rsidP="00950AF3">
      <w:pPr>
        <w:spacing w:line="276" w:lineRule="auto"/>
      </w:pPr>
      <w:r w:rsidRPr="00C05886">
        <w:t>Fisher, J.C. et al. (2023) ‘Human well-being responses to species’ traits’, Nature Sustainability [Preprint]. Available at: https://doi.org/10.1038/s41893-023-01151-3.</w:t>
      </w:r>
    </w:p>
    <w:p w14:paraId="53F6D1CD" w14:textId="77777777" w:rsidR="00950AF3" w:rsidRPr="00C05886" w:rsidRDefault="00950AF3" w:rsidP="00950AF3">
      <w:pPr>
        <w:spacing w:line="276" w:lineRule="auto"/>
      </w:pPr>
      <w:r w:rsidRPr="00C05886">
        <w:t>Frumkin, H. et al. (2017) ‘Nature Contact and Human Health: A Research Agenda’, Environmental Health Perspectives (Online), 125(7). Available at: https://doi.org/10.1289/EHP1663.</w:t>
      </w:r>
    </w:p>
    <w:p w14:paraId="3EDB91AB" w14:textId="77777777" w:rsidR="00950AF3" w:rsidRPr="00C05886" w:rsidRDefault="00950AF3" w:rsidP="00950AF3">
      <w:pPr>
        <w:spacing w:line="276" w:lineRule="auto"/>
      </w:pPr>
      <w:r w:rsidRPr="00C05886">
        <w:t>Fuller, R.A. et al. (2007) ‘Psychological benefits of greenspace increase with biodiversity.’, Biology letters. Edited by R.A. Fuller, 3(4), pp. 390–394. Available at: https://doi.org/10.1098/rsbl.2007.0149.</w:t>
      </w:r>
    </w:p>
    <w:p w14:paraId="0870320E" w14:textId="77777777" w:rsidR="00950AF3" w:rsidRPr="00C05886" w:rsidRDefault="00950AF3" w:rsidP="00950AF3">
      <w:pPr>
        <w:spacing w:line="276" w:lineRule="auto"/>
      </w:pPr>
      <w:r w:rsidRPr="00C05886">
        <w:t xml:space="preserve">Gonçalves, P. et al. (2021) ‘What’s biodiversity got to do with it? Perceptions of biodiversity and </w:t>
      </w:r>
      <w:proofErr w:type="spellStart"/>
      <w:r w:rsidRPr="00C05886">
        <w:t>restorativeness</w:t>
      </w:r>
      <w:proofErr w:type="spellEnd"/>
      <w:r w:rsidRPr="00C05886">
        <w:t xml:space="preserve"> in urban parks’, Ecology and Society, 26(3). Available at: https://doi.org/10.5751/ES-12598-260325.</w:t>
      </w:r>
    </w:p>
    <w:p w14:paraId="533CE9E6" w14:textId="77777777" w:rsidR="00950AF3" w:rsidRPr="00C05886" w:rsidRDefault="00950AF3" w:rsidP="00950AF3">
      <w:pPr>
        <w:spacing w:line="276" w:lineRule="auto"/>
      </w:pPr>
      <w:r w:rsidRPr="00C05886">
        <w:lastRenderedPageBreak/>
        <w:t>Grahn, P. and Stigsdotter, U.K. (2010) ‘The relation between perceived sensory dimensions of urban green space and stress restoration’, Landscape and Urban Planning, 94(3–4), pp. 264–275. Available at: https://doi.org/10.1016/j.landurbplan.2009.10.012.</w:t>
      </w:r>
    </w:p>
    <w:p w14:paraId="62E5F9D7" w14:textId="77777777" w:rsidR="00950AF3" w:rsidRPr="00C05886" w:rsidRDefault="00950AF3" w:rsidP="00950AF3">
      <w:pPr>
        <w:spacing w:line="276" w:lineRule="auto"/>
      </w:pPr>
      <w:r w:rsidRPr="00C05886">
        <w:t xml:space="preserve">Grönroos, M. et al. (2019) ‘Short‐term direct contact with soil and plant materials leads to an immediate increase in diversity of skin microbiota’, </w:t>
      </w:r>
      <w:proofErr w:type="spellStart"/>
      <w:r w:rsidRPr="00C05886">
        <w:t>MicrobiologyOpen</w:t>
      </w:r>
      <w:proofErr w:type="spellEnd"/>
      <w:r w:rsidRPr="00C05886">
        <w:t>, 8(3), p. e00645. Available at: https://doi.org/10.1002/mbo3.645.</w:t>
      </w:r>
    </w:p>
    <w:p w14:paraId="2BAE8C6A" w14:textId="77777777" w:rsidR="00950AF3" w:rsidRPr="00C05886" w:rsidRDefault="00950AF3" w:rsidP="00950AF3">
      <w:pPr>
        <w:spacing w:line="276" w:lineRule="auto"/>
      </w:pPr>
      <w:r w:rsidRPr="00C05886">
        <w:t xml:space="preserve">Gross, J.J., </w:t>
      </w:r>
      <w:proofErr w:type="spellStart"/>
      <w:r w:rsidRPr="00C05886">
        <w:t>Uusberg</w:t>
      </w:r>
      <w:proofErr w:type="spellEnd"/>
      <w:r w:rsidRPr="00C05886">
        <w:t xml:space="preserve">, H. and </w:t>
      </w:r>
      <w:proofErr w:type="spellStart"/>
      <w:r w:rsidRPr="00C05886">
        <w:t>Uusberg</w:t>
      </w:r>
      <w:proofErr w:type="spellEnd"/>
      <w:r w:rsidRPr="00C05886">
        <w:t>, A. (2019) ‘Mental illness and well-being: an affect regulation perspective’, World Psychiatry, 18(2), pp. 130–139. Available at: https://doi.org/10.1002/wps.20618.</w:t>
      </w:r>
    </w:p>
    <w:p w14:paraId="624D9A25" w14:textId="77777777" w:rsidR="00950AF3" w:rsidRPr="00C05886" w:rsidRDefault="00950AF3" w:rsidP="00950AF3">
      <w:pPr>
        <w:spacing w:line="276" w:lineRule="auto"/>
      </w:pPr>
      <w:r w:rsidRPr="00C05886">
        <w:t xml:space="preserve">Gunawardena, K.R., Wells, M.J. and Kershaw, T. (2017) ‘Utilising green and </w:t>
      </w:r>
      <w:proofErr w:type="spellStart"/>
      <w:r w:rsidRPr="00C05886">
        <w:t>bluespace</w:t>
      </w:r>
      <w:proofErr w:type="spellEnd"/>
      <w:r w:rsidRPr="00C05886">
        <w:t xml:space="preserve"> to mitigate urban heat island intensity’, Science of The Total Environment, 584–585, pp. 1040–1055. Available at: https://doi.org/10.1016/j.scitotenv.2017.01.158.</w:t>
      </w:r>
    </w:p>
    <w:p w14:paraId="561F5CE6" w14:textId="77777777" w:rsidR="00950AF3" w:rsidRPr="00C05886" w:rsidRDefault="00950AF3" w:rsidP="00950AF3">
      <w:pPr>
        <w:spacing w:line="276" w:lineRule="auto"/>
      </w:pPr>
      <w:r w:rsidRPr="00C05886">
        <w:t xml:space="preserve">Hedin, M. et al. (2022) ‘Connecting Biodiversity </w:t>
      </w:r>
      <w:proofErr w:type="gramStart"/>
      <w:r w:rsidRPr="00C05886">
        <w:t>With</w:t>
      </w:r>
      <w:proofErr w:type="gramEnd"/>
      <w:r w:rsidRPr="00C05886">
        <w:t xml:space="preserve"> Mental Health and Wellbeing — A Review of Methods and Disciplinary Perspectives’, Frontiers in Ecology and Evolution, 10. Available at: https://www.frontiersin.org/articles/10.3389/fevo.2022.865727.</w:t>
      </w:r>
    </w:p>
    <w:p w14:paraId="0C3BCD22" w14:textId="77777777" w:rsidR="00950AF3" w:rsidRPr="00C05886" w:rsidRDefault="00950AF3" w:rsidP="00950AF3">
      <w:pPr>
        <w:spacing w:line="276" w:lineRule="auto"/>
      </w:pPr>
      <w:r w:rsidRPr="00C05886">
        <w:t>Hoyle, H. et al. (2018) ‘Plant species or flower colour diversity? Identifying the drivers of public and invertebrate response to designed annual meadows’, Landscape and Urban Planning, 180, pp. 103–113. Available at: https://doi.org/10.1016/j.landurbplan.2018.08.017.</w:t>
      </w:r>
    </w:p>
    <w:p w14:paraId="6D394234" w14:textId="77777777" w:rsidR="00950AF3" w:rsidRPr="00C05886" w:rsidRDefault="00950AF3" w:rsidP="00950AF3">
      <w:pPr>
        <w:spacing w:line="276" w:lineRule="auto"/>
      </w:pPr>
      <w:r w:rsidRPr="00C05886">
        <w:t xml:space="preserve">Huai, S. and Van De </w:t>
      </w:r>
      <w:proofErr w:type="spellStart"/>
      <w:r w:rsidRPr="00C05886">
        <w:t>Voorde</w:t>
      </w:r>
      <w:proofErr w:type="spellEnd"/>
      <w:r w:rsidRPr="00C05886">
        <w:t>, T. (2022) ‘Which environmental features contribute to positive and negative perceptions of urban parks? A cross-cultural comparison using online reviews and Natural Language Processing methods’, Landscape and Urban Planning, 218, p. 104307. Available at: https://doi.org/10.1016/j.landurbplan.2021.104307.</w:t>
      </w:r>
    </w:p>
    <w:p w14:paraId="48ADAF37" w14:textId="77777777" w:rsidR="00950AF3" w:rsidRPr="00C05886" w:rsidRDefault="00950AF3" w:rsidP="00950AF3">
      <w:pPr>
        <w:spacing w:line="276" w:lineRule="auto"/>
      </w:pPr>
      <w:r w:rsidRPr="00C05886">
        <w:t>Johansson, M. et al. (2014) ‘Does biological quality matter? Direct and reflected appraisal of biodiversity in temperate deciduous broad-leaf forest’, Urban Forestry &amp; Urban Greening, 13(1), pp. 28–37. Available at: https://doi.org/10.1016/j.ufug.2013.10.009.</w:t>
      </w:r>
    </w:p>
    <w:p w14:paraId="4A27A13A" w14:textId="77777777" w:rsidR="00950AF3" w:rsidRPr="00C05886" w:rsidRDefault="00950AF3" w:rsidP="00950AF3">
      <w:pPr>
        <w:spacing w:line="276" w:lineRule="auto"/>
      </w:pPr>
      <w:r w:rsidRPr="00C05886">
        <w:t xml:space="preserve">Jorgensen, A., </w:t>
      </w:r>
      <w:proofErr w:type="spellStart"/>
      <w:r w:rsidRPr="00C05886">
        <w:t>Hitchmough</w:t>
      </w:r>
      <w:proofErr w:type="spellEnd"/>
      <w:r w:rsidRPr="00C05886">
        <w:t>, J. and Dunnett, N. (2007) ‘Woodland as a setting for housing-appreciation and fear and the contribution to residential satisfaction and place identity in Warrington New Town, UK’, Landscape and Urban Planning, 79(3–4), pp. 273–287. Available at: https://doi.org/10.1016/j.landurbplan.2006.02.015.</w:t>
      </w:r>
    </w:p>
    <w:p w14:paraId="6D611C83" w14:textId="77777777" w:rsidR="00950AF3" w:rsidRPr="00C05886" w:rsidRDefault="00950AF3" w:rsidP="00950AF3">
      <w:pPr>
        <w:spacing w:line="276" w:lineRule="auto"/>
      </w:pPr>
      <w:r w:rsidRPr="00C05886">
        <w:t>Kaplan, S. (1995) ‘The restorative benefits of nature: Toward an integrative framework’, Journal of Environmental Psychology, 15(3), pp. 169–182. Available at: https://doi.org/10.1016/0272-4944(95)90001-2.</w:t>
      </w:r>
    </w:p>
    <w:p w14:paraId="418FC3C1" w14:textId="77777777" w:rsidR="00950AF3" w:rsidRPr="00C05886" w:rsidRDefault="00950AF3" w:rsidP="00950AF3">
      <w:pPr>
        <w:spacing w:line="276" w:lineRule="auto"/>
      </w:pPr>
      <w:r w:rsidRPr="00C05886">
        <w:t>Kondo, M.C. et al. (2020) ‘Momentary mood response to natural outdoor environments in four European cities’, Environment International, 134. Available at: https://doi.org/10.1016/j.envint.2019.105237.</w:t>
      </w:r>
    </w:p>
    <w:p w14:paraId="435587D3" w14:textId="77777777" w:rsidR="00950AF3" w:rsidRPr="00C05886" w:rsidRDefault="00950AF3" w:rsidP="00950AF3">
      <w:pPr>
        <w:spacing w:line="276" w:lineRule="auto"/>
      </w:pPr>
      <w:proofErr w:type="spellStart"/>
      <w:r w:rsidRPr="00C05886">
        <w:lastRenderedPageBreak/>
        <w:t>Lanki</w:t>
      </w:r>
      <w:proofErr w:type="spellEnd"/>
      <w:r w:rsidRPr="00C05886">
        <w:t>, T. et al. (2017) ‘Acute effects of visits to urban green environments on cardiovascular physiology in women: A field experiment’, Environmental Research, 159, pp. 176–185. Available at: https://doi.org/10.1016/j.envres.2017.07.039.</w:t>
      </w:r>
    </w:p>
    <w:p w14:paraId="434872C8" w14:textId="77777777" w:rsidR="00950AF3" w:rsidRPr="00C05886" w:rsidRDefault="00950AF3" w:rsidP="00950AF3">
      <w:pPr>
        <w:spacing w:line="276" w:lineRule="auto"/>
      </w:pPr>
      <w:r w:rsidRPr="00C05886">
        <w:t>Liddicoat, C. et al. (2020) ‘Naturally-diverse airborne environmental microbial exposures modulate the gut microbiome and may provide anxiolytic benefits in mice’, Science of the Total Environment, 701. Available at: https://doi.org/10.1016/j.scitotenv.2019.134684.</w:t>
      </w:r>
    </w:p>
    <w:p w14:paraId="4D684749" w14:textId="77777777" w:rsidR="00950AF3" w:rsidRPr="00C05886" w:rsidRDefault="00950AF3" w:rsidP="00950AF3">
      <w:pPr>
        <w:spacing w:line="276" w:lineRule="auto"/>
      </w:pPr>
      <w:r w:rsidRPr="00C05886">
        <w:t>Lindemann-Matthies, P. (2002) ‘The Influence of an Educational Program on Children’s Perception of Biodiversity’, The Journal of Environmental Education, 33(2), pp. 22–31. Available at: https://doi.org/10.1080/00958960209600805.</w:t>
      </w:r>
    </w:p>
    <w:p w14:paraId="34839330" w14:textId="77777777" w:rsidR="00950AF3" w:rsidRPr="00C05886" w:rsidRDefault="00950AF3" w:rsidP="00950AF3">
      <w:pPr>
        <w:spacing w:line="276" w:lineRule="auto"/>
      </w:pPr>
      <w:r w:rsidRPr="00C05886">
        <w:t>Lindemann-Matthies, P. and Bose, E. (2008) ‘How Many Species Are There? Public Understanding and Awareness of Biodiversity in Switzerland’, Human Ecology, 36(5), pp. 731–742. Available at: https://doi.org/10.1007/s10745-008-9194-1.</w:t>
      </w:r>
    </w:p>
    <w:p w14:paraId="36B25FD8" w14:textId="77777777" w:rsidR="00950AF3" w:rsidRPr="00C05886" w:rsidRDefault="00950AF3" w:rsidP="00950AF3">
      <w:pPr>
        <w:spacing w:line="276" w:lineRule="auto"/>
      </w:pPr>
      <w:r w:rsidRPr="00C05886">
        <w:t>Lindemann-Matthies, P. and Matthies, D. (2018) ‘The influence of plant species richness on stress recovery of humans’, Web Ecol., 18(2), pp. 121–128. Available at: https://doi.org/10.5194/we-18-121-2018.</w:t>
      </w:r>
    </w:p>
    <w:p w14:paraId="7413BF47" w14:textId="77777777" w:rsidR="00950AF3" w:rsidRPr="00C05886" w:rsidRDefault="00950AF3" w:rsidP="00950AF3">
      <w:pPr>
        <w:spacing w:line="276" w:lineRule="auto"/>
      </w:pPr>
      <w:r w:rsidRPr="00C05886">
        <w:t>Liu, J. et al. (2023) ‘Awe of nature and well-being: Roles of nature connectedness and powerlessness’, Personality and Individual Differences, 201, p. 111946. Available at: https://doi.org/10.1016/j.paid.2022.111946.</w:t>
      </w:r>
    </w:p>
    <w:p w14:paraId="349DF085" w14:textId="77777777" w:rsidR="00950AF3" w:rsidRPr="00C05886" w:rsidRDefault="00950AF3" w:rsidP="00950AF3">
      <w:pPr>
        <w:spacing w:line="276" w:lineRule="auto"/>
      </w:pPr>
      <w:r w:rsidRPr="00C05886">
        <w:t>Lovell, R. et al. (2014) ‘A Systematic Review of the Health and Well-Being Benefits of Biodiverse Environments’, Journal of Toxicology and Environmental Health - Part B: Critical Reviews, 17(1), pp. 1–20. Available at: https://doi.org/10.1080/10937404.2013.856361.</w:t>
      </w:r>
    </w:p>
    <w:p w14:paraId="2A20DD2F" w14:textId="77777777" w:rsidR="00950AF3" w:rsidRPr="00C05886" w:rsidRDefault="00950AF3" w:rsidP="00950AF3">
      <w:pPr>
        <w:spacing w:line="276" w:lineRule="auto"/>
      </w:pPr>
      <w:proofErr w:type="spellStart"/>
      <w:r w:rsidRPr="00C05886">
        <w:t>Markevych</w:t>
      </w:r>
      <w:proofErr w:type="spellEnd"/>
      <w:r w:rsidRPr="00C05886">
        <w:t>, I. et al. (2017) ‘Exploring pathways linking greenspace to health: Theoretical and methodological guidance’, Environmental Research, 158. Available at: https://doi.org/10.1016/j.envres.2017.06.028.</w:t>
      </w:r>
    </w:p>
    <w:p w14:paraId="49D216C3" w14:textId="77777777" w:rsidR="00950AF3" w:rsidRPr="00C05886" w:rsidRDefault="00950AF3" w:rsidP="00950AF3">
      <w:pPr>
        <w:spacing w:line="276" w:lineRule="auto"/>
      </w:pPr>
      <w:r w:rsidRPr="00C05886">
        <w:t>Marselle, M.R. et al. (2019) ‘Review of the Mental Health and Well-being Benefits of Biodiversity’, in M.R. Marselle et al. (eds) Biodiversity and Health in the Face of Climate Change. Cham: Springer International Publishing, pp. 175–211. Available at: https://doi.org/10.1007/978-3-030-02318-8_9.</w:t>
      </w:r>
    </w:p>
    <w:p w14:paraId="1BC003A5" w14:textId="77777777" w:rsidR="00950AF3" w:rsidRPr="00C05886" w:rsidRDefault="00950AF3" w:rsidP="00950AF3">
      <w:pPr>
        <w:spacing w:line="276" w:lineRule="auto"/>
      </w:pPr>
      <w:r w:rsidRPr="00C05886">
        <w:t>Marselle, M.R. et al. (2021) ‘Pathways linking biodiversity to human health: A conceptual framework’, Environment International, 150, p. 106420. Available at: https://doi.org/10.1016/j.envint.2021.106420.</w:t>
      </w:r>
    </w:p>
    <w:p w14:paraId="30588B63" w14:textId="77777777" w:rsidR="00950AF3" w:rsidRPr="00C05886" w:rsidRDefault="00950AF3" w:rsidP="00950AF3">
      <w:pPr>
        <w:spacing w:line="276" w:lineRule="auto"/>
      </w:pPr>
      <w:r w:rsidRPr="00C05886">
        <w:t>Mayer, F.S. and Frantz, C.M. (2004) ‘The connectedness to nature scale: A measure of individuals’ feeling in community with nature’, Journal of Environmental Psychology, 24(4), pp. 503–515. Available at: https://doi.org/10.1016/j.jenvp.2004.10.001.</w:t>
      </w:r>
    </w:p>
    <w:p w14:paraId="4FE82284" w14:textId="77777777" w:rsidR="00950AF3" w:rsidRPr="00C05886" w:rsidRDefault="00950AF3" w:rsidP="00950AF3">
      <w:pPr>
        <w:spacing w:line="276" w:lineRule="auto"/>
      </w:pPr>
      <w:r w:rsidRPr="00C05886">
        <w:t>McAllister, E., Bhullar, N. and Schutte, N.S. (2017) ‘Into the Woods or a Stroll in the Park: How Virtual Contact with Nature Impacts Positive and Negative Affect’, International Journal of Environmental Research and Public Health, 14(7), p. 786. Available at: https://doi.org/10.3390/ijerph14070786.</w:t>
      </w:r>
    </w:p>
    <w:p w14:paraId="1780FBB8" w14:textId="77777777" w:rsidR="00950AF3" w:rsidRPr="00C05886" w:rsidRDefault="00950AF3" w:rsidP="00950AF3">
      <w:pPr>
        <w:spacing w:line="276" w:lineRule="auto"/>
      </w:pPr>
      <w:r w:rsidRPr="00C05886">
        <w:lastRenderedPageBreak/>
        <w:t>McMahan, E.A. and Estes, D. (2015) ‘The effect of contact with natural environments on positive and negative affect: A meta-analysis’, The Journal of Positive Psychology, 10(6), pp. 507–519. Available at: https://doi.org/10.1080/17439760.2014.994224.</w:t>
      </w:r>
    </w:p>
    <w:p w14:paraId="4A458C8C" w14:textId="77777777" w:rsidR="00950AF3" w:rsidRPr="00C05886" w:rsidRDefault="00950AF3" w:rsidP="00950AF3">
      <w:pPr>
        <w:spacing w:line="276" w:lineRule="auto"/>
      </w:pPr>
      <w:r w:rsidRPr="00C05886">
        <w:t>McManus, M.D., Siegel, J.T. and Nakamura, J. (2019) ‘The predictive power of low-arousal positive affect’, Motivation and Emotion, 43(1), pp. 130–144. Available at: https://doi.org/10.1007/s11031-018-9719-x.</w:t>
      </w:r>
    </w:p>
    <w:p w14:paraId="692DB45E" w14:textId="77777777" w:rsidR="00950AF3" w:rsidRPr="00C05886" w:rsidRDefault="00950AF3" w:rsidP="00950AF3">
      <w:pPr>
        <w:spacing w:line="276" w:lineRule="auto"/>
      </w:pPr>
      <w:r w:rsidRPr="00C05886">
        <w:t>Neuendorf, K.A. (2017) ‘The Content Analysis Guidebook’. Thousand Oaks, California. Available at: https://doi.org/10.4135/9781071802878.</w:t>
      </w:r>
    </w:p>
    <w:p w14:paraId="196D6E5D" w14:textId="77777777" w:rsidR="00950AF3" w:rsidRPr="00C05886" w:rsidRDefault="00950AF3" w:rsidP="00950AF3">
      <w:pPr>
        <w:spacing w:line="276" w:lineRule="auto"/>
      </w:pPr>
      <w:r w:rsidRPr="00C05886">
        <w:t>Nghiem, T.P.L. et al. (2021) ‘Biodiverse urban forests, happy people: experimental evidence linking perceived biodiversity, restoration, and emotional wellbeing’, Urban Forestry &amp; Urban Greening, (September 2020), p. 127030. Available at: https://doi.org/10.1016/j.ufug.2021.127030.</w:t>
      </w:r>
    </w:p>
    <w:p w14:paraId="162FB510" w14:textId="77777777" w:rsidR="00950AF3" w:rsidRPr="00C05886" w:rsidRDefault="00950AF3" w:rsidP="00950AF3">
      <w:pPr>
        <w:spacing w:line="276" w:lineRule="auto"/>
      </w:pPr>
      <w:proofErr w:type="spellStart"/>
      <w:r w:rsidRPr="00C05886">
        <w:t>Özgüner</w:t>
      </w:r>
      <w:proofErr w:type="spellEnd"/>
      <w:r w:rsidRPr="00C05886">
        <w:t>, H. (2011) ‘Cultural Differences in Attitudes towards Urban Parks and Green Spaces’, Landscape Research, 36(5), pp. 599–620. Available at: https://doi.org/10.1080/01426397.2011.560474.</w:t>
      </w:r>
    </w:p>
    <w:p w14:paraId="3F41E108" w14:textId="77777777" w:rsidR="00950AF3" w:rsidRPr="00C05886" w:rsidRDefault="00950AF3" w:rsidP="00950AF3">
      <w:pPr>
        <w:spacing w:line="276" w:lineRule="auto"/>
      </w:pPr>
      <w:proofErr w:type="spellStart"/>
      <w:r w:rsidRPr="00C05886">
        <w:t>Palliwoda</w:t>
      </w:r>
      <w:proofErr w:type="spellEnd"/>
      <w:r w:rsidRPr="00C05886">
        <w:t xml:space="preserve">, J., </w:t>
      </w:r>
      <w:proofErr w:type="spellStart"/>
      <w:r w:rsidRPr="00C05886">
        <w:t>Kowarik</w:t>
      </w:r>
      <w:proofErr w:type="spellEnd"/>
      <w:r w:rsidRPr="00C05886">
        <w:t>, I. and von der Lippe, M. (2017) ‘Human-biodiversity interactions in urban parks: The species level matters’, Landscape and Urban Planning, 157, pp. 394–406. Available at: https://doi.org/10.1016/j.landurbplan.2016.09.003.</w:t>
      </w:r>
    </w:p>
    <w:p w14:paraId="5D62CEEA" w14:textId="77777777" w:rsidR="00950AF3" w:rsidRPr="00C05886" w:rsidRDefault="00950AF3" w:rsidP="00950AF3">
      <w:pPr>
        <w:spacing w:line="276" w:lineRule="auto"/>
      </w:pPr>
      <w:r w:rsidRPr="00C05886">
        <w:t xml:space="preserve">Panksepp, J. (2010) ‘Affective neuroscience of the emotional </w:t>
      </w:r>
      <w:proofErr w:type="spellStart"/>
      <w:r w:rsidRPr="00C05886">
        <w:t>BrainMind</w:t>
      </w:r>
      <w:proofErr w:type="spellEnd"/>
      <w:r w:rsidRPr="00C05886">
        <w:t>: evolutionary perspectives and implications for understanding depression’, Dialogues in Clinical Neuroscience, 12(4), pp. 533–545. Available at: https://doi.org/10.31887/DCNS.2010.12.4/jpanksepp.</w:t>
      </w:r>
    </w:p>
    <w:p w14:paraId="32A8CD23" w14:textId="77777777" w:rsidR="00950AF3" w:rsidRPr="00C05886" w:rsidRDefault="00950AF3" w:rsidP="00950AF3">
      <w:pPr>
        <w:spacing w:line="276" w:lineRule="auto"/>
      </w:pPr>
      <w:r w:rsidRPr="00C05886">
        <w:t>Passmore, H.-A. and Holder, M.D. (2017) ‘Noticing nature: Individual and social benefits of a two-week intervention’, The Journal of Positive Psychology, 12(6), pp. 537–546. Available at: https://doi.org/10.1080/17439760.2016.1221126.</w:t>
      </w:r>
    </w:p>
    <w:p w14:paraId="10D2814C" w14:textId="77777777" w:rsidR="00950AF3" w:rsidRPr="00C05886" w:rsidRDefault="00950AF3" w:rsidP="00950AF3">
      <w:pPr>
        <w:spacing w:line="276" w:lineRule="auto"/>
      </w:pPr>
      <w:r w:rsidRPr="00C05886">
        <w:t>Passmore, H.-A., Yang, Y. and Sabine, S. (2022) ‘An Extended Replication Study of the Well-Being Intervention, the Noticing Nature Intervention (NNI)’, Journal of Happiness Studies, 23(6), pp. 2663–2683. Available at: https://doi.org/10.1007/s10902-022-00516-3.</w:t>
      </w:r>
    </w:p>
    <w:p w14:paraId="76B70252" w14:textId="77777777" w:rsidR="00950AF3" w:rsidRPr="00C05886" w:rsidRDefault="00950AF3" w:rsidP="00950AF3">
      <w:pPr>
        <w:spacing w:line="276" w:lineRule="auto"/>
      </w:pPr>
      <w:r w:rsidRPr="00C05886">
        <w:t xml:space="preserve">Pett, T.J. et al. (2016) ‘Unpacking the people-biodiversity paradox: A conceptual framework’, </w:t>
      </w:r>
      <w:proofErr w:type="spellStart"/>
      <w:r w:rsidRPr="00C05886">
        <w:t>BioScience</w:t>
      </w:r>
      <w:proofErr w:type="spellEnd"/>
      <w:r w:rsidRPr="00C05886">
        <w:t>, 66(7), pp. 576–583. Available at: https://doi.org/10.1093/biosci/biw036.</w:t>
      </w:r>
    </w:p>
    <w:p w14:paraId="65E0E917" w14:textId="77777777" w:rsidR="00950AF3" w:rsidRPr="00C05886" w:rsidRDefault="00950AF3" w:rsidP="00950AF3">
      <w:pPr>
        <w:spacing w:line="276" w:lineRule="auto"/>
      </w:pPr>
      <w:r w:rsidRPr="00C05886">
        <w:t xml:space="preserve">Pilotti, M. et al. (2015) ‘Is Viewing a Nature Video After Work Restorative? Effects on Blood Pressure, Task Performance, and Long-Term Memory’, Environment and </w:t>
      </w:r>
      <w:proofErr w:type="spellStart"/>
      <w:r w:rsidRPr="00C05886">
        <w:t>Behavior</w:t>
      </w:r>
      <w:proofErr w:type="spellEnd"/>
      <w:r w:rsidRPr="00C05886">
        <w:t>, 47(9), pp. 947–969. Available at: https://doi.org/10.1177/0013916514533187.</w:t>
      </w:r>
    </w:p>
    <w:p w14:paraId="005B0761" w14:textId="77777777" w:rsidR="00950AF3" w:rsidRPr="00C05886" w:rsidRDefault="00950AF3" w:rsidP="00950AF3">
      <w:pPr>
        <w:spacing w:line="276" w:lineRule="auto"/>
      </w:pPr>
      <w:r w:rsidRPr="00C05886">
        <w:t>Posner, J., Russel, J.A. and Peterson, B.S. (2005) ‘The circumplex model of affect: An integrative approach to affective neuroscience, cognitive development, and psychopathology’, Development and Psychopathology, 17(3), pp. 715–734. Available at: https://doi.org/DOI: 10.1017/S0954579405050340.</w:t>
      </w:r>
    </w:p>
    <w:p w14:paraId="3F36B68E" w14:textId="77777777" w:rsidR="00950AF3" w:rsidRPr="00C05886" w:rsidRDefault="00950AF3" w:rsidP="00950AF3">
      <w:pPr>
        <w:spacing w:line="276" w:lineRule="auto"/>
      </w:pPr>
      <w:proofErr w:type="spellStart"/>
      <w:r w:rsidRPr="00C05886">
        <w:lastRenderedPageBreak/>
        <w:t>Rantakokko</w:t>
      </w:r>
      <w:proofErr w:type="spellEnd"/>
      <w:r w:rsidRPr="00C05886">
        <w:t>, M. et al. (2018) ‘Nature diversity and well-being in old age’, Aging Clinical and Experimental Research, 30(5), pp. 527–532. Available at: https://doi.org/10.1007/s40520-017-0797-5.</w:t>
      </w:r>
    </w:p>
    <w:p w14:paraId="310646C5" w14:textId="77777777" w:rsidR="00950AF3" w:rsidRPr="00C05886" w:rsidRDefault="00950AF3" w:rsidP="00950AF3">
      <w:pPr>
        <w:spacing w:line="276" w:lineRule="auto"/>
      </w:pPr>
      <w:r w:rsidRPr="00C05886">
        <w:t>Rapuano, M. et al. (2022) ‘Spaces for relaxing, spaces for recharging: How parks affect people’s emotions’, Journal of Environmental Psychology, 81, p. 101809. Available at: https://doi.org/10.1016/j.jenvp.2022.101809.</w:t>
      </w:r>
    </w:p>
    <w:p w14:paraId="58D5CBFB" w14:textId="77777777" w:rsidR="00950AF3" w:rsidRPr="00C05886" w:rsidRDefault="00950AF3" w:rsidP="00950AF3">
      <w:pPr>
        <w:spacing w:line="276" w:lineRule="auto"/>
      </w:pPr>
      <w:r w:rsidRPr="00C05886">
        <w:t>Reining, C.E., Lemieux, C.J. and Doherty, S.T. (2021) ‘Linking restorative human health outcomes to protected area ecosystem diversity and integrity’, Journal of Environmental Planning and Management, 64(13), pp. 2300–2325. Available at: https://doi.org/10.1080/09640568.2020.1857227.</w:t>
      </w:r>
    </w:p>
    <w:p w14:paraId="1CFF42EA" w14:textId="77777777" w:rsidR="00950AF3" w:rsidRPr="00C05886" w:rsidRDefault="00950AF3" w:rsidP="00950AF3">
      <w:pPr>
        <w:spacing w:line="276" w:lineRule="auto"/>
      </w:pPr>
      <w:r w:rsidRPr="00C05886">
        <w:t>Richardson, M. et al. (2016) ‘Joy and Calm: How an Evolutionary Functional Model of Affect Regulation Informs Positive Emotions in Nature’, Evolutionary Psychological Science, 2(4), pp. 308–320. Available at: https://doi.org/10.1007/s40806-016-0065-5.</w:t>
      </w:r>
    </w:p>
    <w:p w14:paraId="07B6BF9C" w14:textId="77777777" w:rsidR="00950AF3" w:rsidRPr="00C05886" w:rsidRDefault="00950AF3" w:rsidP="00950AF3">
      <w:pPr>
        <w:spacing w:line="276" w:lineRule="auto"/>
      </w:pPr>
      <w:r w:rsidRPr="00C05886">
        <w:t>Robinson, J.M. and Barrable, A. (2023) ‘Optimising Early Childhood Educational Settings for Health Using Nature-Based Solutions: The Microbiome Aspect’, Education Sciences, 13(2), p. 211. Available at: https://doi.org/10.3390/educsci13020211.</w:t>
      </w:r>
    </w:p>
    <w:p w14:paraId="08E18AC8" w14:textId="77777777" w:rsidR="00950AF3" w:rsidRPr="00C05886" w:rsidRDefault="00950AF3" w:rsidP="00950AF3">
      <w:pPr>
        <w:spacing w:line="276" w:lineRule="auto"/>
      </w:pPr>
      <w:proofErr w:type="spellStart"/>
      <w:r w:rsidRPr="00C05886">
        <w:t>Schebella</w:t>
      </w:r>
      <w:proofErr w:type="spellEnd"/>
      <w:r w:rsidRPr="00C05886">
        <w:t>, M.F. et al. (2019) ‘In Pursuit of Urban Sustainability: Predicting Public Perceptions of Park Biodiversity Using Simple Assessment Tools’, International Journal of Environmental Research, 13(4), pp. 707–720. Available at: https://doi.org/10.1007/s41742-019-00200-0.</w:t>
      </w:r>
    </w:p>
    <w:p w14:paraId="4F95DC98" w14:textId="77777777" w:rsidR="00950AF3" w:rsidRPr="00C05886" w:rsidRDefault="00950AF3" w:rsidP="00950AF3">
      <w:pPr>
        <w:spacing w:line="276" w:lineRule="auto"/>
      </w:pPr>
      <w:proofErr w:type="spellStart"/>
      <w:r w:rsidRPr="00C05886">
        <w:t>Schebella</w:t>
      </w:r>
      <w:proofErr w:type="spellEnd"/>
      <w:r w:rsidRPr="00C05886">
        <w:t>, M.F. et al. (2020) ‘The Nature of Reality: Human Stress Recovery during Exposure to Biodiverse, Multisensory Virtual Environments’, International Journal of Environmental Research and Public Health, 17(1). Available at: https://doi.org/10.3390/ijerph17010056.</w:t>
      </w:r>
    </w:p>
    <w:p w14:paraId="433C8710" w14:textId="77777777" w:rsidR="00950AF3" w:rsidRPr="00C05886" w:rsidRDefault="00950AF3" w:rsidP="00950AF3">
      <w:pPr>
        <w:spacing w:line="276" w:lineRule="auto"/>
      </w:pPr>
      <w:r w:rsidRPr="00C05886">
        <w:t>Schultz, P.W. (2002) ‘Inclusion with nature: The psychology of human-nature relations’, in Psychology of sustainable development. Springer, pp. 61–78.</w:t>
      </w:r>
    </w:p>
    <w:p w14:paraId="04165479" w14:textId="77777777" w:rsidR="00950AF3" w:rsidRPr="00C05886" w:rsidRDefault="00950AF3" w:rsidP="00950AF3">
      <w:pPr>
        <w:spacing w:line="276" w:lineRule="auto"/>
      </w:pPr>
      <w:r w:rsidRPr="00C05886">
        <w:t>Shwartz, A. et al. (2014) ‘Enhancing urban biodiversity and its influence on city-dwellers: An experiment’, Biological Conservation, 171, pp. 82–90. Available at: https://doi.org/10.1016/j.biocon.2014.01.009.</w:t>
      </w:r>
    </w:p>
    <w:p w14:paraId="67B34965" w14:textId="77777777" w:rsidR="00950AF3" w:rsidRPr="00C05886" w:rsidRDefault="00950AF3" w:rsidP="00950AF3">
      <w:pPr>
        <w:spacing w:line="276" w:lineRule="auto"/>
      </w:pPr>
      <w:r w:rsidRPr="00C05886">
        <w:t>Speak, A. et al. (2020) ‘The influence of tree traits on urban ground surface shade cooling’, Landscape and Urban Planning, 197, p. 103748. Available at: https://doi.org/10.1016/j.landurbplan.2020.103748.</w:t>
      </w:r>
    </w:p>
    <w:p w14:paraId="6413A4AB" w14:textId="77777777" w:rsidR="00950AF3" w:rsidRPr="00C05886" w:rsidRDefault="00950AF3" w:rsidP="00950AF3">
      <w:pPr>
        <w:spacing w:line="276" w:lineRule="auto"/>
      </w:pPr>
      <w:r w:rsidRPr="00C05886">
        <w:t xml:space="preserve">Spotswood, E.N. et al. (2021) ‘The Biological Deserts Fallacy: Cities in Their Landscapes Contribute More than We Think to Regional Biodiversity’, </w:t>
      </w:r>
      <w:proofErr w:type="spellStart"/>
      <w:r w:rsidRPr="00C05886">
        <w:t>BioScience</w:t>
      </w:r>
      <w:proofErr w:type="spellEnd"/>
      <w:r w:rsidRPr="00C05886">
        <w:t>, 71(2), pp. 148–160. Available at: https://doi.org/10.1093/biosci/biaa155.</w:t>
      </w:r>
    </w:p>
    <w:p w14:paraId="60A1336C" w14:textId="77777777" w:rsidR="00950AF3" w:rsidRPr="00C05886" w:rsidRDefault="00950AF3" w:rsidP="00950AF3">
      <w:pPr>
        <w:spacing w:line="276" w:lineRule="auto"/>
      </w:pPr>
      <w:r w:rsidRPr="00C05886">
        <w:t>Thompson, E.R. (2007) ‘Development and validation of an internationally reliable short-form of the Positive and Negative Affect Schedule (PANAS)’, Journal of Cross-Cultural Psychology, 38(2), pp. 227–242. Available at: https://doi.org/10.1177/0022022106297301.</w:t>
      </w:r>
    </w:p>
    <w:p w14:paraId="233EA761" w14:textId="77777777" w:rsidR="00950AF3" w:rsidRPr="00C05886" w:rsidRDefault="00950AF3" w:rsidP="00950AF3">
      <w:pPr>
        <w:spacing w:line="276" w:lineRule="auto"/>
      </w:pPr>
      <w:r w:rsidRPr="00C05886">
        <w:lastRenderedPageBreak/>
        <w:t>Tilman, D. et al. (2017) ‘Future threats to biodiversity and pathways to their prevention’, Nature, 546(7656), pp. 73–81. Available at: https://doi.org/10.1038/nature22900.</w:t>
      </w:r>
    </w:p>
    <w:p w14:paraId="35A7F25B" w14:textId="77777777" w:rsidR="00950AF3" w:rsidRPr="00C05886" w:rsidRDefault="00950AF3" w:rsidP="00950AF3">
      <w:pPr>
        <w:spacing w:line="276" w:lineRule="auto"/>
      </w:pPr>
      <w:proofErr w:type="spellStart"/>
      <w:r w:rsidRPr="00C05886">
        <w:t>Tzoulas</w:t>
      </w:r>
      <w:proofErr w:type="spellEnd"/>
      <w:r w:rsidRPr="00C05886">
        <w:t>, K. et al. (2007) ‘Promoting ecosystem and human health in urban areas using Green Infrastructure: A literature review’, Landscape and Urban Planning, 81(3), pp. 167–178. Available at: https://doi.org/10.1016/j.landurbplan.2007.02.001.</w:t>
      </w:r>
    </w:p>
    <w:p w14:paraId="070956CB" w14:textId="77777777" w:rsidR="00950AF3" w:rsidRPr="00C05886" w:rsidRDefault="00950AF3" w:rsidP="00950AF3">
      <w:pPr>
        <w:spacing w:line="276" w:lineRule="auto"/>
      </w:pPr>
      <w:r w:rsidRPr="00C05886">
        <w:t>Ulrich, R.S. et al. (1991) ‘Stress recovery during exposure to natural and urban environments’, Journal of Environmental Psychology, 11(3), pp. 201–230. Available at: https://doi.org/10.1016/S0272-4944(05)80184-7.</w:t>
      </w:r>
    </w:p>
    <w:p w14:paraId="0C535309" w14:textId="77777777" w:rsidR="00950AF3" w:rsidRPr="00C05886" w:rsidRDefault="00950AF3" w:rsidP="00950AF3">
      <w:pPr>
        <w:spacing w:line="276" w:lineRule="auto"/>
      </w:pPr>
      <w:r w:rsidRPr="00C05886">
        <w:t>Van Den Berg, A.E., Jorgensen, A. and Wilson, E.R. (2014) ‘Evaluating restoration in urban green spaces: Does setting type make a difference?’, Landscape and Urban Planning, 127(C), pp. 173–181. Available at: https://doi.org/10.1016/j.landurbplan.2014.04.012.</w:t>
      </w:r>
    </w:p>
    <w:p w14:paraId="73A536F7" w14:textId="77777777" w:rsidR="00950AF3" w:rsidRPr="00C05886" w:rsidRDefault="00950AF3" w:rsidP="00950AF3">
      <w:pPr>
        <w:spacing w:line="276" w:lineRule="auto"/>
      </w:pPr>
      <w:r w:rsidRPr="00C05886">
        <w:t>Wang, X. et al. (2016) ‘Stress recovery and restorative effects of viewing different urban park scenes in Shanghai, China’, Urban Forestry and Urban Greening, 15, pp. 112–122. Available at: https://doi.org/10.1016/j.ufug.2015.12.003.</w:t>
      </w:r>
    </w:p>
    <w:p w14:paraId="243A9280" w14:textId="77777777" w:rsidR="00950AF3" w:rsidRPr="00C05886" w:rsidRDefault="00950AF3" w:rsidP="00950AF3">
      <w:pPr>
        <w:spacing w:line="276" w:lineRule="auto"/>
      </w:pPr>
      <w:r w:rsidRPr="00C05886">
        <w:t>Watson, D. and Clark, L.A. (1994) ‘The PANAS-X Manual for the Positive and Negative Affect Schedule - Expanded Form’.</w:t>
      </w:r>
    </w:p>
    <w:p w14:paraId="7612FA36" w14:textId="77777777" w:rsidR="00950AF3" w:rsidRPr="00C05886" w:rsidRDefault="00950AF3" w:rsidP="00950AF3">
      <w:pPr>
        <w:spacing w:line="276" w:lineRule="auto"/>
      </w:pPr>
      <w:r w:rsidRPr="00C05886">
        <w:t xml:space="preserve">Wolf, L.J. et al. (2017) ‘Is Variety the Spice of Life? An Experimental Investigation into the Effects of Species Richness on Self-Reported Mental Well-Being.’, </w:t>
      </w:r>
      <w:proofErr w:type="spellStart"/>
      <w:r w:rsidRPr="00C05886">
        <w:t>PloS</w:t>
      </w:r>
      <w:proofErr w:type="spellEnd"/>
      <w:r w:rsidRPr="00C05886">
        <w:t xml:space="preserve"> one. Edited by L.J. Wolf, 12(1), pp. e0170225–e0170225. Available at: https://doi.org/10.1371/journal.pone.0170225.</w:t>
      </w:r>
    </w:p>
    <w:p w14:paraId="5115CEEB" w14:textId="77777777" w:rsidR="00950AF3" w:rsidRPr="00C05886" w:rsidRDefault="00950AF3" w:rsidP="00950AF3">
      <w:pPr>
        <w:spacing w:line="276" w:lineRule="auto"/>
      </w:pPr>
      <w:r w:rsidRPr="00C05886">
        <w:t>Wood, E. et al. (2018) ‘Not all green space is created equal: Biodiversity predicts psychological restorative benefits from urban green space’, Frontiers in Psychology, 9(NOV). Available at: https://doi.org/10.3389/fpsyg.2018.02320.</w:t>
      </w:r>
    </w:p>
    <w:p w14:paraId="4CAFFD63" w14:textId="77777777" w:rsidR="00950AF3" w:rsidRPr="00C05886" w:rsidRDefault="00950AF3" w:rsidP="00950AF3">
      <w:pPr>
        <w:spacing w:line="276" w:lineRule="auto"/>
      </w:pPr>
      <w:r w:rsidRPr="00C05886">
        <w:t>Zhang, L., Dempsey, N. and Cameron, R. (2023) ‘Flowers – Sunshine for the soul! How does floral colour influence preference, feelings of relaxation and positive up-lift?’, Urban Forestry &amp; Urban Greening, 79, p. 127795. Available at: https://doi.org/10.1016/j.ufug.2022.127795.</w:t>
      </w:r>
    </w:p>
    <w:p w14:paraId="74C3F50E" w14:textId="464E4AD7" w:rsidR="003A2EBF" w:rsidRPr="00C05886" w:rsidRDefault="003A2EBF" w:rsidP="003A2EBF"/>
    <w:p w14:paraId="1DA8C349" w14:textId="2FE152C9" w:rsidR="00051048" w:rsidRPr="00C05886" w:rsidRDefault="00051048">
      <w:pPr>
        <w:spacing w:line="259" w:lineRule="auto"/>
        <w:jc w:val="left"/>
      </w:pPr>
      <w:r w:rsidRPr="00C05886">
        <w:br w:type="page"/>
      </w:r>
    </w:p>
    <w:p w14:paraId="153540CC" w14:textId="5AB8ED35" w:rsidR="00051048" w:rsidRPr="00C05886" w:rsidRDefault="00051048" w:rsidP="00051048">
      <w:pPr>
        <w:pStyle w:val="Heading1"/>
      </w:pPr>
      <w:bookmarkStart w:id="145" w:name="_Toc179962386"/>
      <w:bookmarkStart w:id="146" w:name="_Hlk179964107"/>
      <w:r w:rsidRPr="00C05886">
        <w:lastRenderedPageBreak/>
        <w:t>Chapter 7 - Paper</w:t>
      </w:r>
      <w:bookmarkEnd w:id="145"/>
    </w:p>
    <w:p w14:paraId="251A77A4" w14:textId="208AEFC6" w:rsidR="00051048" w:rsidRPr="00C05886" w:rsidRDefault="002D1896" w:rsidP="006B3E3B">
      <w:pPr>
        <w:rPr>
          <w:b/>
          <w:bCs/>
          <w:sz w:val="36"/>
          <w:szCs w:val="36"/>
        </w:rPr>
      </w:pPr>
      <w:r>
        <w:rPr>
          <w:b/>
          <w:bCs/>
          <w:sz w:val="36"/>
          <w:szCs w:val="36"/>
        </w:rPr>
        <w:t>Stress recovery response to three virtual urban environments a</w:t>
      </w:r>
      <w:r w:rsidR="00EC1AEB">
        <w:rPr>
          <w:b/>
          <w:bCs/>
          <w:sz w:val="36"/>
          <w:szCs w:val="36"/>
        </w:rPr>
        <w:t>t</w:t>
      </w:r>
      <w:r>
        <w:rPr>
          <w:b/>
          <w:bCs/>
          <w:sz w:val="36"/>
          <w:szCs w:val="36"/>
        </w:rPr>
        <w:t xml:space="preserve"> different levels of species richness. </w:t>
      </w:r>
    </w:p>
    <w:p w14:paraId="036CA26D" w14:textId="77777777" w:rsidR="00051048" w:rsidRPr="00C05886" w:rsidRDefault="00051048" w:rsidP="00785C7D">
      <w:r w:rsidRPr="00C05886">
        <w:t>Simone Farris</w:t>
      </w:r>
      <w:r w:rsidRPr="00C05886">
        <w:rPr>
          <w:vertAlign w:val="superscript"/>
        </w:rPr>
        <w:t>1*</w:t>
      </w:r>
      <w:r w:rsidRPr="00C05886">
        <w:t>, Nicola Dempsey</w:t>
      </w:r>
      <w:r w:rsidRPr="00C05886">
        <w:rPr>
          <w:vertAlign w:val="superscript"/>
        </w:rPr>
        <w:t>1</w:t>
      </w:r>
      <w:r w:rsidRPr="00C05886">
        <w:t>, Kirsten McEwan</w:t>
      </w:r>
      <w:r w:rsidRPr="00C05886">
        <w:rPr>
          <w:vertAlign w:val="superscript"/>
        </w:rPr>
        <w:t xml:space="preserve">2 </w:t>
      </w:r>
      <w:r w:rsidRPr="00C05886">
        <w:t>and Ross Cameron</w:t>
      </w:r>
      <w:r w:rsidRPr="00C05886">
        <w:rPr>
          <w:vertAlign w:val="superscript"/>
        </w:rPr>
        <w:t>1</w:t>
      </w:r>
    </w:p>
    <w:p w14:paraId="799FECE3" w14:textId="77777777" w:rsidR="00051048" w:rsidRPr="00C05886" w:rsidRDefault="00051048" w:rsidP="00785C7D">
      <w:r w:rsidRPr="00C05886">
        <w:t xml:space="preserve"> </w:t>
      </w:r>
    </w:p>
    <w:p w14:paraId="074FB0A3" w14:textId="77777777" w:rsidR="00051048" w:rsidRPr="00C05886" w:rsidRDefault="00051048" w:rsidP="00785C7D">
      <w:pPr>
        <w:rPr>
          <w:sz w:val="18"/>
          <w:szCs w:val="18"/>
        </w:rPr>
      </w:pPr>
      <w:r w:rsidRPr="00C05886">
        <w:rPr>
          <w:sz w:val="18"/>
          <w:szCs w:val="18"/>
          <w:vertAlign w:val="superscript"/>
        </w:rPr>
        <w:t>1</w:t>
      </w:r>
      <w:r w:rsidRPr="00C05886">
        <w:rPr>
          <w:sz w:val="18"/>
          <w:szCs w:val="18"/>
        </w:rPr>
        <w:t xml:space="preserve"> Department of Landscape Architecture, The University of Sheffield, Sheffield, United Kingdom</w:t>
      </w:r>
    </w:p>
    <w:p w14:paraId="17380D8C" w14:textId="77777777" w:rsidR="00051048" w:rsidRPr="00C05886" w:rsidRDefault="00051048" w:rsidP="00785C7D">
      <w:pPr>
        <w:rPr>
          <w:sz w:val="18"/>
          <w:szCs w:val="18"/>
        </w:rPr>
      </w:pPr>
      <w:r w:rsidRPr="00C05886">
        <w:rPr>
          <w:sz w:val="18"/>
          <w:szCs w:val="18"/>
          <w:vertAlign w:val="superscript"/>
        </w:rPr>
        <w:t>2</w:t>
      </w:r>
      <w:r w:rsidRPr="00C05886">
        <w:rPr>
          <w:sz w:val="18"/>
          <w:szCs w:val="18"/>
        </w:rPr>
        <w:t xml:space="preserve"> College of Health, Psychology and Social Care, University of Derby, Derby, United Kingdom</w:t>
      </w:r>
    </w:p>
    <w:p w14:paraId="5C6C6D67" w14:textId="77777777" w:rsidR="00051048" w:rsidRPr="00C05886" w:rsidRDefault="00051048" w:rsidP="00051048">
      <w:pPr>
        <w:pStyle w:val="Heading2"/>
      </w:pPr>
      <w:bookmarkStart w:id="147" w:name="_Toc179962387"/>
      <w:r w:rsidRPr="00C05886">
        <w:t>Abstract</w:t>
      </w:r>
      <w:bookmarkEnd w:id="147"/>
    </w:p>
    <w:p w14:paraId="46ADF570" w14:textId="66803AEB" w:rsidR="00051048" w:rsidRPr="00C05886" w:rsidRDefault="002D1896" w:rsidP="00104538">
      <w:r>
        <w:t>G</w:t>
      </w:r>
      <w:r w:rsidR="00051048" w:rsidRPr="00C05886">
        <w:t xml:space="preserve">reen spaces can positively influence mental well-being, </w:t>
      </w:r>
      <w:r>
        <w:t>and virtual green spaces could provide</w:t>
      </w:r>
      <w:r w:rsidRPr="00C05886">
        <w:t xml:space="preserve"> </w:t>
      </w:r>
      <w:r>
        <w:t xml:space="preserve">a measure of </w:t>
      </w:r>
      <w:r w:rsidRPr="00C05886">
        <w:t>th</w:t>
      </w:r>
      <w:r>
        <w:t>is</w:t>
      </w:r>
      <w:r w:rsidRPr="00C05886">
        <w:t xml:space="preserve"> </w:t>
      </w:r>
      <w:r w:rsidR="00051048" w:rsidRPr="00C05886">
        <w:t xml:space="preserve">benefit </w:t>
      </w:r>
      <w:r>
        <w:t xml:space="preserve">to </w:t>
      </w:r>
      <w:r w:rsidR="00051048" w:rsidRPr="00C05886">
        <w:t xml:space="preserve">those who cannot access green space directly. </w:t>
      </w:r>
      <w:r w:rsidR="00076F4E">
        <w:t>Whether</w:t>
      </w:r>
      <w:r w:rsidR="00051048" w:rsidRPr="00C05886">
        <w:t xml:space="preserve"> virtual green spaces provide even more well-being if they </w:t>
      </w:r>
      <w:r w:rsidR="00A006F3">
        <w:t>show</w:t>
      </w:r>
      <w:r w:rsidR="00A006F3" w:rsidRPr="00C05886">
        <w:t xml:space="preserve"> </w:t>
      </w:r>
      <w:r w:rsidR="00051048" w:rsidRPr="00C05886">
        <w:t>a higher number of plants and animals (i.e.</w:t>
      </w:r>
      <w:r w:rsidR="00076F4E">
        <w:t xml:space="preserve"> </w:t>
      </w:r>
      <w:r w:rsidRPr="00C05886">
        <w:t xml:space="preserve">higher </w:t>
      </w:r>
      <w:r w:rsidR="00076F4E">
        <w:t>virtual</w:t>
      </w:r>
      <w:r w:rsidR="00051048" w:rsidRPr="00C05886">
        <w:t xml:space="preserve"> </w:t>
      </w:r>
      <w:r w:rsidR="00076F4E">
        <w:t>species richness</w:t>
      </w:r>
      <w:r w:rsidR="00051048" w:rsidRPr="00C05886">
        <w:t>)</w:t>
      </w:r>
      <w:r w:rsidR="00076F4E">
        <w:t xml:space="preserve"> remains uncertain.</w:t>
      </w:r>
    </w:p>
    <w:p w14:paraId="1AADAE8B" w14:textId="0A7695F2" w:rsidR="00051048" w:rsidRPr="00C05886" w:rsidRDefault="00051048" w:rsidP="00104538">
      <w:r w:rsidRPr="00C05886">
        <w:t>In this study, over 400 online participants virtually explored one of these three environments: a car park</w:t>
      </w:r>
      <w:r w:rsidR="00EC1AEB">
        <w:t xml:space="preserve"> (with no species)</w:t>
      </w:r>
      <w:r w:rsidRPr="00C05886">
        <w:t xml:space="preserve">, a lower </w:t>
      </w:r>
      <w:r w:rsidR="00466AAB">
        <w:t>species richness</w:t>
      </w:r>
      <w:r w:rsidR="00466AAB" w:rsidRPr="00C05886">
        <w:t xml:space="preserve"> </w:t>
      </w:r>
      <w:r w:rsidRPr="00C05886">
        <w:t xml:space="preserve">park (15 species) or a higher </w:t>
      </w:r>
      <w:r w:rsidR="00466AAB">
        <w:t>species richness</w:t>
      </w:r>
      <w:r w:rsidR="00466AAB" w:rsidRPr="00C05886">
        <w:t xml:space="preserve"> </w:t>
      </w:r>
      <w:r w:rsidRPr="00C05886">
        <w:t>park (28 species). The analysis compared the participants’ emotional states, measured at baseline, after stress induction and after spending about 3 minutes in the virtual environment. A group of participants (N = 52) took part in the experiment in a lab setting, so that their physiological stress recovery, measured as heart rate variability, could be recorded.</w:t>
      </w:r>
    </w:p>
    <w:p w14:paraId="140DD0B5" w14:textId="301CC11E" w:rsidR="00051048" w:rsidRPr="00C05886" w:rsidRDefault="00051048" w:rsidP="00104538">
      <w:r w:rsidRPr="00C05886">
        <w:t xml:space="preserve">The results showed that positive emotions increased after virtually visiting the two </w:t>
      </w:r>
      <w:r w:rsidR="00466AAB">
        <w:t>green</w:t>
      </w:r>
      <w:r w:rsidR="00466AAB" w:rsidRPr="00C05886">
        <w:t xml:space="preserve"> </w:t>
      </w:r>
      <w:r w:rsidRPr="00C05886">
        <w:t xml:space="preserve">parks but not the car park. The car park was also marginally worse at reducing negative emotions. However, there were no statistical differences between the lower and the higher </w:t>
      </w:r>
      <w:r w:rsidR="00466AAB">
        <w:t>species richness</w:t>
      </w:r>
      <w:r w:rsidR="00466AAB" w:rsidRPr="00C05886">
        <w:t xml:space="preserve"> </w:t>
      </w:r>
      <w:r w:rsidRPr="00C05886">
        <w:t>parks.</w:t>
      </w:r>
      <w:r w:rsidR="002D1896">
        <w:t xml:space="preserve"> Further,</w:t>
      </w:r>
      <w:r w:rsidRPr="00C05886">
        <w:t xml:space="preserve"> </w:t>
      </w:r>
      <w:r w:rsidR="002D1896">
        <w:t>n</w:t>
      </w:r>
      <w:r w:rsidR="002D1896" w:rsidRPr="00C05886">
        <w:t xml:space="preserve">o </w:t>
      </w:r>
      <w:r w:rsidRPr="00C05886">
        <w:t xml:space="preserve">significant </w:t>
      </w:r>
      <w:r w:rsidR="002D1896">
        <w:t xml:space="preserve">differences due to the environment were observed </w:t>
      </w:r>
      <w:r w:rsidR="00A006F3">
        <w:t>in</w:t>
      </w:r>
      <w:r w:rsidR="002D1896">
        <w:t xml:space="preserve"> the</w:t>
      </w:r>
      <w:r w:rsidR="002D1896" w:rsidRPr="00C05886">
        <w:t xml:space="preserve"> </w:t>
      </w:r>
      <w:r w:rsidRPr="00C05886">
        <w:t>heart rate variability.</w:t>
      </w:r>
    </w:p>
    <w:p w14:paraId="710C6ACB" w14:textId="03D8C25D" w:rsidR="00051048" w:rsidRPr="00C05886" w:rsidRDefault="00051048" w:rsidP="00104538">
      <w:r w:rsidRPr="00C05886">
        <w:t xml:space="preserve">These results </w:t>
      </w:r>
      <w:r w:rsidR="005C1904">
        <w:t>support the notion</w:t>
      </w:r>
      <w:r w:rsidR="005C1904" w:rsidRPr="00C05886">
        <w:t xml:space="preserve"> </w:t>
      </w:r>
      <w:r w:rsidRPr="00C05886">
        <w:t xml:space="preserve">that virtual green spaces improve well-being in the form of stress recovery and improved mood. </w:t>
      </w:r>
      <w:r w:rsidR="00EC1AEB">
        <w:t>To a degree, the species richness in these green spaces seems to have the potential to improve positive emotions, although the ideal number of species remains undefined.</w:t>
      </w:r>
    </w:p>
    <w:p w14:paraId="0469F30C" w14:textId="77777777" w:rsidR="00051048" w:rsidRPr="00C05886" w:rsidRDefault="00051048" w:rsidP="00051048">
      <w:pPr>
        <w:pStyle w:val="Heading2"/>
      </w:pPr>
      <w:bookmarkStart w:id="148" w:name="_Toc179962388"/>
      <w:r w:rsidRPr="00C05886">
        <w:lastRenderedPageBreak/>
        <w:t>Introduction</w:t>
      </w:r>
      <w:bookmarkEnd w:id="148"/>
    </w:p>
    <w:p w14:paraId="6F9DCC3A" w14:textId="4896554B" w:rsidR="00051048" w:rsidRPr="00C05886" w:rsidRDefault="00051048" w:rsidP="009A6F35">
      <w:r w:rsidRPr="00C05886">
        <w:t xml:space="preserve">The exposure to green spaces and natural environments is important for human well-being </w:t>
      </w:r>
      <w:r w:rsidRPr="00C05886">
        <w:fldChar w:fldCharType="begin"/>
      </w:r>
      <w:r w:rsidR="000309A4" w:rsidRPr="00C05886">
        <w:instrText xml:space="preserve"> ADDIN ZOTERO_ITEM CSL_CITATION {"citationID":"WYrt9Yh3","properties":{"formattedCitation":"(Frumkin {\\i{}et al.}, 2017)","plainCitation":"(Frumkin et al., 2017)","noteIndex":0},"citationItems":[{"id":6963,"uris":["http://zotero.org/users/10951124/items/8MTPBJ48"],"itemData":{"id":6963,"type":"article-journal","abstract":"Background: At a time of increasing disconnectedness from nature, scientific interest in the potential health benefits of nature contact has grown. Research in recent decades has yielded substantial evidence, but large gaps remain in our understanding. Objectives: We propose a research agenda on nature contact and health, identifying principal domains of research and key questions that, if answered, would provide the basis for evidence-based public health interventions. Discussion: We identify research questions in seven domains: a) mechanistic biomedical studies","container-title":"Environmental Health Perspectives (Online)","DOI":"10.1289/EHP1663","ISSN":"00916765","issue":"7","note":"publisher-place: Research Triangle Park","title":"Nature Contact and Human Health: A Research Agenda","volume":"125","author":[{"family":"Frumkin","given":"Howard"},{"family":"Bratman","given":"Gregory"},{"family":"Breslow","given":"Sara"},{"family":"Cochran","given":"Bobby"},{"family":"Kahn","given":"Peter"},{"family":"Lawler","given":"Joshua"},{"family":"Levin","given":"Phillip"},{"family":"Tandon","given":"Pooja"},{"family":"Varanasi","given":"Usha"},{"family":"Wolf","given":"Kathleen"},{"family":"Wood","given":"Spencer"}],"issued":{"date-parts":[["2017"]]}}}],"schema":"https://github.com/citation-style-language/schema/raw/master/csl-citation.json"} </w:instrText>
      </w:r>
      <w:r w:rsidRPr="00C05886">
        <w:fldChar w:fldCharType="separate"/>
      </w:r>
      <w:r w:rsidR="000309A4" w:rsidRPr="00C05886">
        <w:rPr>
          <w:rFonts w:ascii="Calibri" w:hAnsi="Calibri" w:cs="Calibri"/>
          <w:szCs w:val="24"/>
        </w:rPr>
        <w:t xml:space="preserve">(Frumkin </w:t>
      </w:r>
      <w:r w:rsidR="000309A4" w:rsidRPr="00C05886">
        <w:rPr>
          <w:rFonts w:ascii="Calibri" w:hAnsi="Calibri" w:cs="Calibri"/>
          <w:i/>
          <w:iCs/>
          <w:szCs w:val="24"/>
        </w:rPr>
        <w:t>et al.</w:t>
      </w:r>
      <w:r w:rsidR="000309A4" w:rsidRPr="00C05886">
        <w:rPr>
          <w:rFonts w:ascii="Calibri" w:hAnsi="Calibri" w:cs="Calibri"/>
          <w:szCs w:val="24"/>
        </w:rPr>
        <w:t>, 2017)</w:t>
      </w:r>
      <w:r w:rsidRPr="00C05886">
        <w:fldChar w:fldCharType="end"/>
      </w:r>
      <w:r w:rsidRPr="00C05886">
        <w:t xml:space="preserve">. Even when considering the sole mental well-being, green spaces have been cited as providers of several benefits, including reductions in stress </w:t>
      </w:r>
      <w:r w:rsidRPr="00C05886">
        <w:fldChar w:fldCharType="begin"/>
      </w:r>
      <w:r w:rsidRPr="00C05886">
        <w:instrText xml:space="preserve"> ADDIN ZOTERO_ITEM CSL_CITATION {"citationID":"UwaITlot","properties":{"formattedCitation":"(Chen, Yu and Lee, 2018)","plainCitation":"(Chen, Yu and Lee, 2018)","noteIndex":0},"citationItems":[{"id":5272,"uris":["http://zotero.org/users/10951124/items/RG4UREFL"],"itemData":{"id":5272,"type":"article-journal","abstract":"Previous literature highlights the effects of forests on reviving psychological and physiological health. Given that middle-aged women are vulnerable to stress due to the transition in their lives, the purpose of this study was to investigate the effects of forest bathing on their stress recovery using a field experiment design. This study examined both psychological and physiological responses after a forest therapy program among a middle-aged female group. Sixteen middle-aged (46.88 ± 7.83 years) women were recruited for a two-day (one-night) forest therapy program in the Aowanda National Forest Recreation Area (Nantou, Taiwan). Psychological indices were measured by Profile of Mood States (POMS) and State-Trait Anxiety Inventory (STAI). Physiological indicators included pulse rate, systolic or diastolic blood pressure, and salivary α-amylase. Both psychological and physiological measurements were collected before and after the program. The results showed that negative mood states (i.e., confusion, fatigue, anger-hostility, and tension) and anxiety levels were significantly reduced after visiting forests. In contrast, positive mood state (vigor) was improved after the program. Regarding the physiological responses, a significant decrease in systolic blood pressure response was found after the program. In sum, the two-day forest therapy program benefited to mental health and systolic blood pressure among the middle-aged female group.","container-title":"Forests","DOI":"10.3390/f9070403","ISSN":"19994907","issue":"2","page":"1-9","title":"The effects of forest bathing on stress recovery: Evidence from middle-aged females of Taiwan","volume":"8","author":[{"family":"Chen","given":"Huan Tsun"},{"family":"Yu","given":"Chia Pin"},{"family":"Lee","given":"Hsiao Yun"}],"issued":{"date-parts":[["2018"]]}}}],"schema":"https://github.com/citation-style-language/schema/raw/master/csl-citation.json"} </w:instrText>
      </w:r>
      <w:r w:rsidRPr="00C05886">
        <w:fldChar w:fldCharType="separate"/>
      </w:r>
      <w:r w:rsidRPr="00C05886">
        <w:rPr>
          <w:rFonts w:ascii="Calibri" w:hAnsi="Calibri" w:cs="Calibri"/>
        </w:rPr>
        <w:t>(Chen, Yu and Lee, 2018)</w:t>
      </w:r>
      <w:r w:rsidRPr="00C05886">
        <w:fldChar w:fldCharType="end"/>
      </w:r>
      <w:r w:rsidRPr="00C05886">
        <w:t xml:space="preserve"> and anxiety </w:t>
      </w:r>
      <w:r w:rsidRPr="00C05886">
        <w:fldChar w:fldCharType="begin"/>
      </w:r>
      <w:r w:rsidRPr="00C05886">
        <w:instrText xml:space="preserve"> ADDIN ZOTERO_ITEM CSL_CITATION {"citationID":"YXwyZLz2","properties":{"formattedCitation":"(Browning {\\i{}et al.}, 2023)","plainCitation":"(Browning et al., 2023)","noteIndex":0},"citationItems":[{"id":10002,"uris":["http://zotero.org/users/10951124/items/Y7JU7YJ7"],"itemData":{"id":10002,"type":"article-journal","abstract":"Abstract\n            Exposure to natural environments offers an array of mental health benefits. Virtual reality provides simulated experiences of being in nature when outdoor access is limited. Previous studies on virtual nature have focused mainly on single \"doses\" of virtual nature. The effects of repeated exposure remain poorly understood. Motivated by this gap, we studied the influence of a daily virtual nature intervention on symptoms of anxiety, depression, and an underlying cause of poor mental health: rumination. Forty college students (58% non-Hispanic White, median age = 19) were recruited from two U.S. universities and randomly assigned to the intervention or control group. Over several weeks, anxious arousal (panic) and anxious apprehension (worry) decreased with virtual nature exposure. Participants identifying as women, past VR users, experienced with the outdoors, and engaged with the beauty in nature benefited particularly strongly from virtual nature. Virtual nature did not help symptoms of anhedonic depression or rumination. Further research is necessary to distinguish when and for whom virtual nature interventions impact mental health outcomes.","container-title":"Scientific Reports","DOI":"10.1038/s41598-023-28070-9","ISSN":"2045-2322","issue":"1","journalAbbreviation":"Sci Rep","language":"en","page":"1239","source":"DOI.org (Crossref)","title":"Daily exposure to virtual nature reduces symptoms of anxiety in college students","volume":"13","author":[{"family":"Browning","given":"Matthew H. E. M."},{"family":"Shin","given":"Seunguk"},{"family":"Drong","given":"Gabrielle"},{"family":"McAnirlin","given":"Olivia"},{"family":"Gagnon","given":"Ryan J."},{"family":"Ranganathan","given":"Shyam"},{"family":"Sindelar","given":"Kailan"},{"family":"Hoptman","given":"David"},{"family":"Bratman","given":"Gregory N."},{"family":"Yuan","given":"Shuai"},{"family":"Prabhu","given":"Vishnunarayan Girishan"},{"family":"Heller","given":"Wendy"}],"issued":{"date-parts":[["2023",1,23]]}}}],"schema":"https://github.com/citation-style-language/schema/raw/master/csl-citation.json"} </w:instrText>
      </w:r>
      <w:r w:rsidRPr="00C05886">
        <w:fldChar w:fldCharType="separate"/>
      </w:r>
      <w:r w:rsidRPr="00C05886">
        <w:rPr>
          <w:rFonts w:ascii="Calibri" w:hAnsi="Calibri" w:cs="Calibri"/>
          <w:szCs w:val="24"/>
        </w:rPr>
        <w:t xml:space="preserve">(Browning </w:t>
      </w:r>
      <w:r w:rsidRPr="00C05886">
        <w:rPr>
          <w:rFonts w:ascii="Calibri" w:hAnsi="Calibri" w:cs="Calibri"/>
          <w:i/>
          <w:iCs/>
          <w:szCs w:val="24"/>
        </w:rPr>
        <w:t>et al.</w:t>
      </w:r>
      <w:r w:rsidRPr="00C05886">
        <w:rPr>
          <w:rFonts w:ascii="Calibri" w:hAnsi="Calibri" w:cs="Calibri"/>
          <w:szCs w:val="24"/>
        </w:rPr>
        <w:t>, 2023)</w:t>
      </w:r>
      <w:r w:rsidRPr="00C05886">
        <w:fldChar w:fldCharType="end"/>
      </w:r>
      <w:r w:rsidRPr="00C05886">
        <w:t xml:space="preserve">, improvements in mood </w:t>
      </w:r>
      <w:r w:rsidRPr="00C05886">
        <w:fldChar w:fldCharType="begin"/>
      </w:r>
      <w:r w:rsidRPr="00C05886">
        <w:instrText xml:space="preserve"> ADDIN ZOTERO_ITEM CSL_CITATION {"citationID":"gl3yIRRB","properties":{"formattedCitation":"(Bardhan {\\i{}et al.}, 2023)","plainCitation":"(Bardhan et al., 2023)","noteIndex":0},"citationItems":[{"id":9987,"uris":["http://zotero.org/users/10951124/items/PJHKGPJY"],"itemData":{"id":9987,"type":"article-journal","container-title":"Journal of Environmental Psychology","DOI":"10.1016/j.jenvp.2023.102083","ISSN":"02724944","journalAbbreviation":"Journal of Environmental Psychology","language":"en","page":"102083","source":"DOI.org (Crossref)","title":"Time in nature is associated with higher levels of positive mood: Evidence from the 2023 NatureDose™ student survey","title-short":"Time in nature is associated with higher levels of positive mood","volume":"90","author":[{"family":"Bardhan","given":"Mondira"},{"family":"Zhang","given":"Kuiran"},{"family":"Browning","given":"Matthew H.E.M."},{"family":"Dong","given":"Jiaying"},{"family":"Liu","given":"Tong"},{"family":"Bailey","given":"Christopher"},{"family":"McAnirlin","given":"Olivia"},{"family":"Hanley","given":"Jared"},{"family":"Minson","given":"Christopher T."},{"family":"Mutel","given":"Robert L."},{"family":"Ranganathan","given":"Shyam"},{"family":"Reuben","given":"Aaron"}],"issued":{"date-parts":[["2023",9]]}}}],"schema":"https://github.com/citation-style-language/schema/raw/master/csl-citation.json"} </w:instrText>
      </w:r>
      <w:r w:rsidRPr="00C05886">
        <w:fldChar w:fldCharType="separate"/>
      </w:r>
      <w:r w:rsidRPr="00C05886">
        <w:rPr>
          <w:rFonts w:ascii="Calibri" w:hAnsi="Calibri" w:cs="Calibri"/>
          <w:szCs w:val="24"/>
        </w:rPr>
        <w:t xml:space="preserve">(Bardhan </w:t>
      </w:r>
      <w:r w:rsidRPr="00C05886">
        <w:rPr>
          <w:rFonts w:ascii="Calibri" w:hAnsi="Calibri" w:cs="Calibri"/>
          <w:i/>
          <w:iCs/>
          <w:szCs w:val="24"/>
        </w:rPr>
        <w:t>et al.</w:t>
      </w:r>
      <w:r w:rsidRPr="00C05886">
        <w:rPr>
          <w:rFonts w:ascii="Calibri" w:hAnsi="Calibri" w:cs="Calibri"/>
          <w:szCs w:val="24"/>
        </w:rPr>
        <w:t>, 2023)</w:t>
      </w:r>
      <w:r w:rsidRPr="00C05886">
        <w:fldChar w:fldCharType="end"/>
      </w:r>
      <w:r w:rsidRPr="00C05886">
        <w:t xml:space="preserve">, better memory </w:t>
      </w:r>
      <w:r w:rsidRPr="00C05886">
        <w:fldChar w:fldCharType="begin"/>
      </w:r>
      <w:r w:rsidRPr="00C05886">
        <w:instrText xml:space="preserve"> ADDIN ZOTERO_ITEM CSL_CITATION {"citationID":"8lw4VZwZ","properties":{"formattedCitation":"(Pilotti {\\i{}et al.}, 2015)","plainCitation":"(Pilotti et al., 2015)","noteIndex":0},"citationItems":[{"id":10236,"uris":["http://zotero.org/users/10951124/items/IRWH2333"],"itemData":{"id":10236,"type":"article-journal","abstract":"Can a brief exposure to nature at the end of a workday enhance sustained attention and long-term memory? Student advisors viewed a video of either a natural environment or a busy city street after work. Then they performed a tone-detection task that was intended to mimic a key feature of their job (being on the telephone). After the nature video, systolic blood pressure increased and response latencies remained stable across time. After the city video, systolic blood pressure remained unchanged from baseline, whereas response latencies increased over time. Self-reports of arousal and emotional state did not differ significantly between videos, whereas memory of the experimental setting was better after viewing the nature video. In sum, a brief contact with nature at the end of a workday may give an individual vigor to complete additional tasks but not improve his or her affect.","container-title":"Environment and Behavior","DOI":"10.1177/0013916514533187","ISSN":"0013-9165, 1552-390X","issue":"9","journalAbbreviation":"Environment and Behavior","language":"en","page":"947-969","source":"DOI.org (Crossref)","title":"Is Viewing a Nature Video After Work Restorative? Effects on Blood Pressure, Task Performance, and Long-Term Memory","title-short":"Is Viewing a Nature Video After Work Restorative?","volume":"47","author":[{"family":"Pilotti","given":"Maura"},{"family":"Klein","given":"Eric"},{"family":"Golem","given":"Devon"},{"family":"Piepenbrink","given":"Eric"},{"family":"Kaplan","given":"Katie"}],"issued":{"date-parts":[["2015",11]]}}}],"schema":"https://github.com/citation-style-language/schema/raw/master/csl-citation.json"} </w:instrText>
      </w:r>
      <w:r w:rsidRPr="00C05886">
        <w:fldChar w:fldCharType="separate"/>
      </w:r>
      <w:r w:rsidRPr="00C05886">
        <w:rPr>
          <w:rFonts w:ascii="Calibri" w:hAnsi="Calibri" w:cs="Calibri"/>
          <w:szCs w:val="24"/>
        </w:rPr>
        <w:t xml:space="preserve">(Pilotti </w:t>
      </w:r>
      <w:r w:rsidRPr="00C05886">
        <w:rPr>
          <w:rFonts w:ascii="Calibri" w:hAnsi="Calibri" w:cs="Calibri"/>
          <w:i/>
          <w:iCs/>
          <w:szCs w:val="24"/>
        </w:rPr>
        <w:t>et al.</w:t>
      </w:r>
      <w:r w:rsidRPr="00C05886">
        <w:rPr>
          <w:rFonts w:ascii="Calibri" w:hAnsi="Calibri" w:cs="Calibri"/>
          <w:szCs w:val="24"/>
        </w:rPr>
        <w:t>, 2015)</w:t>
      </w:r>
      <w:r w:rsidRPr="00C05886">
        <w:fldChar w:fldCharType="end"/>
      </w:r>
      <w:r w:rsidRPr="00C05886">
        <w:t xml:space="preserve"> and attentional capacity </w:t>
      </w:r>
      <w:r w:rsidRPr="00C05886">
        <w:fldChar w:fldCharType="begin"/>
      </w:r>
      <w:r w:rsidRPr="00C05886">
        <w:instrText xml:space="preserve"> ADDIN ZOTERO_ITEM CSL_CITATION {"citationID":"m1Bcy8SG","properties":{"formattedCitation":"(Van Den Bogerd {\\i{}et al.}, 2018)","plainCitation":"(Van Den Bogerd et al., 2018)","noteIndex":0},"citationItems":[{"id":5732,"uris":["http://zotero.org/users/10951124/items/A9BU9DPK"],"itemData":{"id":5732,"type":"article-journal","abstract":"© 2018 van den Bogerd et al. This is an open access article distributed under the terms of the Creative Commons Attribution License, which permits unrestricted use, distribution, and reproduction in any medium, provided the original author and source are credited. A large body of evidence shows that interaction with greenery can be beneficial for human stress reduction, emotional states, and improved cognitive function. It can, therefore, be expected that university students might benefit from greenery in the university environment. Before investing in real-life interventions in a university environment, it is necessary to first explore students’ perceptions of greenery in the university environment. This study examined (1) preference for university indoor and outdoor spaces with and without greenery (2) perceived restoration likelihood of university outdoor spaces with and without greenery and (3) if preference and perceived restoration likelihood ratings were modified by demographic characteristics or connectedness to nature in Dutch university students (N = 722). Digital photographic stimuli represented four university spaces (lecture hall, classroom, study area, university outdoor space). For each of the three indoor spaces there were four or five stimuli conditions: (1) the standard design (2) the standard design with a colorful poster (3) the standard design with a nature poster (4) the standard design with a green wall (5) the standard design with a green wall plus interior plants. The university outdoor space included: (1) the standard design (2) the standard design with seating (3) the standard design with colorful artifacts (4) the standard design with green elements (5) the standard design with extensive greenery. Multi-level analyses showed that students gave higher preference ratings to the indoor spaces with a nature poster, a green wall, or a green wall plus interior plants than to the standard designs and the designs with the colorful posters. Students also rated preference and perceived restoration likelihood of the outdoor spaces that included greenery higher than those without. Preference and perceived restoration likelihood were not modified by demographic characteristics, but students with strong connectedness to nature rated preference and perceived restoration likelihood overall higher than students with weak connectedness to nature. The findings suggest that students would appreciate the integration of greenery in the university environment.","container-title":"PLoS ONE","DOI":"10.1371/journal.pone.0192429","ISSN":"19326203","issue":"2","title":"Greenery in the university environment: Students’ preferences and perceived restoration likelihood","volume":"13","author":[{"family":"Van Den Bogerd","given":"Nicole"},{"family":"Coosje Dijkstra","given":"S."},{"family":"Seidell","given":"Jacob C."},{"family":"Maas","given":"Jolanda"}],"issued":{"date-parts":[["2018"]]}}}],"schema":"https://github.com/citation-style-language/schema/raw/master/csl-citation.json"} </w:instrText>
      </w:r>
      <w:r w:rsidRPr="00C05886">
        <w:fldChar w:fldCharType="separate"/>
      </w:r>
      <w:r w:rsidRPr="00C05886">
        <w:rPr>
          <w:rFonts w:ascii="Calibri" w:hAnsi="Calibri" w:cs="Calibri"/>
          <w:szCs w:val="24"/>
        </w:rPr>
        <w:t xml:space="preserve">(Van Den Bogerd </w:t>
      </w:r>
      <w:r w:rsidRPr="00C05886">
        <w:rPr>
          <w:rFonts w:ascii="Calibri" w:hAnsi="Calibri" w:cs="Calibri"/>
          <w:i/>
          <w:iCs/>
          <w:szCs w:val="24"/>
        </w:rPr>
        <w:t>et al.</w:t>
      </w:r>
      <w:r w:rsidRPr="00C05886">
        <w:rPr>
          <w:rFonts w:ascii="Calibri" w:hAnsi="Calibri" w:cs="Calibri"/>
          <w:szCs w:val="24"/>
        </w:rPr>
        <w:t>, 2018)</w:t>
      </w:r>
      <w:r w:rsidRPr="00C05886">
        <w:fldChar w:fldCharType="end"/>
      </w:r>
      <w:r w:rsidRPr="00C05886">
        <w:t xml:space="preserve">. The mechanisms behind these benefits have been theorised by the Attention Restoration theory </w:t>
      </w:r>
      <w:r w:rsidRPr="00C05886">
        <w:fldChar w:fldCharType="begin"/>
      </w:r>
      <w:r w:rsidR="004A46A3" w:rsidRPr="00C05886">
        <w:instrText xml:space="preserve"> ADDIN ZOTERO_ITEM CSL_CITATION {"citationID":"L18PgeRv","properties":{"formattedCitation":"(Kaplan, 1995)","plainCitation":"(Kaplan, 1995)","noteIndex":0},"citationItems":[{"id":6506,"uris":["http://zotero.org/users/10951124/items/2436CZCV"],"itemData":{"id":6506,"type":"article-journal","abstract":"Directed attention plays an important role in human information processing; its fatigue, in turn, has far-reaching consequences. Attention Restoration Theory provides an analysis of the kinds of experiences that lead to recovery from such fatigue. Natural environments turn out to be particularly rich in the characteristics necessary for restorative experiences. An integrative framework is proposed that places both directed attention and stress in the larger context of human-environment relationships. © 1995.","container-title":"Journal of Environmental Psychology","DOI":"10.1016/0272-4944(95)90001-2","ISSN":"15229610","issue":"3","page":"169-182","title":"The restorative benefits of nature: Toward an integrative framework","volume":"15","author":[{"family":"Kaplan","given":"Stephen"}],"issued":{"date-parts":[["1995"]]}}}],"schema":"https://github.com/citation-style-language/schema/raw/master/csl-citation.json"} </w:instrText>
      </w:r>
      <w:r w:rsidRPr="00C05886">
        <w:fldChar w:fldCharType="separate"/>
      </w:r>
      <w:r w:rsidR="004A46A3" w:rsidRPr="00C05886">
        <w:rPr>
          <w:rFonts w:ascii="Calibri" w:hAnsi="Calibri" w:cs="Calibri"/>
        </w:rPr>
        <w:t>(Kaplan, 1995)</w:t>
      </w:r>
      <w:r w:rsidRPr="00C05886">
        <w:fldChar w:fldCharType="end"/>
      </w:r>
      <w:r w:rsidRPr="00C05886">
        <w:t xml:space="preserve"> and the Stress recovery theory </w:t>
      </w:r>
      <w:r w:rsidRPr="00C05886">
        <w:fldChar w:fldCharType="begin"/>
      </w:r>
      <w:r w:rsidR="00D63253" w:rsidRPr="00C05886">
        <w:instrText xml:space="preserve"> ADDIN ZOTERO_ITEM CSL_CITATION {"citationID":"htb9u8gU","properties":{"formattedCitation":"(Ulrich {\\i{}et al.}, 1991)","plainCitation":"(Ulrich et al., 1991)","noteIndex":0},"citationItems":[{"id":6345,"uris":["http://zotero.org/users/10951124/items/FZSVSHF3"],"itemData":{"id":6345,"type":"article-journal","abstract":"Different conceptual perspectives converge to predict that if individuals are stressed, an encounter with most unthreatening natural environments will have a stress reducing or restorative influence, whereas many urban environments will hamper recuperation. Hypotheses regarding emotional, attentional and physiological aspects of stress reducing influences of nature are derived from a psycho-evolutionary theory. To investigate these hypotheses, 120 subjects first viewed a stressful movie, and then were exposed to color/sound videotapes of one of six different natural and urban settings. Data concerning stress recovery during the environmental presentations were obtained from self-ratings of affective states and a battery of physiological measures: heart period, muscle tension, skin conductance and pulse transit time, a non-invasive measure that correlates with systolic blood pressure. Findings from the physiological and verbal measures converged to indicate that recovery was faster and more complete when subjects were exposed to natural rather than urban environments. The pattern of physiological findings raised the possibility that responses to nature had a salient parasympathetic nervous system component; however, there was no evidence of pronounced parasympathetic involvement in responses to the urban settings. There were directional differences in cardiac responses to the natural vs urban settings, suggesting that attention/intake was higher during the natural exposures. However, both the stressor film and the nature settings elicited high levels of involuntary or automatic attention, which contradicts the notion that restorative influences of nature stem from involuntary attention or fascination. Findings were consistent with the predictions of the psycho-evolutionary theory that restorative influences of nature involve a shift towards a more positively-toned emotional state, positive changes in physiological activity levels, and that these changes are accompanied by sustained attention/intake. Content differences in terms of natural vs human-made properties appeared decisive in accounting for the differences in recuperation and perceptual intake. © 1991 Academic Press Limited.","container-title":"Journal of Environmental Psychology","DOI":"10.1016/S0272-4944(05)80184-7","ISSN":"15229610","issue":"3","page":"201-230","title":"Stress recovery during exposure to natural and urban environments","volume":"11","author":[{"family":"Ulrich","given":"Roger S."},{"family":"Simons","given":"Robert F."},{"family":"Losito","given":"Barbara D."},{"family":"Fiorito","given":"Evelyn"},{"family":"Miles","given":"Mark A."},{"family":"Zelson","given":"Michael"}],"issued":{"date-parts":[["1991"]]}}}],"schema":"https://github.com/citation-style-language/schema/raw/master/csl-citation.json"} </w:instrText>
      </w:r>
      <w:r w:rsidRPr="00C05886">
        <w:fldChar w:fldCharType="separate"/>
      </w:r>
      <w:r w:rsidR="00D63253" w:rsidRPr="00C05886">
        <w:rPr>
          <w:rFonts w:ascii="Calibri" w:hAnsi="Calibri" w:cs="Calibri"/>
          <w:szCs w:val="24"/>
        </w:rPr>
        <w:t xml:space="preserve">(Ulrich </w:t>
      </w:r>
      <w:r w:rsidR="00D63253" w:rsidRPr="00C05886">
        <w:rPr>
          <w:rFonts w:ascii="Calibri" w:hAnsi="Calibri" w:cs="Calibri"/>
          <w:i/>
          <w:iCs/>
          <w:szCs w:val="24"/>
        </w:rPr>
        <w:t>et al.</w:t>
      </w:r>
      <w:r w:rsidR="00D63253" w:rsidRPr="00C05886">
        <w:rPr>
          <w:rFonts w:ascii="Calibri" w:hAnsi="Calibri" w:cs="Calibri"/>
          <w:szCs w:val="24"/>
        </w:rPr>
        <w:t>, 1991)</w:t>
      </w:r>
      <w:r w:rsidRPr="00C05886">
        <w:fldChar w:fldCharType="end"/>
      </w:r>
      <w:r w:rsidRPr="00C05886">
        <w:t xml:space="preserve">. Despite the differences between them, both theories recognised the importance of green spaces and natural environments in restoring mental energies and reducing the presence of stressors </w:t>
      </w:r>
      <w:r w:rsidRPr="00C05886">
        <w:fldChar w:fldCharType="begin"/>
      </w:r>
      <w:r w:rsidRPr="00C05886">
        <w:instrText xml:space="preserve"> ADDIN ZOTERO_ITEM CSL_CITATION {"citationID":"YDDhe45N","properties":{"formattedCitation":"(Berto, 2014)","plainCitation":"(Berto, 2014)","noteIndex":0},"citationItems":[{"id":6540,"uris":["http://zotero.org/users/10951124/items/JBULYHUL"],"itemData":{"id":6540,"type":"article-journal","container-title":"Behavioral sciences (Basel, Switzerland)","DOI":"10.3390/bs4040394","ISSN":"2076-328X","issue":"4","page":"394-409","title":"The role of nature in coping with psycho-physiological stress: a literature review on restorativeness.","volume":"4","author":[{"family":"Berto","given":"Rita"}],"editor":[{"family":"Berto","given":"Rita"}],"issued":{"date-parts":[["2014"]]}}}],"schema":"https://github.com/citation-style-language/schema/raw/master/csl-citation.json"} </w:instrText>
      </w:r>
      <w:r w:rsidRPr="00C05886">
        <w:fldChar w:fldCharType="separate"/>
      </w:r>
      <w:r w:rsidRPr="00C05886">
        <w:rPr>
          <w:rFonts w:ascii="Calibri" w:hAnsi="Calibri" w:cs="Calibri"/>
        </w:rPr>
        <w:t>(Berto, 2014)</w:t>
      </w:r>
      <w:r w:rsidRPr="00C05886">
        <w:fldChar w:fldCharType="end"/>
      </w:r>
      <w:r w:rsidRPr="00C05886">
        <w:t>.</w:t>
      </w:r>
    </w:p>
    <w:p w14:paraId="13B0C81B" w14:textId="0FE2D123" w:rsidR="00051048" w:rsidRPr="00C05886" w:rsidRDefault="00051048" w:rsidP="009A6F35">
      <w:r w:rsidRPr="00C05886">
        <w:t xml:space="preserve">Interestingly, it seems that exposure to green spaces does not need to be direct (i.e. in situ) to improve mental well-being </w:t>
      </w:r>
      <w:r w:rsidRPr="00C05886">
        <w:fldChar w:fldCharType="begin"/>
      </w:r>
      <w:r w:rsidRPr="00C05886">
        <w:instrText xml:space="preserve"> ADDIN ZOTERO_ITEM CSL_CITATION {"citationID":"vVMd0FYl","properties":{"formattedCitation":"(Lee {\\i{}et al.}, 2022; Nukarinen {\\i{}et al.}, 2022)","plainCitation":"(Lee et al., 2022; Nukarinen et al., 2022)","noteIndex":0},"citationItems":[{"id":10419,"uris":["http://zotero.org/users/10951124/items/M6WIGZ8I"],"itemData":{"id":10419,"type":"article-journal","abstract":"As mental health issues increase worldwide, nature-based experiences are being recognized as alternative treatments for improving health and well-being. Increasing urbanization precludes many people from accessing green spaces owing to time or physical limitations. Therefore, opportunities to connect with nature through virtual technology is being encouraged. We conducted a systematic review of studies on the psychological effects of experiencing nature using virtual technology. We searched the academic databases PubMed, Web of Science, and Scopus for relevant studies and assessed their quality using Cochrane’s RoB 2 and ROBINS-I tools. Twenty-one studies were included and the psychological outcomes were negatively synthesized by the intervention characteristics (duration, observation position of the landscape, interaction, environment description, and sensory type). Psychological outcomes were classified into emotional recovery, cognitive recovery, stress reduction, and other indicators. Emotional recovery was most consistently presented, and virtual natural contact alleviated negative emotions more than it elicited positive emotions. Additionally, virtual nature interventions lasting more than 10 min showed more consistent effects than those of less than 10 min. Moreover, an open field of view led to significant emotional recovery and an in-forest view led to significant cognitive recovery. Despite some limitations, our findings will contribute to the development of virtual forest experiences to improve human well-being.","container-title":"Forests","DOI":"10.3390/f13101625","ISSN":"1999-4907","issue":"10","journalAbbreviation":"Forests","language":"en","page":"1625","source":"DOI.org (Crossref)","title":"Psychological Effects of Green Experiences in a Virtual Environment: A Systematic Review","title-short":"Psychological Effects of Green Experiences in a Virtual Environment","volume":"13","author":[{"family":"Lee","given":"Mijin"},{"family":"Kim","given":"Eunsoo"},{"family":"Choe","given":"Jiwon"},{"family":"Choi","given":"Seonhye"},{"family":"Ha","given":"Siyeon"},{"family":"Kim","given":"Geonwoo"}],"issued":{"date-parts":[["2022",10,3]]}}},{"id":9988,"uris":["http://zotero.org/users/10951124/items/WPHSBQSA"],"itemData":{"id":9988,"type":"article-journal","container-title":"Computers in Human Behavior","DOI":"10.1016/j.chb.2021.107008","ISSN":"07475632","journalAbbreviation":"Computers in Human Behavior","language":"en","page":"107008","source":"DOI.org (Crossref)","title":"Measures and modalities in restorative virtual natural environments: An integrative narrative review","title-short":"Measures and modalities in restorative virtual natural environments","volume":"126","author":[{"family":"Nukarinen","given":"Tomi"},{"family":"Rantala","given":"Jussi"},{"family":"Korpela","given":"Kalevi"},{"family":"Browning","given":"Matthew H.E.M."},{"family":"Istance","given":"Howell O."},{"family":"Surakka","given":"Veikko"},{"family":"Raisamo","given":"Roope"}],"issued":{"date-parts":[["2022",1]]}}}],"schema":"https://github.com/citation-style-language/schema/raw/master/csl-citation.json"} </w:instrText>
      </w:r>
      <w:r w:rsidRPr="00C05886">
        <w:fldChar w:fldCharType="separate"/>
      </w:r>
      <w:r w:rsidRPr="00C05886">
        <w:rPr>
          <w:rFonts w:ascii="Calibri" w:hAnsi="Calibri" w:cs="Calibri"/>
          <w:szCs w:val="24"/>
        </w:rPr>
        <w:t xml:space="preserve">(Lee </w:t>
      </w:r>
      <w:r w:rsidRPr="00C05886">
        <w:rPr>
          <w:rFonts w:ascii="Calibri" w:hAnsi="Calibri" w:cs="Calibri"/>
          <w:i/>
          <w:iCs/>
          <w:szCs w:val="24"/>
        </w:rPr>
        <w:t>et al.</w:t>
      </w:r>
      <w:r w:rsidRPr="00C05886">
        <w:rPr>
          <w:rFonts w:ascii="Calibri" w:hAnsi="Calibri" w:cs="Calibri"/>
          <w:szCs w:val="24"/>
        </w:rPr>
        <w:t xml:space="preserve">, 2022; Nukarinen </w:t>
      </w:r>
      <w:r w:rsidRPr="00C05886">
        <w:rPr>
          <w:rFonts w:ascii="Calibri" w:hAnsi="Calibri" w:cs="Calibri"/>
          <w:i/>
          <w:iCs/>
          <w:szCs w:val="24"/>
        </w:rPr>
        <w:t>et al.</w:t>
      </w:r>
      <w:r w:rsidRPr="00C05886">
        <w:rPr>
          <w:rFonts w:ascii="Calibri" w:hAnsi="Calibri" w:cs="Calibri"/>
          <w:szCs w:val="24"/>
        </w:rPr>
        <w:t>, 2022)</w:t>
      </w:r>
      <w:r w:rsidRPr="00C05886">
        <w:fldChar w:fldCharType="end"/>
      </w:r>
      <w:r w:rsidRPr="00C05886">
        <w:t xml:space="preserve">. Using virtual exposure – i.e. exposing participants to green spaces with visual media – researchers observed improved mental well-being in participants who were exposed to pictures </w:t>
      </w:r>
      <w:r w:rsidRPr="00C05886">
        <w:fldChar w:fldCharType="begin"/>
      </w:r>
      <w:r w:rsidR="005D06C8" w:rsidRPr="00C05886">
        <w:instrText xml:space="preserve"> ADDIN ZOTERO_ITEM CSL_CITATION {"citationID":"u9yqXaeu","properties":{"formattedCitation":"(Ulrich, 1983)","plainCitation":"(Ulrich, 1983)","noteIndex":0},"citationItems":[{"id":7363,"uris":["http://zotero.org/users/10951124/items/Y7AZ34KM"],"itemData":{"id":7363,"type":"chapter","container-title":"Behavior and the natural environment","event-place":"New York","page":"85-125","publisher":"Springer","publisher-place":"New York","title":"Aesthetic and affective response to natural environment","author":[{"family":"Ulrich","given":"Roger S"}],"editor":[{"family":"Altman","given":"I."},{"family":"Wohlwill","given":"J."}],"issued":{"date-parts":[["1983"]]}}}],"schema":"https://github.com/citation-style-language/schema/raw/master/csl-citation.json"} </w:instrText>
      </w:r>
      <w:r w:rsidRPr="00C05886">
        <w:fldChar w:fldCharType="separate"/>
      </w:r>
      <w:r w:rsidR="005D06C8" w:rsidRPr="00C05886">
        <w:rPr>
          <w:rFonts w:ascii="Calibri" w:hAnsi="Calibri" w:cs="Calibri"/>
        </w:rPr>
        <w:t>(Ulrich, 1983)</w:t>
      </w:r>
      <w:r w:rsidRPr="00C05886">
        <w:fldChar w:fldCharType="end"/>
      </w:r>
      <w:r w:rsidRPr="00C05886">
        <w:t xml:space="preserve">, slideshows </w:t>
      </w:r>
      <w:r w:rsidRPr="00C05886">
        <w:fldChar w:fldCharType="begin"/>
      </w:r>
      <w:r w:rsidR="00FB3282" w:rsidRPr="00C05886">
        <w:instrText xml:space="preserve"> ADDIN ZOTERO_ITEM CSL_CITATION {"citationID":"6w4pm3LT","properties":{"formattedCitation":"(Johansson {\\i{}et al.}, 2014)","plainCitation":"(Johansson et al., 2014)","noteIndex":0},"citationItems":[{"id":8502,"uris":["http://zotero.org/users/local/pAEZdfSt/items/IMLZ568A","http://zotero.org/users/10951124/items/IMLZ568A"],"itemData":{"id":8502,"type":"article-journal","abstract":"Using a multilevel approach, this study investigates direct (perceptual, emotional, and physiological responses [qEEG]) and reflected (preference, attitude, and intention to accept conservation measures) appraisal of different levels of biodiversity in temperate deciduous broad-leaf forest biotopes. Thirty-five participants viewed three series of zoomed pictures from biotopes assessed according to biological criteria to be of High, Intermediate, and Low level of biodiversity. Participants’ appraisal differed between the biotopes, and partly between the conceptualisation of appraisal, but overall there was a consistency across direct and reflected levels of appraisal. The most prominent result of the analysis of qEEG was a higher brain activity in the Theta frequency for the Low biotope. The Theta frequency has amongst others been associated with on-set of sleep and in the present context probably indicating that the Low biotope was less stimulating. The Low biotope was perceived to have the lowest degree of biodiversity followed by the Intermediate and the High biotopes. The Intermediate biotope elicited the most positive emotional response, and was rated highest in preference and in importance to conserve, whereas the intention to accept conservation measures did not differ between the biotopes. Thus biodiversity related criteria presently favoured in forest conservation management schemes are not necessarily prioritised by the public. Emotional components are likely to be at stake tending to favour the conservation of biotopes of an intermediate level of biodiversity.","container-title":"Urban Forestry &amp; Urban Greening","DOI":"https://doi.org/10.1016/j.ufug.2013.10.009","ISSN":"1618-8667","issue":"1","page":"28-37","title":"Does biological quality matter? Direct and reflected appraisal of biodiversity in temperate deciduous broad-leaf forest","volume":"13","author":[{"family":"Johansson","given":"Maria"},{"family":"Gyllin","given":"Mats"},{"family":"Witzell","given":"Jesper"},{"family":"Küller","given":"Marianne"}],"issued":{"date-parts":[["2014"]]}}}],"schema":"https://github.com/citation-style-language/schema/raw/master/csl-citation.json"} </w:instrText>
      </w:r>
      <w:r w:rsidRPr="00C05886">
        <w:fldChar w:fldCharType="separate"/>
      </w:r>
      <w:r w:rsidR="00FB3282" w:rsidRPr="00C05886">
        <w:rPr>
          <w:rFonts w:ascii="Calibri" w:hAnsi="Calibri" w:cs="Calibri"/>
          <w:szCs w:val="24"/>
        </w:rPr>
        <w:t xml:space="preserve">(Johansson </w:t>
      </w:r>
      <w:r w:rsidR="00FB3282" w:rsidRPr="00C05886">
        <w:rPr>
          <w:rFonts w:ascii="Calibri" w:hAnsi="Calibri" w:cs="Calibri"/>
          <w:i/>
          <w:iCs/>
          <w:szCs w:val="24"/>
        </w:rPr>
        <w:t>et al.</w:t>
      </w:r>
      <w:r w:rsidR="00FB3282" w:rsidRPr="00C05886">
        <w:rPr>
          <w:rFonts w:ascii="Calibri" w:hAnsi="Calibri" w:cs="Calibri"/>
          <w:szCs w:val="24"/>
        </w:rPr>
        <w:t>, 2014)</w:t>
      </w:r>
      <w:r w:rsidRPr="00C05886">
        <w:fldChar w:fldCharType="end"/>
      </w:r>
      <w:r w:rsidRPr="00C05886">
        <w:t xml:space="preserve"> and videos </w:t>
      </w:r>
      <w:r w:rsidRPr="00C05886">
        <w:fldChar w:fldCharType="begin"/>
      </w:r>
      <w:r w:rsidR="00FB3282" w:rsidRPr="00C05886">
        <w:instrText xml:space="preserve"> ADDIN ZOTERO_ITEM CSL_CITATION {"citationID":"g5fyxxtA","properties":{"formattedCitation":"(Van Den Berg, Jorgensen and Wilson, 2014)","plainCitation":"(Van Den Berg, Jorgensen and Wilson, 2014)","noteIndex":0},"citationItems":[{"id":7023,"uris":["http://zotero.org/users/10951124/items/9KGD5Q28"],"itemData":{"id":7023,"type":"article-journal","abstract":"A growing body of research suggests that natural settings are more effective in providing restoration from depleted emotional and cognitive resources than built settings. However, there is a lack of evidence-based guidelines on which options for urban green space design and management are most effective in providing restoration. To address this need, the present study examined the restorative impacts of urban public spaces differing in naturalness. After having been pre-stressed by watching a scary movie, 102 participants were randomly assigned to viewing one of four photo/video presentations depicting an urban street, parkland, tended woodland, or wild woods. Self-reported mood and restorative state were measured at baseline, after the stressor and after viewing the environment. After controlling for stress reactivity, participants in the natural conditions showed stronger recovery on all dependent measures than those in the urban street condition. Differences in recovery among the natural settings did not reach significance. Keyword analysis revealed that the wild woods were described as more arousing than the parkland and tended woodland. There was substantial variation in recovery of vitality within natural conditions, which was related to perceptions of naturalness. In general, the findings suggest that restoration in urban public spaces depends on individual perceptions and needs as well as physical characteristics of the setting.","container-title":"Landscape and Urban Planning","DOI":"10.1016/j.landurbplan.2014.04.012","ISSN":"0169-2046","issue":"C","page":"173-181","title":"Evaluating restoration in urban green spaces: Does setting type make a difference?","volume":"127","author":[{"family":"Van Den Berg","given":"Agnes E"},{"family":"Jorgensen","given":"Anna"},{"family":"Wilson","given":"Edward R"}],"issued":{"date-parts":[["2014"]]}}}],"schema":"https://github.com/citation-style-language/schema/raw/master/csl-citation.json"} </w:instrText>
      </w:r>
      <w:r w:rsidRPr="00C05886">
        <w:fldChar w:fldCharType="separate"/>
      </w:r>
      <w:r w:rsidR="00FB3282" w:rsidRPr="00C05886">
        <w:rPr>
          <w:rFonts w:ascii="Calibri" w:hAnsi="Calibri" w:cs="Calibri"/>
        </w:rPr>
        <w:t>(Van Den Berg, Jorgensen and Wilson, 2014)</w:t>
      </w:r>
      <w:r w:rsidRPr="00C05886">
        <w:fldChar w:fldCharType="end"/>
      </w:r>
      <w:r w:rsidRPr="00C05886">
        <w:t xml:space="preserve">. More recently, the use of digital media has increased the quantity and quality of these studies, achieving new levels of simulation. For instance, </w:t>
      </w:r>
      <w:r w:rsidRPr="00C05886">
        <w:fldChar w:fldCharType="begin"/>
      </w:r>
      <w:r w:rsidRPr="00C05886">
        <w:instrText xml:space="preserve"> ADDIN ZOTERO_ITEM CSL_CITATION {"citationID":"soHBjStE","properties":{"formattedCitation":"(Browning, Mimnaugh, {\\i{}et al.}, 2020)","plainCitation":"(Browning, Mimnaugh, et al., 2020)","dontUpdate":true,"noteIndex":0},"citationItems":[{"id":4706,"uris":["http://zotero.org/users/10951124/items/I7ZC24VP"],"itemData":{"id":4706,"type":"article-journal","abstract":"Nature exposure in virtual reality (VR) can provide emotional well-being benefits for people who cannot access the outdoors. Little is known about how these simulated experiences compare with real outdoor experiences. We conduct an experiment with healthy undergraduate students that tests the effects of 6 min of outdoor nature exposure with 6 min of exposure to a 360-degree VR nature video, which is recorded at the outdoor nature exposure location. Skin conductivity, restorativeness, and mood before and after exposure are measured. We find that both types of nature exposure increase physiological arousal, benefit positive mood levels, and are restorative compared to an indoor setting without nature","container-title":"Frontiers in psychology","DOI":"10.3389/fpsyg.2019.02667","ISSN":"1664-1078","note":"publisher: Frontiers Media S.A","title":"Can Simulated Nature Support Mental Health? Comparing Short, Single-Doses of 360-Degree Nature Videos in Virtual Reality With the Outdoors","volume":"10","author":[{"family":"Browning","given":"Matthew"},{"family":"Mimnaugh","given":"Katherine J"},{"family":"Riper","given":"Carena J","non-dropping-particle":"van"},{"family":"Laurent","given":"Heidemarie K"},{"family":"LaValle","given":"Steven M"}],"issued":{"date-parts":[["2020"]]}}}],"schema":"https://github.com/citation-style-language/schema/raw/master/csl-citation.json"} </w:instrText>
      </w:r>
      <w:r w:rsidRPr="00C05886">
        <w:fldChar w:fldCharType="separate"/>
      </w:r>
      <w:r w:rsidRPr="00C05886">
        <w:rPr>
          <w:rFonts w:ascii="Calibri" w:hAnsi="Calibri" w:cs="Calibri"/>
          <w:szCs w:val="24"/>
        </w:rPr>
        <w:t xml:space="preserve">Browning, Mimnaugh, </w:t>
      </w:r>
      <w:r w:rsidRPr="00C05886">
        <w:rPr>
          <w:rFonts w:ascii="Calibri" w:hAnsi="Calibri" w:cs="Calibri"/>
          <w:i/>
          <w:iCs/>
          <w:szCs w:val="24"/>
        </w:rPr>
        <w:t>et al.</w:t>
      </w:r>
      <w:r w:rsidRPr="00C05886">
        <w:rPr>
          <w:rFonts w:ascii="Calibri" w:hAnsi="Calibri" w:cs="Calibri"/>
          <w:szCs w:val="24"/>
        </w:rPr>
        <w:t>, (2020)</w:t>
      </w:r>
      <w:r w:rsidRPr="00C05886">
        <w:fldChar w:fldCharType="end"/>
      </w:r>
      <w:r w:rsidRPr="00C05886">
        <w:t xml:space="preserve"> compared the effect of viewing a 360-degree video of woodland with the effect of being in the same woodland or resting in front of a white wall (control). Both real and virtual exposure to the woodland improved positive emotions, compared with the control condition (resting in front of a white wall).</w:t>
      </w:r>
    </w:p>
    <w:p w14:paraId="7FF9712C" w14:textId="774798A6" w:rsidR="00051048" w:rsidRPr="00C05886" w:rsidRDefault="00051048" w:rsidP="009A6F35">
      <w:r w:rsidRPr="00C05886">
        <w:t xml:space="preserve">Considering that the visual quality of these media can induce a sense of “being there” in the viewer </w:t>
      </w:r>
      <w:r w:rsidRPr="00C05886">
        <w:fldChar w:fldCharType="begin"/>
      </w:r>
      <w:r w:rsidRPr="00C05886">
        <w:instrText xml:space="preserve"> ADDIN ZOTERO_ITEM CSL_CITATION {"citationID":"2zU1HoLl","properties":{"formattedCitation":"(Chirico and Gaggioli, 2019; Ausin-Azofra {\\i{}et al.}, 2021)","plainCitation":"(Chirico and Gaggioli, 2019; Ausin-Azofra et al., 2021)","noteIndex":0},"citationItems":[{"id":9159,"uris":["http://zotero.org/users/10951124/items/LY6QYXMZ"],"itemData":{"id":9159,"type":"article-journal","abstract":"Abstract Although virtual reality (VR) is increasingly regarded as an effective emotion induction technique, little research has examined whether and how emotions elicited in VR differ from those evoked in real life. To address this question, 50 participants (25 females and 25 males) were exposed to either a real-life contemplative scenario (a panoramic view of a lake) or to an immersive 360° footage of the same landscape. Next, type and valence of emotions, as well as sense of presence reported by participants, were compared across conditions. Findings showed that emotions elicited by virtual and natural conditions were not significantly different. The only exception was anger, which was significantly higher in the natural condition, and amusement, which was significantly higher in the virtual condition. Sense of physical presence and engagement dimensions of presence did not significantly differ between virtual and real conditions. However, different correlation patterns between emotions and key dimensions of presence were found after in vivo and in virtuo exposure. These findings provide initial evidence that emotions and sense of presence elicited by immersive videos are comparable with those evoked by real-life scenarios and warrant further investigations.","container-title":"Cyberpsychology, Behavior, and Social Networking","DOI":"10.1089/cyber.2018.0393","ISSN":"2152-2715","issue":"3","note":"publisher: Mary Ann Liebert, Inc., publishers","page":"220-226","title":"When Virtual Feels Real: Comparing Emotional Responses and Presence in Virtual and Natural Environments","volume":"22","author":[{"family":"Chirico","given":"Alice"},{"family":"Gaggioli","given":"Andrea"}],"issued":{"date-parts":[["2019",2,7]]}}},{"id":10470,"uris":["http://zotero.org/users/10951124/items/TALYMUZY"],"itemData":{"id":10470,"type":"article-journal","abstract":"This study compares cognitive and emotional responses to 360-degree vs. static (2D) videos in terms of visual attention, brand recognition, engagement of the prefrontal cortex, and emotions. Hypotheses are proposed based on the interactivity literature, cognitive overload, advertising response model and motivation, opportunity, and ability theoretical frameworks, and tested using neurophysiological tools: electroencephalography, eye-tracking, electrodermal activity, and facial coding. The results revealed that gaze view depends on ad content, visual attention paid being lower in 360-degree FMCG ads than in 2D ads. Brand logo recognition is lower in 360-degree ads than in 2D video ads. Overall, 360-degree ads for durable products increase positive emotions, which carries the risk of non-exposure to some of the ad content. In testing four ads for durable goods and fast-moving consumer goods (FMCG) this research explains the mechanism through which 360-degree video ads outperform standard versions.","container-title":"Frontiers in Psychology","DOI":"10.3389/fpsyg.2021.612717","ISSN":"1664-1078","journalAbbreviation":"Front. Psychol.","page":"612717","source":"DOI.org (Crossref)","title":"Do You See What I See? Effectiveness of 360-Degree vs. 2D Video Ads Using a Neuroscience Approach","title-short":"Do You See What I See?","volume":"12","author":[{"family":"Ausin-Azofra","given":"Jose M."},{"family":"Bigne","given":"Enrique"},{"family":"Ruiz","given":"Carla"},{"family":"Marín-Morales","given":"Javier"},{"family":"Guixeres","given":"Jaime"},{"family":"Alcañiz","given":"Mariano"}],"issued":{"date-parts":[["2021",2,19]]}}}],"schema":"https://github.com/citation-style-language/schema/raw/master/csl-citation.json"} </w:instrText>
      </w:r>
      <w:r w:rsidRPr="00C05886">
        <w:fldChar w:fldCharType="separate"/>
      </w:r>
      <w:r w:rsidRPr="00C05886">
        <w:rPr>
          <w:rFonts w:ascii="Calibri" w:hAnsi="Calibri" w:cs="Calibri"/>
          <w:szCs w:val="24"/>
        </w:rPr>
        <w:t xml:space="preserve">(Chirico and Gaggioli, 2019; Ausin-Azofra </w:t>
      </w:r>
      <w:r w:rsidRPr="00C05886">
        <w:rPr>
          <w:rFonts w:ascii="Calibri" w:hAnsi="Calibri" w:cs="Calibri"/>
          <w:i/>
          <w:iCs/>
          <w:szCs w:val="24"/>
        </w:rPr>
        <w:t>et al.</w:t>
      </w:r>
      <w:r w:rsidRPr="00C05886">
        <w:rPr>
          <w:rFonts w:ascii="Calibri" w:hAnsi="Calibri" w:cs="Calibri"/>
          <w:szCs w:val="24"/>
        </w:rPr>
        <w:t>, 2021)</w:t>
      </w:r>
      <w:r w:rsidRPr="00C05886">
        <w:fldChar w:fldCharType="end"/>
      </w:r>
      <w:r w:rsidRPr="00C05886">
        <w:t xml:space="preserve">, it lays the foundation for novel investigation on restorative environments. In addition, these media allow finer control of the experimental variables (e.g. the weather conditions of a virtual setting will be consistent), which is not always feasible in outdoor setups. Further,  virtual nature could also open up more opportunities to reach groups of participants who are not usually well-represented in restorative studies </w:t>
      </w:r>
      <w:r w:rsidRPr="00C05886">
        <w:fldChar w:fldCharType="begin"/>
      </w:r>
      <w:r w:rsidRPr="00C05886">
        <w:instrText xml:space="preserve"> ADDIN ZOTERO_ITEM CSL_CITATION {"citationID":"sJHsv4Mc","properties":{"formattedCitation":"(Guyot {\\i{}et al.}, 2023)","plainCitation":"(Guyot et al., 2023)","noteIndex":0},"citationItems":[{"id":9991,"uris":["http://zotero.org/users/10951124/items/PUUXUMAR"],"itemData":{"id":9991,"type":"article-journal","abstract":"Abstract\n            \n              Background\n              This paper aims at analysing the impact of partial non-response in the association between urban environment and mental health in Brussels. The potential threats of the partial non-response are biases in survey estimates and statistics. The effect of non-response on statistical associations is often overlooked and evidence in the research literature is lacking.\n            \n            \n              Methods\n              Data from the Belgian Health Interview Survey 2008 and 2013 were used. The association between non-response and potential determinants was explored through logistic regressions.\n            \n            \n              Results\n              Participants with low income, low educational levels, lower or higher age or in households with children were less likely to respond. When adjusting for socio-economic variables, non-response was higher in areas which are less vegetated, more polluted or more urbanised. Because the determinants of non-response and depressive disorders were similar, it is reasonable to assume that there will be more people with mental health problems among the non-respondents. And because more non-responses were found in low vegetation areas, the protective association between green spaces and mental health may be underestimated.\n            \n            \n              Conclusion\n              Our capacity to measure the association between the urban environment and health is affected by non-response in surveys. The non-random spatial and socio-economic distribution of this bias affects the research findings.","container-title":"Archives of Public Health","DOI":"10.1186/s13690-023-01118-y","ISSN":"2049-3258","issue":"1","journalAbbreviation":"Arch Public Health","language":"en","page":"129","source":"DOI.org (Crossref)","title":"Non-response bias in the analysis of the association between mental health and the urban environment: a cross-sectional study in Brussels, Belgium","title-short":"Non-response bias in the analysis of the association between mental health and the urban environment","volume":"81","author":[{"family":"Guyot","given":"Madeleine"},{"family":"Pelgrims","given":"Ingrid"},{"family":"Aerts","given":"Raf"},{"family":"Keune","given":"Hans"},{"family":"Remmen","given":"Roy"},{"family":"De Clercq","given":"Eva M."},{"family":"Thomas","given":"Isabelle"},{"family":"Vanwambeke","given":"Sophie O."}],"issued":{"date-parts":[["2023",7,7]]}}}],"schema":"https://github.com/citation-style-language/schema/raw/master/csl-citation.json"} </w:instrText>
      </w:r>
      <w:r w:rsidRPr="00C05886">
        <w:fldChar w:fldCharType="separate"/>
      </w:r>
      <w:r w:rsidRPr="00C05886">
        <w:rPr>
          <w:rFonts w:ascii="Calibri" w:hAnsi="Calibri" w:cs="Calibri"/>
          <w:szCs w:val="24"/>
        </w:rPr>
        <w:t xml:space="preserve">(Guyot </w:t>
      </w:r>
      <w:r w:rsidRPr="00C05886">
        <w:rPr>
          <w:rFonts w:ascii="Calibri" w:hAnsi="Calibri" w:cs="Calibri"/>
          <w:i/>
          <w:iCs/>
          <w:szCs w:val="24"/>
        </w:rPr>
        <w:t>et al.</w:t>
      </w:r>
      <w:r w:rsidRPr="00C05886">
        <w:rPr>
          <w:rFonts w:ascii="Calibri" w:hAnsi="Calibri" w:cs="Calibri"/>
          <w:szCs w:val="24"/>
        </w:rPr>
        <w:t>, 2023)</w:t>
      </w:r>
      <w:r w:rsidRPr="00C05886">
        <w:fldChar w:fldCharType="end"/>
      </w:r>
      <w:r w:rsidRPr="00C05886">
        <w:t xml:space="preserve">. For example, hospitalised patients, mobility-impaired people and prisoners cannot access green spaces easily and yet they would theoretically benefit the most from the exposure. Recently, 360-degree media were successfully used to increase the well-being of vulnerable participants, including participants in lockdown during the COVID-19 pandemic </w:t>
      </w:r>
      <w:r w:rsidRPr="00C05886">
        <w:fldChar w:fldCharType="begin"/>
      </w:r>
      <w:r w:rsidR="009947CC" w:rsidRPr="00C05886">
        <w:instrText xml:space="preserve"> ADDIN ZOTERO_ITEM CSL_CITATION {"citationID":"uVUgDp37","properties":{"formattedCitation":"(Zabini {\\i{}et al.}, 2020)","plainCitation":"(Zabini et al., 2020)","noteIndex":0},"citationItems":[{"id":5130,"uris":["http://zotero.org/users/10951124/items/TMF5PW9N"],"itemData":{"id":5130,"type":"article-journal","abstract":"The prolonged lockdown imposed to contain the COrona VIrus Disease 19 COVID-19 pandemic prevented many people from direct contact with nature and greenspaces, raising alarms for a possible worsening of mental health. This study investigated the effectiveness of a simple and affordable remedy for improving psychological well-being, based on audio-visual stimuli brought by a short computer video showing forest environments, with an urban video as a control. Randomly selected participants were assigned the forest or urban video, to look at and listen to early in the morning, and questionnaires to fill out. In particular, the State-Trait Anxiety Inventory (STAI) Form Y collected in baseline condition and at the end of the study and the Part II of the Sheehan Patient Rated Anxiety Scale (SPRAS) collected every day immediately before and after watching the video. The virtual exposure to forest environments showed effective to reduce perceived anxiety levels in people forced by lockdown in limited spaces and environmental deprivation. Although significant, the effects were observed only in the short term, highlighting the limitation of the virtual experiences. The reported effects might also represent a benchmark to disentangle the determinants of health effects due to real forest experiences, for example, the inhalation of biogenic volatile organic compounds (BVOC).","container-title":"International Journal of Environmental Research and Public Health","DOI":"10.3390/ijerph17218011","issue":"21","note":"ISBN: 1660-4601","title":"Comparative Study of the Restorative Effects of Forest and Urban Videos during COVID-19 Lockdown: Intrinsic and Benchmark Values","volume":"17","author":[{"family":"Zabini","given":"Federica"},{"family":"Albanese","given":"Lorenzo"},{"family":"Becheri","given":"Francesco R"},{"family":"Gavazzi","given":"Gioele"},{"family":"Giganti","given":"Fiorenza"},{"family":"Giovanelli","given":"Fabio"},{"family":"Gronchi","given":"Giorgio"},{"family":"Guazzini","given":"Andrea"},{"family":"Laurino","given":"Marco"},{"family":"Li","given":"Qing"},{"family":"Marzi","given":"Tessa"},{"family":"Mastorci","given":"Francesca"},{"family":"Meneguzzo","given":"Francesco"},{"family":"Righi","given":"Stefania"},{"family":"Viggiano","given":"Maria P"}],"issued":{"date-parts":[["2020"]]}}}],"schema":"https://github.com/citation-style-language/schema/raw/master/csl-citation.json"} </w:instrText>
      </w:r>
      <w:r w:rsidRPr="00C05886">
        <w:fldChar w:fldCharType="separate"/>
      </w:r>
      <w:r w:rsidR="009947CC" w:rsidRPr="00C05886">
        <w:rPr>
          <w:rFonts w:ascii="Calibri" w:hAnsi="Calibri" w:cs="Calibri"/>
          <w:szCs w:val="24"/>
        </w:rPr>
        <w:t xml:space="preserve">(Zabini </w:t>
      </w:r>
      <w:r w:rsidR="009947CC" w:rsidRPr="00C05886">
        <w:rPr>
          <w:rFonts w:ascii="Calibri" w:hAnsi="Calibri" w:cs="Calibri"/>
          <w:i/>
          <w:iCs/>
          <w:szCs w:val="24"/>
        </w:rPr>
        <w:t>et al.</w:t>
      </w:r>
      <w:r w:rsidR="009947CC" w:rsidRPr="00C05886">
        <w:rPr>
          <w:rFonts w:ascii="Calibri" w:hAnsi="Calibri" w:cs="Calibri"/>
          <w:szCs w:val="24"/>
        </w:rPr>
        <w:t>, 2020)</w:t>
      </w:r>
      <w:r w:rsidRPr="00C05886">
        <w:fldChar w:fldCharType="end"/>
      </w:r>
      <w:r w:rsidRPr="00C05886">
        <w:t xml:space="preserve">, pregnant women – whose mobility is usually reduced – </w:t>
      </w:r>
      <w:r w:rsidRPr="00C05886">
        <w:fldChar w:fldCharType="begin"/>
      </w:r>
      <w:r w:rsidRPr="00C05886">
        <w:instrText xml:space="preserve"> ADDIN ZOTERO_ITEM CSL_CITATION {"citationID":"Ilm1l836","properties":{"formattedCitation":"(Sun {\\i{}et al.}, 2023)","plainCitation":"(Sun et al., 2023)","noteIndex":0},"citationItems":[{"id":10418,"uris":["http://zotero.org/users/10951124/items/J6JGVXXL"],"itemData":{"id":10418,"type":"article-journal","container-title":"Environmental Research","DOI":"10.1016/j.envres.2022.114499","ISSN":"00139351","journalAbbreviation":"Environmental Research","language":"en","page":"114499","source":"DOI.org (Crossref)","title":"Physiological and affective responses to green space virtual reality among pregnant women","volume":"216","author":[{"family":"Sun","given":"Yi"},{"family":"Li","given":"Fu"},{"family":"He","given":"Tao"},{"family":"Meng","given":"Yaohan"},{"family":"Yin","given":"Jie"},{"family":"Yim","given":"Ilona S."},{"family":"Xu","given":"Liyan"},{"family":"Wu","given":"Jun"}],"issued":{"date-parts":[["2023",1]]}}}],"schema":"https://github.com/citation-style-language/schema/raw/master/csl-citation.json"} </w:instrText>
      </w:r>
      <w:r w:rsidRPr="00C05886">
        <w:fldChar w:fldCharType="separate"/>
      </w:r>
      <w:r w:rsidRPr="00C05886">
        <w:rPr>
          <w:rFonts w:ascii="Calibri" w:hAnsi="Calibri" w:cs="Calibri"/>
          <w:szCs w:val="24"/>
        </w:rPr>
        <w:t xml:space="preserve">(Sun </w:t>
      </w:r>
      <w:r w:rsidRPr="00C05886">
        <w:rPr>
          <w:rFonts w:ascii="Calibri" w:hAnsi="Calibri" w:cs="Calibri"/>
          <w:i/>
          <w:iCs/>
          <w:szCs w:val="24"/>
        </w:rPr>
        <w:t>et al.</w:t>
      </w:r>
      <w:r w:rsidRPr="00C05886">
        <w:rPr>
          <w:rFonts w:ascii="Calibri" w:hAnsi="Calibri" w:cs="Calibri"/>
          <w:szCs w:val="24"/>
        </w:rPr>
        <w:t>, 2023)</w:t>
      </w:r>
      <w:r w:rsidRPr="00C05886">
        <w:fldChar w:fldCharType="end"/>
      </w:r>
      <w:r w:rsidRPr="00C05886">
        <w:t xml:space="preserve"> and hypersensitive patients </w:t>
      </w:r>
      <w:r w:rsidRPr="00C05886">
        <w:fldChar w:fldCharType="begin"/>
      </w:r>
      <w:r w:rsidRPr="00C05886">
        <w:instrText xml:space="preserve"> ADDIN ZOTERO_ITEM CSL_CITATION {"citationID":"MaN4EmCX","properties":{"formattedCitation":"(Jo, Lee and Jeon, 2022)","plainCitation":"(Jo, Lee and Jeon, 2022)","noteIndex":0},"citationItems":[{"id":10421,"uris":["http://zotero.org/users/10951124/items/QSBDBJ45"],"itemData":{"id":10421,"type":"article-journal","abstract":"Abstract\n            Noise sensitivity is a crucial factor affecting subjective psychophysiological responses to the acoustic environment of various indoor and outdoor spaces. This study examines how noise sensitivity or hyperacusis affects the recovery of emotional and autonomic nervous system (ANS) responses when experiencing various monoscopic 360 video and stereoscopic sound environments (urban and natural) that represent the actual environment. A total of 60 general participants with mild depression, stress, and anxiety were examined using a survey to investigate individual characteristics, including noise sensitivity, and K-means clustering was used to classify them into sensitivity groups. Emotional and physiological responses were measured using the Korean edition of Profile of Mood States and by assessing heart rate variability, respectively. Overall, the emotional recovery effect was greater in the natural than the urban environment, and the homeostatic mechanism of the ANS was better maintained, thereby increasing stress resistance. Noise sensitivity did not have considerable effect on psychophysiological recovery in the natural environment, but had a significant effect on emotional response in the urban environment. This can be used as basic data in seeking customized emotional recovery for individuals using monoscopic 360 video and stereoscopic sound technology in the future.","container-title":"Scientific Reports","DOI":"10.1038/s41598-022-08374-y","ISSN":"2045-2322","issue":"1","journalAbbreviation":"Sci Rep","language":"en","source":"DOI.org (Crossref)","title":"Effect of noise sensitivity on psychophysiological response through monoscopic 360 video and stereoscopic sound environment experience: a randomized control trial","title-short":"Effect of noise sensitivity on psychophysiological response through monoscopic 360 video and stereoscopic sound environment experience","URL":"https://www.nature.com/articles/s41598-022-08374-y","volume":"12","author":[{"family":"Jo","given":"Hyun In"},{"family":"Lee","given":"Kounseok"},{"family":"Jeon","given":"Jin Yong"}],"accessed":{"date-parts":[["2023",10,6]]},"issued":{"date-parts":[["2022",3,16]]}}}],"schema":"https://github.com/citation-style-language/schema/raw/master/csl-citation.json"} </w:instrText>
      </w:r>
      <w:r w:rsidRPr="00C05886">
        <w:fldChar w:fldCharType="separate"/>
      </w:r>
      <w:r w:rsidRPr="00C05886">
        <w:rPr>
          <w:rFonts w:ascii="Calibri" w:hAnsi="Calibri" w:cs="Calibri"/>
        </w:rPr>
        <w:t xml:space="preserve">(Jo, Lee </w:t>
      </w:r>
      <w:r w:rsidRPr="00C05886">
        <w:rPr>
          <w:rFonts w:ascii="Calibri" w:hAnsi="Calibri" w:cs="Calibri"/>
        </w:rPr>
        <w:lastRenderedPageBreak/>
        <w:t>and Jeon, 2022)</w:t>
      </w:r>
      <w:r w:rsidRPr="00C05886">
        <w:fldChar w:fldCharType="end"/>
      </w:r>
      <w:r w:rsidRPr="00C05886">
        <w:t xml:space="preserve">. In another intervention, a combination of high-quality nature videos and guided mindfulness exercises was successfully used to elicit physical sensations in mobility-impaired participants </w:t>
      </w:r>
      <w:r w:rsidRPr="00C05886">
        <w:fldChar w:fldCharType="begin"/>
      </w:r>
      <w:r w:rsidRPr="00C05886">
        <w:instrText xml:space="preserve"> ADDIN ZOTERO_ITEM CSL_CITATION {"citationID":"tt5xxNJK","properties":{"formattedCitation":"(McEwan {\\i{}et al.}, 2023)","plainCitation":"(McEwan et al., 2023)","noteIndex":0},"citationItems":[{"id":10516,"uris":["http://zotero.org/users/10951124/items/7QZCHZFW"],"itemData":{"id":10516,"type":"article-journal","abstract":"Background: Although access to nature is demonstrated to benefit health and wellbeing, adults with mobility impairments and/or low energy often face barriers in accessing nature environments and nature-based programs. This study aimed to examine the experiences and impacts of virtual forest bathing by capturing the perspectives of disabled adults with mobility impairments and/or low energy. Methods: A total of 26 adults with mobility impairments provided written and spoken qualitative feedback during and following virtual forest bathing programs and 23 participants provided feedback at a one month follow-up. Virtual programs were presented online, using an accessible format, 2D videos, and images of nature accompanied by guidance led by a certified forest bathing guide and mindfulness teacher. The programs involved disabled facilitators and participants, which created a social environment of peer support. Results: Qualitative thematic analysis revealed 10 themes comprising intervention themes (virtual delivery and soothing facilitation); process themes (nature connection, relaxation, embodiment, and memories with complex emotions); and outcome themes (happiness, agency, metaphor making, and belonging). Conclusions: Virtual forest bathing may offer an effective adjunct to improve wellbeing and provide peer support for disabled adults with mobility impairments and/or low energy.","container-title":"Forests","DOI":"10.3390/f14051033","ISSN":"1999-4907","issue":"5","journalAbbreviation":"Forests","language":"en","page":"1033","source":"DOI.org (Crossref)","title":"Virtual Forest Bathing Programming as Experienced by Disabled Adults with Mobility Impairments and/or Low Energy: A Qualitative Study","title-short":"Virtual Forest Bathing Programming as Experienced by Disabled Adults with Mobility Impairments and/or Low Energy","volume":"14","author":[{"family":"McEwan","given":"Kirsten"},{"family":"Krogh","given":"Kari S."},{"family":"Dunlop","given":"Kim"},{"family":"Khan","given":"Mahnoor"},{"family":"Krogh","given":"Alyssa"}],"issued":{"date-parts":[["2023",5,17]]}}}],"schema":"https://github.com/citation-style-language/schema/raw/master/csl-citation.json"} </w:instrText>
      </w:r>
      <w:r w:rsidRPr="00C05886">
        <w:fldChar w:fldCharType="separate"/>
      </w:r>
      <w:r w:rsidRPr="00C05886">
        <w:rPr>
          <w:rFonts w:ascii="Calibri" w:hAnsi="Calibri" w:cs="Calibri"/>
          <w:szCs w:val="24"/>
        </w:rPr>
        <w:t xml:space="preserve">(McEwan </w:t>
      </w:r>
      <w:r w:rsidRPr="00C05886">
        <w:rPr>
          <w:rFonts w:ascii="Calibri" w:hAnsi="Calibri" w:cs="Calibri"/>
          <w:i/>
          <w:iCs/>
          <w:szCs w:val="24"/>
        </w:rPr>
        <w:t>et al.</w:t>
      </w:r>
      <w:r w:rsidRPr="00C05886">
        <w:rPr>
          <w:rFonts w:ascii="Calibri" w:hAnsi="Calibri" w:cs="Calibri"/>
          <w:szCs w:val="24"/>
        </w:rPr>
        <w:t>, 2023)</w:t>
      </w:r>
      <w:r w:rsidRPr="00C05886">
        <w:fldChar w:fldCharType="end"/>
      </w:r>
      <w:r w:rsidRPr="00C05886">
        <w:t xml:space="preserve">. Through the activation of the mirror neurons, these participants reported that they could feel the textures of trees and moss when the video showed the guide’s hand touching these surfaces. Despite these exceptional results, being in a real green space tends to be more effective than a virtual simulation </w:t>
      </w:r>
      <w:r w:rsidRPr="00C05886">
        <w:fldChar w:fldCharType="begin"/>
      </w:r>
      <w:r w:rsidRPr="00C05886">
        <w:instrText xml:space="preserve"> ADDIN ZOTERO_ITEM CSL_CITATION {"citationID":"kxjIAVeG","properties":{"formattedCitation":"(McMahan and Estes, 2015; Browning, Shipley, {\\i{}et al.}, 2020)","plainCitation":"(McMahan and Estes, 2015; Browning, Shipley, et al., 2020)","noteIndex":0},"citationItems":[{"id":6296,"uris":["http://zotero.org/users/10951124/items/UFVUX6YA"],"itemData":{"id":6296,"type":"article-journal","abstract":"&lt;p&gt;A growing body of empirical research suggests that brief contact with natural environments improves emotional well-being. The current study synthesizes this body of research using meta-analytic techniques and assesses the mean effect size of exposure to natural environments on both positive and negative affect. Thirty-two studies with a total of 2356 participants were included. Across these studies, exposure to natural environments was associated with a moderate increase in positive affect and a smaller, yet consistent, decrease in negative affect relative to comparison conditions. Significant heterogeneity was found for the effect of nature on positive affect, and type of emotion assessment, type of exposure to nature, location of study, and mean age of sample were found to moderate this effect. The implications of these findings for existing theory and research are discussed, with particular emphasis placed on potential avenues for fruitful future research examining the effects of nature on well-being.&lt;/p&gt;","container-title":"The Journal of Positive Psychology","DOI":"10.1080/17439760.2014.994224","ISSN":"1743-9760","issue":"6","page":"507-519","title":"The effect of contact with natural environments on positive and negative affect: A meta-analysis","volume":"10","author":[{"family":"McMahan","given":"Ethan A"},{"family":"Estes","given":"David"}],"issued":{"date-parts":[["2015"]]}}},{"id":5471,"uris":["http://zotero.org/users/10951124/items/HS7BZ2DY"],"itemData":{"id":5471,"type":"article-journal","abstract":"Accumulating evidence indicates that simulated natural settings can engage mechanisms that promote health. Simulations offer alternatives to actual natural settings for populations unable to travel outdoors safely; however, few studies have contrasted the effects of simulations of natural settings to their actual outdoor counterparts. We compared the impacts of simulated and actual natural settings on positive and negative affect (mood) levels using a pooled sample of participants enrolled in extant experimental studies. Relevant articles were identified from a review of research published/in press by March 2020. Of 15 articles identified, five met the inclusion criteria and administered a single cross-cutting, standardized instrument (the Positive and Negative Affect Schedule; PANAS) before and after exposure. Random effects meta-analysis of pooled effects showed that positive affect increased in the actual settings but not in their simulated counterparts (Hedge's g = 0.88; 95% CI: 0.53, 1.25). We observed no difference in effects on negative affect change scores (g = -0.23; 95% CI: -0.60, 0.13), with studies generally showing reductions in negative affect in both settings. Further research with additional populations, settings, antecedent conditions and durations will provide a more robust understanding of differences in effects between these two ways to enhance mood by viewing nature.","container-title":"Frontiers in Psychology","DOI":"10.3389/fpsyg.2020.02200","issue":"September","page":"1-12","title":"An Actual Natural Setting Improves Mood Better Than Its Virtual Counterpart: A Meta-Analysis of Experimental Data","volume":"11","author":[{"family":"Browning","given":"Matthew"},{"family":"Shipley","given":"Nathan"},{"family":"McAnirlin","given":"Olivia"},{"family":"Becker","given":"Douglas"},{"family":"Yu","given":"Chia-Pin"},{"family":"Hartig","given":"Terry"},{"family":"Dzhambov","given":"Angel M."}],"issued":{"date-parts":[["2020"]]}}}],"schema":"https://github.com/citation-style-language/schema/raw/master/csl-citation.json"} </w:instrText>
      </w:r>
      <w:r w:rsidRPr="00C05886">
        <w:fldChar w:fldCharType="separate"/>
      </w:r>
      <w:r w:rsidRPr="00C05886">
        <w:rPr>
          <w:rFonts w:ascii="Calibri" w:hAnsi="Calibri" w:cs="Calibri"/>
          <w:szCs w:val="24"/>
        </w:rPr>
        <w:t xml:space="preserve">(McMahan and Estes, 2015; Browning, Shipley, </w:t>
      </w:r>
      <w:r w:rsidRPr="00C05886">
        <w:rPr>
          <w:rFonts w:ascii="Calibri" w:hAnsi="Calibri" w:cs="Calibri"/>
          <w:i/>
          <w:iCs/>
          <w:szCs w:val="24"/>
        </w:rPr>
        <w:t>et al.</w:t>
      </w:r>
      <w:r w:rsidRPr="00C05886">
        <w:rPr>
          <w:rFonts w:ascii="Calibri" w:hAnsi="Calibri" w:cs="Calibri"/>
          <w:szCs w:val="24"/>
        </w:rPr>
        <w:t>, 2020)</w:t>
      </w:r>
      <w:r w:rsidRPr="00C05886">
        <w:fldChar w:fldCharType="end"/>
      </w:r>
      <w:r w:rsidRPr="00C05886">
        <w:t>, so more research is needed to understand if virtual green spaces can provide consistent well-being improvements.</w:t>
      </w:r>
    </w:p>
    <w:p w14:paraId="1F779C1F" w14:textId="4C52EB1D" w:rsidR="00051048" w:rsidRPr="00C05886" w:rsidRDefault="00051048" w:rsidP="009A6F35">
      <w:r w:rsidRPr="00C05886">
        <w:t xml:space="preserve">Although the notion that green spaces support well-being is evidenced by decades of research </w:t>
      </w:r>
      <w:r w:rsidRPr="00C05886">
        <w:fldChar w:fldCharType="begin"/>
      </w:r>
      <w:r w:rsidRPr="00C05886">
        <w:instrText xml:space="preserve"> ADDIN ZOTERO_ITEM CSL_CITATION {"citationID":"XkZMOSDj","properties":{"formattedCitation":"(Kondo {\\i{}et al.}, 2018; Bratman {\\i{}et al.}, 2019)","plainCitation":"(Kondo et al., 2018; Bratman et al., 2019)","noteIndex":0},"citationItems":[{"id":7725,"uris":["http://zotero.org/users/10951124/items/7ZZX4RKI"],"itemData":{"id":7725,"type":"article-journal","abstract":"Background: Over half of the world’s population now lives in urban areas, and this proportion is expected to increase. While there have been numerous reviews of empirical studies on the link between nature and human health, very few have focused on the urban context, and most have examined almost exclusively cross-sectional research. This review is a first step toward assessing the possibility of causal relationships between nature and health in urban settings. Methods: Through systematic review of published literature, we explored the association between urban green space and human health. Results: We found consistent negative association between urban green space exposure and mortality, heart rate, and violence, and positive association with attention, mood, and physical activity. Results were mixed, or no association was found, in studies of urban green space exposure and general health, weight status, depression, and stress (via cortisol concentration). The number of studies was too low to generalize about birth outcomes, blood pressure, heart rate variability, cancer, diabetes, or respiratory symptoms. Conclusions: More studies using rigorous study design are needed to make generalizations, and meta-analyses, of these and other health outcomes possible. These findings may assist urban managers, organizations, and communities in their efforts to increase new or preserve existing green space.","container-title":"International journal of environmental research and public health","DOI":"10.3390/ijerph15030445","ISSN":"16604601","issue":"3","note":"PMID: 29510520","title":"Urban green space and its impact on human health","volume":"15","author":[{"family":"Kondo","given":"Michelle C."},{"family":"Fluehr","given":"Jaime M."},{"family":"Mckeon","given":"Thomas"},{"family":"Branas","given":"Charles C."}],"editor":[{"family":"Kondo","given":"Michelle C"}],"issued":{"date-parts":[["2018"]]}}},{"id":6497,"uris":["http://zotero.org/users/10951124/items/PLFMTM5N"],"itemData":{"id":6497,"type":"article-journal","abstract":"A growing body of empirical evidence is revealing the value of nature experience for mental health. With rapid urbanization and declines in human contact with nature globally, crucial decisions must be made about how to preserve and enhance opportunities for nature experience. Here, we first provide points of consensus across the natural, social, and health sciences on the impacts of nature experience on cognitive functioning, emotional well-being, and other dimensions of mental health. We then show how ecosystem service assessments can be expanded to include mental health, and provide a heuristic, conceptual model for doing so.","container-title":"Science Advances","DOI":"10.1126/sciadv.aax0903","ISSN":"23752548","issue":"7","title":"Nature and mental health: An ecosystem service perspective","volume":"5","author":[{"family":"Bratman","given":"Gregory N."},{"family":"Anderson","given":"Christopher B."},{"family":"Berman","given":"Marc G."},{"family":"Cochran","given":"Bobby"},{"family":"Vries","given":"Sjerp","non-dropping-particle":"de"},{"family":"Flanders","given":"Jon"},{"family":"Folke","given":"Carl"},{"family":"Frumkin","given":"Howard"},{"family":"Gross","given":"James J."},{"family":"Hartig","given":"Terry"},{"family":"Kahn","given":"Peter H."},{"family":"Kuo","given":"Ming"},{"family":"Lawler","given":"Joshua J."},{"family":"Levin","given":"Phillip S."},{"family":"Lindahl","given":"Therese"},{"family":"Meyer-Lindenberg","given":"Andreas"},{"family":"Mitchell","given":"Richard"},{"family":"Ouyang","given":"Zhiyun"},{"family":"Roe","given":"Jenny"},{"family":"Scarlett","given":"Lynn"},{"family":"Smith","given":"Jeffrey R."},{"family":"Bosch","given":"Matilda","non-dropping-particle":"van den"},{"family":"Wheeler","given":"Benedict W."},{"family":"White","given":"Mathew P."},{"family":"Zheng","given":"Hua"},{"family":"Daily","given":"Gretchen C."}],"issued":{"date-parts":[["2019"]]}}}],"schema":"https://github.com/citation-style-language/schema/raw/master/csl-citation.json"} </w:instrText>
      </w:r>
      <w:r w:rsidRPr="00C05886">
        <w:fldChar w:fldCharType="separate"/>
      </w:r>
      <w:r w:rsidRPr="00C05886">
        <w:rPr>
          <w:rFonts w:ascii="Calibri" w:hAnsi="Calibri" w:cs="Calibri"/>
          <w:szCs w:val="24"/>
        </w:rPr>
        <w:t xml:space="preserve">(Kondo </w:t>
      </w:r>
      <w:r w:rsidRPr="00C05886">
        <w:rPr>
          <w:rFonts w:ascii="Calibri" w:hAnsi="Calibri" w:cs="Calibri"/>
          <w:i/>
          <w:iCs/>
          <w:szCs w:val="24"/>
        </w:rPr>
        <w:t>et al.</w:t>
      </w:r>
      <w:r w:rsidRPr="00C05886">
        <w:rPr>
          <w:rFonts w:ascii="Calibri" w:hAnsi="Calibri" w:cs="Calibri"/>
          <w:szCs w:val="24"/>
        </w:rPr>
        <w:t xml:space="preserve">, 2018; Bratman </w:t>
      </w:r>
      <w:r w:rsidRPr="00C05886">
        <w:rPr>
          <w:rFonts w:ascii="Calibri" w:hAnsi="Calibri" w:cs="Calibri"/>
          <w:i/>
          <w:iCs/>
          <w:szCs w:val="24"/>
        </w:rPr>
        <w:t>et al.</w:t>
      </w:r>
      <w:r w:rsidRPr="00C05886">
        <w:rPr>
          <w:rFonts w:ascii="Calibri" w:hAnsi="Calibri" w:cs="Calibri"/>
          <w:szCs w:val="24"/>
        </w:rPr>
        <w:t>, 2019)</w:t>
      </w:r>
      <w:r w:rsidRPr="00C05886">
        <w:fldChar w:fldCharType="end"/>
      </w:r>
      <w:r w:rsidRPr="00C05886">
        <w:t xml:space="preserve">, it remains unclear what elements of green space contribute more to mental well-being. The question is not “Will a walk in the park improve mental well-being?” but rather “Will a walk in </w:t>
      </w:r>
      <w:r w:rsidRPr="00C05886">
        <w:rPr>
          <w:i/>
          <w:iCs/>
        </w:rPr>
        <w:t>any</w:t>
      </w:r>
      <w:r w:rsidRPr="00C05886">
        <w:t xml:space="preserve"> park improve mental well-being?”. </w:t>
      </w:r>
      <w:r w:rsidR="005F2445">
        <w:t>Biodiversity</w:t>
      </w:r>
      <w:r w:rsidR="00D52BF1">
        <w:t xml:space="preserve"> – </w:t>
      </w:r>
      <w:r w:rsidR="005F2445">
        <w:t xml:space="preserve">i.e. “the </w:t>
      </w:r>
      <w:r w:rsidR="005F2445" w:rsidRPr="00C05886">
        <w:t xml:space="preserve">variability among living organisms from all sources including, inter alia, terrestrial, marine and other aquatic ecosystems and the ecological complexes of which they are part: this includes diversity within species, between species and of ecosystems.” </w:t>
      </w:r>
      <w:r w:rsidR="005F2445" w:rsidRPr="00C05886">
        <w:fldChar w:fldCharType="begin"/>
      </w:r>
      <w:r w:rsidR="000828F4">
        <w:instrText xml:space="preserve"> ADDIN ZOTERO_ITEM CSL_CITATION {"citationID":"JuKlPnvt","properties":{"formattedCitation":"(United Nations, 1992)","plainCitation":"(United Nations, 1992)","noteIndex":0},"citationItems":[{"id":5266,"uris":["http://zotero.org/users/10951124/items/9PSS7G4K"],"itemData":{"id":5266,"type":"document","publisher":"United Nations","title":"Convention on Biological Diversity","author":[{"literal":"United Nations"}],"issued":{"date-parts":[["1992"]]}}}],"schema":"https://github.com/citation-style-language/schema/raw/master/csl-citation.json"} </w:instrText>
      </w:r>
      <w:r w:rsidR="005F2445" w:rsidRPr="00C05886">
        <w:fldChar w:fldCharType="separate"/>
      </w:r>
      <w:r w:rsidR="005F2445" w:rsidRPr="00C05886">
        <w:rPr>
          <w:rFonts w:ascii="Calibri" w:hAnsi="Calibri" w:cs="Calibri"/>
        </w:rPr>
        <w:t>(United Nations, 1992)</w:t>
      </w:r>
      <w:r w:rsidR="005F2445" w:rsidRPr="00C05886">
        <w:fldChar w:fldCharType="end"/>
      </w:r>
      <w:r w:rsidR="005F2445">
        <w:t xml:space="preserve"> </w:t>
      </w:r>
      <w:r w:rsidR="00D52BF1">
        <w:t xml:space="preserve">– </w:t>
      </w:r>
      <w:r w:rsidRPr="00C05886">
        <w:t xml:space="preserve">is a fundamental element of the landscape and has been cited as beneficial for human well-being </w:t>
      </w:r>
      <w:r w:rsidRPr="00C05886">
        <w:fldChar w:fldCharType="begin"/>
      </w:r>
      <w:r w:rsidR="00D461B8" w:rsidRPr="00C05886">
        <w:instrText xml:space="preserve"> ADDIN ZOTERO_ITEM CSL_CITATION {"citationID":"nQSzGCP8","properties":{"formattedCitation":"(Fuller {\\i{}et al.}, 2007; Carrus {\\i{}et al.}, 2015; Methorst {\\i{}et al.}, 2021)","plainCitation":"(Fuller et al., 2007; Carrus et al., 2015; Methorst et al., 2021)","noteIndex":0},"citationItems":[{"id":5311,"uris":["http://zotero.org/users/10951124/items/7YKDXNX8"],"itemData":{"id":5311,"type":"article-journal","abstract":"The world's human population is becoming concentrated into cities, giving rise to concerns that it is becoming increasingly isolated from nature. Urban public greenspaces form the arena of many people's daily contact with nature and such contact has measurable physical and psychological benefits. Here we show that these psychological benefits increase with the species richness of urban greenspaces. Moreover, we demonstrate that greenspace users can more or less accurately perceive species richness depending on the taxonomic group in question. These results indicate that successful management of urban greenspaces should emphasize biological complexity to enhance human well-being in addition to biodiversity conservation. © 2007 The Royal Society.","container-title":"Biology letters","DOI":"10.1098/rsbl.2007.0149","ISSN":"1744-9561","issue":"4","note":"PMID: 17504734","page":"390-394","title":"Psychological benefits of greenspace increase with biodiversity.","volume":"3","author":[{"family":"Fuller","given":"Richard A."},{"family":"Irvine","given":"Katherine N."},{"family":"Devine-Wright","given":"Patrick"},{"family":"Warren","given":"Philip H."},{"family":"Gaston","given":"Kevin J."}],"editor":[{"family":"Fuller","given":"Richard A"}],"issued":{"date-parts":[["2007"]]}}},{"id":6088,"uris":["http://zotero.org/users/10951124/items/U3H7UD62"],"itemData":{"id":6088,"type":"article-journal","abstract":"© 2014 Elsevier B.V. The literature on human experience in green environments had widely showed the positive outcomes of getting in contact with nature. This study addresses the issue of whether urban residents' evaluations of urban and peri-urban natural settings and the positive outcomes deriving from contact with such settings vary as a function of their biodiversity. A field study assessed benefits and subjective well-being reported by urban residents visiting four different typologies of green spaces, selected on the basis of urban forestry expert criteria according to a 2. ×. 2 factorial design. The biodiversity level (low vs. high) was crossed with the setting location (urban vs. peri-urban) as follows: urban squares with green elements, urban parks, pinewood forest plantations, and peri-urban natural protected areas. A questionnaire including measures of length and frequency of visits, perceived restorativeness, and self-reported benefits of the visit to the green spaces was administered in situ to 569 residents of four Italian medium-to-large size cities: Bari, Florence, Rome and Padua. Results showed the positive role of biodiversity upon perceived restorative properties and self-reported benefits for urban and peri-urban green spaces. Consistently with the hypotheses reported herein, a mediation role of perceived restorativeness in the relation between experience of natural settings (i.e. higher level of biodiversity) and self-reported benefits was found. The design and management implications of the findings are discussed.","container-title":"Landscape and Urban Planning","DOI":"10.1016/j.landurbplan.2014.10.022","page":"221-228","title":"Go greener, feel better? The positive effects of biodiversity on the well-being of individuals visiting urban and peri-urban green areas","volume":"134","author":[{"family":"Carrus","given":"G."},{"family":"Scopelliti","given":"M."},{"family":"Lafortezza","given":"R."},{"family":"Colangelo","given":"G."},{"family":"Ferrini","given":"F."},{"family":"Salbitano","given":"F."},{"family":"Agrimi","given":"M."},{"family":"Portoghesi","given":"L."},{"family":"Semenzato","given":"P."},{"family":"Sanesi","given":"G."}],"issued":{"date-parts":[["2015"]]}}},{"id":5766,"uris":["http://zotero.org/users/10951124/items/AB2QX2RU"],"itemData":{"id":5766,"type":"article-journal","abstract":"Nature affects human well-being in multiple ways. However, the association between species diversity and human well-being at larger spatial scales remains largely unexplored. Here, we examine the relationship between species diversity and human well-being at the continental scale, while controlling for other known drivers of well-being. We related socio-economic data from more than 26,000 European citizens across 26 countries with macroecological data on species diversity and nature characteristics for Europe. Human well-being was measured as self-reported life-satisfaction and species diversity as the species richness of several taxonomic groups (e.g. birds, mammals and trees). Our results show that bird species richness is positively associated with life-satisfaction across Europe. We found a relatively strong relationship, indicating that the effect of bird species richness on life-satisfaction may be of similar magnitude to that of income. We discuss two, non-exclusive pathways for this relationship: the direct multisensory experience of birds, and beneficial landscape properties which promote both bird diversity and people's well-being. Based on these results, this study argues that management actions for the protection of birds and the landscapes that support them would benefit humans. We suggest that political and societal decision-making should consider the critical role of species diversity for human well-being.","container-title":"Ecological Economics","DOI":"10.1016/j.ecolecon.2020.106917","ISSN":"09218009","title":"The importance of species diversity for human well-being in Europe","volume":"181","author":[{"family":"Methorst","given":"Joel"},{"family":"Rehdanz","given":"Katrin"},{"family":"Mueller","given":"Thomas"},{"family":"Hansjürgens","given":"Bernd"},{"family":"Bonn","given":"Aletta"},{"family":"Böhning-Gaese","given":"Katrin"}],"issued":{"date-parts":[["2021"]]}}}],"schema":"https://github.com/citation-style-language/schema/raw/master/csl-citation.json"} </w:instrText>
      </w:r>
      <w:r w:rsidRPr="00C05886">
        <w:fldChar w:fldCharType="separate"/>
      </w:r>
      <w:r w:rsidR="00D461B8" w:rsidRPr="00C05886">
        <w:rPr>
          <w:rFonts w:ascii="Calibri" w:hAnsi="Calibri" w:cs="Calibri"/>
          <w:szCs w:val="24"/>
        </w:rPr>
        <w:t xml:space="preserve">(Fuller </w:t>
      </w:r>
      <w:r w:rsidR="00D461B8" w:rsidRPr="00C05886">
        <w:rPr>
          <w:rFonts w:ascii="Calibri" w:hAnsi="Calibri" w:cs="Calibri"/>
          <w:i/>
          <w:iCs/>
          <w:szCs w:val="24"/>
        </w:rPr>
        <w:t>et al.</w:t>
      </w:r>
      <w:r w:rsidR="00D461B8" w:rsidRPr="00C05886">
        <w:rPr>
          <w:rFonts w:ascii="Calibri" w:hAnsi="Calibri" w:cs="Calibri"/>
          <w:szCs w:val="24"/>
        </w:rPr>
        <w:t xml:space="preserve">, 2007; Carrus </w:t>
      </w:r>
      <w:r w:rsidR="00D461B8" w:rsidRPr="00C05886">
        <w:rPr>
          <w:rFonts w:ascii="Calibri" w:hAnsi="Calibri" w:cs="Calibri"/>
          <w:i/>
          <w:iCs/>
          <w:szCs w:val="24"/>
        </w:rPr>
        <w:t>et al.</w:t>
      </w:r>
      <w:r w:rsidR="00D461B8" w:rsidRPr="00C05886">
        <w:rPr>
          <w:rFonts w:ascii="Calibri" w:hAnsi="Calibri" w:cs="Calibri"/>
          <w:szCs w:val="24"/>
        </w:rPr>
        <w:t xml:space="preserve">, 2015; Methorst </w:t>
      </w:r>
      <w:r w:rsidR="00D461B8" w:rsidRPr="00C05886">
        <w:rPr>
          <w:rFonts w:ascii="Calibri" w:hAnsi="Calibri" w:cs="Calibri"/>
          <w:i/>
          <w:iCs/>
          <w:szCs w:val="24"/>
        </w:rPr>
        <w:t>et al.</w:t>
      </w:r>
      <w:r w:rsidR="00D461B8" w:rsidRPr="00C05886">
        <w:rPr>
          <w:rFonts w:ascii="Calibri" w:hAnsi="Calibri" w:cs="Calibri"/>
          <w:szCs w:val="24"/>
        </w:rPr>
        <w:t>, 2021)</w:t>
      </w:r>
      <w:r w:rsidRPr="00C05886">
        <w:fldChar w:fldCharType="end"/>
      </w:r>
      <w:r w:rsidRPr="00C05886">
        <w:t xml:space="preserve">. For example, high biodiversity in green spaces has been linked to high attention restoration </w:t>
      </w:r>
      <w:r w:rsidRPr="00C05886">
        <w:fldChar w:fldCharType="begin"/>
      </w:r>
      <w:r w:rsidR="009947CC" w:rsidRPr="00C05886">
        <w:instrText xml:space="preserve"> ADDIN ZOTERO_ITEM CSL_CITATION {"citationID":"74Jc85qf","properties":{"formattedCitation":"(Wood {\\i{}et al.}, 2018)","plainCitation":"(Wood et al., 2018)","noteIndex":0},"citationItems":[{"id":6137,"uris":["http://zotero.org/users/10951124/items/MSVULKE3"],"itemData":{"id":6137,"type":"article-journal","abstract":"© 2018 Wood, Harsant, Dallimer, Cronin de Chavez, McEachan and Hassall. Contemporary epidemiological methods testing the associations between green space and psychological well-being treat all vegetation cover as equal. However, there is very good reason to expect that variations in ecological \"quality\" (number of species, integrity of ecological processes) may influence the link between access to green space and benefits to human health and well-being. We test the relationship between green space quality and restorative benefit in an inner city urban population in Bradford, United Kingdom. We selected 12 urban parks for study where we carried out botanical and faunal surveys to quantify biodiversity and assessed the site facilities of the green space (cleanliness, provision of amenities). We also conducted 128 surveys with park users to quantify psychological restoration based on four self-reported measure of general restoration, attention-grabbing distractions, being away from everyday life, and site preference. We present three key results. First, there is a positive association between site facilities and biodiversity. Second, restorative benefit is predicted by biodiversity, which explained 43% of the variance in restorative benefit across the parks, with minimal input from other variables. Third, the benefits accrued through access to green space were unrelated to age, gender, and ethnic background. The results add to a small but growing body of evidence that emphasize the role of nature in contributing to the well-being of urban populations and, hence, the need to consider biodiversity in the design of landscapes that enhance multiple ecosystem services.","container-title":"Frontiers in Psychology","DOI":"10.3389/fpsyg.2018.02320","issue":"NOV","title":"Not all green space is created equal: Biodiversity predicts psychological restorative benefits from urban green space","volume":"9","author":[{"family":"Wood","given":"E."},{"family":"Harsant","given":"A."},{"family":"Dallimer","given":"M."},{"family":"Chavez","given":"A.C.","non-dropping-particle":"de"},{"family":"McEachan","given":"R.R.C."},{"family":"Hassall","given":"C."}],"issued":{"date-parts":[["2018"]]}}}],"schema":"https://github.com/citation-style-language/schema/raw/master/csl-citation.json"} </w:instrText>
      </w:r>
      <w:r w:rsidRPr="00C05886">
        <w:fldChar w:fldCharType="separate"/>
      </w:r>
      <w:r w:rsidR="009947CC" w:rsidRPr="00C05886">
        <w:rPr>
          <w:rFonts w:ascii="Calibri" w:hAnsi="Calibri" w:cs="Calibri"/>
          <w:szCs w:val="24"/>
        </w:rPr>
        <w:t xml:space="preserve">(Wood </w:t>
      </w:r>
      <w:r w:rsidR="009947CC" w:rsidRPr="00C05886">
        <w:rPr>
          <w:rFonts w:ascii="Calibri" w:hAnsi="Calibri" w:cs="Calibri"/>
          <w:i/>
          <w:iCs/>
          <w:szCs w:val="24"/>
        </w:rPr>
        <w:t>et al.</w:t>
      </w:r>
      <w:r w:rsidR="009947CC" w:rsidRPr="00C05886">
        <w:rPr>
          <w:rFonts w:ascii="Calibri" w:hAnsi="Calibri" w:cs="Calibri"/>
          <w:szCs w:val="24"/>
        </w:rPr>
        <w:t>, 2018)</w:t>
      </w:r>
      <w:r w:rsidRPr="00C05886">
        <w:fldChar w:fldCharType="end"/>
      </w:r>
      <w:r w:rsidRPr="00C05886">
        <w:t xml:space="preserve"> and improved mood </w:t>
      </w:r>
      <w:r w:rsidRPr="00C05886">
        <w:fldChar w:fldCharType="begin"/>
      </w:r>
      <w:r w:rsidR="00A056BC" w:rsidRPr="00C05886">
        <w:instrText xml:space="preserve"> ADDIN ZOTERO_ITEM CSL_CITATION {"citationID":"ixM5ozaj","properties":{"formattedCitation":"(Cox {\\i{}et al.}, 2017)","plainCitation":"(Cox et al., 2017)","noteIndex":0},"citationItems":[{"id":4756,"uris":["http://zotero.org/users/10951124/items/44LUHA75"],"itemData":{"id":4756,"type":"article-journal","abstract":"Exposure to nature provides a wide range of health benefits. A significant proportion of these are delivered close to home, because this offers an immediate and easily accessible opportunity for people to experience nature. However, there is limited information to guide recommendations on its management and appropriate use. We apply a nature dose-response framework to quantify the simultaneous association between exposure to nearby nature and multiple health benefits. We surveyed ca. 1000 respondents in Southern England, UK, to determine relationships between (a) nature dose type, that is the frequency and duration (time spent in private green space) and intensity (quantity of neighbourhood vegetation cover) of nature exposure and (b) health outcomes, including mental, physical and social health, physical behaviour and nature orientation. We then modelled dose-response relationships between dose type and self-reported depression. We demonstrate positive relationships between nature dose and mental and social health, increased physical activity and nature orientation. Dose-response analysis showed that lower levels of depression were associated with minimum thresholds of weekly nature dose. Nearby nature is associated with quantifiable health benefits, with potential for lowering the human and financial costs of ill health. Dose-response analysis has the potential to guide minimum and optimum recommendations on the management and use of nearby nature for preventative healthcare.","container-title":"Int J Environ Res Public Health","DOI":"10.3390/ijerph14020172","ISSN":"1661-7827","issue":"2","note":"publisher: BASEL: MDPI\npublisher-place: BASEL","page":"172","title":"Doses of nearby nature simultaneously associated with multiple health benefits","volume":"14","author":[{"family":"Cox","given":"Daniel T C"},{"family":"Shanahan","given":"Danielle F"},{"family":"Hudson","given":"Hannah L"},{"family":"Fuller","given":"Richard A"},{"family":"Anderson","given":"Karen"},{"family":"Hancock","given":"Steven"},{"family":"Gaston","given":"Kevin J"}],"issued":{"date-parts":[["2017"]]}}}],"schema":"https://github.com/citation-style-language/schema/raw/master/csl-citation.json"} </w:instrText>
      </w:r>
      <w:r w:rsidRPr="00C05886">
        <w:fldChar w:fldCharType="separate"/>
      </w:r>
      <w:r w:rsidR="00A056BC" w:rsidRPr="00C05886">
        <w:rPr>
          <w:rFonts w:ascii="Calibri" w:hAnsi="Calibri" w:cs="Calibri"/>
          <w:szCs w:val="24"/>
        </w:rPr>
        <w:t xml:space="preserve">(Cox </w:t>
      </w:r>
      <w:r w:rsidR="00A056BC" w:rsidRPr="00C05886">
        <w:rPr>
          <w:rFonts w:ascii="Calibri" w:hAnsi="Calibri" w:cs="Calibri"/>
          <w:i/>
          <w:iCs/>
          <w:szCs w:val="24"/>
        </w:rPr>
        <w:t>et al.</w:t>
      </w:r>
      <w:r w:rsidR="00A056BC" w:rsidRPr="00C05886">
        <w:rPr>
          <w:rFonts w:ascii="Calibri" w:hAnsi="Calibri" w:cs="Calibri"/>
          <w:szCs w:val="24"/>
        </w:rPr>
        <w:t>, 2017)</w:t>
      </w:r>
      <w:r w:rsidRPr="00C05886">
        <w:fldChar w:fldCharType="end"/>
      </w:r>
      <w:r w:rsidRPr="00C05886">
        <w:t xml:space="preserve">. However other studies have suggested that biodiversity could also be detrimental. </w:t>
      </w:r>
      <w:r w:rsidRPr="00C05886">
        <w:fldChar w:fldCharType="begin"/>
      </w:r>
      <w:r w:rsidRPr="00C05886">
        <w:instrText xml:space="preserve"> ADDIN ZOTERO_ITEM CSL_CITATION {"citationID":"DKaDNPxF","properties":{"formattedCitation":"(Dallimer {\\i{}et al.}, 2012)","plainCitation":"(Dallimer et al., 2012)","dontUpdate":true,"noteIndex":0},"citationItems":[{"id":5841,"uris":["http://zotero.org/users/10951124/items/KQUVK8G6"],"itemData":{"id":5841,"type":"article-journal","abstract":"Over half of the world's human population lives in cities, and for many, urban greenspaces are the only places where they encounter biodiversity. This is of particular concern because there is growing evidence that human well-being is enhanced by exposure to nature. However, the specific qualities of greenspaces that offer the greatest benefits remain poorly understood. One possibility is that humans respond positively to increased levels of biodiversity. Here, we demonstrate the lack of a consistent relationship between actual plant, butterfly, and bird species richness and the psychological well-being of urban greenspace visitors. Instead, well-being shows a positive relationship with the richness that the greenspace users perceived to be present. One plausible explanation for this discrepancy, which we investigate, is that people generally have poor biodiversity-identification skills. The apparent importance of perceived species richness and the mismatch between reality and perception pose a serious challenge for aligning conservation and human well-being agendas.","container-title":"BioScience","DOI":"10.1525/bio.2012.62.1.9","ISSN":"00063568","issue":"1","page":"47-55","title":"Biodiversity and the Feel-Good Factor: Understanding Associations between Self-Reported Human Well-being and Species Richness","volume":"62","author":[{"family":"Dallimer","given":"Martin"},{"family":"Irvine","given":"Katherine N."},{"family":"Skinner","given":"Andrew M.J. J"},{"family":"Davies","given":"Zoe G."},{"family":"Rouquette","given":"James R."},{"family":"Maltby","given":"Lorraine L."},{"family":"Warren","given":"Philip H."},{"family":"Armsworth","given":"Paul R."},{"family":"Gaston","given":"Kevin J."}],"issued":{"date-parts":[["2012"]]}}}],"schema":"https://github.com/citation-style-language/schema/raw/master/csl-citation.json"} </w:instrText>
      </w:r>
      <w:r w:rsidRPr="00C05886">
        <w:fldChar w:fldCharType="separate"/>
      </w:r>
      <w:r w:rsidRPr="00C05886">
        <w:rPr>
          <w:rFonts w:ascii="Calibri" w:hAnsi="Calibri" w:cs="Calibri"/>
          <w:szCs w:val="24"/>
        </w:rPr>
        <w:t xml:space="preserve">Dallimer </w:t>
      </w:r>
      <w:r w:rsidRPr="00C05886">
        <w:rPr>
          <w:rFonts w:ascii="Calibri" w:hAnsi="Calibri" w:cs="Calibri"/>
          <w:i/>
          <w:iCs/>
          <w:szCs w:val="24"/>
        </w:rPr>
        <w:t>et al.</w:t>
      </w:r>
      <w:r w:rsidRPr="00C05886">
        <w:rPr>
          <w:rFonts w:ascii="Calibri" w:hAnsi="Calibri" w:cs="Calibri"/>
          <w:szCs w:val="24"/>
        </w:rPr>
        <w:t>, (2012)</w:t>
      </w:r>
      <w:r w:rsidRPr="00C05886">
        <w:fldChar w:fldCharType="end"/>
      </w:r>
      <w:r w:rsidRPr="00C05886">
        <w:t xml:space="preserve"> found that high plant diversity in seminatural areas correlated with reduced well-being, possibly due to the untended looking of these green spaces which may have induced feelings of insecurity </w:t>
      </w:r>
      <w:r w:rsidRPr="00C05886">
        <w:fldChar w:fldCharType="begin"/>
      </w:r>
      <w:r w:rsidR="004A46A3" w:rsidRPr="00C05886">
        <w:instrText xml:space="preserve"> ADDIN ZOTERO_ITEM CSL_CITATION {"citationID":"BsNgaEeT","properties":{"formattedCitation":"(Jorgensen, Hitchmough and Dunnett, 2007)","plainCitation":"(Jorgensen, Hitchmough and Dunnett, 2007)","noteIndex":0},"citationItems":[{"id":6979,"uris":["http://zotero.org/users/10951124/items/WETQACWY"],"itemData":{"id":6979,"type":"article-journal","abstract":"This study evaluates “woodland in the ecological style” as a setting for contemporary housing by means of a case study of Birchwood, Warrington New Town, UK, using a postal questionnaire and semi-structured interviews to reveal residents’ perceptions of the aesthetic and safety aspects of the woodland, together with its underlying meanings. Most Birchwood residents liked the visual appearance of their street, though they had both positive and negative feelings towards its “trees and greenery”. Woodland in the local area figured prominently amongst the residents’ favourite places though some feared that they would be the victims of physical or sexual assault, or of robbery or intimidation from groups of young people in the woodland, and women felt particularly vulnerable. Whilst the woodland was significant for many residents it was not strongly identified with Birchwood as a place: the quality of the community as symbolised by the behaviour of local individuals, community groups and institutions was regarded as a more potent measure of local identity. Colourful and well-tended landscape interventions had the ability to act as signs of a caring community. The contribution of these findings to theoretical frameworks of residential satisfaction, restorative experiences and place identity is discussed: it is suggested, inter alia, that whilst signs of individual and collective care in the landscape contribute to communal place identity, individual experiences of wilder urban green spaces, including those of a restorative nature, are formative of individual place attachment. The implications for planning, design and management with ecological woodland are explored: urban dwellers should be able to choose their preferred way of interacting with the woodland, residential settings should accommodate a wide variety of user needs, and the vegetation on and around the streetscape should be proactively managed in consultation with the community.","container-title":"Landscape and Urban Planning","DOI":"10.1016/j.landurbplan.2006.02.015","ISSN":"0169-2046","issue":"3-4","page":"273-287","title":"Woodland as a setting for housing-appreciation and fear and the contribution to residential satisfaction and place identity in Warrington New Town, UK","volume":"79","author":[{"family":"Jorgensen","given":"Anna"},{"family":"Hitchmough","given":"James"},{"family":"Dunnett","given":"Nigel"}],"issued":{"date-parts":[["2007"]]}}}],"schema":"https://github.com/citation-style-language/schema/raw/master/csl-citation.json"} </w:instrText>
      </w:r>
      <w:r w:rsidRPr="00C05886">
        <w:fldChar w:fldCharType="separate"/>
      </w:r>
      <w:r w:rsidR="004A46A3" w:rsidRPr="00C05886">
        <w:rPr>
          <w:rFonts w:ascii="Calibri" w:hAnsi="Calibri" w:cs="Calibri"/>
        </w:rPr>
        <w:t>(Jorgensen, Hitchmough and Dunnett, 2007)</w:t>
      </w:r>
      <w:r w:rsidRPr="00C05886">
        <w:fldChar w:fldCharType="end"/>
      </w:r>
      <w:r w:rsidRPr="00C05886">
        <w:t xml:space="preserve">. In a tropical context, dense planting may imply an increased chance of encountering venomous snakes </w:t>
      </w:r>
      <w:r w:rsidRPr="00C05886">
        <w:fldChar w:fldCharType="begin"/>
      </w:r>
      <w:r w:rsidRPr="00C05886">
        <w:instrText xml:space="preserve"> ADDIN ZOTERO_ITEM CSL_CITATION {"citationID":"33V7oydJ","properties":{"formattedCitation":"(Ibrahim, Clayden and Cameron, 2020)","plainCitation":"(Ibrahim, Clayden and Cameron, 2020)","noteIndex":0},"citationItems":[{"id":4696,"uris":["http://zotero.org/users/10951124/items/Z68G48EB"],"itemData":{"id":4696,"type":"article-journal","container-title":"Urban Forestry &amp; Urban Greening","ISSN":"1618-8667","note":"publisher: Elsevier","page":"126605","title":"Tropical urban parks in Kuala Lumpur, Malaysia: Challenging the attitudes of park management teams towards a more environmentally sustainable approach","volume":"49","author":[{"family":"Ibrahim","given":"Roziya"},{"family":"Clayden","given":"Andy"},{"family":"Cameron","given":"Ross"}],"issued":{"date-parts":[["2020"]]}}}],"schema":"https://github.com/citation-style-language/schema/raw/master/csl-citation.json"} </w:instrText>
      </w:r>
      <w:r w:rsidRPr="00C05886">
        <w:fldChar w:fldCharType="separate"/>
      </w:r>
      <w:r w:rsidRPr="00C05886">
        <w:rPr>
          <w:rFonts w:ascii="Calibri" w:hAnsi="Calibri" w:cs="Calibri"/>
        </w:rPr>
        <w:t>(Ibrahim, Clayden and Cameron, 2020)</w:t>
      </w:r>
      <w:r w:rsidRPr="00C05886">
        <w:fldChar w:fldCharType="end"/>
      </w:r>
      <w:r w:rsidRPr="00C05886">
        <w:t xml:space="preserve">. Finally, some </w:t>
      </w:r>
      <w:r w:rsidR="000828F4">
        <w:t>studies</w:t>
      </w:r>
      <w:r w:rsidR="000828F4" w:rsidRPr="00C05886">
        <w:t xml:space="preserve"> </w:t>
      </w:r>
      <w:r w:rsidR="000828F4">
        <w:t>observed that it was not</w:t>
      </w:r>
      <w:r w:rsidRPr="00C05886">
        <w:t xml:space="preserve"> actual </w:t>
      </w:r>
      <w:r w:rsidR="000828F4">
        <w:t>species richness</w:t>
      </w:r>
      <w:r w:rsidR="000828F4" w:rsidRPr="00C05886">
        <w:t xml:space="preserve"> </w:t>
      </w:r>
      <w:r w:rsidRPr="00C05886">
        <w:t xml:space="preserve">(i.e. the measured number of species present) but it was rather the perceived </w:t>
      </w:r>
      <w:r w:rsidR="000828F4">
        <w:t>species richness</w:t>
      </w:r>
      <w:r w:rsidR="000828F4" w:rsidRPr="00C05886">
        <w:t xml:space="preserve"> </w:t>
      </w:r>
      <w:r w:rsidRPr="00C05886">
        <w:t xml:space="preserve">(i.e. the number of species that one estimates to be present) that was associated with improvements in wellbeing </w:t>
      </w:r>
      <w:r w:rsidRPr="00C05886">
        <w:fldChar w:fldCharType="begin"/>
      </w:r>
      <w:r w:rsidRPr="00C05886">
        <w:instrText xml:space="preserve"> ADDIN ZOTERO_ITEM CSL_CITATION {"citationID":"wKmPc85G","properties":{"formattedCitation":"(Gon\\uc0\\u231{}alves {\\i{}et al.}, 2021; Reining, Lemieux and Doherty, 2021)","plainCitation":"(Gonçalves et al., 2021; Reining, Lemieux and Doherty, 2021)","dontUpdate":true,"noteIndex":0},"citationItems":[{"id":9234,"uris":["http://zotero.org/users/10951124/items/7WC2F9AD"],"itemData":{"id":9234,"type":"article-journal","abstract":"Understanding the mechanisms underlying the positive influence of urban biodiversity on dwellers’ well-being is critical to inform sustainable management of urban greenspaces, but studies published to date on the role of biodiversity in mental restoration have provided contradictory results. Both urban greenspace biophysical characteristics and the emotional connection with the place may play a role in mental restoration. Using urban greenspace landscape and biodiversity metrics, and on-site observations and questionnaires to assess site quality and visitors’ perceptions, we explore the influence of biodiversity (perceived and measured at different levels), urban greenspace characteristics, and visitors profiles in mental restoration. Our statistical analysis demonstrates that perception of biodiversity, along with satisfaction and connection to place, were the most important predictors of mental restoration. The proportion of broadleaf and evergreen tree species also had a positive influence on biodiversity perception and mental restoration. People perceive existing biodiversity through visual cues as the diversity of leaf forms in broadleaf species, with this process being almost completely mediated by the perception of tree diversity. These findings have direct translation into planning and management practices by acknowledging the importance of biodiversity and, above all, specific traits, namely of evergreen broadleaf species, in promoting restorativeness of urban parks for users. Our results highlight the importance of using standard ecological methods when assessing biodiversity in urban greenspaces and their influence on human well-being.","container-title":"Ecology and Society","DOI":"10.5751/ES-12598-260325","issue":"3","journalAbbreviation":"Ecology and Society","note":"publisher: The Resilience Alliance","title":"What’s biodiversity got to do with it? Perceptions of biodiversity and restorativeness in urban parks","URL":"https://www.ecologyandsociety.org/vol26/iss3/art25/","volume":"26","author":[{"family":"Gonçalves","given":"Paula"},{"family":"Grilo","given":"Filipa"},{"family":"Mendes","given":"Raquel C."},{"family":"Vierikko","given":"Kati"},{"family":"Elands","given":"Birgit"},{"family":"Marques","given":"Tiago A."},{"family":"Santos-Reis","given":"Margarida"}],"issued":{"date-parts":[["2021"]]}}},{"id":9663,"uris":["http://zotero.org/users/10951124/items/J9NXCZ7N"],"itemData":{"id":9663,"type":"article-journal","container-title":"Journal of Environmental Planning and Management","DOI":"10.1080/09640568.2020.1857227","ISSN":"0964-0568","issue":"13","journalAbbreviation":"Journal of Environmental Planning and Management","note":"publisher: Routledge","page":"2300-2325","title":"Linking restorative human health outcomes to protected area ecosystem diversity and integrity","volume":"64","author":[{"family":"Reining","given":"Catherine E."},{"family":"Lemieux","given":"Christopher J."},{"family":"Doherty","given":"Sean T."}],"issued":{"date-parts":[["2021",11,10]]}}}],"schema":"https://github.com/citation-style-language/schema/raw/master/csl-citation.json"} </w:instrText>
      </w:r>
      <w:r w:rsidRPr="00C05886">
        <w:fldChar w:fldCharType="separate"/>
      </w:r>
      <w:r w:rsidRPr="00C05886">
        <w:rPr>
          <w:rFonts w:ascii="Calibri" w:hAnsi="Calibri" w:cs="Calibri"/>
          <w:szCs w:val="24"/>
        </w:rPr>
        <w:t xml:space="preserve">(e.g. Gonçalves </w:t>
      </w:r>
      <w:r w:rsidRPr="00C05886">
        <w:rPr>
          <w:rFonts w:ascii="Calibri" w:hAnsi="Calibri" w:cs="Calibri"/>
          <w:i/>
          <w:iCs/>
          <w:szCs w:val="24"/>
        </w:rPr>
        <w:t>et al.</w:t>
      </w:r>
      <w:r w:rsidRPr="00C05886">
        <w:rPr>
          <w:rFonts w:ascii="Calibri" w:hAnsi="Calibri" w:cs="Calibri"/>
          <w:szCs w:val="24"/>
        </w:rPr>
        <w:t>, 2021; Reining, Lemieux and Doherty, 2021)</w:t>
      </w:r>
      <w:r w:rsidRPr="00C05886">
        <w:fldChar w:fldCharType="end"/>
      </w:r>
      <w:r w:rsidRPr="00C05886">
        <w:t xml:space="preserve">. This predominance of the perceived </w:t>
      </w:r>
      <w:r w:rsidR="000828F4">
        <w:t>species richness</w:t>
      </w:r>
      <w:r w:rsidR="000828F4" w:rsidRPr="00C05886">
        <w:t xml:space="preserve"> </w:t>
      </w:r>
      <w:r w:rsidRPr="00C05886">
        <w:t xml:space="preserve">was also confirmed by a stress recovery experiment which used 360-degree videos at four different levels of species richness </w:t>
      </w:r>
      <w:r w:rsidR="000828F4">
        <w:fldChar w:fldCharType="begin"/>
      </w:r>
      <w:r w:rsidR="000828F4">
        <w:instrText xml:space="preserve"> ADDIN ZOTERO_ITEM CSL_CITATION {"citationID":"e8wAKHVE","properties":{"formattedCitation":"(Farris, Dempsey, {\\i{}et al.}, 2024)","plainCitation":"(Farris, Dempsey, et al., 2024)","noteIndex":0},"citationItems":[{"id":10928,"uris":["http://zotero.org/users/10951124/items/LNJYZS5A"],"itemData":{"id":10928,"type":"article-journal","abstract":"Green spaces can support human stress reduction and foster positive emotional well-being. Previous research has suggested that biodiversity (i.e. the variety of species of plants and animals in a given location) can enhance recovery from stress even further. However, there is limited experimental evidence testing this hypothesis and results, to date, have been mixed. This study aimed to provide further understanding of the role of biodiversity (actual or perceived) on human well-being by experimentally manipulating species richness and stress. Participants (372 in total) took part in an online experiment, where they received an episode of mild stress before watching a 360-degree video to recover. The video showed the same location, an urban woodland, but at one of four artificially manipulated levels of biodiversity. The participants reported their Positive and Negative Affect before and after the stress induction and after watching the video, providing a measure of their stress and well-being throughout the experiment. Participants also reported their perceptions of biodiversity (i.e. how diverse they thought the location was) and elaborated on their responses with brief comments. Repeated Measure Analysis of Variance revealed that exposure to all levels of biodiversity reduced the participants’ Negative Affect, but with no significant difference between the conditions. However, the analysis showed higher Positive Affect in those participants who perceived the environment as more biodiverse. Comments from participants indicated that those who reported noticing flowers and trees in the environment also showed higher Positive Affect. This suggests that perceiving biodiversity promotes more positive emotions, but critically one needs to actually notice (engage with) the components of biodiversity to elicit these extra benefits.","container-title":"PLOS ONE","DOI":"10.1371/journal.pone.0297179","ISSN":"1932-6203","issue":"2","journalAbbreviation":"PLoS ONE","language":"en","license":"All rights reserved","page":"e0297179","source":"DOI.org (Crossref)","title":"Does increasing biodiversity in an urban woodland setting promote positive emotional responses in humans? A stress recovery experiment using 360-degree videos of an urban woodland","title-short":"Does increasing biodiversity in an urban woodland setting promote positive emotional responses in humans?","volume":"19","author":[{"family":"Farris","given":"Simone"},{"family":"Dempsey","given":"Nicola"},{"family":"McEwan","given":"Kirsten"},{"family":"Hoyle","given":"Helen"},{"family":"Cameron","given":"Ross"}],"editor":[{"family":"Bhadauria","given":"Tunira"}],"issued":{"date-parts":[["2024",2,7]]}}}],"schema":"https://github.com/citation-style-language/schema/raw/master/csl-citation.json"} </w:instrText>
      </w:r>
      <w:r w:rsidR="000828F4">
        <w:fldChar w:fldCharType="separate"/>
      </w:r>
      <w:r w:rsidR="000828F4" w:rsidRPr="000828F4">
        <w:rPr>
          <w:rFonts w:ascii="Calibri" w:hAnsi="Calibri" w:cs="Calibri"/>
          <w:szCs w:val="24"/>
        </w:rPr>
        <w:t xml:space="preserve">(Farris, Dempsey, </w:t>
      </w:r>
      <w:r w:rsidR="000828F4" w:rsidRPr="000828F4">
        <w:rPr>
          <w:rFonts w:ascii="Calibri" w:hAnsi="Calibri" w:cs="Calibri"/>
          <w:i/>
          <w:iCs/>
          <w:szCs w:val="24"/>
        </w:rPr>
        <w:t>et al.</w:t>
      </w:r>
      <w:r w:rsidR="000828F4" w:rsidRPr="000828F4">
        <w:rPr>
          <w:rFonts w:ascii="Calibri" w:hAnsi="Calibri" w:cs="Calibri"/>
          <w:szCs w:val="24"/>
        </w:rPr>
        <w:t>, 2024)</w:t>
      </w:r>
      <w:r w:rsidR="000828F4">
        <w:fldChar w:fldCharType="end"/>
      </w:r>
      <w:r w:rsidRPr="00C05886">
        <w:t xml:space="preserve"> and its replication in a broader cultural context </w:t>
      </w:r>
      <w:r w:rsidR="000828F4">
        <w:fldChar w:fldCharType="begin"/>
      </w:r>
      <w:r w:rsidR="000828F4">
        <w:instrText xml:space="preserve"> ADDIN ZOTERO_ITEM CSL_CITATION {"citationID":"zIYO955p","properties":{"formattedCitation":"(Farris, Zhang, {\\i{}et al.}, 2024)","plainCitation":"(Farris, Zhang, et al., 2024)","noteIndex":0},"citationItems":[{"id":11353,"uris":["http://zotero.org/users/10951124/items/VIKQ9A6L"],"itemData":{"id":11353,"type":"article-journal","container-title":"Cities &amp; Health","DOI":"10.1080/23748834.2024.2383825","ISSN":"2374-8834, 2374-8842","journalAbbreviation":"Cities &amp; Health","language":"en","page":"1-16","source":"DOI.org (Crossref)","title":"‘The Elephant in the Room’ – does actual or perceived biodiversity elicit restorative responses in a virtual park?","author":[{"family":"Farris","given":"Simone"},{"family":"Zhang","given":"Liwen"},{"family":"Dempsey","given":"Nicola"},{"family":"McEwan","given":"Kirsten"},{"family":"Hoyle","given":"Helen"},{"family":"Cameron","given":"Ross"}],"issued":{"date-parts":[["2024",8,15]]}}}],"schema":"https://github.com/citation-style-language/schema/raw/master/csl-citation.json"} </w:instrText>
      </w:r>
      <w:r w:rsidR="000828F4">
        <w:fldChar w:fldCharType="separate"/>
      </w:r>
      <w:r w:rsidR="000828F4" w:rsidRPr="000828F4">
        <w:rPr>
          <w:rFonts w:ascii="Calibri" w:hAnsi="Calibri" w:cs="Calibri"/>
          <w:szCs w:val="24"/>
        </w:rPr>
        <w:t xml:space="preserve">(Farris, Zhang, </w:t>
      </w:r>
      <w:r w:rsidR="000828F4" w:rsidRPr="000828F4">
        <w:rPr>
          <w:rFonts w:ascii="Calibri" w:hAnsi="Calibri" w:cs="Calibri"/>
          <w:i/>
          <w:iCs/>
          <w:szCs w:val="24"/>
        </w:rPr>
        <w:t>et al.</w:t>
      </w:r>
      <w:r w:rsidR="000828F4" w:rsidRPr="000828F4">
        <w:rPr>
          <w:rFonts w:ascii="Calibri" w:hAnsi="Calibri" w:cs="Calibri"/>
          <w:szCs w:val="24"/>
        </w:rPr>
        <w:t>, 2024)</w:t>
      </w:r>
      <w:r w:rsidR="000828F4">
        <w:fldChar w:fldCharType="end"/>
      </w:r>
      <w:r w:rsidR="000828F4">
        <w:t xml:space="preserve">, although the perceptions were qualitatively categorised (e.g. “a few” species were perceived) </w:t>
      </w:r>
      <w:r w:rsidR="00A006F3">
        <w:t>and not</w:t>
      </w:r>
      <w:r w:rsidR="000828F4">
        <w:t xml:space="preserve"> numerically quantified (e.g. 10 species perceived)</w:t>
      </w:r>
      <w:r w:rsidR="006D6F81">
        <w:t>.</w:t>
      </w:r>
    </w:p>
    <w:p w14:paraId="4AAD23E8" w14:textId="16DC4B70" w:rsidR="00051048" w:rsidRPr="00C05886" w:rsidRDefault="00051048" w:rsidP="009A6F35">
      <w:r w:rsidRPr="00C05886">
        <w:lastRenderedPageBreak/>
        <w:t xml:space="preserve">Virtual exposure to </w:t>
      </w:r>
      <w:r w:rsidR="006D6F81">
        <w:t>species richness</w:t>
      </w:r>
      <w:r w:rsidR="006D6F81" w:rsidRPr="00C05886">
        <w:t xml:space="preserve"> </w:t>
      </w:r>
      <w:r w:rsidRPr="00C05886">
        <w:t xml:space="preserve">was used in the past to investigate different well-being benefits. </w:t>
      </w:r>
      <w:r w:rsidRPr="00C05886">
        <w:fldChar w:fldCharType="begin"/>
      </w:r>
      <w:r w:rsidRPr="00C05886">
        <w:instrText xml:space="preserve"> ADDIN ZOTERO_ITEM CSL_CITATION {"citationID":"bbhLPTYY","properties":{"formattedCitation":"(Wolf {\\i{}et al.}, 2017)","plainCitation":"(Wolf et al., 2017)","dontUpdate":true,"noteIndex":0},"citationItems":[{"id":4925,"uris":["http://zotero.org/users/10951124/items/T2WHLDQG"],"itemData":{"id":4925,"type":"article-journal","container-title":"PloS one","DOI":"10.1371/journal.pone.0170225","issue":"1","page":"e0170225-e0170225","title":"Is Variety the Spice of Life? An Experimental Investigation into the Effects of Species Richness on Self-Reported Mental Well-Being.","volume":"12","author":[{"family":"Wolf","given":"Lukas J"},{"family":"Zu Ermgassen","given":"Sophus"},{"family":"Balmford","given":"Andrew"},{"family":"White","given":"Mathew"},{"family":"Weinstein","given":"Netta"}],"editor":[{"family":"Wolf","given":"Lukas J"}],"issued":{"date-parts":[["2017"]]}}}],"schema":"https://github.com/citation-style-language/schema/raw/master/csl-citation.json"} </w:instrText>
      </w:r>
      <w:r w:rsidRPr="00C05886">
        <w:fldChar w:fldCharType="separate"/>
      </w:r>
      <w:r w:rsidRPr="00C05886">
        <w:rPr>
          <w:rFonts w:ascii="Calibri" w:hAnsi="Calibri" w:cs="Calibri"/>
          <w:szCs w:val="24"/>
        </w:rPr>
        <w:t xml:space="preserve">Wolf </w:t>
      </w:r>
      <w:r w:rsidRPr="00C05886">
        <w:rPr>
          <w:rFonts w:ascii="Calibri" w:hAnsi="Calibri" w:cs="Calibri"/>
          <w:i/>
          <w:iCs/>
          <w:szCs w:val="24"/>
        </w:rPr>
        <w:t>et al.</w:t>
      </w:r>
      <w:r w:rsidRPr="00C05886">
        <w:rPr>
          <w:rFonts w:ascii="Calibri" w:hAnsi="Calibri" w:cs="Calibri"/>
          <w:szCs w:val="24"/>
        </w:rPr>
        <w:t xml:space="preserve"> (2017)</w:t>
      </w:r>
      <w:r w:rsidRPr="00C05886">
        <w:fldChar w:fldCharType="end"/>
      </w:r>
      <w:r w:rsidRPr="00C05886">
        <w:t xml:space="preserve">, compared the responses to videos with different numbers of species of trees and birds. These videos were short (about 2 minutes) and showed either 1 or 4 species. Those participants who watched </w:t>
      </w:r>
      <w:r w:rsidR="006D6F81">
        <w:t xml:space="preserve">the </w:t>
      </w:r>
      <w:r w:rsidRPr="00C05886">
        <w:t>videos</w:t>
      </w:r>
      <w:r w:rsidR="006D6F81">
        <w:t xml:space="preserve"> with more species</w:t>
      </w:r>
      <w:r w:rsidRPr="00C05886">
        <w:t xml:space="preserve"> reported higher increases in positive affect and greater reductions in anxiety, compared with those who watched the monospecific videos. In another study, </w:t>
      </w:r>
      <w:r w:rsidRPr="00C05886">
        <w:fldChar w:fldCharType="begin"/>
      </w:r>
      <w:r w:rsidRPr="00C05886">
        <w:instrText xml:space="preserve"> ADDIN ZOTERO_ITEM CSL_CITATION {"citationID":"WWJWvujM","properties":{"formattedCitation":"(Schebella {\\i{}et al.}, 2020)","plainCitation":"(Schebella et al., 2020)","dontUpdate":true,"noteIndex":0},"citationItems":[{"id":9668,"uris":["http://zotero.org/users/10951124/items/XY8G99AE"],"itemData":{"id":9668,"type":"article-journal","abstract":"Immersive virtual environments (IVEs) were used to test the effects of biodiversity on recovery from induced stress. Three natural environments and one urban environment were used to represent ordinal levels of biodiversity (none, low, moderate, and high). The four IVEs comprised visual, auditory, and olfactory stimuli. An additional high biodiversity IVE without auditory or olfactory stimuli was also included to study the effects of multisensory stimulation per se on recovery from stress and perceptions of biodiversity. Following stress induction via a novel IVE Trier Social Stress Test (TSST-IVE), heart rate and five self-reported well-being measures were used to assess participants&amp;rsquo; recovery after immersion in one of the five IVEs. The results showed consistent well-being responses across both self-reported and physiological measures, suggesting biodiversity does directly affect human well-being. However, the relationship was not linear. For most measures of well-being, stress recovery was least effective in the urban IVE, consistent with past research. The low biodiversity IVE elicited the greatest improvement in all well-being measures except self-reported calmness. One could speculate that the landscape features of the least biodiverse IVE may elicit subconscious preferences toward savanna-like landscapes, as suggested by previous studies. The IVE depicting a moderate level of biodiversity was the least restorative of the natural environments. A multisensory experience was associated with better recovery in all measures of well-being than a visual-only experience, and perceptions of landscape components significantly differed between two identical nature scenes when auditory and olfactory stimuli were removed. Nuances in the data and implications of the findings are discussed. The results signal a need for caution and question the assumption that cultural ecosystem services align with positive outcomes for biodiversity conservation.","container-title":"International Journal of Environmental Research and Public Health","DOI":"10.3390/ijerph17010056","ISSN":"1660-4601","issue":"1","title":"The Nature of Reality: Human Stress Recovery during Exposure to Biodiverse, Multisensory Virtual Environments","volume":"17","author":[{"family":"Schebella","given":"Morgan F."},{"family":"Weber","given":"Delene"},{"family":"Schultz","given":"Lisa"},{"family":"Weinstein","given":"Philip"}],"issued":{"date-parts":[["2020"]]}}}],"schema":"https://github.com/citation-style-language/schema/raw/master/csl-citation.json"} </w:instrText>
      </w:r>
      <w:r w:rsidRPr="00C05886">
        <w:fldChar w:fldCharType="separate"/>
      </w:r>
      <w:r w:rsidRPr="00C05886">
        <w:rPr>
          <w:rFonts w:ascii="Calibri" w:hAnsi="Calibri" w:cs="Calibri"/>
          <w:szCs w:val="24"/>
        </w:rPr>
        <w:t xml:space="preserve">Schebella </w:t>
      </w:r>
      <w:r w:rsidRPr="00C05886">
        <w:rPr>
          <w:rFonts w:ascii="Calibri" w:hAnsi="Calibri" w:cs="Calibri"/>
          <w:i/>
          <w:iCs/>
          <w:szCs w:val="24"/>
        </w:rPr>
        <w:t>et al.</w:t>
      </w:r>
      <w:r w:rsidRPr="00C05886">
        <w:rPr>
          <w:rFonts w:ascii="Calibri" w:hAnsi="Calibri" w:cs="Calibri"/>
          <w:szCs w:val="24"/>
        </w:rPr>
        <w:t xml:space="preserve"> (2020)</w:t>
      </w:r>
      <w:r w:rsidRPr="00C05886">
        <w:fldChar w:fldCharType="end"/>
      </w:r>
      <w:r w:rsidRPr="00C05886">
        <w:t xml:space="preserve"> analysed stress recovery in four environments, including an urban control, which were virtually simulated with 360-degree images, sounds and smells. The results showed that the conditions with </w:t>
      </w:r>
      <w:r w:rsidR="006D6F81">
        <w:t>two vegetation layers (defined as “low biodiversity”)</w:t>
      </w:r>
      <w:r w:rsidRPr="00C05886">
        <w:t xml:space="preserve"> produced the highest recovery from stress. More recently, </w:t>
      </w:r>
      <w:r w:rsidRPr="00C05886">
        <w:fldChar w:fldCharType="begin"/>
      </w:r>
      <w:r w:rsidRPr="00C05886">
        <w:instrText xml:space="preserve"> ADDIN ZOTERO_ITEM CSL_CITATION {"citationID":"ovaZRkx0","properties":{"formattedCitation":"(Douglas and Evans, 2022)","plainCitation":"(Douglas and Evans, 2022)","dontUpdate":true,"noteIndex":0},"citationItems":[{"id":9921,"uris":["http://zotero.org/users/10951124/items/BHP82I45"],"itemData":{"id":9921,"type":"article-journal","container-title":"People and Nature","DOI":"10.1002/pan3.10279","ISSN":"2575-8314, 2575-8314","issue":"1","journalAbbreviation":"People and Nature","language":"en","page":"243-259","source":"DOI.org (Crossref)","title":"An experimental test of the impact of avian diversity on attentional benefits and enjoyment of people experiencing urban green‐space","volume":"4","author":[{"family":"Douglas","given":"Joseph W. A."},{"family":"Evans","given":"Karl L."}],"issued":{"date-parts":[["2022",2]]}}}],"schema":"https://github.com/citation-style-language/schema/raw/master/csl-citation.json"} </w:instrText>
      </w:r>
      <w:r w:rsidRPr="00C05886">
        <w:fldChar w:fldCharType="separate"/>
      </w:r>
      <w:r w:rsidRPr="00C05886">
        <w:rPr>
          <w:rFonts w:ascii="Calibri" w:hAnsi="Calibri" w:cs="Calibri"/>
        </w:rPr>
        <w:t>Douglas and Evans (2022)</w:t>
      </w:r>
      <w:r w:rsidRPr="00C05886">
        <w:fldChar w:fldCharType="end"/>
      </w:r>
      <w:r w:rsidRPr="00C05886">
        <w:t xml:space="preserve"> used birdsongs to manipulate biodiversity in their videos. Over the 3 minutes of the video, the participants could hear songs by either 1 or 8 species of birds. The participants enjoyed more the high biodiversity video than the </w:t>
      </w:r>
      <w:r w:rsidR="00FD3659" w:rsidRPr="00C05886">
        <w:t>low biodiversity video</w:t>
      </w:r>
      <w:r w:rsidRPr="00C05886">
        <w:t>, but the results showed no differences between the groups in terms of perceived restoration and attentional capacity.</w:t>
      </w:r>
    </w:p>
    <w:p w14:paraId="6F476288" w14:textId="77777777" w:rsidR="00051048" w:rsidRPr="00C05886" w:rsidRDefault="00051048" w:rsidP="00051048">
      <w:pPr>
        <w:pStyle w:val="Heading3"/>
      </w:pPr>
      <w:bookmarkStart w:id="149" w:name="_Toc179962389"/>
      <w:r w:rsidRPr="00C05886">
        <w:t>Scope of the present study</w:t>
      </w:r>
      <w:bookmarkEnd w:id="149"/>
    </w:p>
    <w:p w14:paraId="209BE0C9" w14:textId="1C46CE7F" w:rsidR="00051048" w:rsidRPr="00C05886" w:rsidRDefault="00051048" w:rsidP="000E38A7">
      <w:r w:rsidRPr="00C05886">
        <w:t>Despite several of the studies discussed above hav</w:t>
      </w:r>
      <w:r w:rsidR="00FD1350" w:rsidRPr="00C05886">
        <w:t>ing</w:t>
      </w:r>
      <w:r w:rsidRPr="00C05886">
        <w:t xml:space="preserve"> used virtual nature to produce stress recovery and well-being in their participants, only a few of them actively manipulated </w:t>
      </w:r>
      <w:r w:rsidR="006D6F81">
        <w:t>species richness</w:t>
      </w:r>
      <w:r w:rsidR="006D6F81" w:rsidRPr="00C05886">
        <w:t xml:space="preserve"> </w:t>
      </w:r>
      <w:r w:rsidRPr="00C05886">
        <w:fldChar w:fldCharType="begin"/>
      </w:r>
      <w:r w:rsidR="003E681B" w:rsidRPr="00C05886">
        <w:instrText xml:space="preserve"> ADDIN ZOTERO_ITEM CSL_CITATION {"citationID":"FSHAxVOi","properties":{"formattedCitation":"(Wolf {\\i{}et al.}, 2017; Schebella {\\i{}et al.}, 2020; Douglas and Evans, 2022)","plainCitation":"(Wolf et al., 2017; Schebella et al., 2020; Douglas and Evans, 2022)","noteIndex":0},"citationItems":[{"id":4925,"uris":["http://zotero.org/users/10951124/items/T2WHLDQG"],"itemData":{"id":4925,"type":"article-journal","container-title":"PloS one","DOI":"10.1371/journal.pone.0170225","issue":"1","page":"e0170225-e0170225","title":"Is Variety the Spice of Life? An Experimental Investigation into the Effects of Species Richness on Self-Reported Mental Well-Being.","volume":"12","author":[{"family":"Wolf","given":"Lukas J"},{"family":"Zu Ermgassen","given":"Sophus"},{"family":"Balmford","given":"Andrew"},{"family":"White","given":"Mathew"},{"family":"Weinstein","given":"Netta"}],"editor":[{"family":"Wolf","given":"Lukas J"}],"issued":{"date-parts":[["2017"]]}}},{"id":9668,"uris":["http://zotero.org/users/10951124/items/XY8G99AE"],"itemData":{"id":9668,"type":"article-journal","abstract":"Immersive virtual environments (IVEs) were used to test the effects of biodiversity on recovery from induced stress. Three natural environments and one urban environment were used to represent ordinal levels of biodiversity (none, low, moderate, and high). The four IVEs comprised visual, auditory, and olfactory stimuli. An additional high biodiversity IVE without auditory or olfactory stimuli was also included to study the effects of multisensory stimulation per se on recovery from stress and perceptions of biodiversity. Following stress induction via a novel IVE Trier Social Stress Test (TSST-IVE), heart rate and five self-reported well-being measures were used to assess participants&amp;rsquo; recovery after immersion in one of the five IVEs. The results showed consistent well-being responses across both self-reported and physiological measures, suggesting biodiversity does directly affect human well-being. However, the relationship was not linear. For most measures of well-being, stress recovery was least effective in the urban IVE, consistent with past research. The low biodiversity IVE elicited the greatest improvement in all well-being measures except self-reported calmness. One could speculate that the landscape features of the least biodiverse IVE may elicit subconscious preferences toward savanna-like landscapes, as suggested by previous studies. The IVE depicting a moderate level of biodiversity was the least restorative of the natural environments. A multisensory experience was associated with better recovery in all measures of well-being than a visual-only experience, and perceptions of landscape components significantly differed between two identical nature scenes when auditory and olfactory stimuli were removed. Nuances in the data and implications of the findings are discussed. The results signal a need for caution and question the assumption that cultural ecosystem services align with positive outcomes for biodiversity conservation.","container-title":"International Journal of Environmental Research and Public Health","DOI":"10.3390/ijerph17010056","ISSN":"1660-4601","issue":"1","title":"The Nature of Reality: Human Stress Recovery during Exposure to Biodiverse, Multisensory Virtual Environments","volume":"17","author":[{"family":"Schebella","given":"Morgan F."},{"family":"Weber","given":"Delene"},{"family":"Schultz","given":"Lisa"},{"family":"Weinstein","given":"Philip"}],"issued":{"date-parts":[["2020"]]}}},{"id":9921,"uris":["http://zotero.org/users/10951124/items/BHP82I45"],"itemData":{"id":9921,"type":"article-journal","container-title":"People and Nature","DOI":"10.1002/pan3.10279","ISSN":"2575-8314, 2575-8314","issue":"1","journalAbbreviation":"People and Nature","language":"en","page":"243-259","source":"DOI.org (Crossref)","title":"An experimental test of the impact of avian diversity on attentional benefits and enjoyment of people experiencing urban green‐space","volume":"4","author":[{"family":"Douglas","given":"Joseph W. A."},{"family":"Evans","given":"Karl L."}],"issued":{"date-parts":[["2022",2]]}}}],"schema":"https://github.com/citation-style-language/schema/raw/master/csl-citation.json"} </w:instrText>
      </w:r>
      <w:r w:rsidRPr="00C05886">
        <w:fldChar w:fldCharType="separate"/>
      </w:r>
      <w:r w:rsidR="003E681B" w:rsidRPr="00C05886">
        <w:rPr>
          <w:rFonts w:ascii="Calibri" w:hAnsi="Calibri" w:cs="Calibri"/>
          <w:szCs w:val="24"/>
        </w:rPr>
        <w:t xml:space="preserve">(Wolf </w:t>
      </w:r>
      <w:r w:rsidR="003E681B" w:rsidRPr="00C05886">
        <w:rPr>
          <w:rFonts w:ascii="Calibri" w:hAnsi="Calibri" w:cs="Calibri"/>
          <w:i/>
          <w:iCs/>
          <w:szCs w:val="24"/>
        </w:rPr>
        <w:t>et al.</w:t>
      </w:r>
      <w:r w:rsidR="003E681B" w:rsidRPr="00C05886">
        <w:rPr>
          <w:rFonts w:ascii="Calibri" w:hAnsi="Calibri" w:cs="Calibri"/>
          <w:szCs w:val="24"/>
        </w:rPr>
        <w:t xml:space="preserve">, 2017; Schebella </w:t>
      </w:r>
      <w:r w:rsidR="003E681B" w:rsidRPr="00C05886">
        <w:rPr>
          <w:rFonts w:ascii="Calibri" w:hAnsi="Calibri" w:cs="Calibri"/>
          <w:i/>
          <w:iCs/>
          <w:szCs w:val="24"/>
        </w:rPr>
        <w:t>et al.</w:t>
      </w:r>
      <w:r w:rsidR="003E681B" w:rsidRPr="00C05886">
        <w:rPr>
          <w:rFonts w:ascii="Calibri" w:hAnsi="Calibri" w:cs="Calibri"/>
          <w:szCs w:val="24"/>
        </w:rPr>
        <w:t>, 2020; Douglas and Evans, 2022)</w:t>
      </w:r>
      <w:r w:rsidRPr="00C05886">
        <w:fldChar w:fldCharType="end"/>
      </w:r>
      <w:r w:rsidRPr="00C05886">
        <w:t>. At the same time, most of these studies showed different green spaces, introducing a potential confounder. For example, the effect of the biodiversity could have been entangled with other characteristics of the virtual environment, such as the vegetation density.</w:t>
      </w:r>
    </w:p>
    <w:p w14:paraId="07126F5B" w14:textId="344E87BC" w:rsidR="008D616B" w:rsidRDefault="00051048" w:rsidP="000E38A7">
      <w:r w:rsidRPr="00C05886">
        <w:t xml:space="preserve">This design choice was addressed in two stress recovery studies </w:t>
      </w:r>
      <w:r w:rsidR="004E2887">
        <w:fldChar w:fldCharType="begin"/>
      </w:r>
      <w:r w:rsidR="004E2887">
        <w:instrText xml:space="preserve"> ADDIN ZOTERO_ITEM CSL_CITATION {"citationID":"2Rs2d7nN","properties":{"formattedCitation":"(Farris, Dempsey, {\\i{}et al.}, 2024; Farris, Zhang, {\\i{}et al.}, 2024)","plainCitation":"(Farris, Dempsey, et al., 2024; Farris, Zhang, et al., 2024)","noteIndex":0},"citationItems":[{"id":10928,"uris":["http://zotero.org/users/10951124/items/LNJYZS5A"],"itemData":{"id":10928,"type":"article-journal","abstract":"Green spaces can support human stress reduction and foster positive emotional well-being. Previous research has suggested that biodiversity (i.e. the variety of species of plants and animals in a given location) can enhance recovery from stress even further. However, there is limited experimental evidence testing this hypothesis and results, to date, have been mixed. This study aimed to provide further understanding of the role of biodiversity (actual or perceived) on human well-being by experimentally manipulating species richness and stress. Participants (372 in total) took part in an online experiment, where they received an episode of mild stress before watching a 360-degree video to recover. The video showed the same location, an urban woodland, but at one of four artificially manipulated levels of biodiversity. The participants reported their Positive and Negative Affect before and after the stress induction and after watching the video, providing a measure of their stress and well-being throughout the experiment. Participants also reported their perceptions of biodiversity (i.e. how diverse they thought the location was) and elaborated on their responses with brief comments. Repeated Measure Analysis of Variance revealed that exposure to all levels of biodiversity reduced the participants’ Negative Affect, but with no significant difference between the conditions. However, the analysis showed higher Positive Affect in those participants who perceived the environment as more biodiverse. Comments from participants indicated that those who reported noticing flowers and trees in the environment also showed higher Positive Affect. This suggests that perceiving biodiversity promotes more positive emotions, but critically one needs to actually notice (engage with) the components of biodiversity to elicit these extra benefits.","container-title":"PLOS ONE","DOI":"10.1371/journal.pone.0297179","ISSN":"1932-6203","issue":"2","journalAbbreviation":"PLoS ONE","language":"en","license":"All rights reserved","page":"e0297179","source":"DOI.org (Crossref)","title":"Does increasing biodiversity in an urban woodland setting promote positive emotional responses in humans? A stress recovery experiment using 360-degree videos of an urban woodland","title-short":"Does increasing biodiversity in an urban woodland setting promote positive emotional responses in humans?","volume":"19","author":[{"family":"Farris","given":"Simone"},{"family":"Dempsey","given":"Nicola"},{"family":"McEwan","given":"Kirsten"},{"family":"Hoyle","given":"Helen"},{"family":"Cameron","given":"Ross"}],"editor":[{"family":"Bhadauria","given":"Tunira"}],"issued":{"date-parts":[["2024",2,7]]}}},{"id":11353,"uris":["http://zotero.org/users/10951124/items/VIKQ9A6L"],"itemData":{"id":11353,"type":"article-journal","container-title":"Cities &amp; Health","DOI":"10.1080/23748834.2024.2383825","ISSN":"2374-8834, 2374-8842","journalAbbreviation":"Cities &amp; Health","language":"en","page":"1-16","source":"DOI.org (Crossref)","title":"‘The Elephant in the Room’ – does actual or perceived biodiversity elicit restorative responses in a virtual park?","author":[{"family":"Farris","given":"Simone"},{"family":"Zhang","given":"Liwen"},{"family":"Dempsey","given":"Nicola"},{"family":"McEwan","given":"Kirsten"},{"family":"Hoyle","given":"Helen"},{"family":"Cameron","given":"Ross"}],"issued":{"date-parts":[["2024",8,15]]}}}],"schema":"https://github.com/citation-style-language/schema/raw/master/csl-citation.json"} </w:instrText>
      </w:r>
      <w:r w:rsidR="004E2887">
        <w:fldChar w:fldCharType="separate"/>
      </w:r>
      <w:r w:rsidR="004E2887" w:rsidRPr="004E2887">
        <w:rPr>
          <w:rFonts w:ascii="Calibri" w:hAnsi="Calibri" w:cs="Calibri"/>
          <w:szCs w:val="24"/>
        </w:rPr>
        <w:t xml:space="preserve">(Farris, Dempsey, </w:t>
      </w:r>
      <w:r w:rsidR="004E2887" w:rsidRPr="004E2887">
        <w:rPr>
          <w:rFonts w:ascii="Calibri" w:hAnsi="Calibri" w:cs="Calibri"/>
          <w:i/>
          <w:iCs/>
          <w:szCs w:val="24"/>
        </w:rPr>
        <w:t>et al.</w:t>
      </w:r>
      <w:r w:rsidR="004E2887" w:rsidRPr="004E2887">
        <w:rPr>
          <w:rFonts w:ascii="Calibri" w:hAnsi="Calibri" w:cs="Calibri"/>
          <w:szCs w:val="24"/>
        </w:rPr>
        <w:t xml:space="preserve">, 2024; Farris, Zhang, </w:t>
      </w:r>
      <w:r w:rsidR="004E2887" w:rsidRPr="004E2887">
        <w:rPr>
          <w:rFonts w:ascii="Calibri" w:hAnsi="Calibri" w:cs="Calibri"/>
          <w:i/>
          <w:iCs/>
          <w:szCs w:val="24"/>
        </w:rPr>
        <w:t>et al.</w:t>
      </w:r>
      <w:r w:rsidR="004E2887" w:rsidRPr="004E2887">
        <w:rPr>
          <w:rFonts w:ascii="Calibri" w:hAnsi="Calibri" w:cs="Calibri"/>
          <w:szCs w:val="24"/>
        </w:rPr>
        <w:t>, 2024)</w:t>
      </w:r>
      <w:r w:rsidR="004E2887">
        <w:fldChar w:fldCharType="end"/>
      </w:r>
      <w:r w:rsidRPr="00C05886">
        <w:t xml:space="preserve">, </w:t>
      </w:r>
      <w:r w:rsidR="004E2887">
        <w:t>which</w:t>
      </w:r>
      <w:r w:rsidR="004E2887" w:rsidRPr="00C05886">
        <w:t xml:space="preserve"> </w:t>
      </w:r>
      <w:r w:rsidRPr="00C05886">
        <w:t xml:space="preserve">compared a series of virtual environments where only the number of species and their characteristics (e.g. flower colours, plant height) would change. However, </w:t>
      </w:r>
      <w:r w:rsidR="004E2887">
        <w:t>those experiment</w:t>
      </w:r>
      <w:r w:rsidR="00A006F3">
        <w:t>s</w:t>
      </w:r>
      <w:r w:rsidR="004E2887">
        <w:t xml:space="preserve"> did not have an urban control</w:t>
      </w:r>
      <w:r w:rsidRPr="00C05886">
        <w:t xml:space="preserve">. </w:t>
      </w:r>
      <w:r w:rsidR="00600B87">
        <w:t>Previous studies have highlighted that some urban environments can provide a measure of stress recovery and attention restoration.</w:t>
      </w:r>
      <w:r w:rsidR="00F244D7">
        <w:t xml:space="preserve"> For instance, students imagining themselves in </w:t>
      </w:r>
      <w:r w:rsidR="000C7CE5">
        <w:t xml:space="preserve">non-crowded </w:t>
      </w:r>
      <w:r w:rsidR="00F244D7">
        <w:t>cafes or malls</w:t>
      </w:r>
      <w:r w:rsidR="000C7CE5">
        <w:t xml:space="preserve"> reported good attention restoration likelihood, comparable with another group of students imagining themselves in a park </w:t>
      </w:r>
      <w:r w:rsidR="000C7CE5" w:rsidRPr="00C05886">
        <w:fldChar w:fldCharType="begin" w:fldLock="1"/>
      </w:r>
      <w:r w:rsidR="0051616D">
        <w:instrText xml:space="preserve"> ADDIN ZOTERO_ITEM CSL_CITATION {"citationID":"Y89yR6zU","properties":{"formattedCitation":"(Staats {\\i{}et al.}, 2016)","plainCitation":"(Staats et al., 2016)","noteIndex":0},"citationItems":[{"id":6585,"uris":["http://zotero.org/users/10951124/items/3X2U2TJB"],"itemData":{"id":6585,"type":"article-journal","abstract":"Objectives Given the need for knowledge on the restorative potential of urban settings, we sought to estimate the effects of personal and contextual factors on preferences and restoration likelihood assessments for different urban activities-in-environments. We also sought to study the generality of these effects across different countries. Methods We conducted a true experiment with convenience samples of university students in the Netherlands (n = 80), Sweden (n = 100), and the USA (n = 316). In each country, the experiment had a mixed design with activities-in-environments (sitting in a park, sitting in a cafe, walking in a shopping mall, walking along a busy street)manipulated within-subjects and the need for restoration (attentional fatigue, no attentional fatigue) and immediate social context (in company, alone)manipulated between-subjects. The manipulations relied on previously tested scenarios describing everyday situations that participants were instructed to remember and imagine themselves being in. For each imagined situation (activity-in-environment with antecedent fatigue condition and immediate social context), subjects provided two criterion measures: general preference and the likelihood of achieving psychological restoration. Results The settings received different preference and restoration likelihood ratings as expected, affirming that a busy street, often used in comparisons with natural settings, is not representative of the restorative potential of urban settings. Being with a close friend and attentional fatigue both moderated ratings for specific settings. Findings of additional moderation by country of residence caution against broad generalizations regarding preferences for and the expected restorative effects of different urban settings. Conclusions Preferences and restoration likelihood ratings for urban activity-environment combinations are subject to multiple personal and contextual determinants, including level of attentional fatigue, being alone versus in company, and broader aspects of the urban context that vary across cities and countries. Claims regarding a lack of restorative quality in urban environments are problematic.","container-title":"PLoS ONE","DOI":"10.1371/journal.pone.0146213","ISSN":"19326203","issue":"1","title":"Urban options for psychological restoration: Common strategies in everyday situations","volume":"11","author":[{"family":"Staats","given":"Henk"},{"family":"Jahncke","given":"Helena"},{"family":"Herzog","given":"Thomas R."},{"family":"Hartig","given":"Terry"}],"issued":{"date-parts":[["2016"]]}}}],"schema":"https://github.com/citation-style-language/schema/raw/master/csl-citation.json"} </w:instrText>
      </w:r>
      <w:r w:rsidR="000C7CE5" w:rsidRPr="00C05886">
        <w:fldChar w:fldCharType="separate"/>
      </w:r>
      <w:r w:rsidR="000C7CE5" w:rsidRPr="00C05886">
        <w:rPr>
          <w:rFonts w:ascii="Calibri" w:hAnsi="Calibri" w:cs="Calibri"/>
          <w:szCs w:val="24"/>
        </w:rPr>
        <w:t xml:space="preserve">(Staats </w:t>
      </w:r>
      <w:r w:rsidR="000C7CE5" w:rsidRPr="00C05886">
        <w:rPr>
          <w:rFonts w:ascii="Calibri" w:hAnsi="Calibri" w:cs="Calibri"/>
          <w:i/>
          <w:iCs/>
          <w:szCs w:val="24"/>
        </w:rPr>
        <w:t>et al.</w:t>
      </w:r>
      <w:r w:rsidR="000C7CE5" w:rsidRPr="00C05886">
        <w:rPr>
          <w:rFonts w:ascii="Calibri" w:hAnsi="Calibri" w:cs="Calibri"/>
          <w:szCs w:val="24"/>
        </w:rPr>
        <w:t>, 2016)</w:t>
      </w:r>
      <w:r w:rsidR="000C7CE5" w:rsidRPr="00C05886">
        <w:fldChar w:fldCharType="end"/>
      </w:r>
      <w:r w:rsidR="000C7CE5">
        <w:t>.</w:t>
      </w:r>
      <w:r w:rsidR="000C7CE5" w:rsidRPr="000C7CE5">
        <w:t xml:space="preserve"> </w:t>
      </w:r>
      <w:r w:rsidR="000C7CE5">
        <w:t xml:space="preserve">Further, </w:t>
      </w:r>
      <w:r w:rsidR="000C7CE5" w:rsidRPr="00C05886">
        <w:fldChar w:fldCharType="begin" w:fldLock="1"/>
      </w:r>
      <w:r w:rsidR="00A35208">
        <w:instrText xml:space="preserve"> ADDIN ZOTERO_ITEM CSL_CITATION {"citationID":"E9hUerek","properties":{"formattedCitation":"(Stigsdotter {\\i{}et al.}, 2017; Bornioli, Parkhurst and Morgan, 2018)","plainCitation":"(Stigsdotter et al., 2017; Bornioli, Parkhurst and Morgan, 2018)","dontUpdate":true,"noteIndex":0},"citationItems":[{"id":6373,"uris":["http://zotero.org/users/10951124/items/3HXF94D8"],"itemData":{"id":6373,"type":"article-journal","abstract":"Today, urbanization presents a challenge to urban planning with regard to creating healthy living environments. The aim of this research is to gain further knowledge of the restorativeness of a best case urban and natural environment: that is a historic down town urban environment and forest environment located in an arboretum. The study has a cross-over design where 51 (N) female university students are exposed to the two environments through both seated viewing and walking. A mixed method approach is used with both physiological measurements of blood pressure (BP) and heart rate variability (HRV) and psychological measurements of mood change and perceived restorativeness. The HRV results show no significant differences between the two environments, and both environments are found to be more physiologically restorative than being at the office or on the minibus. The results of the psychological measures indicate that the forest walk has a positive effect on mood, while the walk in the urban environment has no effect. The forest environment is also rated more highly with regard to perceived restorativeness than the urban environment. The results support the current research that shows natural environments as more restorative than urban environments. The study also adds to the ongoing debate on healthy urban planning by indicating that architectural and historical qualities may be associated with the physiological well-being of citizens.","container-title":"Health and Place","DOI":"10.1016/j.healthplace.2017.05.007","ISSN":"18732054","page":"145-154","title":"It is not all bad for the grey city – A crossover study on physiological and psychological restoration in a forest and an urban environment","volume":"46","author":[{"family":"Stigsdotter","given":"Ulrika K."},{"family":"Corazon","given":"Sus Sola"},{"family":"Sidenius","given":"Ulrik"},{"family":"Kristiansen","given":"Jesper"},{"family":"Grahn","given":"Patrik"}],"issued":{"date-parts":[["2017"]]}}},{"id":"6pP8vKpK/FECZfl6D","uris":["http://www.mendeley.com/documents/?uuid=63666cab-4a2c-4113-ad7c-0bb9a041e036"],"itemData":{"DOI":"10.1016/j.jth.2018.02.003","ISSN":"22141405","abstract":"The potential health benefits of walking in attractive, predominantly built-up urban settings have not received much attention from scholars, despite the global need to increase walking levels in cities. The current experimental study assessed the affective outcomes associated with several urban walking settings, with a focus on the presence of motor-traffic and architectural styles from different historic periods. We employed a mixed within-between subjects design (n = 269) with employees and students from Bristol (UK) and measured relaxation and hedonic tone experiences, perceived restorativeness, and environmental perceptions following exposures to one of five urban settings. Results identified three categories of affective outcomes, rather than the classic dichotomy ‘urban vs natural’: the simulated walks in areas with greenery rated significantly better than the others; however, the pedestrianised settings were associated with neutral or positive affective outcomes and perceptions, with statistically significant differences with an area with traffic. These results suggest that walking in high-quality urban settings can have positive outcomes, and highlight the negative role of traffic and the potential benefits of historic elements in the affective walking experience. From a policy perspective, the findings strengthen the case for traffic removal, and indicate that exposure to high quality urban design that includes some natural elements can offer the same affective benefits offered by large green spaces.","author":[{"dropping-particle":"","family":"Bornioli","given":"Anna","non-dropping-particle":"","parse-names":false,"suffix":""},{"dropping-particle":"","family":"Parkhurst","given":"Graham","non-dropping-particle":"","parse-names":false,"suffix":""},{"dropping-particle":"","family":"Morgan","given":"Phillip L.","non-dropping-particle":"","parse-names":false,"suffix":""}],"container-title":"Journal of Transport and Health","id":"ITEM-2","issue":"October 2017","issued":{"date-parts":[["2018"]]},"page":"105-116","publisher":"Elsevier Ltd","title":"Psychological Wellbeing Benefits of Simulated Exposure to Five Urban Settings: an Experimental Study From the Pedestrian's Perspective","type":"article-journal","volume":"9"},"label":"page"}],"schema":"https://github.com/citation-style-language/schema/raw/master/csl-citation.json"} </w:instrText>
      </w:r>
      <w:r w:rsidR="000C7CE5" w:rsidRPr="00C05886">
        <w:fldChar w:fldCharType="separate"/>
      </w:r>
      <w:r w:rsidR="000C7CE5" w:rsidRPr="00C05886">
        <w:rPr>
          <w:rFonts w:ascii="Calibri" w:hAnsi="Calibri" w:cs="Calibri"/>
          <w:szCs w:val="24"/>
        </w:rPr>
        <w:t xml:space="preserve">Stigsdotter </w:t>
      </w:r>
      <w:r w:rsidR="000C7CE5" w:rsidRPr="00C05886">
        <w:rPr>
          <w:rFonts w:ascii="Calibri" w:hAnsi="Calibri" w:cs="Calibri"/>
          <w:i/>
          <w:iCs/>
          <w:szCs w:val="24"/>
        </w:rPr>
        <w:t>et al.</w:t>
      </w:r>
      <w:r w:rsidR="000C7CE5" w:rsidRPr="00C05886">
        <w:rPr>
          <w:rFonts w:ascii="Calibri" w:hAnsi="Calibri" w:cs="Calibri"/>
          <w:szCs w:val="24"/>
        </w:rPr>
        <w:t xml:space="preserve"> </w:t>
      </w:r>
      <w:r w:rsidR="000C7CE5">
        <w:rPr>
          <w:rFonts w:ascii="Calibri" w:hAnsi="Calibri" w:cs="Calibri"/>
          <w:szCs w:val="24"/>
        </w:rPr>
        <w:t>(</w:t>
      </w:r>
      <w:r w:rsidR="000C7CE5" w:rsidRPr="00C05886">
        <w:rPr>
          <w:rFonts w:ascii="Calibri" w:hAnsi="Calibri" w:cs="Calibri"/>
          <w:szCs w:val="24"/>
        </w:rPr>
        <w:t>2017</w:t>
      </w:r>
      <w:r w:rsidR="000C7CE5" w:rsidRPr="00C05886">
        <w:fldChar w:fldCharType="end"/>
      </w:r>
      <w:r w:rsidR="000C7CE5">
        <w:t>) observed that a walk in a low-traffic area of the historic centre of Copenhagen had a stress</w:t>
      </w:r>
      <w:r w:rsidR="0051616D">
        <w:t xml:space="preserve"> </w:t>
      </w:r>
      <w:r w:rsidR="000C7CE5">
        <w:t xml:space="preserve">recovery effect similar to a walk in </w:t>
      </w:r>
      <w:r w:rsidR="00A006F3">
        <w:t>an</w:t>
      </w:r>
      <w:r w:rsidR="000C7CE5">
        <w:t xml:space="preserve"> urban forest. </w:t>
      </w:r>
      <w:r w:rsidR="008D616B">
        <w:t xml:space="preserve">Squares and plazas were also found to be restorative. </w:t>
      </w:r>
      <w:r w:rsidR="0051616D">
        <w:fldChar w:fldCharType="begin"/>
      </w:r>
      <w:r w:rsidR="00D00124">
        <w:instrText xml:space="preserve"> ADDIN ZOTERO_ITEM CSL_CITATION {"citationID":"Tng5Cszu","properties":{"formattedCitation":"(San Juan, Subiza-P\\uc0\\u233{}rez and Vozmediano, 2017)","plainCitation":"(San Juan, Subiza-Pérez and Vozmediano, 2017)","dontUpdate":true,"noteIndex":0},"citationItems":[{"id":11405,"uris":["http://zotero.org/users/10951124/items/F5HA4NSJ"],"itemData":{"id":11405,"type":"article-journal","container-title":"Frontiers in Psychology","DOI":"10.3389/fpsyg.2017.02093","ISSN":"1664-1078","journalAbbreviation":"Front. Psychol.","page":"2093","source":"DOI.org (Crossref)","title":"Restoration and the City: The Role of Public Urban Squares","title-short":"Restoration and the City","volume":"8","author":[{"family":"San Juan","given":"César"},{"family":"Subiza-Pérez","given":"Mikel"},{"family":"Vozmediano","given":"Laura"}],"issued":{"date-parts":[["2017",12,7]]}}}],"schema":"https://github.com/citation-style-language/schema/raw/master/csl-citation.json"} </w:instrText>
      </w:r>
      <w:r w:rsidR="0051616D">
        <w:fldChar w:fldCharType="separate"/>
      </w:r>
      <w:r w:rsidR="0051616D" w:rsidRPr="0051616D">
        <w:rPr>
          <w:rFonts w:ascii="Calibri" w:hAnsi="Calibri" w:cs="Calibri"/>
          <w:szCs w:val="24"/>
        </w:rPr>
        <w:t xml:space="preserve">San Juan, Subiza-Pérez and Vozmediano, </w:t>
      </w:r>
      <w:r w:rsidR="0051616D">
        <w:rPr>
          <w:rFonts w:ascii="Calibri" w:hAnsi="Calibri" w:cs="Calibri"/>
          <w:szCs w:val="24"/>
        </w:rPr>
        <w:t>(</w:t>
      </w:r>
      <w:r w:rsidR="0051616D" w:rsidRPr="0051616D">
        <w:rPr>
          <w:rFonts w:ascii="Calibri" w:hAnsi="Calibri" w:cs="Calibri"/>
          <w:szCs w:val="24"/>
        </w:rPr>
        <w:t>2017)</w:t>
      </w:r>
      <w:r w:rsidR="0051616D">
        <w:fldChar w:fldCharType="end"/>
      </w:r>
      <w:r w:rsidR="0051616D">
        <w:t xml:space="preserve"> </w:t>
      </w:r>
      <w:r w:rsidR="008D616B">
        <w:t xml:space="preserve">compared the responses to </w:t>
      </w:r>
      <w:r w:rsidR="0051616D">
        <w:t xml:space="preserve">two urban squares in Malaga (Spain) and found that participants who spent 30 </w:t>
      </w:r>
      <w:r w:rsidR="0051616D">
        <w:lastRenderedPageBreak/>
        <w:t xml:space="preserve">minutes contemplating and exploring both environments reported improved attention restoration and stress recovery. However, the stress recovery was higher in the square with less vegetation. </w:t>
      </w:r>
      <w:r w:rsidR="004C4554">
        <w:t xml:space="preserve">A similar intervention in Finland, </w:t>
      </w:r>
      <w:r w:rsidR="00A006F3">
        <w:t>also</w:t>
      </w:r>
      <w:r w:rsidR="004C4554">
        <w:t xml:space="preserve"> comparing two squares </w:t>
      </w:r>
      <w:r w:rsidR="004C4554">
        <w:fldChar w:fldCharType="begin"/>
      </w:r>
      <w:r w:rsidR="004C4554">
        <w:instrText xml:space="preserve"> ADDIN ZOTERO_ITEM CSL_CITATION {"citationID":"6oF4BlQ4","properties":{"formattedCitation":"(Subiza-P\\uc0\\u233{}rez, Vozmediano and San Juan, 2019)","plainCitation":"(Subiza-Pérez, Vozmediano and San Juan, 2019)","noteIndex":0},"citationItems":[{"id":7454,"uris":["http://zotero.org/users/10951124/items/75A2LJIX"],"itemData":{"id":7454,"type":"article-journal","abstract":"Almost four decades ago, Attention Restoration Theory and Stress Recovery Theory postulated that nature could help people to recover from the attentional fatigue and the emotional negative outcomes coming from their daily performance. Since then, these theories have inspired a great amount...","container-title":"Landscape Research","DOI":"10.1080/01426397.2018.1493443","ISSN":"0142-6397","issue":"4","page":"493-505","title":"Pretest-posttest field studies on psychological restoration: a descriptive review and reflections for the future","volume":"44","author":[{"family":"Subiza-Pérez","given":"Mikel"},{"family":"Vozmediano","given":"Laura"},{"family":"San Juan","given":"César"}],"issued":{"date-parts":[["2019"]]}}}],"schema":"https://github.com/citation-style-language/schema/raw/master/csl-citation.json"} </w:instrText>
      </w:r>
      <w:r w:rsidR="004C4554">
        <w:fldChar w:fldCharType="separate"/>
      </w:r>
      <w:r w:rsidR="004C4554" w:rsidRPr="004C4554">
        <w:rPr>
          <w:rFonts w:ascii="Calibri" w:hAnsi="Calibri" w:cs="Calibri"/>
          <w:szCs w:val="24"/>
        </w:rPr>
        <w:t>(Subiza-Pérez, Vozmediano and San Juan, 2019)</w:t>
      </w:r>
      <w:r w:rsidR="004C4554">
        <w:fldChar w:fldCharType="end"/>
      </w:r>
      <w:r w:rsidR="004C4554">
        <w:t xml:space="preserve">, observed an increase </w:t>
      </w:r>
      <w:r w:rsidR="00A006F3">
        <w:t>in</w:t>
      </w:r>
      <w:r w:rsidR="004C4554">
        <w:t xml:space="preserve"> attention restoration and a decrease in Negative Affect (i.e. emotional indicator of stress) after spending 20 minutes in either setting. </w:t>
      </w:r>
      <w:r w:rsidR="00A006F3">
        <w:t>However,</w:t>
      </w:r>
      <w:r w:rsidR="004C4554">
        <w:t xml:space="preserve"> there was no increase in the Positive Affect (i.e. emotional indicator of </w:t>
      </w:r>
      <w:r w:rsidR="00C23DA3">
        <w:t>enjoyment and relaxation)</w:t>
      </w:r>
      <w:r w:rsidR="004C4554">
        <w:t xml:space="preserve"> The researchers however acknowledged that the small sample size (N = 34) limited the confidence in the results.</w:t>
      </w:r>
    </w:p>
    <w:p w14:paraId="27FE1160" w14:textId="607CB450" w:rsidR="00051048" w:rsidRDefault="00051048" w:rsidP="000E38A7">
      <w:r w:rsidRPr="00C05886">
        <w:t xml:space="preserve">Previous studies have also looked at the physiological responses to virtual nature. Researchers have measured skin conductance </w:t>
      </w:r>
      <w:r w:rsidRPr="00C05886">
        <w:fldChar w:fldCharType="begin"/>
      </w:r>
      <w:r w:rsidR="009F0A3D" w:rsidRPr="00C05886">
        <w:instrText xml:space="preserve"> ADDIN ZOTERO_ITEM CSL_CITATION {"citationID":"9IfU1ZOF","properties":{"formattedCitation":"(Elsadek, Liu and Xie, 2020)","plainCitation":"(Elsadek, Liu and Xie, 2020)","noteIndex":0},"citationItems":[{"id":5197,"uris":["http://zotero.org/users/10951124/items/F4DP2D6Y"],"itemData":{"id":5197,"type":"article-journal","abstract":"The current challenges of urbanization and densification threaten the health of urban dwellers. Previous studies have shown that contact with; or perception of green spaces has beneficial impacts on human psychological wellbeing. However, residents and employees who live or work in high-rise buildings have little opportunity to access green spaces during working hours. We do not know whether viewing green space through a high-rise estate window can potentially contribute to the psychological wellbeing of urban dwellers. Thirty participants were randomly assigned to two offices, a window looking out onto urban space, or a window looking out onto green space from a wide-angle of the 21st floor of the Jin-Mao Tower. During visual stimulation, sensors took physiological measures of their stress levels by measuring Electroencephalography, heart rate variability, and skin conductance, while their psychological reactions were collected using Profile of Mood States and Semantic Differential Questionnaire. Results showed that compared with the urban space view; viewing green space through a high-rise window resulted in a significant increase in alpha wave power in the frontal and occipital lobes, a significant increase in parasympathetic activity; and a significant decrease in the skin conductance. Moreover; a significant increase in “comfortable”, “beautiful”, “attractive”, “relaxed”, and “cheerful’’ feelings, and a significant improvement in mood states. Window views can significantly lead to better mental health and psychological wellbeing for urban dwellers. The observed results highlight the significance of considering the window views in urban high-rise neighborhood planning and design.","container-title":"Urban Forestry &amp; Urban Greening","DOI":"https://doi.org/10.1016/j.ufug.2020.126846","ISSN":"1618-8667","page":"126846","title":"Window view and relaxation: Viewing green space from a high-rise estate improves urban dwellers’ wellbeing","volume":"55","author":[{"family":"Elsadek","given":"Mohamed"},{"family":"Liu","given":"Binyi"},{"family":"Xie","given":"Junfang"}],"issued":{"date-parts":[["2020"]]}}}],"schema":"https://github.com/citation-style-language/schema/raw/master/csl-citation.json"} </w:instrText>
      </w:r>
      <w:r w:rsidRPr="00C05886">
        <w:fldChar w:fldCharType="separate"/>
      </w:r>
      <w:r w:rsidR="009F0A3D" w:rsidRPr="00C05886">
        <w:rPr>
          <w:rFonts w:ascii="Calibri" w:hAnsi="Calibri" w:cs="Calibri"/>
        </w:rPr>
        <w:t>(Elsadek, Liu and Xie, 2020)</w:t>
      </w:r>
      <w:r w:rsidRPr="00C05886">
        <w:fldChar w:fldCharType="end"/>
      </w:r>
      <w:r w:rsidRPr="00C05886">
        <w:t xml:space="preserve">, heart rate variability </w:t>
      </w:r>
      <w:r w:rsidRPr="00C05886">
        <w:fldChar w:fldCharType="begin"/>
      </w:r>
      <w:r w:rsidR="00020123" w:rsidRPr="00C05886">
        <w:instrText xml:space="preserve"> ADDIN ZOTERO_ITEM CSL_CITATION {"citationID":"O8lib8i8","properties":{"formattedCitation":"(Stigsdotter {\\i{}et al.}, 2017)","plainCitation":"(Stigsdotter et al., 2017)","noteIndex":0},"citationItems":[{"id":6373,"uris":["http://zotero.org/users/10951124/items/3HXF94D8"],"itemData":{"id":6373,"type":"article-journal","abstract":"Today, urbanization presents a challenge to urban planning with regard to creating healthy living environments. The aim of this research is to gain further knowledge of the restorativeness of a best case urban and natural environment: that is a historic down town urban environment and forest environment located in an arboretum. The study has a cross-over design where 51 (N) female university students are exposed to the two environments through both seated viewing and walking. A mixed method approach is used with both physiological measurements of blood pressure (BP) and heart rate variability (HRV) and psychological measurements of mood change and perceived restorativeness. The HRV results show no significant differences between the two environments, and both environments are found to be more physiologically restorative than being at the office or on the minibus. The results of the psychological measures indicate that the forest walk has a positive effect on mood, while the walk in the urban environment has no effect. The forest environment is also rated more highly with regard to perceived restorativeness than the urban environment. The results support the current research that shows natural environments as more restorative than urban environments. The study also adds to the ongoing debate on healthy urban planning by indicating that architectural and historical qualities may be associated with the physiological well-being of citizens.","container-title":"Health and Place","DOI":"10.1016/j.healthplace.2017.05.007","ISSN":"18732054","page":"145-154","title":"It is not all bad for the grey city – A crossover study on physiological and psychological restoration in a forest and an urban environment","volume":"46","author":[{"family":"Stigsdotter","given":"Ulrika K."},{"family":"Corazon","given":"Sus Sola"},{"family":"Sidenius","given":"Ulrik"},{"family":"Kristiansen","given":"Jesper"},{"family":"Grahn","given":"Patrik"}],"issued":{"date-parts":[["2017"]]}}}],"schema":"https://github.com/citation-style-language/schema/raw/master/csl-citation.json"} </w:instrText>
      </w:r>
      <w:r w:rsidRPr="00C05886">
        <w:fldChar w:fldCharType="separate"/>
      </w:r>
      <w:r w:rsidR="00020123" w:rsidRPr="00C05886">
        <w:rPr>
          <w:rFonts w:ascii="Calibri" w:hAnsi="Calibri" w:cs="Calibri"/>
          <w:szCs w:val="24"/>
        </w:rPr>
        <w:t xml:space="preserve">(Stigsdotter </w:t>
      </w:r>
      <w:r w:rsidR="00020123" w:rsidRPr="00C05886">
        <w:rPr>
          <w:rFonts w:ascii="Calibri" w:hAnsi="Calibri" w:cs="Calibri"/>
          <w:i/>
          <w:iCs/>
          <w:szCs w:val="24"/>
        </w:rPr>
        <w:t>et al.</w:t>
      </w:r>
      <w:r w:rsidR="00020123" w:rsidRPr="00C05886">
        <w:rPr>
          <w:rFonts w:ascii="Calibri" w:hAnsi="Calibri" w:cs="Calibri"/>
          <w:szCs w:val="24"/>
        </w:rPr>
        <w:t>, 2017)</w:t>
      </w:r>
      <w:r w:rsidRPr="00C05886">
        <w:fldChar w:fldCharType="end"/>
      </w:r>
      <w:r w:rsidRPr="00C05886">
        <w:t xml:space="preserve"> and muscle tension </w:t>
      </w:r>
      <w:r w:rsidRPr="00C05886">
        <w:fldChar w:fldCharType="begin"/>
      </w:r>
      <w:r w:rsidRPr="00C05886">
        <w:instrText xml:space="preserve"> ADDIN ZOTERO_ITEM CSL_CITATION {"citationID":"Pyr7b1uw","properties":{"formattedCitation":"(Largo-Wight, O\\uc0\\u8217{}Hara and Chen, 2016)","plainCitation":"(Largo-Wight, O’Hara and Chen, 2016)","noteIndex":0},"citationItems":[{"id":10488,"uris":["http://zotero.org/users/10951124/items/CUDBW2K7"],"itemData":{"id":10488,"type":"article-journal","abstract":"Background:\n              There is a growing recognition that environmental design impacts health and well-being. Nature contact is a design feature or exposure that is especially important in public health and healthcare. To date, there are limited findings on the impact of nature sounds.\n            \n            \n              Objective:\n              This experimental study was designed to examine the effect of nature sounds on physiological and psychological stress.\n            \n            \n              Methods:\n              Participants were randomized into one of three groups—silence ( n = 9), nature sound ( n = 17), and classical music ( n = 14)—and listened to the assigned sound for 15 min in an office or waiting room-like environment. Pre- and postdata were collected including muscle tension (electromyogram), pulse rate, and self-reported stress.\n            \n            \n              Results:\n              With the exception of pulse rate, there were no statistical differences in baseline or demographics among groups. A paired t-test by group showed a decrease in muscle tension, pulse rate, and self-reported stress in the nature group and no significant differences in the control or the classical music groups. The significant reduction in muscle tension occurred at least by 7 min of listening to the nature sound.\n            \n            \n              Conclusion:\n              This study highlights the potential benefit of even very brief (less than 7 min) exposure to nature sounds. Brief nature sound “booster breaks” are a promising area for future research with important practical implications.","container-title":"Health Environments Research &amp; Design Journal","DOI":"10.1177/1937586715619741","ISSN":"1937-5867, 2167-5112","issue":"1","journalAbbreviation":"HERD","language":"en","page":"45-51","source":"DOI.org (Crossref)","title":"The Efficacy of a Brief Nature Sound Intervention on Muscle Tension, Pulse Rate, and Self-Reported Stress: Nature Contact Micro-Break in an Office or Waiting Room","title-short":"The Efficacy of a Brief Nature Sound Intervention on Muscle Tension, Pulse Rate, and Self-Reported Stress","volume":"10","author":[{"family":"Largo-Wight","given":"Erin"},{"family":"O’Hara","given":"Brian K."},{"family":"Chen","given":"W. William"}],"issued":{"date-parts":[["2016",10]]}}}],"schema":"https://github.com/citation-style-language/schema/raw/master/csl-citation.json"} </w:instrText>
      </w:r>
      <w:r w:rsidRPr="00C05886">
        <w:fldChar w:fldCharType="separate"/>
      </w:r>
      <w:r w:rsidRPr="00C05886">
        <w:rPr>
          <w:rFonts w:ascii="Calibri" w:hAnsi="Calibri" w:cs="Calibri"/>
          <w:szCs w:val="24"/>
        </w:rPr>
        <w:t>(Largo-Wight, O’Hara and Chen, 2016)</w:t>
      </w:r>
      <w:r w:rsidRPr="00C05886">
        <w:fldChar w:fldCharType="end"/>
      </w:r>
      <w:r w:rsidRPr="00C05886">
        <w:t xml:space="preserve"> as indicators of the activity of the autonomous nervous system. This dominion of the brain regulates the stress response and recovery, so it provides a more objective measure of restorative effects compared with self-reported measures. Although recent reviews of the literature show that physiological indicators</w:t>
      </w:r>
      <w:r w:rsidR="00A006F3">
        <w:t xml:space="preserve"> can</w:t>
      </w:r>
      <w:r w:rsidRPr="00C05886">
        <w:t xml:space="preserve"> improve following exposure to virtual nature </w:t>
      </w:r>
      <w:r w:rsidRPr="00C05886">
        <w:fldChar w:fldCharType="begin"/>
      </w:r>
      <w:r w:rsidRPr="00C05886">
        <w:instrText xml:space="preserve"> ADDIN ZOTERO_ITEM CSL_CITATION {"citationID":"Pw0Var3t","properties":{"formattedCitation":"(Gentile {\\i{}et al.}, 2023)","plainCitation":"(Gentile et al., 2023)","noteIndex":0},"citationItems":[{"id":10738,"uris":["http://zotero.org/users/10951124/items/SK9X3MI7"],"itemData":{"id":10738,"type":"article-journal","container-title":"International Journal of Stress Management","DOI":"10.1037/str0000300","ISSN":"1573-3424, 1072-5245","journalAbbreviation":"International Journal of Stress Management","language":"en","source":"DOI.org (Crossref)","title":"Nature through virtual reality as a stress-reduction tool: A systematic review.","title-short":"Nature through virtual reality as a stress-reduction tool","URL":"http://doi.apa.org/getdoi.cfm?doi=10.1037/str0000300","author":[{"family":"Gentile","given":"Ambra"},{"family":"Ficarra","given":"Salvatore"},{"family":"Thomas","given":"Ewan"},{"family":"Bianco","given":"Antonino"},{"family":"Nordstrom","given":"Anna"}],"accessed":{"date-parts":[["2023",11,14]]},"issued":{"date-parts":[["2023",7,6]]}}}],"schema":"https://github.com/citation-style-language/schema/raw/master/csl-citation.json"} </w:instrText>
      </w:r>
      <w:r w:rsidRPr="00C05886">
        <w:fldChar w:fldCharType="separate"/>
      </w:r>
      <w:r w:rsidRPr="00C05886">
        <w:rPr>
          <w:rFonts w:ascii="Calibri" w:hAnsi="Calibri" w:cs="Calibri"/>
          <w:szCs w:val="24"/>
        </w:rPr>
        <w:t xml:space="preserve">(Gentile </w:t>
      </w:r>
      <w:r w:rsidRPr="00C05886">
        <w:rPr>
          <w:rFonts w:ascii="Calibri" w:hAnsi="Calibri" w:cs="Calibri"/>
          <w:i/>
          <w:iCs/>
          <w:szCs w:val="24"/>
        </w:rPr>
        <w:t>et al.</w:t>
      </w:r>
      <w:r w:rsidRPr="00C05886">
        <w:rPr>
          <w:rFonts w:ascii="Calibri" w:hAnsi="Calibri" w:cs="Calibri"/>
          <w:szCs w:val="24"/>
        </w:rPr>
        <w:t>, 2023)</w:t>
      </w:r>
      <w:r w:rsidRPr="00C05886">
        <w:fldChar w:fldCharType="end"/>
      </w:r>
      <w:r w:rsidRPr="00C05886">
        <w:t xml:space="preserve">, </w:t>
      </w:r>
      <w:r w:rsidR="00C23DA3">
        <w:t xml:space="preserve">it was also acknowledged that </w:t>
      </w:r>
      <w:r w:rsidRPr="00C05886">
        <w:t>some studies have reported inconclusive results.</w:t>
      </w:r>
    </w:p>
    <w:p w14:paraId="4405A3E9" w14:textId="1503D341" w:rsidR="00600B87" w:rsidRPr="00C05886" w:rsidRDefault="00600B87" w:rsidP="000E38A7">
      <w:r>
        <w:t>T</w:t>
      </w:r>
      <w:r w:rsidRPr="00C05886">
        <w:t>he present study</w:t>
      </w:r>
      <w:r>
        <w:t xml:space="preserve"> compared the stress recovery responses to three</w:t>
      </w:r>
      <w:r w:rsidRPr="00C05886">
        <w:t xml:space="preserve"> alternative versions of the same virtual environment</w:t>
      </w:r>
      <w:r>
        <w:t xml:space="preserve"> – i.e. having the same dimension, layout and urban context. Two versions were vegetated green </w:t>
      </w:r>
      <w:proofErr w:type="gramStart"/>
      <w:r>
        <w:t xml:space="preserve">spaces, </w:t>
      </w:r>
      <w:r w:rsidRPr="00C05886">
        <w:t xml:space="preserve"> </w:t>
      </w:r>
      <w:r>
        <w:t>and</w:t>
      </w:r>
      <w:proofErr w:type="gramEnd"/>
      <w:r w:rsidRPr="00C05886">
        <w:t xml:space="preserve"> one </w:t>
      </w:r>
      <w:r>
        <w:t>was left as a “grey space” (i.e. without vegetation).</w:t>
      </w:r>
    </w:p>
    <w:p w14:paraId="58ED46F2" w14:textId="2B1E5102" w:rsidR="00051048" w:rsidRPr="00C05886" w:rsidRDefault="00051048" w:rsidP="000E38A7">
      <w:r w:rsidRPr="00C05886">
        <w:t xml:space="preserve">Considering the potential for </w:t>
      </w:r>
      <w:r w:rsidR="004E2887">
        <w:t>species-rich</w:t>
      </w:r>
      <w:r w:rsidR="004E2887" w:rsidRPr="00C05886">
        <w:t xml:space="preserve"> </w:t>
      </w:r>
      <w:r w:rsidRPr="00C05886">
        <w:t>virtual green spaces as providers of well-being, a new experiment was set up to address the following research hypotheses:</w:t>
      </w:r>
    </w:p>
    <w:p w14:paraId="21C79F29" w14:textId="45167B70" w:rsidR="00051048" w:rsidRPr="00C05886" w:rsidRDefault="00051048" w:rsidP="00051048">
      <w:pPr>
        <w:pStyle w:val="ListParagraph"/>
        <w:numPr>
          <w:ilvl w:val="0"/>
          <w:numId w:val="26"/>
        </w:numPr>
        <w:spacing w:line="259" w:lineRule="auto"/>
      </w:pPr>
      <w:r w:rsidRPr="00C05886">
        <w:t xml:space="preserve">A short exposure to virtual </w:t>
      </w:r>
      <w:r w:rsidR="004E2887">
        <w:t>species richness</w:t>
      </w:r>
      <w:r w:rsidR="004E2887" w:rsidRPr="00C05886">
        <w:t xml:space="preserve"> </w:t>
      </w:r>
      <w:r w:rsidRPr="00C05886">
        <w:t>will improve emotional well-being</w:t>
      </w:r>
    </w:p>
    <w:p w14:paraId="0231BB4B" w14:textId="0A8A5CFE" w:rsidR="00051048" w:rsidRPr="00C05886" w:rsidRDefault="00051048" w:rsidP="00051048">
      <w:pPr>
        <w:pStyle w:val="ListParagraph"/>
        <w:numPr>
          <w:ilvl w:val="0"/>
          <w:numId w:val="26"/>
        </w:numPr>
        <w:spacing w:line="259" w:lineRule="auto"/>
      </w:pPr>
      <w:r w:rsidRPr="00C05886">
        <w:t xml:space="preserve">A short exposure to virtual </w:t>
      </w:r>
      <w:r w:rsidR="004E2887">
        <w:t>species richness</w:t>
      </w:r>
      <w:r w:rsidR="004E2887" w:rsidRPr="00C05886">
        <w:t xml:space="preserve"> </w:t>
      </w:r>
      <w:r w:rsidRPr="00C05886">
        <w:t xml:space="preserve">will improve physiological indicators of stress recovery </w:t>
      </w:r>
    </w:p>
    <w:p w14:paraId="48EAE617" w14:textId="791E45ED" w:rsidR="00051048" w:rsidRPr="00C05886" w:rsidRDefault="00051048" w:rsidP="00051048">
      <w:pPr>
        <w:pStyle w:val="ListParagraph"/>
        <w:numPr>
          <w:ilvl w:val="0"/>
          <w:numId w:val="26"/>
        </w:numPr>
        <w:spacing w:line="259" w:lineRule="auto"/>
      </w:pPr>
      <w:r w:rsidRPr="00C05886">
        <w:t xml:space="preserve">Actual and perceived virtual </w:t>
      </w:r>
      <w:r w:rsidR="004E2887">
        <w:t>species richness</w:t>
      </w:r>
      <w:r w:rsidR="004E2887" w:rsidRPr="00C05886">
        <w:t xml:space="preserve"> </w:t>
      </w:r>
      <w:r w:rsidRPr="00C05886">
        <w:t xml:space="preserve">will similarly improve well-being </w:t>
      </w:r>
    </w:p>
    <w:p w14:paraId="7689E2E3" w14:textId="77777777" w:rsidR="00051048" w:rsidRPr="00C05886" w:rsidRDefault="00051048" w:rsidP="00051048">
      <w:pPr>
        <w:pStyle w:val="Heading2"/>
      </w:pPr>
      <w:bookmarkStart w:id="150" w:name="_Toc179962390"/>
      <w:r w:rsidRPr="00C05886">
        <w:t>Materials and methods</w:t>
      </w:r>
      <w:bookmarkEnd w:id="150"/>
    </w:p>
    <w:p w14:paraId="22D209D7" w14:textId="77777777" w:rsidR="00051048" w:rsidRPr="00C05886" w:rsidRDefault="00051048" w:rsidP="00051048">
      <w:pPr>
        <w:pStyle w:val="Heading3"/>
      </w:pPr>
      <w:bookmarkStart w:id="151" w:name="_Toc179962391"/>
      <w:r w:rsidRPr="00C05886">
        <w:t>Park treatment and biodiversity level</w:t>
      </w:r>
      <w:bookmarkEnd w:id="151"/>
    </w:p>
    <w:p w14:paraId="6ED03BD1" w14:textId="076750E8" w:rsidR="00051048" w:rsidRPr="00C05886" w:rsidRDefault="00051048" w:rsidP="003C6901">
      <w:r w:rsidRPr="00C05886">
        <w:t xml:space="preserve">The virtual park was elaborated in Google SketchUp and Lumion Pro (ver. 12) and was approximately 10000 square meters in size. meters and featured a paved path where each participant could “walk”. Thirty three-dimensional photos of the park were linked together with </w:t>
      </w:r>
      <w:proofErr w:type="spellStart"/>
      <w:r w:rsidRPr="00C05886">
        <w:t>Marzipano</w:t>
      </w:r>
      <w:proofErr w:type="spellEnd"/>
      <w:r w:rsidRPr="00C05886">
        <w:t xml:space="preserve"> (http://www.marzipano.net), so that the participant could “walk” from one image to another, </w:t>
      </w:r>
      <w:r w:rsidRPr="00C05886">
        <w:lastRenderedPageBreak/>
        <w:t>following a paved concrete path. The experience resulted similar to Google’s “Street View”. To achieve a credible effect, the park also included benches, rubbish bins and some human models.</w:t>
      </w:r>
    </w:p>
    <w:p w14:paraId="4593C267" w14:textId="32946E53" w:rsidR="00051048" w:rsidRPr="00C05886" w:rsidRDefault="00051048" w:rsidP="003C6901">
      <w:r w:rsidRPr="00C05886">
        <w:t xml:space="preserve">The virtual environment had three variations (Treatments, Table 1) which were used to expose the participants to different levels of biodiversity. Two were </w:t>
      </w:r>
      <w:r w:rsidR="001438ED">
        <w:t>vegetated</w:t>
      </w:r>
      <w:r w:rsidR="001438ED" w:rsidRPr="00C05886">
        <w:t xml:space="preserve"> </w:t>
      </w:r>
      <w:r w:rsidRPr="00C05886">
        <w:t>parks, featuring trees, mown lawns and flowered borders, and were identical in every aspect except for the number of species (i.e. species richness). The introduced species were digital models of trees, flowering plants and small animals, arranged to be noticeable in all of the images.</w:t>
      </w:r>
      <w:r w:rsidR="00C23DA3">
        <w:t xml:space="preserve"> To produce the non-vegetated environment, all models of plants (including trees</w:t>
      </w:r>
      <w:r w:rsidR="000E6370">
        <w:t xml:space="preserve"> and the lawn</w:t>
      </w:r>
      <w:r w:rsidR="00C23DA3">
        <w:t xml:space="preserve">) and </w:t>
      </w:r>
      <w:r w:rsidR="001438ED">
        <w:t xml:space="preserve">non-human </w:t>
      </w:r>
      <w:r w:rsidR="00C23DA3">
        <w:t>animals</w:t>
      </w:r>
      <w:r w:rsidRPr="00C05886">
        <w:t xml:space="preserve">. </w:t>
      </w:r>
      <w:r w:rsidR="001438ED">
        <w:t xml:space="preserve">The intention was to create a square with the same layout </w:t>
      </w:r>
      <w:r w:rsidR="00A006F3">
        <w:t>as</w:t>
      </w:r>
      <w:r w:rsidR="001438ED">
        <w:t xml:space="preserve"> the two parks but without any vegetation, which was present in previous studies </w:t>
      </w:r>
      <w:r w:rsidR="001438ED">
        <w:fldChar w:fldCharType="begin"/>
      </w:r>
      <w:r w:rsidR="001438ED">
        <w:instrText xml:space="preserve"> ADDIN ZOTERO_ITEM CSL_CITATION {"citationID":"FZ5TVnSP","properties":{"formattedCitation":"(San Juan, Subiza-P\\uc0\\u233{}rez and Vozmediano, 2017; Subiza-P\\uc0\\u233{}rez, Vozmediano and San Juan, 2019)","plainCitation":"(San Juan, Subiza-Pérez and Vozmediano, 2017; Subiza-Pérez, Vozmediano and San Juan, 2019)","noteIndex":0},"citationItems":[{"id":11405,"uris":["http://zotero.org/users/10951124/items/F5HA4NSJ"],"itemData":{"id":11405,"type":"article-journal","container-title":"Frontiers in Psychology","DOI":"10.3389/fpsyg.2017.02093","ISSN":"1664-1078","journalAbbreviation":"Front. Psychol.","page":"2093","source":"DOI.org (Crossref)","title":"Restoration and the City: The Role of Public Urban Squares","title-short":"Restoration and the City","volume":"8","author":[{"family":"San Juan","given":"César"},{"family":"Subiza-Pérez","given":"Mikel"},{"family":"Vozmediano","given":"Laura"}],"issued":{"date-parts":[["2017",12,7]]}}},{"id":7454,"uris":["http://zotero.org/users/10951124/items/75A2LJIX"],"itemData":{"id":7454,"type":"article-journal","abstract":"Almost four decades ago, Attention Restoration Theory and Stress Recovery Theory postulated that nature could help people to recover from the attentional fatigue and the emotional negative outcomes coming from their daily performance. Since then, these theories have inspired a great amount...","container-title":"Landscape Research","DOI":"10.1080/01426397.2018.1493443","ISSN":"0142-6397","issue":"4","page":"493-505","title":"Pretest-posttest field studies on psychological restoration: a descriptive review and reflections for the future","volume":"44","author":[{"family":"Subiza-Pérez","given":"Mikel"},{"family":"Vozmediano","given":"Laura"},{"family":"San Juan","given":"César"}],"issued":{"date-parts":[["2019"]]}}}],"schema":"https://github.com/citation-style-language/schema/raw/master/csl-citation.json"} </w:instrText>
      </w:r>
      <w:r w:rsidR="001438ED">
        <w:fldChar w:fldCharType="separate"/>
      </w:r>
      <w:r w:rsidR="001438ED" w:rsidRPr="001438ED">
        <w:rPr>
          <w:rFonts w:ascii="Calibri" w:hAnsi="Calibri" w:cs="Calibri"/>
          <w:szCs w:val="24"/>
        </w:rPr>
        <w:t>(San Juan, Subiza-Pérez and Vozmediano, 2017; Subiza-Pérez, Vozmediano and San Juan, 2019)</w:t>
      </w:r>
      <w:r w:rsidR="001438ED">
        <w:fldChar w:fldCharType="end"/>
      </w:r>
      <w:r w:rsidR="001438ED">
        <w:t>. However, the</w:t>
      </w:r>
      <w:r w:rsidR="00A006F3">
        <w:t xml:space="preserve"> resulting</w:t>
      </w:r>
      <w:r w:rsidR="001438ED">
        <w:t xml:space="preserve"> space </w:t>
      </w:r>
      <w:r w:rsidR="00A006F3">
        <w:t>appeared</w:t>
      </w:r>
      <w:r w:rsidR="001438ED">
        <w:t xml:space="preserve"> empty and therefore not a good comparison with the other environments, which had several visual levels, due to the planting.</w:t>
      </w:r>
      <w:r w:rsidR="00AB2247">
        <w:t xml:space="preserve"> The comparison would have </w:t>
      </w:r>
      <w:r w:rsidR="00A006F3">
        <w:t xml:space="preserve">then </w:t>
      </w:r>
      <w:r w:rsidR="00AB2247">
        <w:t xml:space="preserve">been between natural content and emptiness, limiting the scope </w:t>
      </w:r>
      <w:r w:rsidR="00A006F3">
        <w:t>of</w:t>
      </w:r>
      <w:r w:rsidR="00AB2247">
        <w:t xml:space="preserve"> the urban environment.</w:t>
      </w:r>
      <w:r w:rsidR="001438ED">
        <w:t xml:space="preserve"> The addition of monuments, water features or artistic installation could have created a potential </w:t>
      </w:r>
      <w:r w:rsidR="000E6370">
        <w:t>confounder</w:t>
      </w:r>
      <w:r w:rsidR="001438ED">
        <w:t xml:space="preserve">, as these elements have been shown to be associated with improved well-being </w:t>
      </w:r>
      <w:r w:rsidR="001438ED">
        <w:fldChar w:fldCharType="begin"/>
      </w:r>
      <w:r w:rsidR="001438ED">
        <w:instrText xml:space="preserve"> ADDIN ZOTERO_ITEM CSL_CITATION {"citationID":"MEsmnVEN","properties":{"formattedCitation":"(Stigsdotter {\\i{}et al.}, 2017)","plainCitation":"(Stigsdotter et al., 2017)","noteIndex":0},"citationItems":[{"id":6373,"uris":["http://zotero.org/users/10951124/items/3HXF94D8"],"itemData":{"id":6373,"type":"article-journal","abstract":"Today, urbanization presents a challenge to urban planning with regard to creating healthy living environments. The aim of this research is to gain further knowledge of the restorativeness of a best case urban and natural environment: that is a historic down town urban environment and forest environment located in an arboretum. The study has a cross-over design where 51 (N) female university students are exposed to the two environments through both seated viewing and walking. A mixed method approach is used with both physiological measurements of blood pressure (BP) and heart rate variability (HRV) and psychological measurements of mood change and perceived restorativeness. The HRV results show no significant differences between the two environments, and both environments are found to be more physiologically restorative than being at the office or on the minibus. The results of the psychological measures indicate that the forest walk has a positive effect on mood, while the walk in the urban environment has no effect. The forest environment is also rated more highly with regard to perceived restorativeness than the urban environment. The results support the current research that shows natural environments as more restorative than urban environments. The study also adds to the ongoing debate on healthy urban planning by indicating that architectural and historical qualities may be associated with the physiological well-being of citizens.","container-title":"Health and Place","DOI":"10.1016/j.healthplace.2017.05.007","ISSN":"18732054","page":"145-154","title":"It is not all bad for the grey city – A crossover study on physiological and psychological restoration in a forest and an urban environment","volume":"46","author":[{"family":"Stigsdotter","given":"Ulrika K."},{"family":"Corazon","given":"Sus Sola"},{"family":"Sidenius","given":"Ulrik"},{"family":"Kristiansen","given":"Jesper"},{"family":"Grahn","given":"Patrik"}],"issued":{"date-parts":[["2017"]]}}}],"schema":"https://github.com/citation-style-language/schema/raw/master/csl-citation.json"} </w:instrText>
      </w:r>
      <w:r w:rsidR="001438ED">
        <w:fldChar w:fldCharType="separate"/>
      </w:r>
      <w:r w:rsidR="001438ED" w:rsidRPr="001438ED">
        <w:rPr>
          <w:rFonts w:ascii="Calibri" w:hAnsi="Calibri" w:cs="Calibri"/>
          <w:szCs w:val="24"/>
        </w:rPr>
        <w:t xml:space="preserve">(Stigsdotter </w:t>
      </w:r>
      <w:r w:rsidR="001438ED" w:rsidRPr="001438ED">
        <w:rPr>
          <w:rFonts w:ascii="Calibri" w:hAnsi="Calibri" w:cs="Calibri"/>
          <w:i/>
          <w:iCs/>
          <w:szCs w:val="24"/>
        </w:rPr>
        <w:t>et al.</w:t>
      </w:r>
      <w:r w:rsidR="001438ED" w:rsidRPr="001438ED">
        <w:rPr>
          <w:rFonts w:ascii="Calibri" w:hAnsi="Calibri" w:cs="Calibri"/>
          <w:szCs w:val="24"/>
        </w:rPr>
        <w:t>, 2017)</w:t>
      </w:r>
      <w:r w:rsidR="001438ED">
        <w:fldChar w:fldCharType="end"/>
      </w:r>
      <w:r w:rsidR="001438ED">
        <w:t xml:space="preserve">. Therefore, digital models of cars were added to create </w:t>
      </w:r>
      <w:r w:rsidR="00AB2247">
        <w:t>one</w:t>
      </w:r>
      <w:r w:rsidR="001438ED">
        <w:t xml:space="preserve"> </w:t>
      </w:r>
      <w:r w:rsidR="00AB2247">
        <w:t xml:space="preserve">level of visual content, made by artificial objects. Cars have been argued to be associated with a range of emotions, both positive and negative </w:t>
      </w:r>
      <w:r w:rsidR="00AB2247">
        <w:fldChar w:fldCharType="begin"/>
      </w:r>
      <w:r w:rsidR="00AB2247">
        <w:instrText xml:space="preserve"> ADDIN ZOTERO_ITEM CSL_CITATION {"citationID":"vP4nRz6G","properties":{"formattedCitation":"(Sheller, 2004)","plainCitation":"(Sheller, 2004)","noteIndex":0},"citationItems":[{"id":11407,"uris":["http://zotero.org/users/10951124/items/EKQ6T5XY"],"itemData":{"id":11407,"type":"article-journal","abstract":"Car cultures have social, material and, above all, affective dimensions that are overlooked in current strategies to influence car-driving decisions. Car consumption is never simply about rational economic choices, but is as much about aesthetic, emotional and sensory responses to driving, as well as patterns of kinship, sociability, habitation and work. Through a close examination of the aesthetic and especially kinaesthetic dimensions of automobility, this article locates car cultures (and their associated feelings) within a broader physical/material relational setting that includes both human bodies and car bodies, and the relations between them and the spaces through which they move (or fail to move). Drawing on both the phenomenology of car use and new approaches in the sociology of emotions, it is argued that everyday car cultures are implicated in a deep context of affective and embodied relations between people, machines and spaces of mobility and dwelling in which emotions and the senses play a key part – the emotional geographies of car use. Feelings for, of and within cars (‘automotive emotions’) come to be socially and culturally generated across three scales involved in the circulations and displacements performed by cars, roads and drivers: embodied sensibilities and kinaesthetic performances; familial and sociable practices of ‘caring’ through car use; and regional and national car cultures that form around particular systems of automobility. By showing how people feel about and in cars, and how the feel of different car cultures generates habitual forms of automobilized life and different dispositions towards driving, it is argued that we will be in a better position to re-evaluate the ethical dimensions of car consumption and the moral economies of car use.","container-title":"Theory, Culture &amp; Society","DOI":"10.1177/0263276404046068","ISSN":"0263-2764, 1460-3616","issue":"4-5","journalAbbreviation":"Theory, Culture &amp; Society","language":"en","license":"https://journals.sagepub.com/page/policies/text-and-data-mining-license","page":"221-242","source":"DOI.org (Crossref)","title":"Automotive Emotions: Feeling the Car","title-short":"Automotive Emotions","volume":"21","author":[{"family":"Sheller","given":"Mimi"}],"issued":{"date-parts":[["2004",10]]}}}],"schema":"https://github.com/citation-style-language/schema/raw/master/csl-citation.json"} </w:instrText>
      </w:r>
      <w:r w:rsidR="00AB2247">
        <w:fldChar w:fldCharType="separate"/>
      </w:r>
      <w:r w:rsidR="00AB2247" w:rsidRPr="00AB2247">
        <w:rPr>
          <w:rFonts w:ascii="Calibri" w:hAnsi="Calibri" w:cs="Calibri"/>
        </w:rPr>
        <w:t>(Sheller, 2004)</w:t>
      </w:r>
      <w:r w:rsidR="00AB2247">
        <w:fldChar w:fldCharType="end"/>
      </w:r>
      <w:r w:rsidR="00AB2247">
        <w:t xml:space="preserve">, therefore having the potential </w:t>
      </w:r>
      <w:r w:rsidR="00AB28B6">
        <w:t>to induce changes in emotional well-being.</w:t>
      </w:r>
      <w:r w:rsidR="00AB2247">
        <w:t xml:space="preserve"> </w:t>
      </w:r>
      <w:r w:rsidR="00AB28B6" w:rsidRPr="00C05886">
        <w:t>T</w:t>
      </w:r>
      <w:r w:rsidR="00AB28B6">
        <w:t>he car park</w:t>
      </w:r>
      <w:r w:rsidR="00AB28B6" w:rsidRPr="00C05886">
        <w:t xml:space="preserve"> </w:t>
      </w:r>
      <w:r w:rsidR="00AB28B6">
        <w:t xml:space="preserve">virtual tour </w:t>
      </w:r>
      <w:r w:rsidR="00A006F3">
        <w:t>was</w:t>
      </w:r>
      <w:r w:rsidR="00AB28B6" w:rsidRPr="00C05886">
        <w:t xml:space="preserve"> </w:t>
      </w:r>
      <w:r w:rsidRPr="00C05886">
        <w:t>identical to the green parks in</w:t>
      </w:r>
      <w:r w:rsidR="00AB28B6">
        <w:t xml:space="preserve"> terms of</w:t>
      </w:r>
      <w:r w:rsidRPr="00C05886">
        <w:t xml:space="preserve"> layout</w:t>
      </w:r>
      <w:r w:rsidR="00AB28B6">
        <w:t>, extension, surrounding buildings, presence of people and lighting.</w:t>
      </w:r>
    </w:p>
    <w:p w14:paraId="1BB894EE" w14:textId="6E5A435C" w:rsidR="00051048" w:rsidRPr="00C05886" w:rsidRDefault="00051048">
      <w:r w:rsidRPr="00C05886">
        <w:t>To control for the potential confounding effect of flower colours</w:t>
      </w:r>
      <w:r w:rsidR="00AB2247">
        <w:t xml:space="preserve"> (and car colours)</w:t>
      </w:r>
      <w:r w:rsidRPr="00C05886">
        <w:t xml:space="preserve">, which can improve positive emotions per se </w:t>
      </w:r>
      <w:r w:rsidRPr="00C05886">
        <w:fldChar w:fldCharType="begin"/>
      </w:r>
      <w:r w:rsidR="00AB2247">
        <w:instrText xml:space="preserve"> ADDIN ZOTERO_ITEM CSL_CITATION {"citationID":"7IwM63eB","properties":{"formattedCitation":"(Sheller, 2004; Elsadek and Liu, 2020; Zhang, Dempsey and Cameron, 2023)","plainCitation":"(Sheller, 2004; Elsadek and Liu, 2020; Zhang, Dempsey and Cameron, 2023)","noteIndex":0},"citationItems":[{"id":11407,"uris":["http://zotero.org/users/10951124/items/EKQ6T5XY"],"itemData":{"id":11407,"type":"article-journal","abstract":"Car cultures have social, material and, above all, affective dimensions that are overlooked in current strategies to influence car-driving decisions. Car consumption is never simply about rational economic choices, but is as much about aesthetic, emotional and sensory responses to driving, as well as patterns of kinship, sociability, habitation and work. Through a close examination of the aesthetic and especially kinaesthetic dimensions of automobility, this article locates car cultures (and their associated feelings) within a broader physical/material relational setting that includes both human bodies and car bodies, and the relations between them and the spaces through which they move (or fail to move). Drawing on both the phenomenology of car use and new approaches in the sociology of emotions, it is argued that everyday car cultures are implicated in a deep context of affective and embodied relations between people, machines and spaces of mobility and dwelling in which emotions and the senses play a key part – the emotional geographies of car use. Feelings for, of and within cars (‘automotive emotions’) come to be socially and culturally generated across three scales involved in the circulations and displacements performed by cars, roads and drivers: embodied sensibilities and kinaesthetic performances; familial and sociable practices of ‘caring’ through car use; and regional and national car cultures that form around particular systems of automobility. By showing how people feel about and in cars, and how the feel of different car cultures generates habitual forms of automobilized life and different dispositions towards driving, it is argued that we will be in a better position to re-evaluate the ethical dimensions of car consumption and the moral economies of car use.","container-title":"Theory, Culture &amp; Society","DOI":"10.1177/0263276404046068","ISSN":"0263-2764, 1460-3616","issue":"4-5","journalAbbreviation":"Theory, Culture &amp; Society","language":"en","license":"https://journals.sagepub.com/page/policies/text-and-data-mining-license","page":"221-242","source":"DOI.org (Crossref)","title":"Automotive Emotions: Feeling the Car","title-short":"Automotive Emotions","volume":"21","author":[{"family":"Sheller","given":"Mimi"}],"issued":{"date-parts":[["2004",10]]}}},{"id":5278,"uris":["http://zotero.org/users/local/pAEZdfSt/items/QQ6MQY8R","http://zotero.org/users/10951124/items/QQ6MQY8R"],"itemData":{"id":5278,"type":"article-journal","abstract":"Despite the existence of plentiful studies on how plants can positively affect human wellbeing, few have focused on the potential effects of flower colours on stressed people. The present study was designed to illustrate the psychophysiological relaxation impacts of seeing purple and blue hydrangea flowers among finance workers. Thirty employees were asked to view purple, blue flowers or an empty table for 3-min, during which we measured the participants' brain activity, heart rate variability and skin conductance. We also assessed their emotions and mood states. Findings suggest that, compared with viewing the control, viewing blue and purple flowers resulted in a significant increase in alpha relative waves in the prefrontal and occipital lobes, and a significant increase in parasympathetic nervous activity. A significant increase in the sensation vote for ?comfort', ?relaxation' and ?cheerfulness', as well as a dramatic improvement in the mood state was observed. The results show clear evidence for the support of the use of blue and purple flowering plants in places where comfort and calmness are required. In addition, blue flowers were more favoured and had the greatest positive effects. Results indicate that viewing flowering plants would be a promising therapeutic approach for enhancing physiological functions and improving psychological relaxation for office workers.","container-title":"Indoor and Built Environment","DOI":"10.1177/1420326X20942572","ISSN":"1420-326X","note":"publisher: SAGE Publications Ltd STM","page":"1420326X20942572","title":"Effects of viewing flowering plants on employees' wellbeing in an office-like environment","author":[{"family":"Elsadek","given":"Mohamed"},{"family":"Liu","given":"Binyi"}],"issued":{"date-parts":[["2020",7,28]]}}},{"id":9462,"uris":["http://zotero.org/users/10951124/items/EKITAFNI"],"itemData":{"id":9462,"type":"article-journal","abstract":"The natural environment is increasingly valued for its positive effect in retaining/restoring good mental health. Landscape architects are now challenged to embed therapeutic aspects within certain landscape designs, but what does this mean in practice? Flower colour has been one area that has attracted attention as potentially improving the restorative aspects of a designed landscape. In this research, 670 UK residents were surveyed to examine their preferences and emotional responses to flower colour using computer-generated images of ‘daisy-like’ flowers in 8 separate colours. Results showed that white, blue and orange were the most preferred flower colours. The data suggested, however, two separate phenomena were determining the psychological benefits associated with flower colour. The first is that there are some generic responses associated with key floral colours – flowers in blue play an effective role in relaxation/stress reduction; and warm colours - orange, yellow and red evoke uplifted emotions and deliver better positive affect. Interestingly, white was a colour that could both relax and provide uplifted emotions. The second phenomenon though, suggests that additionally and independently, an individual preference for a particular colour can also elicit positive psychological benefits, irrespective of what that particular colour is. In effect, favoured colours have a separate restorative effect that acts at a personal level. This finding has significance for landscape architects in that certain flower colours can be used to promote ‘generic’ therapeutic responses in appropriate locations, but that components of any designed landscape still need to take some account of personal responses and preferences.","container-title":"Urban Forestry &amp; Urban Greening","DOI":"10.1016/j.ufug.2022.127795","ISSN":"1618-8667","journalAbbreviation":"Urban Forestry &amp; Urban Greening","page":"127795","title":"Flowers – Sunshine for the soul! How does floral colour influence preference, feelings of relaxation and positive up-lift?","volume":"79","author":[{"family":"Zhang","given":"Liwen"},{"family":"Dempsey","given":"Nicola"},{"family":"Cameron","given":"Ross"}],"issued":{"date-parts":[["2023",1,1]]}}}],"schema":"https://github.com/citation-style-language/schema/raw/master/csl-citation.json"} </w:instrText>
      </w:r>
      <w:r w:rsidRPr="00C05886">
        <w:fldChar w:fldCharType="separate"/>
      </w:r>
      <w:r w:rsidR="00AB2247" w:rsidRPr="00AB2247">
        <w:rPr>
          <w:rFonts w:ascii="Calibri" w:hAnsi="Calibri" w:cs="Calibri"/>
        </w:rPr>
        <w:t>(Sheller, 2004; Elsadek and Liu, 2020; Zhang, Dempsey and Cameron, 2023)</w:t>
      </w:r>
      <w:r w:rsidRPr="00C05886">
        <w:fldChar w:fldCharType="end"/>
      </w:r>
      <w:r w:rsidRPr="00C05886">
        <w:t xml:space="preserve">, the colour scheme of the digital flowers was kept constant in the two green variations of the park – i.e. limited to blue, pink, purple and white. In the car park, the vehicles were also of different colours (blue, black, grey, red, white). The choice of colours for both flowers and cars, representing colour spectrums commonly found for each </w:t>
      </w:r>
      <w:r w:rsidRPr="00C05886">
        <w:rPr>
          <w:i/>
        </w:rPr>
        <w:t>in vivo</w:t>
      </w:r>
      <w:r w:rsidRPr="00C05886">
        <w:t xml:space="preserve">; i.e. no atypical flower or car colours were used.  No sounds were reproduced </w:t>
      </w:r>
      <w:r w:rsidR="00193CDE">
        <w:t xml:space="preserve">as a background </w:t>
      </w:r>
      <w:r w:rsidRPr="00C05886">
        <w:t>during the tour</w:t>
      </w:r>
      <w:r w:rsidR="00193CDE">
        <w:t xml:space="preserve"> to avoid possible incongruences between sensory stimuli (e.g. a dynamic soundscape associated with a static image) </w:t>
      </w:r>
      <w:r w:rsidR="00193CDE">
        <w:fldChar w:fldCharType="begin"/>
      </w:r>
      <w:r w:rsidR="00193CDE">
        <w:instrText xml:space="preserve"> ADDIN ZOTERO_ITEM CSL_CITATION {"citationID":"X1OlfHrt","properties":{"formattedCitation":"(Schreuder {\\i{}et al.}, 2016)","plainCitation":"(Schreuder et al., 2016)","noteIndex":0},"citationItems":[{"id":10680,"uris":["http://zotero.org/users/10951124/items/ERCR44IY"],"itemData":{"id":10680,"type":"article-journal","abstract":"How we perceive our environment affects the way we feel and behave. The impressions of our ambient environment are influenced by its entire spectrum of physical characteristics (e.g., luminosity, sound, scents, temperature) in a dynamic and interactive way. The ability to manipulate the sensory aspects of an environment such that people feel comfortable or exhibit a desired behavior is gaining interest and social relevance. Although much is known about the sensory effects of individual environmental characteristics, their combined effects are not a priori evident due to a wide range of non-linear interactions in the processing of sensory cues. As a result, it is currently not known how different environmental characteristics should be combined to effectively induce desired emotional and behavioral effects. To gain more insight into this matter, we performed a literature review on the emotional effects of multisensory stimulation. Although we found some interesting mechanisms, the outcome also reveals that empirical evidence is still scarce and haphazard. To stimulate further discussion and research, we propose a conceptual framework that describes how environmental interventions are likely to affect human emotional responses. This framework leads to some critical research questions that suggest opportunities for further investigation.","container-title":"SAGE Open","DOI":"10.1177/2158244016630591","ISSN":"2158-2440, 2158-2440","issue":"1","journalAbbreviation":"SAGE Open","language":"en","page":"215824401663059","source":"DOI.org (Crossref)","title":"Emotional Responses to Multisensory Environmental Stimuli: A Conceptual Framework and Literature Review","title-short":"Emotional Responses to Multisensory Environmental Stimuli","volume":"6","author":[{"family":"Schreuder","given":"Eliane"},{"family":"Van Erp","given":"Jan"},{"family":"Toet","given":"Alexander"},{"family":"Kallen","given":"Victor L."}],"issued":{"date-parts":[["2016",1,1]]}}}],"schema":"https://github.com/citation-style-language/schema/raw/master/csl-citation.json"} </w:instrText>
      </w:r>
      <w:r w:rsidR="00193CDE">
        <w:fldChar w:fldCharType="separate"/>
      </w:r>
      <w:r w:rsidR="00193CDE" w:rsidRPr="00193CDE">
        <w:rPr>
          <w:rFonts w:ascii="Calibri" w:hAnsi="Calibri" w:cs="Calibri"/>
          <w:szCs w:val="24"/>
        </w:rPr>
        <w:t xml:space="preserve">(Schreuder </w:t>
      </w:r>
      <w:r w:rsidR="00193CDE" w:rsidRPr="00193CDE">
        <w:rPr>
          <w:rFonts w:ascii="Calibri" w:hAnsi="Calibri" w:cs="Calibri"/>
          <w:i/>
          <w:iCs/>
          <w:szCs w:val="24"/>
        </w:rPr>
        <w:t>et al.</w:t>
      </w:r>
      <w:r w:rsidR="00193CDE" w:rsidRPr="00193CDE">
        <w:rPr>
          <w:rFonts w:ascii="Calibri" w:hAnsi="Calibri" w:cs="Calibri"/>
          <w:szCs w:val="24"/>
        </w:rPr>
        <w:t>, 2016)</w:t>
      </w:r>
      <w:r w:rsidR="00193CDE">
        <w:fldChar w:fldCharType="end"/>
      </w:r>
      <w:r w:rsidR="00193CDE">
        <w:t>.</w:t>
      </w:r>
    </w:p>
    <w:p w14:paraId="13361CB2" w14:textId="178F5C88" w:rsidR="00051048" w:rsidRPr="00C05886" w:rsidRDefault="00051048" w:rsidP="003C6901">
      <w:pPr>
        <w:pStyle w:val="Caption"/>
        <w:keepNext/>
      </w:pPr>
      <w:r w:rsidRPr="00C05886">
        <w:lastRenderedPageBreak/>
        <w:t xml:space="preserve">Table </w:t>
      </w:r>
      <w:r w:rsidR="00B959BA" w:rsidRPr="00C05886">
        <w:t>1</w:t>
      </w:r>
      <w:r w:rsidRPr="00C05886">
        <w:t>. Summary of the characteristics selected for the virtual park treatments.</w:t>
      </w:r>
    </w:p>
    <w:tbl>
      <w:tblPr>
        <w:tblStyle w:val="TableGrid"/>
        <w:tblW w:w="0" w:type="auto"/>
        <w:tblLook w:val="04A0" w:firstRow="1" w:lastRow="0" w:firstColumn="1" w:lastColumn="0" w:noHBand="0" w:noVBand="1"/>
      </w:tblPr>
      <w:tblGrid>
        <w:gridCol w:w="2972"/>
        <w:gridCol w:w="2746"/>
        <w:gridCol w:w="2859"/>
      </w:tblGrid>
      <w:tr w:rsidR="00051048" w:rsidRPr="00C05886" w14:paraId="7D32AFCD" w14:textId="77777777" w:rsidTr="005D7515">
        <w:trPr>
          <w:trHeight w:val="516"/>
        </w:trPr>
        <w:tc>
          <w:tcPr>
            <w:tcW w:w="2972" w:type="dxa"/>
          </w:tcPr>
          <w:p w14:paraId="1DF78EEA" w14:textId="77777777" w:rsidR="00051048" w:rsidRPr="00C05886" w:rsidRDefault="00051048" w:rsidP="00051048">
            <w:pPr>
              <w:spacing w:line="240" w:lineRule="auto"/>
              <w:rPr>
                <w:b/>
                <w:bCs/>
                <w:sz w:val="22"/>
              </w:rPr>
            </w:pPr>
            <w:r w:rsidRPr="00C05886">
              <w:rPr>
                <w:b/>
                <w:bCs/>
                <w:sz w:val="22"/>
              </w:rPr>
              <w:t>Treatment</w:t>
            </w:r>
          </w:p>
        </w:tc>
        <w:tc>
          <w:tcPr>
            <w:tcW w:w="2746" w:type="dxa"/>
          </w:tcPr>
          <w:p w14:paraId="3D326DF7" w14:textId="77777777" w:rsidR="00051048" w:rsidRPr="00C05886" w:rsidRDefault="00051048" w:rsidP="00051048">
            <w:pPr>
              <w:spacing w:line="240" w:lineRule="auto"/>
              <w:rPr>
                <w:b/>
                <w:bCs/>
                <w:sz w:val="22"/>
              </w:rPr>
            </w:pPr>
            <w:r w:rsidRPr="00C05886">
              <w:rPr>
                <w:b/>
                <w:bCs/>
                <w:sz w:val="22"/>
              </w:rPr>
              <w:t>Species count</w:t>
            </w:r>
          </w:p>
        </w:tc>
        <w:tc>
          <w:tcPr>
            <w:tcW w:w="2859" w:type="dxa"/>
          </w:tcPr>
          <w:p w14:paraId="52B17718" w14:textId="77777777" w:rsidR="00051048" w:rsidRPr="00C05886" w:rsidRDefault="00051048" w:rsidP="00051048">
            <w:pPr>
              <w:spacing w:line="240" w:lineRule="auto"/>
              <w:rPr>
                <w:b/>
                <w:bCs/>
                <w:sz w:val="22"/>
              </w:rPr>
            </w:pPr>
            <w:r w:rsidRPr="00C05886">
              <w:rPr>
                <w:b/>
                <w:bCs/>
                <w:sz w:val="22"/>
              </w:rPr>
              <w:t>Colours of flowers or vehicles</w:t>
            </w:r>
          </w:p>
        </w:tc>
      </w:tr>
      <w:tr w:rsidR="00051048" w:rsidRPr="00C05886" w14:paraId="62C1C683" w14:textId="77777777" w:rsidTr="005D7515">
        <w:trPr>
          <w:trHeight w:val="527"/>
        </w:trPr>
        <w:tc>
          <w:tcPr>
            <w:tcW w:w="2972" w:type="dxa"/>
          </w:tcPr>
          <w:p w14:paraId="1C8F54BE" w14:textId="17D718E9" w:rsidR="00051048" w:rsidRPr="00C05886" w:rsidRDefault="00051048" w:rsidP="00051048">
            <w:pPr>
              <w:spacing w:line="240" w:lineRule="auto"/>
              <w:rPr>
                <w:sz w:val="22"/>
              </w:rPr>
            </w:pPr>
            <w:r w:rsidRPr="00C05886">
              <w:rPr>
                <w:sz w:val="22"/>
              </w:rPr>
              <w:t xml:space="preserve">High </w:t>
            </w:r>
            <w:r w:rsidR="00B006FC">
              <w:rPr>
                <w:sz w:val="22"/>
              </w:rPr>
              <w:t>species richness</w:t>
            </w:r>
            <w:r w:rsidR="00B006FC" w:rsidRPr="00C05886">
              <w:rPr>
                <w:sz w:val="22"/>
              </w:rPr>
              <w:t xml:space="preserve"> </w:t>
            </w:r>
            <w:r w:rsidRPr="00C05886">
              <w:rPr>
                <w:sz w:val="22"/>
              </w:rPr>
              <w:t>(Figure 1)</w:t>
            </w:r>
          </w:p>
        </w:tc>
        <w:tc>
          <w:tcPr>
            <w:tcW w:w="2746" w:type="dxa"/>
          </w:tcPr>
          <w:p w14:paraId="41B2CDDF" w14:textId="77777777" w:rsidR="00051048" w:rsidRPr="00C05886" w:rsidRDefault="00051048" w:rsidP="00051048">
            <w:pPr>
              <w:spacing w:line="240" w:lineRule="auto"/>
              <w:rPr>
                <w:sz w:val="22"/>
              </w:rPr>
            </w:pPr>
            <w:r w:rsidRPr="00C05886">
              <w:rPr>
                <w:sz w:val="22"/>
              </w:rPr>
              <w:t xml:space="preserve">28 (10 trees, 12 herbs or </w:t>
            </w:r>
            <w:proofErr w:type="gramStart"/>
            <w:r w:rsidRPr="00C05886">
              <w:rPr>
                <w:sz w:val="22"/>
              </w:rPr>
              <w:t>shrubs,  4</w:t>
            </w:r>
            <w:proofErr w:type="gramEnd"/>
            <w:r w:rsidRPr="00C05886">
              <w:rPr>
                <w:sz w:val="22"/>
              </w:rPr>
              <w:t xml:space="preserve"> birds, 2 mammals)</w:t>
            </w:r>
          </w:p>
        </w:tc>
        <w:tc>
          <w:tcPr>
            <w:tcW w:w="2859" w:type="dxa"/>
          </w:tcPr>
          <w:p w14:paraId="0390BD7B" w14:textId="77777777" w:rsidR="00051048" w:rsidRPr="00C05886" w:rsidRDefault="00051048" w:rsidP="00051048">
            <w:pPr>
              <w:spacing w:line="240" w:lineRule="auto"/>
              <w:rPr>
                <w:sz w:val="22"/>
              </w:rPr>
            </w:pPr>
            <w:r w:rsidRPr="00C05886">
              <w:rPr>
                <w:sz w:val="22"/>
              </w:rPr>
              <w:t>Blue, pink, purple, white</w:t>
            </w:r>
          </w:p>
        </w:tc>
      </w:tr>
      <w:tr w:rsidR="00051048" w:rsidRPr="00C05886" w14:paraId="6FF4814A" w14:textId="77777777" w:rsidTr="005D7515">
        <w:trPr>
          <w:trHeight w:val="516"/>
        </w:trPr>
        <w:tc>
          <w:tcPr>
            <w:tcW w:w="2972" w:type="dxa"/>
          </w:tcPr>
          <w:p w14:paraId="3EE97D96" w14:textId="31E3591E" w:rsidR="00051048" w:rsidRPr="00C05886" w:rsidRDefault="00051048" w:rsidP="00051048">
            <w:pPr>
              <w:spacing w:line="240" w:lineRule="auto"/>
              <w:rPr>
                <w:sz w:val="22"/>
              </w:rPr>
            </w:pPr>
            <w:r w:rsidRPr="00C05886">
              <w:rPr>
                <w:sz w:val="22"/>
              </w:rPr>
              <w:t xml:space="preserve">Low </w:t>
            </w:r>
            <w:r w:rsidR="00B006FC">
              <w:rPr>
                <w:sz w:val="22"/>
              </w:rPr>
              <w:t>species richness</w:t>
            </w:r>
            <w:r w:rsidR="00B006FC" w:rsidRPr="00C05886">
              <w:rPr>
                <w:sz w:val="22"/>
              </w:rPr>
              <w:t xml:space="preserve"> </w:t>
            </w:r>
            <w:r w:rsidRPr="00C05886">
              <w:rPr>
                <w:sz w:val="22"/>
              </w:rPr>
              <w:t>(Figure 2)</w:t>
            </w:r>
          </w:p>
        </w:tc>
        <w:tc>
          <w:tcPr>
            <w:tcW w:w="2746" w:type="dxa"/>
          </w:tcPr>
          <w:p w14:paraId="1E83AFD9" w14:textId="77777777" w:rsidR="00051048" w:rsidRPr="00C05886" w:rsidRDefault="00051048" w:rsidP="00051048">
            <w:pPr>
              <w:spacing w:line="240" w:lineRule="auto"/>
              <w:rPr>
                <w:sz w:val="22"/>
              </w:rPr>
            </w:pPr>
            <w:r w:rsidRPr="00C05886">
              <w:rPr>
                <w:sz w:val="22"/>
              </w:rPr>
              <w:t>15 (10 trees, 3 herbs or shrubs, 2 birds)</w:t>
            </w:r>
          </w:p>
        </w:tc>
        <w:tc>
          <w:tcPr>
            <w:tcW w:w="2859" w:type="dxa"/>
          </w:tcPr>
          <w:p w14:paraId="3CFDCED4" w14:textId="77777777" w:rsidR="00051048" w:rsidRPr="00C05886" w:rsidRDefault="00051048" w:rsidP="00051048">
            <w:pPr>
              <w:spacing w:line="240" w:lineRule="auto"/>
              <w:rPr>
                <w:sz w:val="22"/>
              </w:rPr>
            </w:pPr>
            <w:r w:rsidRPr="00C05886">
              <w:rPr>
                <w:sz w:val="22"/>
              </w:rPr>
              <w:t>Blue, pink, purple, white</w:t>
            </w:r>
          </w:p>
        </w:tc>
      </w:tr>
      <w:tr w:rsidR="00051048" w:rsidRPr="00C05886" w14:paraId="3F1779BF" w14:textId="77777777" w:rsidTr="005D7515">
        <w:trPr>
          <w:trHeight w:val="265"/>
        </w:trPr>
        <w:tc>
          <w:tcPr>
            <w:tcW w:w="2972" w:type="dxa"/>
          </w:tcPr>
          <w:p w14:paraId="1210F1C4" w14:textId="79DEAFC2" w:rsidR="00051048" w:rsidRPr="00C05886" w:rsidRDefault="00051048" w:rsidP="00051048">
            <w:pPr>
              <w:spacing w:line="240" w:lineRule="auto"/>
              <w:rPr>
                <w:sz w:val="22"/>
              </w:rPr>
            </w:pPr>
            <w:r w:rsidRPr="00C05886">
              <w:rPr>
                <w:sz w:val="22"/>
              </w:rPr>
              <w:t xml:space="preserve">No </w:t>
            </w:r>
            <w:r w:rsidR="00B006FC">
              <w:rPr>
                <w:sz w:val="22"/>
              </w:rPr>
              <w:t>species richness</w:t>
            </w:r>
            <w:r w:rsidR="00B006FC" w:rsidRPr="00C05886">
              <w:rPr>
                <w:sz w:val="22"/>
              </w:rPr>
              <w:t xml:space="preserve"> </w:t>
            </w:r>
            <w:r w:rsidRPr="00C05886">
              <w:rPr>
                <w:sz w:val="22"/>
              </w:rPr>
              <w:t>(Figure 3)</w:t>
            </w:r>
          </w:p>
        </w:tc>
        <w:tc>
          <w:tcPr>
            <w:tcW w:w="2746" w:type="dxa"/>
          </w:tcPr>
          <w:p w14:paraId="2F17A5AD" w14:textId="77777777" w:rsidR="00051048" w:rsidRPr="00C05886" w:rsidRDefault="00051048" w:rsidP="00051048">
            <w:pPr>
              <w:spacing w:line="240" w:lineRule="auto"/>
              <w:rPr>
                <w:sz w:val="22"/>
              </w:rPr>
            </w:pPr>
            <w:r w:rsidRPr="00C05886">
              <w:rPr>
                <w:sz w:val="22"/>
              </w:rPr>
              <w:t>none</w:t>
            </w:r>
          </w:p>
        </w:tc>
        <w:tc>
          <w:tcPr>
            <w:tcW w:w="2859" w:type="dxa"/>
          </w:tcPr>
          <w:p w14:paraId="393B9D8A" w14:textId="77777777" w:rsidR="00051048" w:rsidRPr="00C05886" w:rsidRDefault="00051048" w:rsidP="00051048">
            <w:pPr>
              <w:spacing w:line="240" w:lineRule="auto"/>
              <w:rPr>
                <w:sz w:val="22"/>
              </w:rPr>
            </w:pPr>
            <w:r w:rsidRPr="00C05886">
              <w:rPr>
                <w:sz w:val="22"/>
              </w:rPr>
              <w:t>Blue, black, grey, red, white</w:t>
            </w:r>
          </w:p>
        </w:tc>
      </w:tr>
    </w:tbl>
    <w:p w14:paraId="02A65A39" w14:textId="77777777" w:rsidR="00051048" w:rsidRPr="00C05886" w:rsidRDefault="00051048" w:rsidP="003C6901"/>
    <w:p w14:paraId="42DFFB46" w14:textId="77777777" w:rsidR="00051048" w:rsidRPr="00C05886" w:rsidRDefault="00051048" w:rsidP="00B43CBF">
      <w:pPr>
        <w:keepNext/>
      </w:pPr>
      <w:r w:rsidRPr="00134B49">
        <w:rPr>
          <w:noProof/>
        </w:rPr>
        <w:drawing>
          <wp:inline distT="0" distB="0" distL="0" distR="0" wp14:anchorId="7C53CBB9" wp14:editId="35BB600F">
            <wp:extent cx="5036413" cy="2664000"/>
            <wp:effectExtent l="0" t="0" r="0" b="3175"/>
            <wp:docPr id="632098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209828" name=""/>
                    <pic:cNvPicPr/>
                  </pic:nvPicPr>
                  <pic:blipFill>
                    <a:blip r:embed="rId46"/>
                    <a:stretch>
                      <a:fillRect/>
                    </a:stretch>
                  </pic:blipFill>
                  <pic:spPr>
                    <a:xfrm>
                      <a:off x="0" y="0"/>
                      <a:ext cx="5036413" cy="2664000"/>
                    </a:xfrm>
                    <a:prstGeom prst="rect">
                      <a:avLst/>
                    </a:prstGeom>
                  </pic:spPr>
                </pic:pic>
              </a:graphicData>
            </a:graphic>
          </wp:inline>
        </w:drawing>
      </w:r>
    </w:p>
    <w:p w14:paraId="25B7799C" w14:textId="6F0999D6" w:rsidR="00051048" w:rsidRPr="00C05886" w:rsidRDefault="00051048" w:rsidP="008A0CE2">
      <w:pPr>
        <w:pStyle w:val="Caption"/>
      </w:pPr>
      <w:r w:rsidRPr="00C05886">
        <w:t xml:space="preserve">Figure </w:t>
      </w:r>
      <w:r w:rsidR="00B959BA" w:rsidRPr="00C05886">
        <w:t>1</w:t>
      </w:r>
      <w:r w:rsidRPr="00C05886">
        <w:t xml:space="preserve">. View of the High </w:t>
      </w:r>
      <w:r w:rsidR="00BF64B9">
        <w:t>species richness</w:t>
      </w:r>
      <w:r w:rsidR="00BF64B9" w:rsidRPr="00C05886">
        <w:t xml:space="preserve"> </w:t>
      </w:r>
      <w:r w:rsidRPr="00C05886">
        <w:t>park</w:t>
      </w:r>
    </w:p>
    <w:p w14:paraId="0AC1239A" w14:textId="77777777" w:rsidR="00051048" w:rsidRPr="00C05886" w:rsidRDefault="00051048" w:rsidP="00B43CBF">
      <w:pPr>
        <w:keepNext/>
      </w:pPr>
      <w:r w:rsidRPr="00134B49">
        <w:rPr>
          <w:noProof/>
        </w:rPr>
        <w:drawing>
          <wp:inline distT="0" distB="0" distL="0" distR="0" wp14:anchorId="7060EFFF" wp14:editId="51E3ED97">
            <wp:extent cx="5021637" cy="2664000"/>
            <wp:effectExtent l="0" t="0" r="7620" b="3175"/>
            <wp:docPr id="12139956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3995676" name=""/>
                    <pic:cNvPicPr/>
                  </pic:nvPicPr>
                  <pic:blipFill>
                    <a:blip r:embed="rId47"/>
                    <a:stretch>
                      <a:fillRect/>
                    </a:stretch>
                  </pic:blipFill>
                  <pic:spPr>
                    <a:xfrm>
                      <a:off x="0" y="0"/>
                      <a:ext cx="5021637" cy="2664000"/>
                    </a:xfrm>
                    <a:prstGeom prst="rect">
                      <a:avLst/>
                    </a:prstGeom>
                  </pic:spPr>
                </pic:pic>
              </a:graphicData>
            </a:graphic>
          </wp:inline>
        </w:drawing>
      </w:r>
    </w:p>
    <w:p w14:paraId="2E7F7AD3" w14:textId="5E5FAA64" w:rsidR="00051048" w:rsidRPr="00C05886" w:rsidRDefault="00051048" w:rsidP="008A0CE2">
      <w:pPr>
        <w:pStyle w:val="Caption"/>
      </w:pPr>
      <w:r w:rsidRPr="00C05886">
        <w:t xml:space="preserve">Figure </w:t>
      </w:r>
      <w:r w:rsidR="00B959BA" w:rsidRPr="00C05886">
        <w:t>2</w:t>
      </w:r>
      <w:r w:rsidRPr="00C05886">
        <w:t xml:space="preserve">. View of the Low </w:t>
      </w:r>
      <w:r w:rsidR="00BF64B9">
        <w:t>species richness</w:t>
      </w:r>
      <w:r w:rsidR="00BF64B9" w:rsidRPr="00C05886">
        <w:t xml:space="preserve"> </w:t>
      </w:r>
      <w:r w:rsidRPr="00C05886">
        <w:t>park</w:t>
      </w:r>
    </w:p>
    <w:p w14:paraId="6B97CD1D" w14:textId="77777777" w:rsidR="00051048" w:rsidRPr="00C05886" w:rsidRDefault="00051048" w:rsidP="00B43CBF">
      <w:pPr>
        <w:keepNext/>
      </w:pPr>
      <w:r w:rsidRPr="00134B49">
        <w:rPr>
          <w:noProof/>
        </w:rPr>
        <w:lastRenderedPageBreak/>
        <w:drawing>
          <wp:inline distT="0" distB="0" distL="0" distR="0" wp14:anchorId="301E9FAF" wp14:editId="21E0D0A5">
            <wp:extent cx="5036413" cy="2664000"/>
            <wp:effectExtent l="0" t="0" r="0" b="3175"/>
            <wp:docPr id="20017431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1743185" name=""/>
                    <pic:cNvPicPr/>
                  </pic:nvPicPr>
                  <pic:blipFill>
                    <a:blip r:embed="rId48"/>
                    <a:stretch>
                      <a:fillRect/>
                    </a:stretch>
                  </pic:blipFill>
                  <pic:spPr>
                    <a:xfrm>
                      <a:off x="0" y="0"/>
                      <a:ext cx="5036413" cy="2664000"/>
                    </a:xfrm>
                    <a:prstGeom prst="rect">
                      <a:avLst/>
                    </a:prstGeom>
                  </pic:spPr>
                </pic:pic>
              </a:graphicData>
            </a:graphic>
          </wp:inline>
        </w:drawing>
      </w:r>
    </w:p>
    <w:p w14:paraId="39A4B0EB" w14:textId="790CA9C4" w:rsidR="00051048" w:rsidRPr="00C05886" w:rsidRDefault="00051048" w:rsidP="008A0CE2">
      <w:pPr>
        <w:pStyle w:val="Caption"/>
      </w:pPr>
      <w:r w:rsidRPr="00C05886">
        <w:t xml:space="preserve">Figure </w:t>
      </w:r>
      <w:r w:rsidR="00B959BA" w:rsidRPr="00C05886">
        <w:t>3</w:t>
      </w:r>
      <w:r w:rsidRPr="00C05886">
        <w:t>. View of the “Car park” treatment</w:t>
      </w:r>
    </w:p>
    <w:p w14:paraId="7E240A0C" w14:textId="77777777" w:rsidR="00051048" w:rsidRPr="00C05886" w:rsidRDefault="00051048" w:rsidP="00051048">
      <w:pPr>
        <w:pStyle w:val="Heading3"/>
      </w:pPr>
      <w:bookmarkStart w:id="152" w:name="_Toc179962392"/>
      <w:r w:rsidRPr="00C05886">
        <w:t>Participants and ethics statement</w:t>
      </w:r>
      <w:bookmarkEnd w:id="152"/>
    </w:p>
    <w:p w14:paraId="47A27707" w14:textId="266731BA" w:rsidR="00051048" w:rsidRPr="00C05886" w:rsidRDefault="00051048" w:rsidP="002C036A">
      <w:r w:rsidRPr="00C05886">
        <w:t xml:space="preserve">This study involved two groups of participants. A large group was recruited online (N = 400) and a replication face-to-face with a smaller group was recruited among the University of Sheffield students and staff from a variety of disciplinary backgrounds to help </w:t>
      </w:r>
      <w:r w:rsidR="00193CDE">
        <w:t>reduce</w:t>
      </w:r>
      <w:r w:rsidR="00193CDE" w:rsidRPr="00C05886">
        <w:t xml:space="preserve"> </w:t>
      </w:r>
      <w:r w:rsidR="00193CDE">
        <w:t xml:space="preserve">disciplinary </w:t>
      </w:r>
      <w:r w:rsidRPr="00C05886">
        <w:t xml:space="preserve">bias (N = 52). The replication aimed to try and correlate the psychological self-reported measures (affective states) with the heart rate variability (HRV) as an indicator of physiological stress and recovery. The online sample was recruited on Prolific.com, which is an online platform where participants can take part in online research for a fee </w:t>
      </w:r>
      <w:r w:rsidRPr="00C05886">
        <w:fldChar w:fldCharType="begin"/>
      </w:r>
      <w:r w:rsidRPr="00C05886">
        <w:instrText xml:space="preserve"> ADDIN ZOTERO_ITEM CSL_CITATION {"citationID":"geVVdYMv","properties":{"formattedCitation":"(Douglas, Ewell and Brauer, 2023)","plainCitation":"(Douglas, Ewell and Brauer, 2023)","noteIndex":0},"citationItems":[{"id":9829,"uris":["http://zotero.org/users/10951124/items/ACQFZXVC"],"itemData":{"id":9829,"type":"article-journal","abstract":"With the proliferation of online data collection in human-subjects research, concerns have been raised over the presence of inattentive survey participants and non-human respondents (bots). We compared the quality of the data collected through five commonly used platforms. Data quality was indicated by the percentage of participants who meaningfully respond to the researcher’s question (high quality) versus those who only contribute noise (low quality). We found that compared to MTurk, Qualtrics, or an undergraduate student sample (i.e., SONA), participants on Prolific and CloudResearch were more likely to pass various attention checks, provide meaningful answers, follow instructions, remember previously presented information, have a unique IP address and geolocation, and work slowly enough to be able to read all the items. We divided the samples into high- and low-quality respondents and computed the cost we paid per high-quality respondent. Prolific ($1.90) and CloudResearch ($2.00) were cheaper than MTurk ($4.36) and Qualtrics ($8.17). SONA cost $0.00, yet took the longest to collect the data.","container-title":"PLOS ONE","DOI":"10.1371/journal.pone.0279720","issue":"3","journalAbbreviation":"PLOS ONE","note":"publisher: Public Library of Science","page":"e0279720","title":"Data quality in online human-subjects research: Comparisons between MTurk, Prolific, CloudResearch, Qualtrics, and SONA","volume":"18","author":[{"family":"Douglas","given":"Benjamin D."},{"family":"Ewell","given":"Patrick J."},{"family":"Brauer","given":"Markus"}],"issued":{"date-parts":[["2023",3,14]]}}}],"schema":"https://github.com/citation-style-language/schema/raw/master/csl-citation.json"} </w:instrText>
      </w:r>
      <w:r w:rsidRPr="00C05886">
        <w:fldChar w:fldCharType="separate"/>
      </w:r>
      <w:r w:rsidRPr="00C05886">
        <w:rPr>
          <w:rFonts w:ascii="Calibri" w:hAnsi="Calibri" w:cs="Calibri"/>
        </w:rPr>
        <w:t>(Douglas, Ewell and Brauer, 2023)</w:t>
      </w:r>
      <w:r w:rsidRPr="00C05886">
        <w:fldChar w:fldCharType="end"/>
      </w:r>
      <w:r w:rsidRPr="00C05886">
        <w:t>. Data collection took place from May 2023 to December 2023. Online participants received £1.75 for their participation, which lasted 10 minutes (equivalent to £10/h). Face-to-face participants received £10 for their participation, which took about 1 hour. The different duration between the two groups is explained by the longer time needed to reach the laboratory, and to wear and calibrate the sensors. The study was reviewed and approved by the Department of Landscape Architecture Ethics Committee (Approval Refs. 039698 and</w:t>
      </w:r>
      <w:r w:rsidR="00193CDE">
        <w:t xml:space="preserve"> 046104</w:t>
      </w:r>
      <w:r w:rsidRPr="00C05886">
        <w:t>).</w:t>
      </w:r>
    </w:p>
    <w:p w14:paraId="3EBD2D5F" w14:textId="77777777" w:rsidR="00051048" w:rsidRPr="00C05886" w:rsidRDefault="00051048" w:rsidP="00051048">
      <w:pPr>
        <w:pStyle w:val="Heading3"/>
      </w:pPr>
      <w:bookmarkStart w:id="153" w:name="_Toc179962393"/>
      <w:r w:rsidRPr="00C05886">
        <w:t>Measures</w:t>
      </w:r>
      <w:bookmarkEnd w:id="153"/>
    </w:p>
    <w:p w14:paraId="7A826994" w14:textId="77777777" w:rsidR="00051048" w:rsidRPr="00C05886" w:rsidRDefault="00051048" w:rsidP="006040BF">
      <w:r w:rsidRPr="00C05886">
        <w:t xml:space="preserve">The affective states were measured using two subscales from the PANAS-X </w:t>
      </w:r>
      <w:r w:rsidRPr="00C05886">
        <w:fldChar w:fldCharType="begin"/>
      </w:r>
      <w:r w:rsidRPr="00C05886">
        <w:instrText xml:space="preserve"> ADDIN ZOTERO_ITEM CSL_CITATION {"citationID":"XjrhRiuB","properties":{"formattedCitation":"(Watson and Clark, 1994)","plainCitation":"(Watson and Clark, 1994)","noteIndex":0},"citationItems":[{"id":7774,"uris":["http://zotero.org/users/10951124/items/AXHMJQWT"],"itemData":{"id":7774,"type":"article-journal","abstract":"In recent studies of the structure of affect, positive and negative affect have consistently emerged as two dominant and relatively independent dimensions. A number of mood scales have been created to measure these factors; however, many existing measures are inadequate, showing low reliability or poor convergent or discriminant validity. To fill the need for reliable and valid Positive Affect and Negative Affect scales that are also brief and easy to administer, we developed two 10-item mood scales that comprise the Positive and Negative Affect Schedule (PANAS). The scales are shown to be highly internally consistent, largely uncorrelated, and stable at appropriate levels over a 2-month time period. Normative data and factorial and external evidence of convergent and discriminant validity for the scales are also presented.","title":"The PANAS-X Manual for the Positive and Negative Affect Schedule - Expanded Form","author":[{"family":"Watson","given":"David"},{"family":"Clark","given":"Lee Anna"}],"issued":{"date-parts":[["1994"]]}}}],"schema":"https://github.com/citation-style-language/schema/raw/master/csl-citation.json"} </w:instrText>
      </w:r>
      <w:r w:rsidRPr="00C05886">
        <w:fldChar w:fldCharType="separate"/>
      </w:r>
      <w:r w:rsidRPr="00C05886">
        <w:rPr>
          <w:rFonts w:ascii="Calibri" w:hAnsi="Calibri" w:cs="Calibri"/>
        </w:rPr>
        <w:t>(Watson and Clark, 1994)</w:t>
      </w:r>
      <w:r w:rsidRPr="00C05886">
        <w:fldChar w:fldCharType="end"/>
      </w:r>
      <w:r w:rsidRPr="00C05886">
        <w:t xml:space="preserve">, Joviality and Relaxation, measuring the high arousal and low arousal Positive Affect, respectively </w:t>
      </w:r>
      <w:r w:rsidRPr="00C05886">
        <w:fldChar w:fldCharType="begin"/>
      </w:r>
      <w:r w:rsidRPr="00C05886">
        <w:instrText xml:space="preserve"> ADDIN ZOTERO_ITEM CSL_CITATION {"citationID":"XbFxJAF6","properties":{"formattedCitation":"(McManus, Siegel and Nakamura, 2019)","plainCitation":"(McManus, Siegel and Nakamura, 2019)","noteIndex":0},"citationItems":[{"id":9384,"uris":["http://zotero.org/users/10951124/items/9IY9ELTW"],"itemData":{"id":9384,"type":"article-journal","abstract":"Relative to high-arousal positive affect (HAPA), low-arousal positive affect (LAPA) is less likely to be included in research on positive affect and emotion. To gauge the possible cost of omitting LAPA from such research, two studies were conducted assessing the unique contribution of LAPA (e.g., calm, relaxed, content) in predicting variance in measures of well-being and mental health above and beyond HAPA (e.g., alert, excited, enthusiastic). In two studies, multiple regression analyses revealed that LAPA uniquely predicted life satisfaction, depression, feeling good, mindfulness, anxiety, and stress beyond HAPA. Furthermore, the results indicated that when both LAPA and HAPA were in the regression model, LAPA significantly predicted variance in mindfulness, anxiety, and stress whereas HAPA did not. These data indicate that the inclusion of LAPA in research can improve the field’s ability to investigate the causes and effects of positive affectivity. Theoretical perspectives on different types of positive affect and practical implications for researchers are discussed.","container-title":"Motivation and Emotion","DOI":"10.1007/s11031-018-9719-x","ISSN":"1573-6644","issue":"1","journalAbbreviation":"Motivation and Emotion","page":"130-144","title":"The predictive power of low-arousal positive affect","volume":"43","author":[{"family":"McManus","given":"Maria D."},{"family":"Siegel","given":"Jason T."},{"family":"Nakamura","given":"Jeanne"}],"issued":{"date-parts":[["2019",2,1]]}}}],"schema":"https://github.com/citation-style-language/schema/raw/master/csl-citation.json"} </w:instrText>
      </w:r>
      <w:r w:rsidRPr="00C05886">
        <w:fldChar w:fldCharType="separate"/>
      </w:r>
      <w:r w:rsidRPr="00C05886">
        <w:rPr>
          <w:rFonts w:ascii="Calibri" w:hAnsi="Calibri" w:cs="Calibri"/>
        </w:rPr>
        <w:t>(McManus, Siegel and Nakamura, 2019)</w:t>
      </w:r>
      <w:r w:rsidRPr="00C05886">
        <w:fldChar w:fldCharType="end"/>
      </w:r>
      <w:r w:rsidRPr="00C05886">
        <w:t xml:space="preserve">. The Negative Affect was measured using the homonymous subscale from the I-PANAS-SF </w:t>
      </w:r>
      <w:r w:rsidRPr="00C05886">
        <w:fldChar w:fldCharType="begin"/>
      </w:r>
      <w:r w:rsidRPr="00C05886">
        <w:instrText xml:space="preserve"> ADDIN ZOTERO_ITEM CSL_CITATION {"citationID":"Cy9Npu23","properties":{"formattedCitation":"(Thompson, 2007)","plainCitation":"(Thompson, 2007)","noteIndex":0},"citationItems":[{"id":7693,"uris":["http://zotero.org/users/10951124/items/9NT7C9ZU"],"itemData":{"id":7693,"type":"article-journal","abstract":"This article reports the development and validation of a 10-item international Positive and Negative Affect Schedule (PANAS) Short Form (I-PANAS-SF) in English. A qualitative study (N = 18) and then an exploratory quantitative study (N = 407), each using informants from a range of cultural backgrounds, were used to identify systematically which 10 of the original 20 PANAS items to retain or remove. A same-sample retest study (N = 163) was used in an initial examination of the new 10-item international PANAS's psychometric properties and to assess its correlation with the full, 20-item, original PANAS. In a series of further validation studies (N = 1,789), the cross-sample stability, internal reliability, temporal stability, cross-cultural factorial invariance, and convergent and criterion-related validities of the I-PANAS-SF were examined and found to be psychometrically acceptable. © 2007 Sage Publications.","container-title":"Journal of Cross-Cultural Psychology","DOI":"10.1177/0022022106297301","ISSN":"00220221","issue":"2","page":"227-242","title":"Development and validation of an internationally reliable short-form of the Positive and Negative Affect Schedule (PANAS)","volume":"38","author":[{"family":"Thompson","given":"Edmund R."}],"issued":{"date-parts":[["2007"]]}}}],"schema":"https://github.com/citation-style-language/schema/raw/master/csl-citation.json"} </w:instrText>
      </w:r>
      <w:r w:rsidRPr="00C05886">
        <w:fldChar w:fldCharType="separate"/>
      </w:r>
      <w:r w:rsidRPr="00C05886">
        <w:rPr>
          <w:rFonts w:ascii="Calibri" w:hAnsi="Calibri" w:cs="Calibri"/>
        </w:rPr>
        <w:t>(Thompson, 2007)</w:t>
      </w:r>
      <w:r w:rsidRPr="00C05886">
        <w:fldChar w:fldCharType="end"/>
      </w:r>
      <w:r w:rsidRPr="00C05886">
        <w:t xml:space="preserve">. Combined, these subscales formed a questionnaire of 16 emotional states, that the participant could rank from not at all to extremely (a 1-5 Likert scale) depending on how intensely they were feeling a given emotion at each stage of </w:t>
      </w:r>
      <w:r w:rsidRPr="00C05886">
        <w:lastRenderedPageBreak/>
        <w:t>the procedure. An attention checker was included in the post-stressor and post-environment questionnaires. This asked the participant to select a specific value from the Likert scale to check whether they were paying attention or just clicking through the survey.</w:t>
      </w:r>
    </w:p>
    <w:p w14:paraId="78194B52" w14:textId="6409FB71" w:rsidR="00051048" w:rsidRPr="00C05886" w:rsidRDefault="00051048" w:rsidP="001B2606">
      <w:r w:rsidRPr="00C05886">
        <w:t xml:space="preserve">The perceptions of </w:t>
      </w:r>
      <w:r w:rsidR="00E03AC3">
        <w:t>species richness</w:t>
      </w:r>
      <w:r w:rsidR="00E03AC3" w:rsidRPr="00C05886">
        <w:t xml:space="preserve"> </w:t>
      </w:r>
      <w:r w:rsidRPr="00C05886">
        <w:t xml:space="preserve">were measured on a </w:t>
      </w:r>
      <w:r w:rsidR="00E03AC3">
        <w:t>four</w:t>
      </w:r>
      <w:r w:rsidRPr="00C05886">
        <w:t xml:space="preserve">-point Likert scale </w:t>
      </w:r>
      <w:r w:rsidRPr="00C05886">
        <w:fldChar w:fldCharType="begin"/>
      </w:r>
      <w:r w:rsidR="00001725" w:rsidRPr="00C05886">
        <w:instrText xml:space="preserve"> ADDIN ZOTERO_ITEM CSL_CITATION {"citationID":"SONF5POf","properties":{"formattedCitation":"(Cameron {\\i{}et al.}, 2020)","plainCitation":"(Cameron et al., 2020)","noteIndex":0},"citationItems":[{"id":5002,"uris":["http://zotero.org/users/10951124/items/CAJX7VIQ"],"itemData":{"id":5002,"type":"article-journal","abstract":"Urban green space can help mitigate the negative impacts of urban living and provide positive effects on citizens’ mood, health and well-being. Questions remain, however, as to whether all types of green space are equally beneficial, and if not, what landscape forms or key features optimise the desired benefits. For example, it has been cited that urban landscapes rich in wildlife (high biodiversity) may promote more positive emotions and enhance well-being. This research utilised a mobile phone App, employed to assess people’s emotions when they entered any one of 945 green spaces within the city of Sheffield, UK. Emotional responses were correlated to key traits of the individual green spaces, including levels of biodiversity the participant perceived around them. For a subsample of these green spaces, actual levels of biodiversity were assessed through avian and habitat surveys. Results demonstrated strong correlations between levels of avian biodiversity within a green space and human emotional response to that space. Respondents reported being happier in sites with greater avian biodiversity (p &lt; 0.01, r = 0.78) and a greater variety of habitats (p &lt; 0.02, r = 0.72). Relationships were strengthened when emotions were linked to perceptions of overall biodiversity (p &lt; 0.001, r = 0.89). So, when participants thought the site was wildlife rich, they reported more positive emotions, even when actual avian biodiversity levels were not necessarily enhanced. The data strengthens the arguments that nature enhances well-being through positive affect, and that increased ‘engagement with nature’ may help support human health within urban environments. The results have strong implications for city planning with respect to the design, management and use of city green spaces.","container-title":"Urban Ecosystems","DOI":"10.1007/s11252-020-00929-z","ISSN":"15731642","note":"publisher: Urban Ecosystems","title":"Where the wild things are! Do urban green spaces with greater avian biodiversity promote more positive emotions in humans?","author":[{"family":"Cameron","given":"Ross W.F."},{"family":"Brindley","given":"Paul"},{"family":"Mears","given":"Meghann"},{"family":"McEwan","given":"Kirsten"},{"family":"Ferguson","given":"Fiona"},{"family":"Sheffield","given":"David"},{"family":"Jorgensen","given":"Anna"},{"family":"Riley","given":"Julie"},{"family":"Goodrick","given":"Jon"},{"family":"Ballard","given":"Liz"},{"family":"Richardson","given":"Miles"}],"issued":{"date-parts":[["2020"]]}}}],"schema":"https://github.com/citation-style-language/schema/raw/master/csl-citation.json"} </w:instrText>
      </w:r>
      <w:r w:rsidRPr="00C05886">
        <w:fldChar w:fldCharType="separate"/>
      </w:r>
      <w:r w:rsidR="00001725" w:rsidRPr="00C05886">
        <w:rPr>
          <w:rFonts w:ascii="Calibri" w:hAnsi="Calibri" w:cs="Calibri"/>
          <w:szCs w:val="24"/>
        </w:rPr>
        <w:t xml:space="preserve">(Cameron </w:t>
      </w:r>
      <w:r w:rsidR="00001725" w:rsidRPr="00C05886">
        <w:rPr>
          <w:rFonts w:ascii="Calibri" w:hAnsi="Calibri" w:cs="Calibri"/>
          <w:i/>
          <w:iCs/>
          <w:szCs w:val="24"/>
        </w:rPr>
        <w:t>et al.</w:t>
      </w:r>
      <w:r w:rsidR="00001725" w:rsidRPr="00C05886">
        <w:rPr>
          <w:rFonts w:ascii="Calibri" w:hAnsi="Calibri" w:cs="Calibri"/>
          <w:szCs w:val="24"/>
        </w:rPr>
        <w:t>, 2020)</w:t>
      </w:r>
      <w:r w:rsidRPr="00C05886">
        <w:fldChar w:fldCharType="end"/>
      </w:r>
      <w:r w:rsidRPr="00C05886">
        <w:t>, ranging from “none” to “a lot”. Participants were asked “How many types of plants/trees/animals could you see in the virtual tour?”.</w:t>
      </w:r>
      <w:r w:rsidR="00B06672">
        <w:t xml:space="preserve"> This measure allowed the participants to rate their perceptions of species richness</w:t>
      </w:r>
      <w:r w:rsidR="004B360F">
        <w:t xml:space="preserve"> into broad categories. The disadvantage is that without counting or receiving numerical guidance (e.g. “a lot” = “35 species or more”), quantification of perceived species richness is limited. This was a trade-off between completion time and quantification.</w:t>
      </w:r>
    </w:p>
    <w:p w14:paraId="7D6B9307" w14:textId="6E00181B" w:rsidR="00051048" w:rsidRPr="00C05886" w:rsidRDefault="00051048" w:rsidP="001B2606">
      <w:r w:rsidRPr="00C05886">
        <w:t xml:space="preserve">To ensure a balanced randomisation to each environment variation, the participants reported their age group, gender, ethnicity and educational level. In addition, one question asked about the level of their nature connectedness, using the visual </w:t>
      </w:r>
      <w:r w:rsidR="00E03AC3">
        <w:t>seven</w:t>
      </w:r>
      <w:r w:rsidRPr="00C05886">
        <w:t xml:space="preserve">-point Likert scale from </w:t>
      </w:r>
      <w:r w:rsidRPr="00C05886">
        <w:fldChar w:fldCharType="begin"/>
      </w:r>
      <w:r w:rsidR="00134B49">
        <w:instrText xml:space="preserve"> ADDIN ZOTERO_ITEM CSL_CITATION {"citationID":"we8ggvbR","properties":{"formattedCitation":"(Schultz, 2002)","plainCitation":"(Schultz, 2002)","dontUpdate":true,"noteIndex":0},"citationItems":[{"id":11234,"uris":["http://zotero.org/users/10951124/items/AJCR4KHB","http://zotero.org/users/10951124/items/4XTSK9NH"],"itemData":{"id":11234,"type":"chapter","abstract":"Human survival is directly tied to our relationship with the natural environment. Achieving a sustainable lifestyle depends on establishing a balance between the consumption of individuals, and the capacity of the natural environment for renewal. Yet, we often act as ifwe are separate from nature — as if we can get along without nature. Indeed, built environments serve as barriers between individuals and the natural environments in which they live. Offices, schools, homes, cars, restaurants, shopping malls, and many other built environments segregate people from nature. This chapter examines the implicit connection that individuals make between self and nature, and the impact of built environments on these implicit cognitions. A psychological model for inclusion with nature is presented, containing cognitive (connectedness), affective (caring), and behavioral (commitment) components. Implicationsfor theory, design, and sustainability are discussed.","container-title":"Psychology of Sustainable Development","event-place":"Boston, MA","ISBN":"978-1-4615-0995-0","note":"DOI: 10.1007/978-1-4615-0995-0_4","page":"61-78","publisher":"Springer US","publisher-place":"Boston, MA","title":"Inclusion with Nature: The Psychology Of Human-Nature Relations","URL":"https://doi.org/10.1007/978-1-4615-0995-0_4","author":[{"family":"Schultz","given":"P. Wesley"}],"editor":[{"family":"Schmuck","given":"Peter"},{"family":"Schultz","given":"Wesley P."}],"issued":{"date-parts":[["2002"]]}}}],"schema":"https://github.com/citation-style-language/schema/raw/master/csl-citation.json"} </w:instrText>
      </w:r>
      <w:r w:rsidRPr="00C05886">
        <w:fldChar w:fldCharType="separate"/>
      </w:r>
      <w:r w:rsidRPr="00C05886">
        <w:rPr>
          <w:rFonts w:ascii="Calibri" w:hAnsi="Calibri" w:cs="Calibri"/>
        </w:rPr>
        <w:t>Schultz (2002)</w:t>
      </w:r>
      <w:r w:rsidRPr="00C05886">
        <w:fldChar w:fldCharType="end"/>
      </w:r>
      <w:r w:rsidRPr="00C05886">
        <w:t>. Finally, to control for the novelty effect, one question asked if the participant had experienced a virtual tour in the past.</w:t>
      </w:r>
    </w:p>
    <w:p w14:paraId="22F478B1" w14:textId="278C1C14" w:rsidR="00051048" w:rsidRPr="00C05886" w:rsidRDefault="00051048" w:rsidP="001B2606">
      <w:r w:rsidRPr="00C05886">
        <w:t xml:space="preserve">The heart rate variability was continuously recorded using the Polar H10 monitor (www.polar.com), which offers sufficient accuracy compared to a standard Holter device </w:t>
      </w:r>
      <w:r w:rsidRPr="00C05886">
        <w:fldChar w:fldCharType="begin"/>
      </w:r>
      <w:r w:rsidRPr="00C05886">
        <w:instrText xml:space="preserve"> ADDIN ZOTERO_ITEM CSL_CITATION {"citationID":"0gV40cRe","properties":{"formattedCitation":"(Gilgen-Ammann, Schweizer and Wyss, 2019)","plainCitation":"(Gilgen-Ammann, Schweizer and Wyss, 2019)","noteIndex":0},"citationItems":[{"id":5224,"uris":["http://zotero.org/users/10951124/items/MBW3RX62"],"itemData":{"id":5224,"type":"article-journal","container-title":"European journal of applied physiology","ISSN":"1439-6319","issue":"7","note":"publisher: Springer","page":"1525-1532","title":"RR interval signal quality of a heart rate monitor and an ECG Holter at rest and during exercise","volume":"119","author":[{"family":"Gilgen-Ammann","given":"Rahel"},{"family":"Schweizer","given":"Theresa"},{"family":"Wyss","given":"Thomas"}],"issued":{"date-parts":[["2019"]]}}}],"schema":"https://github.com/citation-style-language/schema/raw/master/csl-citation.json"} </w:instrText>
      </w:r>
      <w:r w:rsidRPr="00C05886">
        <w:fldChar w:fldCharType="separate"/>
      </w:r>
      <w:r w:rsidRPr="00C05886">
        <w:rPr>
          <w:rFonts w:ascii="Calibri" w:hAnsi="Calibri" w:cs="Calibri"/>
        </w:rPr>
        <w:t>(Gilgen-Ammann, Schweizer and Wyss, 2019)</w:t>
      </w:r>
      <w:r w:rsidRPr="00C05886">
        <w:fldChar w:fldCharType="end"/>
      </w:r>
      <w:r w:rsidRPr="00C05886">
        <w:t>, but at a fraction of the cost</w:t>
      </w:r>
      <w:r w:rsidR="00FD3659" w:rsidRPr="00C05886">
        <w:t>.</w:t>
      </w:r>
      <w:r w:rsidRPr="00C05886">
        <w:t xml:space="preserve"> This is composed of a detachable recorder and elastic band with a conductive rubber layer hosting the electrodes. The device was positioned </w:t>
      </w:r>
      <w:r w:rsidR="00FD3659" w:rsidRPr="00C05886">
        <w:t>on</w:t>
      </w:r>
      <w:r w:rsidRPr="00C05886">
        <w:t xml:space="preserve"> the lower part of the sternum, below the line of pectoral muscles. The heart rate signal was recorded on a smartphone via Bluetooth. To avoid excessive changes in blood pressure during the recording, the participant was instructed to remain seated with both feet lying flat and the arms resting on the table and to avoid excessive movement (e.g. stretching an arm).</w:t>
      </w:r>
    </w:p>
    <w:p w14:paraId="17C6EF9A" w14:textId="77777777" w:rsidR="00051048" w:rsidRPr="00C05886" w:rsidRDefault="00051048" w:rsidP="00051048">
      <w:pPr>
        <w:pStyle w:val="Heading3"/>
      </w:pPr>
      <w:bookmarkStart w:id="154" w:name="_Toc179962394"/>
      <w:r w:rsidRPr="00C05886">
        <w:t>Procedure</w:t>
      </w:r>
      <w:bookmarkEnd w:id="154"/>
    </w:p>
    <w:p w14:paraId="45E29D7E" w14:textId="77777777" w:rsidR="00051048" w:rsidRPr="00C05886" w:rsidRDefault="00051048" w:rsidP="002C036A">
      <w:r w:rsidRPr="00C05886">
        <w:t>After being informed about the study, the participants from both groups provided written consent by completing the consent form (either on paper or online). Instructions provided on-screen asked the participants to focus on the survey procedure and to wear headphones. Instructions for each task were provided.</w:t>
      </w:r>
    </w:p>
    <w:p w14:paraId="21C0CD9B" w14:textId="14A9BFE5" w:rsidR="00051048" w:rsidRPr="00C05886" w:rsidRDefault="00051048" w:rsidP="002C036A">
      <w:r w:rsidRPr="00C05886">
        <w:t xml:space="preserve">The participants reported their Negative and Positive affective states three times: at baseline (stage 1), after listening to a loud siren sound as the stressor (stage 2), and after exploring one of the three </w:t>
      </w:r>
      <w:r w:rsidRPr="00C05886">
        <w:lastRenderedPageBreak/>
        <w:t xml:space="preserve">environment variations to relax (stage 3). The assignment of the virtual tour was randomised and each participant had </w:t>
      </w:r>
      <w:r w:rsidR="00E03AC3">
        <w:t>three</w:t>
      </w:r>
      <w:r w:rsidR="00E03AC3" w:rsidRPr="00C05886">
        <w:t xml:space="preserve"> </w:t>
      </w:r>
      <w:r w:rsidRPr="00C05886">
        <w:t>minutes to explore their environment.</w:t>
      </w:r>
    </w:p>
    <w:p w14:paraId="7C9C7D2F" w14:textId="4F335FE0" w:rsidR="00051048" w:rsidRPr="00C05886" w:rsidRDefault="00051048" w:rsidP="002C036A">
      <w:r w:rsidRPr="00C05886">
        <w:t xml:space="preserve">Each participant was then asked to rate their perceptions of the environment's </w:t>
      </w:r>
      <w:r w:rsidR="00E03AC3">
        <w:t>species richness</w:t>
      </w:r>
      <w:r w:rsidRPr="00C05886">
        <w:t>, after which they were thanked, debriefed and compensated. Figure 4 illustrates the procedure for the online group and face-to-face.</w:t>
      </w:r>
    </w:p>
    <w:p w14:paraId="1A7B7807" w14:textId="5BB42C81" w:rsidR="00051048" w:rsidRPr="00C05886" w:rsidRDefault="00051048" w:rsidP="002C036A">
      <w:r w:rsidRPr="00C05886">
        <w:t xml:space="preserve">The only difference for face-to-face participants was the recording of the heart rate variability. The participants were asked to avoid caffeinated drinks for </w:t>
      </w:r>
      <w:r w:rsidR="00E03AC3">
        <w:t>two</w:t>
      </w:r>
      <w:r w:rsidR="00E03AC3" w:rsidRPr="00C05886">
        <w:t xml:space="preserve"> </w:t>
      </w:r>
      <w:r w:rsidRPr="00C05886">
        <w:t xml:space="preserve">hours before their appointment </w:t>
      </w:r>
      <w:r w:rsidRPr="00C05886">
        <w:fldChar w:fldCharType="begin"/>
      </w:r>
      <w:r w:rsidRPr="00C05886">
        <w:instrText xml:space="preserve"> ADDIN ZOTERO_ITEM CSL_CITATION {"citationID":"CAZiY0uF","properties":{"formattedCitation":"(Laborde, Mosley and Thayer, 2017)","plainCitation":"(Laborde, Mosley and Thayer, 2017)","noteIndex":0},"citationItems":[{"id":4735,"uris":["http://zotero.org/users/10951124/items/25958HS4"],"itemData":{"id":4735,"type":"article-journal","container-title":"Frontiers in psychology","ISSN":"1664-1078","note":"publisher: Frontiers","page":"213","title":"Heart rate variability and cardiac vagal tone in psychophysiological research–recommendations for experiment planning, data analysis, and data reporting","volume":"8","author":[{"family":"Laborde","given":"Sylvain"},{"family":"Mosley","given":"Emma"},{"family":"Thayer","given":"Julian F"}],"issued":{"date-parts":[["2017"]]}}}],"schema":"https://github.com/citation-style-language/schema/raw/master/csl-citation.json"} </w:instrText>
      </w:r>
      <w:r w:rsidRPr="00C05886">
        <w:fldChar w:fldCharType="separate"/>
      </w:r>
      <w:r w:rsidRPr="00C05886">
        <w:rPr>
          <w:rFonts w:ascii="Calibri" w:hAnsi="Calibri" w:cs="Calibri"/>
        </w:rPr>
        <w:t>(Laborde, Mosley and Thayer, 2017)</w:t>
      </w:r>
      <w:r w:rsidRPr="00C05886">
        <w:fldChar w:fldCharType="end"/>
      </w:r>
      <w:r w:rsidRPr="00C05886">
        <w:t xml:space="preserve">. After providing consent, the participants were shown how to wear the heart monitor device, and one of the researchers checked that they felt comfortable and that the device was correctly operating. The baseline heart rate variability was measured </w:t>
      </w:r>
      <w:r w:rsidR="00FD1350" w:rsidRPr="00C05886">
        <w:t>for</w:t>
      </w:r>
      <w:r w:rsidRPr="00C05886">
        <w:t xml:space="preserve"> </w:t>
      </w:r>
      <w:r w:rsidR="00E03AC3">
        <w:t>three</w:t>
      </w:r>
      <w:r w:rsidR="00E03AC3" w:rsidRPr="00C05886">
        <w:t xml:space="preserve"> </w:t>
      </w:r>
      <w:r w:rsidRPr="00C05886">
        <w:t>minutes after the participant had provided their demographics and before reporting their affective states for the first time. The participants were instructed to relax, avoid movements and keep their eyes open. After this stage, the procedure continued as in the online study.</w:t>
      </w:r>
    </w:p>
    <w:p w14:paraId="0DB85314" w14:textId="77777777" w:rsidR="00051048" w:rsidRPr="00C05886" w:rsidRDefault="00051048" w:rsidP="002C036A">
      <w:pPr>
        <w:keepNext/>
      </w:pPr>
      <w:r w:rsidRPr="00134B49">
        <w:rPr>
          <w:noProof/>
          <w:lang w:eastAsia="en-GB"/>
        </w:rPr>
        <w:drawing>
          <wp:inline distT="0" distB="0" distL="0" distR="0" wp14:anchorId="48B11C23" wp14:editId="4D914E85">
            <wp:extent cx="6120006" cy="1962150"/>
            <wp:effectExtent l="0" t="0" r="0" b="0"/>
            <wp:docPr id="11191234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9123457" name="Picture 1"/>
                    <pic:cNvPicPr/>
                  </pic:nvPicPr>
                  <pic:blipFill>
                    <a:blip r:embed="rId49" cstate="print">
                      <a:extLst>
                        <a:ext uri="{28A0092B-C50C-407E-A947-70E740481C1C}">
                          <a14:useLocalDpi xmlns:a14="http://schemas.microsoft.com/office/drawing/2010/main" val="0"/>
                        </a:ext>
                      </a:extLst>
                    </a:blip>
                    <a:stretch>
                      <a:fillRect/>
                    </a:stretch>
                  </pic:blipFill>
                  <pic:spPr>
                    <a:xfrm>
                      <a:off x="0" y="0"/>
                      <a:ext cx="6120006" cy="1962150"/>
                    </a:xfrm>
                    <a:prstGeom prst="rect">
                      <a:avLst/>
                    </a:prstGeom>
                  </pic:spPr>
                </pic:pic>
              </a:graphicData>
            </a:graphic>
          </wp:inline>
        </w:drawing>
      </w:r>
    </w:p>
    <w:p w14:paraId="7357D205" w14:textId="3FE8C92A" w:rsidR="00051048" w:rsidRPr="00C05886" w:rsidRDefault="00051048" w:rsidP="008A0CE2">
      <w:pPr>
        <w:pStyle w:val="Caption"/>
      </w:pPr>
      <w:r w:rsidRPr="00C05886">
        <w:t xml:space="preserve">Figure </w:t>
      </w:r>
      <w:r w:rsidR="00B959BA" w:rsidRPr="00C05886">
        <w:t>4</w:t>
      </w:r>
      <w:r w:rsidRPr="00C05886">
        <w:t>. Flowchart of the experimental procedure. HRV = heart rate variability</w:t>
      </w:r>
    </w:p>
    <w:p w14:paraId="0B210D05" w14:textId="77777777" w:rsidR="00051048" w:rsidRPr="00C05886" w:rsidRDefault="00051048" w:rsidP="00051048">
      <w:pPr>
        <w:pStyle w:val="Heading3"/>
      </w:pPr>
      <w:bookmarkStart w:id="155" w:name="_Toc179962395"/>
      <w:r w:rsidRPr="00C05886">
        <w:t>Data Processing</w:t>
      </w:r>
      <w:bookmarkEnd w:id="155"/>
    </w:p>
    <w:p w14:paraId="0DFD2E65" w14:textId="198A4B65" w:rsidR="00051048" w:rsidRPr="00C05886" w:rsidRDefault="00051048" w:rsidP="002C036A">
      <w:r w:rsidRPr="00C05886">
        <w:t xml:space="preserve">The Affective scores (Joviality, Serenity, Negative Affect) were calculated as the average of the ratings of each subscale. The </w:t>
      </w:r>
      <w:r w:rsidR="0073689C" w:rsidRPr="00C05886">
        <w:t xml:space="preserve">heart rate </w:t>
      </w:r>
      <w:r w:rsidRPr="00C05886">
        <w:t xml:space="preserve">signal was initially processed by extracting the time intervals (in milliseconds) between one beat and the next from the electrocardiogram. This was done with the Polar Sensor Logger app for Android </w:t>
      </w:r>
      <w:r w:rsidRPr="00C05886">
        <w:fldChar w:fldCharType="begin"/>
      </w:r>
      <w:r w:rsidRPr="00C05886">
        <w:instrText xml:space="preserve"> ADDIN ZOTERO_ITEM CSL_CITATION {"citationID":"WAurNx0G","properties":{"formattedCitation":"(Happonen, 2023)","plainCitation":"(Happonen, 2023)","noteIndex":0},"citationItems":[{"id":10925,"uris":["http://zotero.org/users/10951124/items/XC6ZMLSQ"],"itemData":{"id":10925,"type":"software","medium":"Android","title":"Polar Sensor Logger","URL":"https://play.google.com/store/apps/details?id=com.j_ware.polarsensorlogger&amp;hl=en_US","version":"0.27","author":[{"family":"Happonen","given":"Jukka"}],"accessed":{"date-parts":[["2023",6,20]]},"issued":{"date-parts":[["2023"]]}}}],"schema":"https://github.com/citation-style-language/schema/raw/master/csl-citation.json"} </w:instrText>
      </w:r>
      <w:r w:rsidRPr="00C05886">
        <w:fldChar w:fldCharType="separate"/>
      </w:r>
      <w:r w:rsidRPr="00C05886">
        <w:rPr>
          <w:rFonts w:ascii="Calibri" w:hAnsi="Calibri" w:cs="Calibri"/>
        </w:rPr>
        <w:t>(Happonen, 2023)</w:t>
      </w:r>
      <w:r w:rsidRPr="00C05886">
        <w:fldChar w:fldCharType="end"/>
      </w:r>
      <w:r w:rsidRPr="00C05886">
        <w:t>. The</w:t>
      </w:r>
      <w:r w:rsidR="0073689C" w:rsidRPr="00C05886">
        <w:t xml:space="preserve"> </w:t>
      </w:r>
      <w:bookmarkStart w:id="156" w:name="_Hlk156917831"/>
      <w:r w:rsidR="0073689C" w:rsidRPr="00C05886">
        <w:t>heart rate variability</w:t>
      </w:r>
      <w:bookmarkEnd w:id="156"/>
      <w:r w:rsidRPr="00C05886">
        <w:t xml:space="preserve"> indexes were calculated on </w:t>
      </w:r>
      <w:proofErr w:type="spellStart"/>
      <w:r w:rsidRPr="00C05886">
        <w:t>Kubios</w:t>
      </w:r>
      <w:proofErr w:type="spellEnd"/>
      <w:r w:rsidRPr="00C05886">
        <w:t xml:space="preserve"> HRV Standard (version 3.5.0; www.kubios.com). The root mean square of successive differences (RMSSD), the high-frequency power (HF) and the high frequency were calculated as indicators of the parasympathetic</w:t>
      </w:r>
      <w:r w:rsidR="0073689C" w:rsidRPr="00C05886">
        <w:t xml:space="preserve"> activity </w:t>
      </w:r>
      <w:r w:rsidRPr="00C05886">
        <w:t xml:space="preserve">(i.e. </w:t>
      </w:r>
      <w:r w:rsidR="0073689C" w:rsidRPr="00C05886">
        <w:t xml:space="preserve">stress </w:t>
      </w:r>
      <w:r w:rsidRPr="00C05886">
        <w:t xml:space="preserve">recovery), as recommended by </w:t>
      </w:r>
      <w:r w:rsidRPr="00C05886">
        <w:fldChar w:fldCharType="begin"/>
      </w:r>
      <w:r w:rsidRPr="00C05886">
        <w:instrText xml:space="preserve"> ADDIN ZOTERO_ITEM CSL_CITATION {"citationID":"wKphPNnt","properties":{"formattedCitation":"(Laborde, Mosley and Thayer, 2017)","plainCitation":"(Laborde, Mosley and Thayer, 2017)","noteIndex":0},"citationItems":[{"id":4735,"uris":["http://zotero.org/users/10951124/items/25958HS4"],"itemData":{"id":4735,"type":"article-journal","container-title":"Frontiers in psychology","ISSN":"1664-1078","note":"publisher: Frontiers","page":"213","title":"Heart rate variability and cardiac vagal tone in psychophysiological research–recommendations for experiment planning, data analysis, and data reporting","volume":"8","author":[{"family":"Laborde","given":"Sylvain"},{"family":"Mosley","given":"Emma"},{"family":"Thayer","given":"Julian F"}],"issued":{"date-parts":[["2017"]]}}}],"schema":"https://github.com/citation-style-language/schema/raw/master/csl-citation.json"} </w:instrText>
      </w:r>
      <w:r w:rsidRPr="00C05886">
        <w:fldChar w:fldCharType="separate"/>
      </w:r>
      <w:r w:rsidRPr="00C05886">
        <w:rPr>
          <w:rFonts w:ascii="Calibri" w:hAnsi="Calibri" w:cs="Calibri"/>
        </w:rPr>
        <w:t>(Laborde, Mosley and Thayer, 2017)</w:t>
      </w:r>
      <w:r w:rsidRPr="00C05886">
        <w:fldChar w:fldCharType="end"/>
      </w:r>
      <w:r w:rsidRPr="00C05886">
        <w:t xml:space="preserve">. The low-frequency ratio (LF/HF) was selected as an indicator </w:t>
      </w:r>
      <w:r w:rsidRPr="00C05886">
        <w:lastRenderedPageBreak/>
        <w:t xml:space="preserve">of the sympathetic activity (i.e. stress levels). The </w:t>
      </w:r>
      <w:r w:rsidR="0073689C" w:rsidRPr="00C05886">
        <w:t xml:space="preserve">heart rate variability </w:t>
      </w:r>
      <w:r w:rsidRPr="00C05886">
        <w:t xml:space="preserve">values at baseline and during the park, each lasting for </w:t>
      </w:r>
      <w:r w:rsidR="00E03AC3">
        <w:t>three</w:t>
      </w:r>
      <w:r w:rsidR="00E03AC3" w:rsidRPr="00C05886">
        <w:t xml:space="preserve"> </w:t>
      </w:r>
      <w:r w:rsidRPr="00C05886">
        <w:t xml:space="preserve">minutes, were calculated as the average of three </w:t>
      </w:r>
      <w:r w:rsidR="00E03AC3">
        <w:t>one</w:t>
      </w:r>
      <w:r w:rsidRPr="00C05886">
        <w:t xml:space="preserve">-minute-long subsections. This ensured that the three stages of the procedure had comparable HRV values </w:t>
      </w:r>
      <w:r w:rsidRPr="00C05886">
        <w:fldChar w:fldCharType="begin"/>
      </w:r>
      <w:r w:rsidRPr="00C05886">
        <w:instrText xml:space="preserve"> ADDIN ZOTERO_ITEM CSL_CITATION {"citationID":"bBdYDBOk","properties":{"formattedCitation":"(Laborde, Mosley and Thayer, 2017)","plainCitation":"(Laborde, Mosley and Thayer, 2017)","noteIndex":0},"citationItems":[{"id":4735,"uris":["http://zotero.org/users/10951124/items/25958HS4"],"itemData":{"id":4735,"type":"article-journal","container-title":"Frontiers in psychology","ISSN":"1664-1078","note":"publisher: Frontiers","page":"213","title":"Heart rate variability and cardiac vagal tone in psychophysiological research–recommendations for experiment planning, data analysis, and data reporting","volume":"8","author":[{"family":"Laborde","given":"Sylvain"},{"family":"Mosley","given":"Emma"},{"family":"Thayer","given":"Julian F"}],"issued":{"date-parts":[["2017"]]}}}],"schema":"https://github.com/citation-style-language/schema/raw/master/csl-citation.json"} </w:instrText>
      </w:r>
      <w:r w:rsidRPr="00C05886">
        <w:fldChar w:fldCharType="separate"/>
      </w:r>
      <w:r w:rsidRPr="00C05886">
        <w:rPr>
          <w:rFonts w:ascii="Calibri" w:hAnsi="Calibri" w:cs="Calibri"/>
        </w:rPr>
        <w:t>(Laborde, Mosley and Thayer, 2017)</w:t>
      </w:r>
      <w:r w:rsidRPr="00C05886">
        <w:fldChar w:fldCharType="end"/>
      </w:r>
      <w:r w:rsidRPr="00C05886">
        <w:t>.</w:t>
      </w:r>
    </w:p>
    <w:p w14:paraId="44E9874C" w14:textId="77777777" w:rsidR="00051048" w:rsidRPr="00C05886" w:rsidRDefault="00051048" w:rsidP="00051048">
      <w:pPr>
        <w:pStyle w:val="Heading3"/>
      </w:pPr>
      <w:bookmarkStart w:id="157" w:name="_Toc179962396"/>
      <w:r w:rsidRPr="00C05886">
        <w:t>Statistical analysis</w:t>
      </w:r>
      <w:bookmarkEnd w:id="157"/>
    </w:p>
    <w:p w14:paraId="4DF847B3" w14:textId="77777777" w:rsidR="00051048" w:rsidRPr="00C05886" w:rsidRDefault="00051048" w:rsidP="002C036A">
      <w:r w:rsidRPr="00C05886">
        <w:t>Responses to the survey that met these criteria were excluded: 1) incomplete questionnaires; 2) wrong answers to the attention checks; 3) multiple submissions, identified by the same IP address and demographic information.</w:t>
      </w:r>
    </w:p>
    <w:p w14:paraId="48E376BE" w14:textId="68E32274" w:rsidR="00051048" w:rsidRPr="00C05886" w:rsidRDefault="00051048" w:rsidP="00105E3A">
      <w:r w:rsidRPr="00C05886">
        <w:t xml:space="preserve">All statistical analyses were performed on SPSS (version 29) for Windows. The distribution of demographic information across the treatment group was explored with crosstabulations. A mixed repeated measures analysis of variance (mixed ANOVA) was carried out to highlight any differences in the response to the park variations. The dependent variables were: Negative Affect, Positive Affect (Joviality and Relaxation assessed independently) and the three indexes of the heart rate variability (RMSSD, HF, LF/HF). Time (i.e. the stage of the procedure) was the ‘within-subjects’ variable, while the environment’s level of </w:t>
      </w:r>
      <w:r w:rsidR="00E03AC3">
        <w:t>species richness</w:t>
      </w:r>
      <w:r w:rsidR="00E03AC3" w:rsidRPr="00C05886">
        <w:t xml:space="preserve"> </w:t>
      </w:r>
      <w:r w:rsidRPr="00C05886">
        <w:t xml:space="preserve">(i.e. none, low, high) and the perceived </w:t>
      </w:r>
      <w:r w:rsidR="00E03AC3">
        <w:t>species richness</w:t>
      </w:r>
      <w:r w:rsidR="00E03AC3" w:rsidRPr="00C05886">
        <w:t xml:space="preserve"> </w:t>
      </w:r>
      <w:r w:rsidRPr="00C05886">
        <w:t xml:space="preserve">were the ‘between-subject’ variables. An interaction term between time and </w:t>
      </w:r>
      <w:r w:rsidR="00E03AC3">
        <w:t>species richne</w:t>
      </w:r>
      <w:r w:rsidR="00643477">
        <w:t>s</w:t>
      </w:r>
      <w:r w:rsidR="00E03AC3">
        <w:t>s</w:t>
      </w:r>
      <w:r w:rsidR="00E03AC3" w:rsidRPr="00C05886">
        <w:t xml:space="preserve"> </w:t>
      </w:r>
      <w:r w:rsidRPr="00C05886">
        <w:t xml:space="preserve">was included in the model, highlighting whether any of the conditions differed from the others at any point of the procedure. Whenever the assumption of sphericity was violated, the Greenhouse-Geisser correction was applied to produce more accurate P-values </w:t>
      </w:r>
      <w:r w:rsidRPr="00C05886">
        <w:fldChar w:fldCharType="begin"/>
      </w:r>
      <w:r w:rsidRPr="00C05886">
        <w:instrText xml:space="preserve"> ADDIN ZOTERO_ITEM CSL_CITATION {"citationID":"pyLuzlpb","properties":{"formattedCitation":"(Greenhouse and Geisser, 1959)","plainCitation":"(Greenhouse and Geisser, 1959)","noteIndex":0},"citationItems":[{"id":10926,"uris":["http://zotero.org/users/10951124/items/U6IHXGJ6"],"itemData":{"id":10926,"type":"article-journal","container-title":"Psychometrika","DOI":"10.1007/BF02289823","ISSN":"0033-3123, 1860-0980","issue":"2","journalAbbreviation":"Psychometrika","language":"en","page":"95-112","source":"DOI.org (Crossref)","title":"On methods in the analysis of profile data","volume":"24","author":[{"family":"Greenhouse","given":"Samuel W."},{"family":"Geisser","given":"Seymour"}],"issued":{"date-parts":[["1959",6]]}}}],"schema":"https://github.com/citation-style-language/schema/raw/master/csl-citation.json"} </w:instrText>
      </w:r>
      <w:r w:rsidRPr="00C05886">
        <w:fldChar w:fldCharType="separate"/>
      </w:r>
      <w:r w:rsidRPr="00C05886">
        <w:rPr>
          <w:rFonts w:ascii="Calibri" w:hAnsi="Calibri" w:cs="Calibri"/>
        </w:rPr>
        <w:t>(Greenhouse and Geisser, 1959)</w:t>
      </w:r>
      <w:r w:rsidRPr="00C05886">
        <w:fldChar w:fldCharType="end"/>
      </w:r>
      <w:r w:rsidRPr="00C05886">
        <w:t>. Data for RMSSD was log-transformed due to deviations from normal distribution, as recommended by Laborde et al. (2017). Finally, post-hoc comparisons were utilised via the Bonferroni correction, facilitating multiple comparisons across mean values.</w:t>
      </w:r>
    </w:p>
    <w:p w14:paraId="41CE9972" w14:textId="77777777" w:rsidR="00B959BA" w:rsidRPr="00C05886" w:rsidRDefault="00B959BA">
      <w:pPr>
        <w:spacing w:line="259" w:lineRule="auto"/>
        <w:jc w:val="left"/>
        <w:rPr>
          <w:rFonts w:eastAsiaTheme="majorEastAsia" w:cstheme="majorBidi"/>
          <w:b/>
          <w:sz w:val="36"/>
          <w:szCs w:val="26"/>
        </w:rPr>
      </w:pPr>
      <w:r w:rsidRPr="00C05886">
        <w:br w:type="page"/>
      </w:r>
    </w:p>
    <w:p w14:paraId="594F3342" w14:textId="674E4C36" w:rsidR="00051048" w:rsidRPr="00C05886" w:rsidRDefault="00051048" w:rsidP="00051048">
      <w:pPr>
        <w:pStyle w:val="Heading2"/>
      </w:pPr>
      <w:bookmarkStart w:id="158" w:name="_Toc179962397"/>
      <w:r w:rsidRPr="00C05886">
        <w:lastRenderedPageBreak/>
        <w:t>Results</w:t>
      </w:r>
      <w:bookmarkEnd w:id="158"/>
    </w:p>
    <w:p w14:paraId="4E6E5BD1" w14:textId="77777777" w:rsidR="00051048" w:rsidRPr="00C05886" w:rsidRDefault="00051048" w:rsidP="00051048">
      <w:pPr>
        <w:pStyle w:val="Heading3"/>
      </w:pPr>
      <w:bookmarkStart w:id="159" w:name="_Toc179962398"/>
      <w:r w:rsidRPr="00C05886">
        <w:t>Online sample</w:t>
      </w:r>
      <w:bookmarkEnd w:id="159"/>
    </w:p>
    <w:p w14:paraId="7AC54FE4" w14:textId="77777777" w:rsidR="00051048" w:rsidRPr="00C05886" w:rsidRDefault="00051048" w:rsidP="00051048">
      <w:pPr>
        <w:pStyle w:val="Heading4"/>
      </w:pPr>
      <w:r w:rsidRPr="00C05886">
        <w:t>Descriptive statistics</w:t>
      </w:r>
    </w:p>
    <w:p w14:paraId="7E96DE67" w14:textId="6CAD9B72" w:rsidR="00051048" w:rsidRPr="00C05886" w:rsidRDefault="00051048" w:rsidP="00F333A8">
      <w:r w:rsidRPr="00C05886">
        <w:t xml:space="preserve">The online survey collected 424 responses, and 28 were removed according to the exclusion criteria. The remaining 396 responses were included in the analysis. Most respondents were females (63%) (Table 2). About 80% of the participants were 18 to 55 years old, while participants aged over 55 were 15-20%. Ethnicity was predominantly white (81.3%), followed by Asian (11.6%); Black and other ethnic groups accounted for about 7% of the sample. The education level was high, with most participants having a bachelor's degree (45%) or above (30%) (Table 2). 70% of the participants reported having used a virtual tour in the past, and only 9 (2.3%) participants declared to have some form of colour blindness. </w:t>
      </w:r>
    </w:p>
    <w:p w14:paraId="7CDF09EE" w14:textId="799BC129" w:rsidR="00051048" w:rsidRPr="00C05886" w:rsidRDefault="00051048" w:rsidP="00623240">
      <w:pPr>
        <w:pStyle w:val="Caption"/>
        <w:keepNext/>
      </w:pPr>
      <w:r w:rsidRPr="00C05886">
        <w:t xml:space="preserve">Table </w:t>
      </w:r>
      <w:r w:rsidR="00B959BA" w:rsidRPr="00C05886">
        <w:t>2</w:t>
      </w:r>
      <w:r w:rsidRPr="00C05886">
        <w:t>. Demographic characteristics of participants in each experimental group</w:t>
      </w:r>
    </w:p>
    <w:tbl>
      <w:tblPr>
        <w:tblStyle w:val="TableGrid"/>
        <w:tblW w:w="0" w:type="auto"/>
        <w:tblLook w:val="04A0" w:firstRow="1" w:lastRow="0" w:firstColumn="1" w:lastColumn="0" w:noHBand="0" w:noVBand="1"/>
      </w:tblPr>
      <w:tblGrid>
        <w:gridCol w:w="3358"/>
        <w:gridCol w:w="980"/>
        <w:gridCol w:w="2184"/>
        <w:gridCol w:w="2224"/>
      </w:tblGrid>
      <w:tr w:rsidR="00051048" w:rsidRPr="00C05886" w14:paraId="6364EA09" w14:textId="77777777" w:rsidTr="001B276E">
        <w:trPr>
          <w:trHeight w:val="300"/>
        </w:trPr>
        <w:tc>
          <w:tcPr>
            <w:tcW w:w="0" w:type="auto"/>
            <w:noWrap/>
            <w:hideMark/>
          </w:tcPr>
          <w:p w14:paraId="138CDAB0" w14:textId="77777777" w:rsidR="00051048" w:rsidRPr="00C05886" w:rsidRDefault="00051048" w:rsidP="00051048">
            <w:pPr>
              <w:spacing w:line="240" w:lineRule="auto"/>
              <w:rPr>
                <w:rFonts w:ascii="Calibri" w:eastAsia="Times New Roman" w:hAnsi="Calibri" w:cs="Calibri"/>
                <w:b/>
                <w:bCs/>
                <w:color w:val="000000"/>
                <w:sz w:val="22"/>
                <w:lang w:eastAsia="en-GB"/>
              </w:rPr>
            </w:pPr>
            <w:r w:rsidRPr="00C05886">
              <w:rPr>
                <w:rFonts w:ascii="Calibri" w:eastAsia="Times New Roman" w:hAnsi="Calibri" w:cs="Calibri"/>
                <w:b/>
                <w:bCs/>
                <w:color w:val="000000"/>
                <w:sz w:val="22"/>
                <w:lang w:eastAsia="en-GB"/>
              </w:rPr>
              <w:t>Measure</w:t>
            </w:r>
          </w:p>
        </w:tc>
        <w:tc>
          <w:tcPr>
            <w:tcW w:w="0" w:type="auto"/>
            <w:noWrap/>
            <w:hideMark/>
          </w:tcPr>
          <w:p w14:paraId="1DAE42B8" w14:textId="77777777" w:rsidR="00051048" w:rsidRPr="00C05886" w:rsidRDefault="00051048" w:rsidP="00051048">
            <w:pPr>
              <w:spacing w:line="240" w:lineRule="auto"/>
              <w:rPr>
                <w:rFonts w:ascii="Calibri" w:eastAsia="Times New Roman" w:hAnsi="Calibri" w:cs="Calibri"/>
                <w:b/>
                <w:bCs/>
                <w:color w:val="000000"/>
                <w:sz w:val="22"/>
                <w:lang w:eastAsia="en-GB"/>
              </w:rPr>
            </w:pPr>
            <w:r w:rsidRPr="00C05886">
              <w:rPr>
                <w:rFonts w:ascii="Calibri" w:eastAsia="Times New Roman" w:hAnsi="Calibri" w:cs="Calibri"/>
                <w:b/>
                <w:bCs/>
                <w:color w:val="000000"/>
                <w:sz w:val="22"/>
                <w:lang w:eastAsia="en-GB"/>
              </w:rPr>
              <w:t>Car park</w:t>
            </w:r>
          </w:p>
          <w:p w14:paraId="414249D6" w14:textId="77777777" w:rsidR="00051048" w:rsidRPr="00C05886" w:rsidRDefault="00051048" w:rsidP="00051048">
            <w:pPr>
              <w:spacing w:line="240" w:lineRule="auto"/>
              <w:rPr>
                <w:rFonts w:ascii="Calibri" w:eastAsia="Times New Roman" w:hAnsi="Calibri" w:cs="Calibri"/>
                <w:b/>
                <w:bCs/>
                <w:color w:val="000000"/>
                <w:sz w:val="22"/>
                <w:lang w:eastAsia="en-GB"/>
              </w:rPr>
            </w:pPr>
            <w:r w:rsidRPr="00C05886">
              <w:rPr>
                <w:rFonts w:ascii="Calibri" w:eastAsia="Times New Roman" w:hAnsi="Calibri" w:cs="Calibri"/>
                <w:b/>
                <w:bCs/>
                <w:color w:val="000000"/>
                <w:sz w:val="22"/>
                <w:lang w:eastAsia="en-GB"/>
              </w:rPr>
              <w:t>N = 141</w:t>
            </w:r>
          </w:p>
        </w:tc>
        <w:tc>
          <w:tcPr>
            <w:tcW w:w="0" w:type="auto"/>
            <w:noWrap/>
            <w:hideMark/>
          </w:tcPr>
          <w:p w14:paraId="27176B0A" w14:textId="77777777" w:rsidR="00051048" w:rsidRPr="00C05886" w:rsidRDefault="00051048" w:rsidP="00051048">
            <w:pPr>
              <w:spacing w:line="240" w:lineRule="auto"/>
              <w:rPr>
                <w:rFonts w:ascii="Calibri" w:eastAsia="Times New Roman" w:hAnsi="Calibri" w:cs="Calibri"/>
                <w:b/>
                <w:bCs/>
                <w:color w:val="000000"/>
                <w:sz w:val="22"/>
                <w:lang w:eastAsia="en-GB"/>
              </w:rPr>
            </w:pPr>
            <w:r w:rsidRPr="00C05886">
              <w:rPr>
                <w:rFonts w:ascii="Calibri" w:eastAsia="Times New Roman" w:hAnsi="Calibri" w:cs="Calibri"/>
                <w:b/>
                <w:bCs/>
                <w:color w:val="000000"/>
                <w:sz w:val="22"/>
                <w:lang w:eastAsia="en-GB"/>
              </w:rPr>
              <w:t>Low Biodiversity Park</w:t>
            </w:r>
          </w:p>
          <w:p w14:paraId="48721F5F" w14:textId="77777777" w:rsidR="00051048" w:rsidRPr="00C05886" w:rsidRDefault="00051048" w:rsidP="00051048">
            <w:pPr>
              <w:spacing w:line="240" w:lineRule="auto"/>
              <w:rPr>
                <w:rFonts w:ascii="Calibri" w:eastAsia="Times New Roman" w:hAnsi="Calibri" w:cs="Calibri"/>
                <w:b/>
                <w:bCs/>
                <w:color w:val="000000"/>
                <w:sz w:val="22"/>
                <w:lang w:eastAsia="en-GB"/>
              </w:rPr>
            </w:pPr>
            <w:r w:rsidRPr="00C05886">
              <w:rPr>
                <w:rFonts w:ascii="Calibri" w:eastAsia="Times New Roman" w:hAnsi="Calibri" w:cs="Calibri"/>
                <w:b/>
                <w:bCs/>
                <w:color w:val="000000"/>
                <w:sz w:val="22"/>
                <w:lang w:eastAsia="en-GB"/>
              </w:rPr>
              <w:t>N = 126</w:t>
            </w:r>
          </w:p>
        </w:tc>
        <w:tc>
          <w:tcPr>
            <w:tcW w:w="0" w:type="auto"/>
            <w:noWrap/>
            <w:hideMark/>
          </w:tcPr>
          <w:p w14:paraId="5D2A56F4" w14:textId="77777777" w:rsidR="00051048" w:rsidRPr="00C05886" w:rsidRDefault="00051048" w:rsidP="00051048">
            <w:pPr>
              <w:spacing w:line="240" w:lineRule="auto"/>
              <w:rPr>
                <w:rFonts w:ascii="Calibri" w:eastAsia="Times New Roman" w:hAnsi="Calibri" w:cs="Calibri"/>
                <w:b/>
                <w:bCs/>
                <w:color w:val="000000"/>
                <w:sz w:val="22"/>
                <w:lang w:eastAsia="en-GB"/>
              </w:rPr>
            </w:pPr>
            <w:r w:rsidRPr="00C05886">
              <w:rPr>
                <w:rFonts w:ascii="Calibri" w:eastAsia="Times New Roman" w:hAnsi="Calibri" w:cs="Calibri"/>
                <w:b/>
                <w:bCs/>
                <w:color w:val="000000"/>
                <w:sz w:val="22"/>
                <w:lang w:eastAsia="en-GB"/>
              </w:rPr>
              <w:t>High Biodiversity Park</w:t>
            </w:r>
          </w:p>
          <w:p w14:paraId="3C56A782" w14:textId="77777777" w:rsidR="00051048" w:rsidRPr="00C05886" w:rsidRDefault="00051048" w:rsidP="00051048">
            <w:pPr>
              <w:spacing w:line="240" w:lineRule="auto"/>
              <w:rPr>
                <w:rFonts w:ascii="Calibri" w:eastAsia="Times New Roman" w:hAnsi="Calibri" w:cs="Calibri"/>
                <w:b/>
                <w:bCs/>
                <w:color w:val="000000"/>
                <w:sz w:val="22"/>
                <w:lang w:eastAsia="en-GB"/>
              </w:rPr>
            </w:pPr>
            <w:r w:rsidRPr="00C05886">
              <w:rPr>
                <w:rFonts w:ascii="Calibri" w:eastAsia="Times New Roman" w:hAnsi="Calibri" w:cs="Calibri"/>
                <w:b/>
                <w:bCs/>
                <w:color w:val="000000"/>
                <w:sz w:val="22"/>
                <w:lang w:eastAsia="en-GB"/>
              </w:rPr>
              <w:t>N = 129</w:t>
            </w:r>
          </w:p>
        </w:tc>
      </w:tr>
      <w:tr w:rsidR="00051048" w:rsidRPr="00C05886" w14:paraId="2DFF8B5E" w14:textId="77777777" w:rsidTr="00721064">
        <w:trPr>
          <w:trHeight w:val="300"/>
        </w:trPr>
        <w:tc>
          <w:tcPr>
            <w:tcW w:w="8746" w:type="dxa"/>
            <w:gridSpan w:val="4"/>
            <w:noWrap/>
            <w:hideMark/>
          </w:tcPr>
          <w:p w14:paraId="317343DF" w14:textId="77777777" w:rsidR="00051048" w:rsidRPr="00C05886" w:rsidRDefault="00051048" w:rsidP="00051048">
            <w:pPr>
              <w:spacing w:line="240" w:lineRule="auto"/>
              <w:rPr>
                <w:rFonts w:ascii="Times New Roman" w:eastAsia="Times New Roman" w:hAnsi="Times New Roman" w:cs="Times New Roman"/>
                <w:sz w:val="22"/>
                <w:lang w:eastAsia="en-GB"/>
              </w:rPr>
            </w:pPr>
            <w:r w:rsidRPr="00C05886">
              <w:rPr>
                <w:rFonts w:ascii="Calibri" w:eastAsia="Times New Roman" w:hAnsi="Calibri" w:cs="Calibri"/>
                <w:b/>
                <w:bCs/>
                <w:sz w:val="22"/>
                <w:lang w:eastAsia="en-GB"/>
              </w:rPr>
              <w:t>Gender</w:t>
            </w:r>
          </w:p>
        </w:tc>
      </w:tr>
      <w:tr w:rsidR="00051048" w:rsidRPr="00C05886" w14:paraId="39BDD669" w14:textId="77777777" w:rsidTr="001B276E">
        <w:trPr>
          <w:trHeight w:val="300"/>
        </w:trPr>
        <w:tc>
          <w:tcPr>
            <w:tcW w:w="0" w:type="auto"/>
            <w:noWrap/>
            <w:hideMark/>
          </w:tcPr>
          <w:p w14:paraId="3F926852" w14:textId="77777777" w:rsidR="00051048" w:rsidRPr="00C05886" w:rsidRDefault="00051048" w:rsidP="00051048">
            <w:pPr>
              <w:spacing w:line="240" w:lineRule="auto"/>
              <w:rPr>
                <w:rFonts w:ascii="Calibri" w:eastAsia="Times New Roman" w:hAnsi="Calibri" w:cs="Calibri"/>
                <w:color w:val="000000"/>
                <w:sz w:val="22"/>
                <w:lang w:eastAsia="en-GB"/>
              </w:rPr>
            </w:pPr>
            <w:r w:rsidRPr="00C05886">
              <w:rPr>
                <w:rFonts w:ascii="Calibri" w:eastAsia="Times New Roman" w:hAnsi="Calibri" w:cs="Calibri"/>
                <w:color w:val="000000"/>
                <w:sz w:val="22"/>
                <w:lang w:eastAsia="en-GB"/>
              </w:rPr>
              <w:t>Male</w:t>
            </w:r>
          </w:p>
        </w:tc>
        <w:tc>
          <w:tcPr>
            <w:tcW w:w="0" w:type="auto"/>
            <w:noWrap/>
          </w:tcPr>
          <w:p w14:paraId="6EB8DD17" w14:textId="77777777" w:rsidR="00051048" w:rsidRPr="00C05886" w:rsidRDefault="00051048" w:rsidP="00051048">
            <w:pPr>
              <w:spacing w:line="240" w:lineRule="auto"/>
              <w:rPr>
                <w:rFonts w:ascii="Calibri" w:eastAsia="Times New Roman" w:hAnsi="Calibri" w:cs="Calibri"/>
                <w:color w:val="000000"/>
                <w:sz w:val="22"/>
                <w:lang w:eastAsia="en-GB"/>
              </w:rPr>
            </w:pPr>
            <w:r w:rsidRPr="00C05886">
              <w:rPr>
                <w:rFonts w:ascii="Calibri" w:eastAsia="Times New Roman" w:hAnsi="Calibri" w:cs="Calibri"/>
                <w:color w:val="000000"/>
                <w:sz w:val="22"/>
                <w:lang w:eastAsia="en-GB"/>
              </w:rPr>
              <w:t>36.9%</w:t>
            </w:r>
          </w:p>
        </w:tc>
        <w:tc>
          <w:tcPr>
            <w:tcW w:w="0" w:type="auto"/>
            <w:noWrap/>
          </w:tcPr>
          <w:p w14:paraId="4506AA40" w14:textId="77777777" w:rsidR="00051048" w:rsidRPr="00C05886" w:rsidRDefault="00051048" w:rsidP="00051048">
            <w:pPr>
              <w:spacing w:line="240" w:lineRule="auto"/>
              <w:rPr>
                <w:rFonts w:ascii="Calibri" w:eastAsia="Times New Roman" w:hAnsi="Calibri" w:cs="Calibri"/>
                <w:color w:val="000000"/>
                <w:sz w:val="22"/>
                <w:lang w:eastAsia="en-GB"/>
              </w:rPr>
            </w:pPr>
            <w:r w:rsidRPr="00C05886">
              <w:rPr>
                <w:rFonts w:ascii="Calibri" w:eastAsia="Times New Roman" w:hAnsi="Calibri" w:cs="Calibri"/>
                <w:color w:val="000000"/>
                <w:sz w:val="22"/>
                <w:lang w:eastAsia="en-GB"/>
              </w:rPr>
              <w:t>34.9%</w:t>
            </w:r>
          </w:p>
        </w:tc>
        <w:tc>
          <w:tcPr>
            <w:tcW w:w="0" w:type="auto"/>
            <w:noWrap/>
          </w:tcPr>
          <w:p w14:paraId="2BBE2C7F" w14:textId="77777777" w:rsidR="00051048" w:rsidRPr="00C05886" w:rsidRDefault="00051048" w:rsidP="00051048">
            <w:pPr>
              <w:spacing w:line="240" w:lineRule="auto"/>
              <w:rPr>
                <w:rFonts w:ascii="Calibri" w:eastAsia="Times New Roman" w:hAnsi="Calibri" w:cs="Calibri"/>
                <w:color w:val="000000"/>
                <w:sz w:val="22"/>
                <w:lang w:eastAsia="en-GB"/>
              </w:rPr>
            </w:pPr>
            <w:r w:rsidRPr="00C05886">
              <w:rPr>
                <w:rFonts w:ascii="Calibri" w:eastAsia="Times New Roman" w:hAnsi="Calibri" w:cs="Calibri"/>
                <w:color w:val="000000"/>
                <w:sz w:val="22"/>
                <w:lang w:eastAsia="en-GB"/>
              </w:rPr>
              <w:t>31.8%</w:t>
            </w:r>
          </w:p>
        </w:tc>
      </w:tr>
      <w:tr w:rsidR="00051048" w:rsidRPr="00C05886" w14:paraId="0AB9A7E7" w14:textId="77777777" w:rsidTr="001B276E">
        <w:trPr>
          <w:trHeight w:val="300"/>
        </w:trPr>
        <w:tc>
          <w:tcPr>
            <w:tcW w:w="0" w:type="auto"/>
            <w:noWrap/>
            <w:hideMark/>
          </w:tcPr>
          <w:p w14:paraId="42D73E8E" w14:textId="77777777" w:rsidR="00051048" w:rsidRPr="00C05886" w:rsidRDefault="00051048" w:rsidP="00051048">
            <w:pPr>
              <w:spacing w:line="240" w:lineRule="auto"/>
              <w:rPr>
                <w:rFonts w:ascii="Calibri" w:eastAsia="Times New Roman" w:hAnsi="Calibri" w:cs="Calibri"/>
                <w:bCs/>
                <w:color w:val="000000"/>
                <w:sz w:val="22"/>
                <w:lang w:eastAsia="en-GB"/>
              </w:rPr>
            </w:pPr>
            <w:r w:rsidRPr="00C05886">
              <w:rPr>
                <w:rFonts w:ascii="Calibri" w:eastAsia="Times New Roman" w:hAnsi="Calibri" w:cs="Calibri"/>
                <w:bCs/>
                <w:color w:val="000000"/>
                <w:sz w:val="22"/>
                <w:lang w:eastAsia="en-GB"/>
              </w:rPr>
              <w:t>Female</w:t>
            </w:r>
          </w:p>
        </w:tc>
        <w:tc>
          <w:tcPr>
            <w:tcW w:w="0" w:type="auto"/>
            <w:noWrap/>
          </w:tcPr>
          <w:p w14:paraId="5687A134" w14:textId="77777777" w:rsidR="00051048" w:rsidRPr="00C05886" w:rsidRDefault="00051048" w:rsidP="00051048">
            <w:pPr>
              <w:spacing w:line="240" w:lineRule="auto"/>
              <w:rPr>
                <w:rFonts w:ascii="Calibri" w:eastAsia="Times New Roman" w:hAnsi="Calibri" w:cs="Calibri"/>
                <w:color w:val="000000"/>
                <w:sz w:val="22"/>
                <w:lang w:eastAsia="en-GB"/>
              </w:rPr>
            </w:pPr>
            <w:r w:rsidRPr="00C05886">
              <w:rPr>
                <w:rFonts w:ascii="Calibri" w:eastAsia="Times New Roman" w:hAnsi="Calibri" w:cs="Calibri"/>
                <w:color w:val="000000"/>
                <w:sz w:val="22"/>
                <w:lang w:eastAsia="en-GB"/>
              </w:rPr>
              <w:t>61.7%</w:t>
            </w:r>
          </w:p>
        </w:tc>
        <w:tc>
          <w:tcPr>
            <w:tcW w:w="0" w:type="auto"/>
            <w:noWrap/>
          </w:tcPr>
          <w:p w14:paraId="2C403D01" w14:textId="77777777" w:rsidR="00051048" w:rsidRPr="00C05886" w:rsidRDefault="00051048" w:rsidP="00051048">
            <w:pPr>
              <w:spacing w:line="240" w:lineRule="auto"/>
              <w:rPr>
                <w:rFonts w:ascii="Calibri" w:eastAsia="Times New Roman" w:hAnsi="Calibri" w:cs="Calibri"/>
                <w:color w:val="000000"/>
                <w:sz w:val="22"/>
                <w:lang w:eastAsia="en-GB"/>
              </w:rPr>
            </w:pPr>
            <w:r w:rsidRPr="00C05886">
              <w:rPr>
                <w:rFonts w:ascii="Calibri" w:eastAsia="Times New Roman" w:hAnsi="Calibri" w:cs="Calibri"/>
                <w:color w:val="000000"/>
                <w:sz w:val="22"/>
                <w:lang w:eastAsia="en-GB"/>
              </w:rPr>
              <w:t>62.7%</w:t>
            </w:r>
          </w:p>
        </w:tc>
        <w:tc>
          <w:tcPr>
            <w:tcW w:w="0" w:type="auto"/>
            <w:noWrap/>
          </w:tcPr>
          <w:p w14:paraId="37712588" w14:textId="77777777" w:rsidR="00051048" w:rsidRPr="00C05886" w:rsidRDefault="00051048" w:rsidP="00051048">
            <w:pPr>
              <w:spacing w:line="240" w:lineRule="auto"/>
              <w:rPr>
                <w:rFonts w:ascii="Calibri" w:eastAsia="Times New Roman" w:hAnsi="Calibri" w:cs="Calibri"/>
                <w:color w:val="000000"/>
                <w:sz w:val="22"/>
                <w:lang w:eastAsia="en-GB"/>
              </w:rPr>
            </w:pPr>
            <w:r w:rsidRPr="00C05886">
              <w:rPr>
                <w:rFonts w:ascii="Calibri" w:eastAsia="Times New Roman" w:hAnsi="Calibri" w:cs="Calibri"/>
                <w:color w:val="000000"/>
                <w:sz w:val="22"/>
                <w:lang w:eastAsia="en-GB"/>
              </w:rPr>
              <w:t>65.9%</w:t>
            </w:r>
          </w:p>
        </w:tc>
      </w:tr>
      <w:tr w:rsidR="00051048" w:rsidRPr="00C05886" w14:paraId="506586C1" w14:textId="77777777" w:rsidTr="001B276E">
        <w:trPr>
          <w:trHeight w:val="300"/>
        </w:trPr>
        <w:tc>
          <w:tcPr>
            <w:tcW w:w="0" w:type="auto"/>
            <w:noWrap/>
            <w:hideMark/>
          </w:tcPr>
          <w:p w14:paraId="0F6B0610" w14:textId="77777777" w:rsidR="00051048" w:rsidRPr="00C05886" w:rsidRDefault="00051048" w:rsidP="00051048">
            <w:pPr>
              <w:spacing w:line="240" w:lineRule="auto"/>
              <w:rPr>
                <w:rFonts w:ascii="Calibri" w:eastAsia="Times New Roman" w:hAnsi="Calibri" w:cs="Calibri"/>
                <w:color w:val="000000"/>
                <w:sz w:val="22"/>
                <w:lang w:eastAsia="en-GB"/>
              </w:rPr>
            </w:pPr>
            <w:r w:rsidRPr="00C05886">
              <w:rPr>
                <w:rFonts w:ascii="Calibri" w:eastAsia="Times New Roman" w:hAnsi="Calibri" w:cs="Calibri"/>
                <w:color w:val="000000"/>
                <w:sz w:val="22"/>
                <w:lang w:eastAsia="en-GB"/>
              </w:rPr>
              <w:t>Non-binary/third gender</w:t>
            </w:r>
          </w:p>
        </w:tc>
        <w:tc>
          <w:tcPr>
            <w:tcW w:w="0" w:type="auto"/>
            <w:noWrap/>
          </w:tcPr>
          <w:p w14:paraId="17D44FAF" w14:textId="77777777" w:rsidR="00051048" w:rsidRPr="00C05886" w:rsidRDefault="00051048" w:rsidP="00051048">
            <w:pPr>
              <w:spacing w:line="240" w:lineRule="auto"/>
              <w:rPr>
                <w:rFonts w:ascii="Calibri" w:eastAsia="Times New Roman" w:hAnsi="Calibri" w:cs="Calibri"/>
                <w:color w:val="000000"/>
                <w:sz w:val="22"/>
                <w:lang w:eastAsia="en-GB"/>
              </w:rPr>
            </w:pPr>
            <w:r w:rsidRPr="00C05886">
              <w:rPr>
                <w:rFonts w:ascii="Calibri" w:eastAsia="Times New Roman" w:hAnsi="Calibri" w:cs="Calibri"/>
                <w:color w:val="000000"/>
                <w:sz w:val="22"/>
                <w:lang w:eastAsia="en-GB"/>
              </w:rPr>
              <w:t>&lt;1%</w:t>
            </w:r>
          </w:p>
        </w:tc>
        <w:tc>
          <w:tcPr>
            <w:tcW w:w="0" w:type="auto"/>
            <w:noWrap/>
          </w:tcPr>
          <w:p w14:paraId="4701A512" w14:textId="77777777" w:rsidR="00051048" w:rsidRPr="00C05886" w:rsidRDefault="00051048" w:rsidP="00051048">
            <w:pPr>
              <w:spacing w:line="240" w:lineRule="auto"/>
              <w:rPr>
                <w:rFonts w:ascii="Calibri" w:eastAsia="Times New Roman" w:hAnsi="Calibri" w:cs="Calibri"/>
                <w:color w:val="000000"/>
                <w:sz w:val="22"/>
                <w:lang w:eastAsia="en-GB"/>
              </w:rPr>
            </w:pPr>
            <w:r w:rsidRPr="00C05886">
              <w:rPr>
                <w:rFonts w:ascii="Calibri" w:eastAsia="Times New Roman" w:hAnsi="Calibri" w:cs="Calibri"/>
                <w:color w:val="000000"/>
                <w:sz w:val="22"/>
                <w:lang w:eastAsia="en-GB"/>
              </w:rPr>
              <w:t>2.4%</w:t>
            </w:r>
          </w:p>
        </w:tc>
        <w:tc>
          <w:tcPr>
            <w:tcW w:w="0" w:type="auto"/>
            <w:noWrap/>
          </w:tcPr>
          <w:p w14:paraId="25267BBB" w14:textId="77777777" w:rsidR="00051048" w:rsidRPr="00C05886" w:rsidRDefault="00051048" w:rsidP="00051048">
            <w:pPr>
              <w:spacing w:line="240" w:lineRule="auto"/>
              <w:rPr>
                <w:rFonts w:ascii="Calibri" w:eastAsia="Times New Roman" w:hAnsi="Calibri" w:cs="Calibri"/>
                <w:color w:val="000000"/>
                <w:sz w:val="22"/>
                <w:lang w:eastAsia="en-GB"/>
              </w:rPr>
            </w:pPr>
            <w:r w:rsidRPr="00C05886">
              <w:rPr>
                <w:rFonts w:ascii="Calibri" w:eastAsia="Times New Roman" w:hAnsi="Calibri" w:cs="Calibri"/>
                <w:color w:val="000000"/>
                <w:sz w:val="22"/>
                <w:lang w:eastAsia="en-GB"/>
              </w:rPr>
              <w:t>2.3%</w:t>
            </w:r>
          </w:p>
        </w:tc>
      </w:tr>
      <w:tr w:rsidR="00051048" w:rsidRPr="00C05886" w14:paraId="6E109351" w14:textId="77777777" w:rsidTr="001B276E">
        <w:trPr>
          <w:trHeight w:val="300"/>
        </w:trPr>
        <w:tc>
          <w:tcPr>
            <w:tcW w:w="0" w:type="auto"/>
            <w:noWrap/>
            <w:hideMark/>
          </w:tcPr>
          <w:p w14:paraId="61EF8170" w14:textId="77777777" w:rsidR="00051048" w:rsidRPr="00C05886" w:rsidRDefault="00051048" w:rsidP="00051048">
            <w:pPr>
              <w:spacing w:line="240" w:lineRule="auto"/>
              <w:rPr>
                <w:rFonts w:ascii="Calibri" w:eastAsia="Times New Roman" w:hAnsi="Calibri" w:cs="Calibri"/>
                <w:color w:val="000000"/>
                <w:sz w:val="22"/>
                <w:lang w:eastAsia="en-GB"/>
              </w:rPr>
            </w:pPr>
            <w:r w:rsidRPr="00C05886">
              <w:rPr>
                <w:rFonts w:ascii="Calibri" w:eastAsia="Times New Roman" w:hAnsi="Calibri" w:cs="Calibri"/>
                <w:color w:val="000000"/>
                <w:sz w:val="22"/>
                <w:lang w:eastAsia="en-GB"/>
              </w:rPr>
              <w:t>Prefer not to say</w:t>
            </w:r>
          </w:p>
        </w:tc>
        <w:tc>
          <w:tcPr>
            <w:tcW w:w="0" w:type="auto"/>
            <w:noWrap/>
          </w:tcPr>
          <w:p w14:paraId="3C459209" w14:textId="77777777" w:rsidR="00051048" w:rsidRPr="00C05886" w:rsidRDefault="00051048" w:rsidP="00051048">
            <w:pPr>
              <w:spacing w:line="240" w:lineRule="auto"/>
              <w:rPr>
                <w:rFonts w:ascii="Calibri" w:eastAsia="Times New Roman" w:hAnsi="Calibri" w:cs="Calibri"/>
                <w:color w:val="000000"/>
                <w:sz w:val="22"/>
                <w:lang w:eastAsia="en-GB"/>
              </w:rPr>
            </w:pPr>
            <w:r w:rsidRPr="00C05886">
              <w:rPr>
                <w:rFonts w:ascii="Calibri" w:eastAsia="Times New Roman" w:hAnsi="Calibri" w:cs="Calibri"/>
                <w:color w:val="000000"/>
                <w:sz w:val="22"/>
                <w:lang w:eastAsia="en-GB"/>
              </w:rPr>
              <w:t>&lt;1%</w:t>
            </w:r>
          </w:p>
        </w:tc>
        <w:tc>
          <w:tcPr>
            <w:tcW w:w="0" w:type="auto"/>
            <w:noWrap/>
          </w:tcPr>
          <w:p w14:paraId="54002FC5" w14:textId="77777777" w:rsidR="00051048" w:rsidRPr="00C05886" w:rsidRDefault="00051048" w:rsidP="00051048">
            <w:pPr>
              <w:spacing w:line="240" w:lineRule="auto"/>
              <w:rPr>
                <w:rFonts w:ascii="Calibri" w:eastAsia="Times New Roman" w:hAnsi="Calibri" w:cs="Calibri"/>
                <w:color w:val="000000"/>
                <w:sz w:val="22"/>
                <w:lang w:eastAsia="en-GB"/>
              </w:rPr>
            </w:pPr>
            <w:r w:rsidRPr="00C05886">
              <w:rPr>
                <w:rFonts w:ascii="Calibri" w:eastAsia="Times New Roman" w:hAnsi="Calibri" w:cs="Calibri"/>
                <w:color w:val="000000"/>
                <w:sz w:val="22"/>
                <w:lang w:eastAsia="en-GB"/>
              </w:rPr>
              <w:t>-</w:t>
            </w:r>
          </w:p>
        </w:tc>
        <w:tc>
          <w:tcPr>
            <w:tcW w:w="0" w:type="auto"/>
            <w:noWrap/>
          </w:tcPr>
          <w:p w14:paraId="263583DE" w14:textId="77777777" w:rsidR="00051048" w:rsidRPr="00C05886" w:rsidRDefault="00051048" w:rsidP="00051048">
            <w:pPr>
              <w:spacing w:line="240" w:lineRule="auto"/>
              <w:rPr>
                <w:rFonts w:ascii="Calibri" w:eastAsia="Times New Roman" w:hAnsi="Calibri" w:cs="Calibri"/>
                <w:color w:val="000000"/>
                <w:sz w:val="22"/>
                <w:lang w:eastAsia="en-GB"/>
              </w:rPr>
            </w:pPr>
            <w:r w:rsidRPr="00C05886">
              <w:rPr>
                <w:rFonts w:ascii="Calibri" w:eastAsia="Times New Roman" w:hAnsi="Calibri" w:cs="Calibri"/>
                <w:color w:val="000000"/>
                <w:sz w:val="22"/>
                <w:lang w:eastAsia="en-GB"/>
              </w:rPr>
              <w:t>-</w:t>
            </w:r>
          </w:p>
        </w:tc>
      </w:tr>
      <w:tr w:rsidR="00051048" w:rsidRPr="00C05886" w14:paraId="02C6B708" w14:textId="77777777" w:rsidTr="00721064">
        <w:trPr>
          <w:trHeight w:val="300"/>
        </w:trPr>
        <w:tc>
          <w:tcPr>
            <w:tcW w:w="8746" w:type="dxa"/>
            <w:gridSpan w:val="4"/>
            <w:noWrap/>
            <w:hideMark/>
          </w:tcPr>
          <w:p w14:paraId="0CF0890F" w14:textId="77777777" w:rsidR="00051048" w:rsidRPr="00C05886" w:rsidRDefault="00051048" w:rsidP="00051048">
            <w:pPr>
              <w:spacing w:line="240" w:lineRule="auto"/>
              <w:rPr>
                <w:rFonts w:ascii="Times New Roman" w:eastAsia="Times New Roman" w:hAnsi="Times New Roman" w:cs="Times New Roman"/>
                <w:sz w:val="22"/>
                <w:lang w:eastAsia="en-GB"/>
              </w:rPr>
            </w:pPr>
            <w:r w:rsidRPr="00C05886">
              <w:rPr>
                <w:rFonts w:ascii="Calibri" w:eastAsia="Times New Roman" w:hAnsi="Calibri" w:cs="Calibri"/>
                <w:b/>
                <w:bCs/>
                <w:sz w:val="22"/>
                <w:lang w:eastAsia="en-GB"/>
              </w:rPr>
              <w:t>Age category</w:t>
            </w:r>
          </w:p>
        </w:tc>
      </w:tr>
      <w:tr w:rsidR="00051048" w:rsidRPr="00C05886" w14:paraId="682220F8" w14:textId="77777777" w:rsidTr="0080226E">
        <w:trPr>
          <w:trHeight w:val="215"/>
        </w:trPr>
        <w:tc>
          <w:tcPr>
            <w:tcW w:w="0" w:type="auto"/>
            <w:noWrap/>
            <w:hideMark/>
          </w:tcPr>
          <w:p w14:paraId="1C685253" w14:textId="77777777" w:rsidR="00051048" w:rsidRPr="00C05886" w:rsidRDefault="00051048" w:rsidP="00051048">
            <w:pPr>
              <w:spacing w:line="240" w:lineRule="auto"/>
              <w:rPr>
                <w:rFonts w:ascii="Calibri" w:eastAsia="Times New Roman" w:hAnsi="Calibri" w:cs="Calibri"/>
                <w:color w:val="000000"/>
                <w:sz w:val="22"/>
                <w:lang w:eastAsia="en-GB"/>
              </w:rPr>
            </w:pPr>
            <w:r w:rsidRPr="00C05886">
              <w:rPr>
                <w:rFonts w:ascii="Calibri" w:eastAsia="Times New Roman" w:hAnsi="Calibri" w:cs="Calibri"/>
                <w:color w:val="000000"/>
                <w:sz w:val="22"/>
                <w:lang w:eastAsia="en-GB"/>
              </w:rPr>
              <w:t>18 - 24</w:t>
            </w:r>
          </w:p>
        </w:tc>
        <w:tc>
          <w:tcPr>
            <w:tcW w:w="0" w:type="auto"/>
            <w:noWrap/>
          </w:tcPr>
          <w:p w14:paraId="692AF845" w14:textId="77777777" w:rsidR="00051048" w:rsidRPr="00C05886" w:rsidRDefault="00051048" w:rsidP="00051048">
            <w:pPr>
              <w:spacing w:line="240" w:lineRule="auto"/>
              <w:rPr>
                <w:rFonts w:ascii="Calibri" w:eastAsia="Times New Roman" w:hAnsi="Calibri" w:cs="Calibri"/>
                <w:color w:val="000000"/>
                <w:sz w:val="22"/>
                <w:lang w:eastAsia="en-GB"/>
              </w:rPr>
            </w:pPr>
            <w:r w:rsidRPr="00C05886">
              <w:rPr>
                <w:rFonts w:ascii="Calibri" w:eastAsia="Times New Roman" w:hAnsi="Calibri" w:cs="Calibri"/>
                <w:color w:val="000000"/>
                <w:sz w:val="22"/>
                <w:lang w:eastAsia="en-GB"/>
              </w:rPr>
              <w:t>17.7%</w:t>
            </w:r>
          </w:p>
        </w:tc>
        <w:tc>
          <w:tcPr>
            <w:tcW w:w="0" w:type="auto"/>
            <w:noWrap/>
          </w:tcPr>
          <w:p w14:paraId="30834FCD" w14:textId="77777777" w:rsidR="00051048" w:rsidRPr="00C05886" w:rsidRDefault="00051048" w:rsidP="00051048">
            <w:pPr>
              <w:spacing w:line="240" w:lineRule="auto"/>
              <w:rPr>
                <w:rFonts w:ascii="Calibri" w:eastAsia="Times New Roman" w:hAnsi="Calibri" w:cs="Calibri"/>
                <w:color w:val="000000"/>
                <w:sz w:val="22"/>
                <w:lang w:eastAsia="en-GB"/>
              </w:rPr>
            </w:pPr>
            <w:r w:rsidRPr="00C05886">
              <w:rPr>
                <w:rFonts w:ascii="Calibri" w:eastAsia="Times New Roman" w:hAnsi="Calibri" w:cs="Calibri"/>
                <w:color w:val="000000"/>
                <w:sz w:val="22"/>
                <w:lang w:eastAsia="en-GB"/>
              </w:rPr>
              <w:t>17.5%</w:t>
            </w:r>
          </w:p>
        </w:tc>
        <w:tc>
          <w:tcPr>
            <w:tcW w:w="0" w:type="auto"/>
            <w:noWrap/>
          </w:tcPr>
          <w:p w14:paraId="3899320E" w14:textId="77777777" w:rsidR="00051048" w:rsidRPr="00C05886" w:rsidRDefault="00051048" w:rsidP="00051048">
            <w:pPr>
              <w:spacing w:line="240" w:lineRule="auto"/>
              <w:rPr>
                <w:rFonts w:ascii="Calibri" w:eastAsia="Times New Roman" w:hAnsi="Calibri" w:cs="Calibri"/>
                <w:color w:val="000000"/>
                <w:sz w:val="22"/>
                <w:lang w:eastAsia="en-GB"/>
              </w:rPr>
            </w:pPr>
            <w:r w:rsidRPr="00C05886">
              <w:rPr>
                <w:rFonts w:ascii="Calibri" w:eastAsia="Times New Roman" w:hAnsi="Calibri" w:cs="Calibri"/>
                <w:color w:val="000000"/>
                <w:sz w:val="22"/>
                <w:lang w:eastAsia="en-GB"/>
              </w:rPr>
              <w:t>17.8%</w:t>
            </w:r>
          </w:p>
        </w:tc>
      </w:tr>
      <w:tr w:rsidR="00051048" w:rsidRPr="00C05886" w14:paraId="6FFECC88" w14:textId="77777777" w:rsidTr="001B276E">
        <w:trPr>
          <w:trHeight w:val="300"/>
        </w:trPr>
        <w:tc>
          <w:tcPr>
            <w:tcW w:w="0" w:type="auto"/>
            <w:noWrap/>
            <w:hideMark/>
          </w:tcPr>
          <w:p w14:paraId="0057BACA" w14:textId="77777777" w:rsidR="00051048" w:rsidRPr="00C05886" w:rsidRDefault="00051048" w:rsidP="00051048">
            <w:pPr>
              <w:spacing w:line="240" w:lineRule="auto"/>
              <w:rPr>
                <w:rFonts w:ascii="Calibri" w:eastAsia="Times New Roman" w:hAnsi="Calibri" w:cs="Calibri"/>
                <w:color w:val="000000"/>
                <w:sz w:val="22"/>
                <w:lang w:eastAsia="en-GB"/>
              </w:rPr>
            </w:pPr>
            <w:r w:rsidRPr="00C05886">
              <w:rPr>
                <w:rFonts w:ascii="Calibri" w:eastAsia="Times New Roman" w:hAnsi="Calibri" w:cs="Calibri"/>
                <w:color w:val="000000"/>
                <w:sz w:val="22"/>
                <w:lang w:eastAsia="en-GB"/>
              </w:rPr>
              <w:t>25 - 34</w:t>
            </w:r>
          </w:p>
        </w:tc>
        <w:tc>
          <w:tcPr>
            <w:tcW w:w="0" w:type="auto"/>
            <w:noWrap/>
          </w:tcPr>
          <w:p w14:paraId="40A5920D" w14:textId="77777777" w:rsidR="00051048" w:rsidRPr="00C05886" w:rsidRDefault="00051048" w:rsidP="00051048">
            <w:pPr>
              <w:spacing w:line="240" w:lineRule="auto"/>
              <w:rPr>
                <w:rFonts w:ascii="Calibri" w:eastAsia="Times New Roman" w:hAnsi="Calibri" w:cs="Calibri"/>
                <w:color w:val="000000"/>
                <w:sz w:val="22"/>
                <w:lang w:eastAsia="en-GB"/>
              </w:rPr>
            </w:pPr>
            <w:r w:rsidRPr="00C05886">
              <w:rPr>
                <w:rFonts w:ascii="Calibri" w:eastAsia="Times New Roman" w:hAnsi="Calibri" w:cs="Calibri"/>
                <w:color w:val="000000"/>
                <w:sz w:val="22"/>
                <w:lang w:eastAsia="en-GB"/>
              </w:rPr>
              <w:t>22%</w:t>
            </w:r>
          </w:p>
        </w:tc>
        <w:tc>
          <w:tcPr>
            <w:tcW w:w="0" w:type="auto"/>
            <w:noWrap/>
          </w:tcPr>
          <w:p w14:paraId="2AE0DF2E" w14:textId="77777777" w:rsidR="00051048" w:rsidRPr="00C05886" w:rsidRDefault="00051048" w:rsidP="00051048">
            <w:pPr>
              <w:spacing w:line="240" w:lineRule="auto"/>
              <w:rPr>
                <w:rFonts w:ascii="Calibri" w:eastAsia="Times New Roman" w:hAnsi="Calibri" w:cs="Calibri"/>
                <w:color w:val="000000"/>
                <w:sz w:val="22"/>
                <w:lang w:eastAsia="en-GB"/>
              </w:rPr>
            </w:pPr>
            <w:r w:rsidRPr="00C05886">
              <w:rPr>
                <w:rFonts w:ascii="Calibri" w:eastAsia="Times New Roman" w:hAnsi="Calibri" w:cs="Calibri"/>
                <w:color w:val="000000"/>
                <w:sz w:val="22"/>
                <w:lang w:eastAsia="en-GB"/>
              </w:rPr>
              <w:t>27.8%</w:t>
            </w:r>
          </w:p>
        </w:tc>
        <w:tc>
          <w:tcPr>
            <w:tcW w:w="0" w:type="auto"/>
            <w:noWrap/>
          </w:tcPr>
          <w:p w14:paraId="0FDEC380" w14:textId="77777777" w:rsidR="00051048" w:rsidRPr="00C05886" w:rsidRDefault="00051048" w:rsidP="00051048">
            <w:pPr>
              <w:spacing w:line="240" w:lineRule="auto"/>
              <w:rPr>
                <w:rFonts w:ascii="Calibri" w:eastAsia="Times New Roman" w:hAnsi="Calibri" w:cs="Calibri"/>
                <w:color w:val="000000"/>
                <w:sz w:val="22"/>
                <w:lang w:eastAsia="en-GB"/>
              </w:rPr>
            </w:pPr>
            <w:r w:rsidRPr="00C05886">
              <w:rPr>
                <w:rFonts w:ascii="Calibri" w:eastAsia="Times New Roman" w:hAnsi="Calibri" w:cs="Calibri"/>
                <w:color w:val="000000"/>
                <w:sz w:val="22"/>
                <w:lang w:eastAsia="en-GB"/>
              </w:rPr>
              <w:t>23.3%</w:t>
            </w:r>
          </w:p>
        </w:tc>
      </w:tr>
      <w:tr w:rsidR="00051048" w:rsidRPr="00C05886" w14:paraId="237F533C" w14:textId="77777777" w:rsidTr="001B276E">
        <w:trPr>
          <w:trHeight w:val="300"/>
        </w:trPr>
        <w:tc>
          <w:tcPr>
            <w:tcW w:w="0" w:type="auto"/>
            <w:noWrap/>
            <w:hideMark/>
          </w:tcPr>
          <w:p w14:paraId="1CF95EBE" w14:textId="77777777" w:rsidR="00051048" w:rsidRPr="00C05886" w:rsidRDefault="00051048" w:rsidP="00051048">
            <w:pPr>
              <w:spacing w:line="240" w:lineRule="auto"/>
              <w:rPr>
                <w:rFonts w:ascii="Calibri" w:eastAsia="Times New Roman" w:hAnsi="Calibri" w:cs="Calibri"/>
                <w:color w:val="000000"/>
                <w:sz w:val="22"/>
                <w:lang w:eastAsia="en-GB"/>
              </w:rPr>
            </w:pPr>
            <w:r w:rsidRPr="00C05886">
              <w:rPr>
                <w:rFonts w:ascii="Calibri" w:eastAsia="Times New Roman" w:hAnsi="Calibri" w:cs="Calibri"/>
                <w:color w:val="000000"/>
                <w:sz w:val="22"/>
                <w:lang w:eastAsia="en-GB"/>
              </w:rPr>
              <w:t>35 - 44</w:t>
            </w:r>
          </w:p>
        </w:tc>
        <w:tc>
          <w:tcPr>
            <w:tcW w:w="0" w:type="auto"/>
            <w:noWrap/>
          </w:tcPr>
          <w:p w14:paraId="25B450B4" w14:textId="77777777" w:rsidR="00051048" w:rsidRPr="00C05886" w:rsidRDefault="00051048" w:rsidP="00051048">
            <w:pPr>
              <w:spacing w:line="240" w:lineRule="auto"/>
              <w:rPr>
                <w:rFonts w:ascii="Calibri" w:eastAsia="Times New Roman" w:hAnsi="Calibri" w:cs="Calibri"/>
                <w:color w:val="000000"/>
                <w:sz w:val="22"/>
                <w:lang w:eastAsia="en-GB"/>
              </w:rPr>
            </w:pPr>
            <w:r w:rsidRPr="00C05886">
              <w:rPr>
                <w:rFonts w:ascii="Calibri" w:eastAsia="Times New Roman" w:hAnsi="Calibri" w:cs="Calibri"/>
                <w:color w:val="000000"/>
                <w:sz w:val="22"/>
                <w:lang w:eastAsia="en-GB"/>
              </w:rPr>
              <w:t>22.7%</w:t>
            </w:r>
          </w:p>
        </w:tc>
        <w:tc>
          <w:tcPr>
            <w:tcW w:w="0" w:type="auto"/>
            <w:noWrap/>
          </w:tcPr>
          <w:p w14:paraId="1188CD47" w14:textId="77777777" w:rsidR="00051048" w:rsidRPr="00C05886" w:rsidRDefault="00051048" w:rsidP="00051048">
            <w:pPr>
              <w:spacing w:line="240" w:lineRule="auto"/>
              <w:rPr>
                <w:rFonts w:ascii="Calibri" w:eastAsia="Times New Roman" w:hAnsi="Calibri" w:cs="Calibri"/>
                <w:color w:val="000000"/>
                <w:sz w:val="22"/>
                <w:lang w:eastAsia="en-GB"/>
              </w:rPr>
            </w:pPr>
            <w:r w:rsidRPr="00C05886">
              <w:rPr>
                <w:rFonts w:ascii="Calibri" w:eastAsia="Times New Roman" w:hAnsi="Calibri" w:cs="Calibri"/>
                <w:color w:val="000000"/>
                <w:sz w:val="22"/>
                <w:lang w:eastAsia="en-GB"/>
              </w:rPr>
              <w:t>17.5%</w:t>
            </w:r>
          </w:p>
        </w:tc>
        <w:tc>
          <w:tcPr>
            <w:tcW w:w="0" w:type="auto"/>
            <w:noWrap/>
          </w:tcPr>
          <w:p w14:paraId="4837E5FF" w14:textId="77777777" w:rsidR="00051048" w:rsidRPr="00C05886" w:rsidRDefault="00051048" w:rsidP="00051048">
            <w:pPr>
              <w:spacing w:line="240" w:lineRule="auto"/>
              <w:rPr>
                <w:rFonts w:ascii="Calibri" w:eastAsia="Times New Roman" w:hAnsi="Calibri" w:cs="Calibri"/>
                <w:color w:val="000000"/>
                <w:sz w:val="22"/>
                <w:lang w:eastAsia="en-GB"/>
              </w:rPr>
            </w:pPr>
            <w:r w:rsidRPr="00C05886">
              <w:rPr>
                <w:rFonts w:ascii="Calibri" w:eastAsia="Times New Roman" w:hAnsi="Calibri" w:cs="Calibri"/>
                <w:color w:val="000000"/>
                <w:sz w:val="22"/>
                <w:lang w:eastAsia="en-GB"/>
              </w:rPr>
              <w:t>20.9%</w:t>
            </w:r>
          </w:p>
        </w:tc>
      </w:tr>
      <w:tr w:rsidR="00051048" w:rsidRPr="00C05886" w14:paraId="2FDBFBA6" w14:textId="77777777" w:rsidTr="001B276E">
        <w:trPr>
          <w:trHeight w:val="300"/>
        </w:trPr>
        <w:tc>
          <w:tcPr>
            <w:tcW w:w="0" w:type="auto"/>
            <w:noWrap/>
            <w:hideMark/>
          </w:tcPr>
          <w:p w14:paraId="66A8F857" w14:textId="77777777" w:rsidR="00051048" w:rsidRPr="00C05886" w:rsidRDefault="00051048" w:rsidP="00051048">
            <w:pPr>
              <w:spacing w:line="240" w:lineRule="auto"/>
              <w:rPr>
                <w:rFonts w:ascii="Calibri" w:eastAsia="Times New Roman" w:hAnsi="Calibri" w:cs="Calibri"/>
                <w:color w:val="000000"/>
                <w:sz w:val="22"/>
                <w:lang w:eastAsia="en-GB"/>
              </w:rPr>
            </w:pPr>
            <w:r w:rsidRPr="00C05886">
              <w:rPr>
                <w:rFonts w:ascii="Calibri" w:eastAsia="Times New Roman" w:hAnsi="Calibri" w:cs="Calibri"/>
                <w:color w:val="000000"/>
                <w:sz w:val="22"/>
                <w:lang w:eastAsia="en-GB"/>
              </w:rPr>
              <w:t>45 - 54</w:t>
            </w:r>
          </w:p>
        </w:tc>
        <w:tc>
          <w:tcPr>
            <w:tcW w:w="0" w:type="auto"/>
            <w:noWrap/>
          </w:tcPr>
          <w:p w14:paraId="7B4C0FBF" w14:textId="77777777" w:rsidR="00051048" w:rsidRPr="00C05886" w:rsidRDefault="00051048" w:rsidP="00051048">
            <w:pPr>
              <w:spacing w:line="240" w:lineRule="auto"/>
              <w:rPr>
                <w:rFonts w:ascii="Calibri" w:eastAsia="Times New Roman" w:hAnsi="Calibri" w:cs="Calibri"/>
                <w:color w:val="000000"/>
                <w:sz w:val="22"/>
                <w:lang w:eastAsia="en-GB"/>
              </w:rPr>
            </w:pPr>
            <w:r w:rsidRPr="00C05886">
              <w:rPr>
                <w:rFonts w:ascii="Calibri" w:eastAsia="Times New Roman" w:hAnsi="Calibri" w:cs="Calibri"/>
                <w:color w:val="000000"/>
                <w:sz w:val="22"/>
                <w:lang w:eastAsia="en-GB"/>
              </w:rPr>
              <w:t>18.4%</w:t>
            </w:r>
          </w:p>
        </w:tc>
        <w:tc>
          <w:tcPr>
            <w:tcW w:w="0" w:type="auto"/>
            <w:noWrap/>
          </w:tcPr>
          <w:p w14:paraId="3005130A" w14:textId="77777777" w:rsidR="00051048" w:rsidRPr="00C05886" w:rsidRDefault="00051048" w:rsidP="00051048">
            <w:pPr>
              <w:spacing w:line="240" w:lineRule="auto"/>
              <w:rPr>
                <w:rFonts w:ascii="Calibri" w:eastAsia="Times New Roman" w:hAnsi="Calibri" w:cs="Calibri"/>
                <w:color w:val="000000"/>
                <w:sz w:val="22"/>
                <w:lang w:eastAsia="en-GB"/>
              </w:rPr>
            </w:pPr>
            <w:r w:rsidRPr="00C05886">
              <w:rPr>
                <w:rFonts w:ascii="Calibri" w:eastAsia="Times New Roman" w:hAnsi="Calibri" w:cs="Calibri"/>
                <w:color w:val="000000"/>
                <w:sz w:val="22"/>
                <w:lang w:eastAsia="en-GB"/>
              </w:rPr>
              <w:t>20.6%</w:t>
            </w:r>
          </w:p>
        </w:tc>
        <w:tc>
          <w:tcPr>
            <w:tcW w:w="0" w:type="auto"/>
            <w:noWrap/>
          </w:tcPr>
          <w:p w14:paraId="4DB83BD3" w14:textId="77777777" w:rsidR="00051048" w:rsidRPr="00C05886" w:rsidRDefault="00051048" w:rsidP="00051048">
            <w:pPr>
              <w:spacing w:line="240" w:lineRule="auto"/>
              <w:rPr>
                <w:rFonts w:ascii="Calibri" w:eastAsia="Times New Roman" w:hAnsi="Calibri" w:cs="Calibri"/>
                <w:color w:val="000000"/>
                <w:sz w:val="22"/>
                <w:lang w:eastAsia="en-GB"/>
              </w:rPr>
            </w:pPr>
            <w:r w:rsidRPr="00C05886">
              <w:rPr>
                <w:rFonts w:ascii="Calibri" w:eastAsia="Times New Roman" w:hAnsi="Calibri" w:cs="Calibri"/>
                <w:color w:val="000000"/>
                <w:sz w:val="22"/>
                <w:lang w:eastAsia="en-GB"/>
              </w:rPr>
              <w:t>17.1%</w:t>
            </w:r>
          </w:p>
        </w:tc>
      </w:tr>
      <w:tr w:rsidR="00051048" w:rsidRPr="00C05886" w14:paraId="130A1A7D" w14:textId="77777777" w:rsidTr="001B276E">
        <w:trPr>
          <w:trHeight w:val="300"/>
        </w:trPr>
        <w:tc>
          <w:tcPr>
            <w:tcW w:w="0" w:type="auto"/>
            <w:noWrap/>
            <w:hideMark/>
          </w:tcPr>
          <w:p w14:paraId="2551DBA9" w14:textId="77777777" w:rsidR="00051048" w:rsidRPr="00C05886" w:rsidRDefault="00051048" w:rsidP="00051048">
            <w:pPr>
              <w:spacing w:line="240" w:lineRule="auto"/>
              <w:rPr>
                <w:rFonts w:ascii="Calibri" w:eastAsia="Times New Roman" w:hAnsi="Calibri" w:cs="Calibri"/>
                <w:color w:val="000000"/>
                <w:sz w:val="22"/>
                <w:lang w:eastAsia="en-GB"/>
              </w:rPr>
            </w:pPr>
            <w:r w:rsidRPr="00C05886">
              <w:rPr>
                <w:rFonts w:ascii="Calibri" w:eastAsia="Times New Roman" w:hAnsi="Calibri" w:cs="Calibri"/>
                <w:color w:val="000000"/>
                <w:sz w:val="22"/>
                <w:lang w:eastAsia="en-GB"/>
              </w:rPr>
              <w:t>55 - 64</w:t>
            </w:r>
          </w:p>
        </w:tc>
        <w:tc>
          <w:tcPr>
            <w:tcW w:w="0" w:type="auto"/>
            <w:noWrap/>
          </w:tcPr>
          <w:p w14:paraId="50649964" w14:textId="77777777" w:rsidR="00051048" w:rsidRPr="00C05886" w:rsidRDefault="00051048" w:rsidP="00051048">
            <w:pPr>
              <w:spacing w:line="240" w:lineRule="auto"/>
              <w:rPr>
                <w:rFonts w:ascii="Calibri" w:eastAsia="Times New Roman" w:hAnsi="Calibri" w:cs="Calibri"/>
                <w:color w:val="000000"/>
                <w:sz w:val="22"/>
                <w:lang w:eastAsia="en-GB"/>
              </w:rPr>
            </w:pPr>
            <w:r w:rsidRPr="00C05886">
              <w:rPr>
                <w:rFonts w:ascii="Calibri" w:eastAsia="Times New Roman" w:hAnsi="Calibri" w:cs="Calibri"/>
                <w:color w:val="000000"/>
                <w:sz w:val="22"/>
                <w:lang w:eastAsia="en-GB"/>
              </w:rPr>
              <w:t>14.2%</w:t>
            </w:r>
          </w:p>
        </w:tc>
        <w:tc>
          <w:tcPr>
            <w:tcW w:w="0" w:type="auto"/>
            <w:noWrap/>
          </w:tcPr>
          <w:p w14:paraId="3E5D779B" w14:textId="77777777" w:rsidR="00051048" w:rsidRPr="00C05886" w:rsidRDefault="00051048" w:rsidP="00051048">
            <w:pPr>
              <w:spacing w:line="240" w:lineRule="auto"/>
              <w:rPr>
                <w:rFonts w:ascii="Calibri" w:eastAsia="Times New Roman" w:hAnsi="Calibri" w:cs="Calibri"/>
                <w:color w:val="000000"/>
                <w:sz w:val="22"/>
                <w:lang w:eastAsia="en-GB"/>
              </w:rPr>
            </w:pPr>
            <w:r w:rsidRPr="00C05886">
              <w:rPr>
                <w:rFonts w:ascii="Calibri" w:eastAsia="Times New Roman" w:hAnsi="Calibri" w:cs="Calibri"/>
                <w:color w:val="000000"/>
                <w:sz w:val="22"/>
                <w:lang w:eastAsia="en-GB"/>
              </w:rPr>
              <w:t>8.7%</w:t>
            </w:r>
          </w:p>
        </w:tc>
        <w:tc>
          <w:tcPr>
            <w:tcW w:w="0" w:type="auto"/>
            <w:noWrap/>
          </w:tcPr>
          <w:p w14:paraId="22C24CD4" w14:textId="77777777" w:rsidR="00051048" w:rsidRPr="00C05886" w:rsidRDefault="00051048" w:rsidP="00051048">
            <w:pPr>
              <w:spacing w:line="240" w:lineRule="auto"/>
              <w:rPr>
                <w:rFonts w:ascii="Calibri" w:eastAsia="Times New Roman" w:hAnsi="Calibri" w:cs="Calibri"/>
                <w:color w:val="000000"/>
                <w:sz w:val="22"/>
                <w:lang w:eastAsia="en-GB"/>
              </w:rPr>
            </w:pPr>
            <w:r w:rsidRPr="00C05886">
              <w:rPr>
                <w:rFonts w:ascii="Calibri" w:eastAsia="Times New Roman" w:hAnsi="Calibri" w:cs="Calibri"/>
                <w:color w:val="000000"/>
                <w:sz w:val="22"/>
                <w:lang w:eastAsia="en-GB"/>
              </w:rPr>
              <w:t>13.2%</w:t>
            </w:r>
          </w:p>
        </w:tc>
      </w:tr>
      <w:tr w:rsidR="00051048" w:rsidRPr="00C05886" w14:paraId="70565E2A" w14:textId="77777777" w:rsidTr="001B276E">
        <w:trPr>
          <w:trHeight w:val="300"/>
        </w:trPr>
        <w:tc>
          <w:tcPr>
            <w:tcW w:w="0" w:type="auto"/>
            <w:noWrap/>
            <w:hideMark/>
          </w:tcPr>
          <w:p w14:paraId="05A6ED1A" w14:textId="77777777" w:rsidR="00051048" w:rsidRPr="00C05886" w:rsidRDefault="00051048" w:rsidP="00051048">
            <w:pPr>
              <w:spacing w:line="240" w:lineRule="auto"/>
              <w:rPr>
                <w:rFonts w:ascii="Calibri" w:eastAsia="Times New Roman" w:hAnsi="Calibri" w:cs="Calibri"/>
                <w:color w:val="000000"/>
                <w:sz w:val="22"/>
                <w:lang w:eastAsia="en-GB"/>
              </w:rPr>
            </w:pPr>
            <w:r w:rsidRPr="00C05886">
              <w:rPr>
                <w:rFonts w:ascii="Calibri" w:eastAsia="Times New Roman" w:hAnsi="Calibri" w:cs="Calibri"/>
                <w:color w:val="000000"/>
                <w:sz w:val="22"/>
                <w:lang w:eastAsia="en-GB"/>
              </w:rPr>
              <w:t>65+</w:t>
            </w:r>
          </w:p>
        </w:tc>
        <w:tc>
          <w:tcPr>
            <w:tcW w:w="0" w:type="auto"/>
            <w:noWrap/>
          </w:tcPr>
          <w:p w14:paraId="6FE2C10E" w14:textId="77777777" w:rsidR="00051048" w:rsidRPr="00C05886" w:rsidRDefault="00051048" w:rsidP="00051048">
            <w:pPr>
              <w:spacing w:line="240" w:lineRule="auto"/>
              <w:rPr>
                <w:rFonts w:ascii="Calibri" w:eastAsia="Times New Roman" w:hAnsi="Calibri" w:cs="Calibri"/>
                <w:color w:val="000000"/>
                <w:sz w:val="22"/>
                <w:lang w:eastAsia="en-GB"/>
              </w:rPr>
            </w:pPr>
            <w:r w:rsidRPr="00C05886">
              <w:rPr>
                <w:rFonts w:ascii="Calibri" w:eastAsia="Times New Roman" w:hAnsi="Calibri" w:cs="Calibri"/>
                <w:color w:val="000000"/>
                <w:sz w:val="22"/>
                <w:lang w:eastAsia="en-GB"/>
              </w:rPr>
              <w:t>4.9%</w:t>
            </w:r>
          </w:p>
        </w:tc>
        <w:tc>
          <w:tcPr>
            <w:tcW w:w="0" w:type="auto"/>
            <w:noWrap/>
          </w:tcPr>
          <w:p w14:paraId="69152248" w14:textId="77777777" w:rsidR="00051048" w:rsidRPr="00C05886" w:rsidRDefault="00051048" w:rsidP="00051048">
            <w:pPr>
              <w:spacing w:line="240" w:lineRule="auto"/>
              <w:rPr>
                <w:rFonts w:ascii="Calibri" w:eastAsia="Times New Roman" w:hAnsi="Calibri" w:cs="Calibri"/>
                <w:color w:val="000000"/>
                <w:sz w:val="22"/>
                <w:lang w:eastAsia="en-GB"/>
              </w:rPr>
            </w:pPr>
            <w:r w:rsidRPr="00C05886">
              <w:rPr>
                <w:rFonts w:ascii="Calibri" w:eastAsia="Times New Roman" w:hAnsi="Calibri" w:cs="Calibri"/>
                <w:color w:val="000000"/>
                <w:sz w:val="22"/>
                <w:lang w:eastAsia="en-GB"/>
              </w:rPr>
              <w:t>8%</w:t>
            </w:r>
          </w:p>
        </w:tc>
        <w:tc>
          <w:tcPr>
            <w:tcW w:w="0" w:type="auto"/>
            <w:noWrap/>
          </w:tcPr>
          <w:p w14:paraId="6AD10915" w14:textId="77777777" w:rsidR="00051048" w:rsidRPr="00C05886" w:rsidRDefault="00051048" w:rsidP="00051048">
            <w:pPr>
              <w:spacing w:line="240" w:lineRule="auto"/>
              <w:rPr>
                <w:rFonts w:ascii="Calibri" w:eastAsia="Times New Roman" w:hAnsi="Calibri" w:cs="Calibri"/>
                <w:color w:val="000000"/>
                <w:sz w:val="22"/>
                <w:lang w:eastAsia="en-GB"/>
              </w:rPr>
            </w:pPr>
            <w:r w:rsidRPr="00C05886">
              <w:rPr>
                <w:rFonts w:ascii="Calibri" w:eastAsia="Times New Roman" w:hAnsi="Calibri" w:cs="Calibri"/>
                <w:color w:val="000000"/>
                <w:sz w:val="22"/>
                <w:lang w:eastAsia="en-GB"/>
              </w:rPr>
              <w:t>7.8%</w:t>
            </w:r>
          </w:p>
        </w:tc>
      </w:tr>
      <w:tr w:rsidR="00051048" w:rsidRPr="00C05886" w14:paraId="68028767" w14:textId="77777777" w:rsidTr="00721064">
        <w:trPr>
          <w:trHeight w:val="300"/>
        </w:trPr>
        <w:tc>
          <w:tcPr>
            <w:tcW w:w="8746" w:type="dxa"/>
            <w:gridSpan w:val="4"/>
            <w:noWrap/>
            <w:hideMark/>
          </w:tcPr>
          <w:p w14:paraId="3C67750F" w14:textId="77777777" w:rsidR="00051048" w:rsidRPr="00C05886" w:rsidRDefault="00051048" w:rsidP="00051048">
            <w:pPr>
              <w:spacing w:line="240" w:lineRule="auto"/>
              <w:rPr>
                <w:rFonts w:ascii="Times New Roman" w:eastAsia="Times New Roman" w:hAnsi="Times New Roman" w:cs="Times New Roman"/>
                <w:sz w:val="22"/>
                <w:lang w:eastAsia="en-GB"/>
              </w:rPr>
            </w:pPr>
            <w:r w:rsidRPr="00C05886">
              <w:rPr>
                <w:rFonts w:ascii="Calibri" w:eastAsia="Times New Roman" w:hAnsi="Calibri" w:cs="Calibri"/>
                <w:b/>
                <w:bCs/>
                <w:sz w:val="22"/>
                <w:lang w:eastAsia="en-GB"/>
              </w:rPr>
              <w:t>Ethnicity</w:t>
            </w:r>
          </w:p>
        </w:tc>
      </w:tr>
      <w:tr w:rsidR="00051048" w:rsidRPr="00C05886" w14:paraId="74B54716" w14:textId="77777777" w:rsidTr="001B276E">
        <w:trPr>
          <w:trHeight w:val="300"/>
        </w:trPr>
        <w:tc>
          <w:tcPr>
            <w:tcW w:w="0" w:type="auto"/>
            <w:noWrap/>
            <w:hideMark/>
          </w:tcPr>
          <w:p w14:paraId="44117B25" w14:textId="77777777" w:rsidR="00051048" w:rsidRPr="00C05886" w:rsidRDefault="00051048" w:rsidP="00051048">
            <w:pPr>
              <w:spacing w:line="240" w:lineRule="auto"/>
              <w:rPr>
                <w:rFonts w:ascii="Calibri" w:eastAsia="Times New Roman" w:hAnsi="Calibri" w:cs="Calibri"/>
                <w:color w:val="000000"/>
                <w:sz w:val="22"/>
                <w:lang w:eastAsia="en-GB"/>
              </w:rPr>
            </w:pPr>
            <w:r w:rsidRPr="00C05886">
              <w:rPr>
                <w:rFonts w:ascii="Calibri" w:eastAsia="Times New Roman" w:hAnsi="Calibri" w:cs="Calibri"/>
                <w:color w:val="000000"/>
                <w:sz w:val="22"/>
                <w:lang w:eastAsia="en-GB"/>
              </w:rPr>
              <w:t>White</w:t>
            </w:r>
          </w:p>
        </w:tc>
        <w:tc>
          <w:tcPr>
            <w:tcW w:w="0" w:type="auto"/>
            <w:noWrap/>
          </w:tcPr>
          <w:p w14:paraId="6DAE1687" w14:textId="77777777" w:rsidR="00051048" w:rsidRPr="00C05886" w:rsidRDefault="00051048" w:rsidP="00051048">
            <w:pPr>
              <w:spacing w:line="240" w:lineRule="auto"/>
              <w:rPr>
                <w:rFonts w:ascii="Calibri" w:eastAsia="Times New Roman" w:hAnsi="Calibri" w:cs="Calibri"/>
                <w:color w:val="000000"/>
                <w:sz w:val="22"/>
                <w:lang w:eastAsia="en-GB"/>
              </w:rPr>
            </w:pPr>
            <w:r w:rsidRPr="00C05886">
              <w:rPr>
                <w:rFonts w:ascii="Calibri" w:eastAsia="Times New Roman" w:hAnsi="Calibri" w:cs="Calibri"/>
                <w:color w:val="000000"/>
                <w:sz w:val="22"/>
                <w:lang w:eastAsia="en-GB"/>
              </w:rPr>
              <w:t>78%</w:t>
            </w:r>
          </w:p>
        </w:tc>
        <w:tc>
          <w:tcPr>
            <w:tcW w:w="0" w:type="auto"/>
            <w:noWrap/>
          </w:tcPr>
          <w:p w14:paraId="4AA31BF3" w14:textId="77777777" w:rsidR="00051048" w:rsidRPr="00C05886" w:rsidRDefault="00051048" w:rsidP="00051048">
            <w:pPr>
              <w:spacing w:line="240" w:lineRule="auto"/>
              <w:rPr>
                <w:rFonts w:ascii="Calibri" w:eastAsia="Times New Roman" w:hAnsi="Calibri" w:cs="Calibri"/>
                <w:color w:val="000000"/>
                <w:sz w:val="22"/>
                <w:lang w:eastAsia="en-GB"/>
              </w:rPr>
            </w:pPr>
            <w:r w:rsidRPr="00C05886">
              <w:rPr>
                <w:rFonts w:ascii="Calibri" w:eastAsia="Times New Roman" w:hAnsi="Calibri" w:cs="Calibri"/>
                <w:color w:val="000000"/>
                <w:sz w:val="22"/>
                <w:lang w:eastAsia="en-GB"/>
              </w:rPr>
              <w:t>79.4%</w:t>
            </w:r>
          </w:p>
        </w:tc>
        <w:tc>
          <w:tcPr>
            <w:tcW w:w="0" w:type="auto"/>
            <w:noWrap/>
          </w:tcPr>
          <w:p w14:paraId="6E740A1F" w14:textId="77777777" w:rsidR="00051048" w:rsidRPr="00C05886" w:rsidRDefault="00051048" w:rsidP="00051048">
            <w:pPr>
              <w:spacing w:line="240" w:lineRule="auto"/>
              <w:rPr>
                <w:rFonts w:ascii="Calibri" w:eastAsia="Times New Roman" w:hAnsi="Calibri" w:cs="Calibri"/>
                <w:color w:val="000000"/>
                <w:sz w:val="22"/>
                <w:lang w:eastAsia="en-GB"/>
              </w:rPr>
            </w:pPr>
            <w:r w:rsidRPr="00C05886">
              <w:rPr>
                <w:rFonts w:ascii="Calibri" w:eastAsia="Times New Roman" w:hAnsi="Calibri" w:cs="Calibri"/>
                <w:color w:val="000000"/>
                <w:sz w:val="22"/>
                <w:lang w:eastAsia="en-GB"/>
              </w:rPr>
              <w:t>87.5%</w:t>
            </w:r>
          </w:p>
        </w:tc>
      </w:tr>
      <w:tr w:rsidR="00051048" w:rsidRPr="00C05886" w14:paraId="7A1B3294" w14:textId="77777777" w:rsidTr="001B276E">
        <w:trPr>
          <w:trHeight w:val="300"/>
        </w:trPr>
        <w:tc>
          <w:tcPr>
            <w:tcW w:w="0" w:type="auto"/>
            <w:noWrap/>
            <w:hideMark/>
          </w:tcPr>
          <w:p w14:paraId="697512B2" w14:textId="77777777" w:rsidR="00051048" w:rsidRPr="00C05886" w:rsidRDefault="00051048" w:rsidP="00051048">
            <w:pPr>
              <w:spacing w:line="240" w:lineRule="auto"/>
              <w:rPr>
                <w:rFonts w:ascii="Calibri" w:eastAsia="Times New Roman" w:hAnsi="Calibri" w:cs="Calibri"/>
                <w:color w:val="000000"/>
                <w:sz w:val="22"/>
                <w:lang w:eastAsia="en-GB"/>
              </w:rPr>
            </w:pPr>
            <w:r w:rsidRPr="00C05886">
              <w:rPr>
                <w:rFonts w:ascii="Calibri" w:eastAsia="Times New Roman" w:hAnsi="Calibri" w:cs="Calibri"/>
                <w:color w:val="000000"/>
                <w:sz w:val="22"/>
                <w:lang w:eastAsia="en-GB"/>
              </w:rPr>
              <w:t>Mixed/Multiple ethnic groups</w:t>
            </w:r>
          </w:p>
        </w:tc>
        <w:tc>
          <w:tcPr>
            <w:tcW w:w="0" w:type="auto"/>
            <w:noWrap/>
          </w:tcPr>
          <w:p w14:paraId="4B5B32AC" w14:textId="77777777" w:rsidR="00051048" w:rsidRPr="00C05886" w:rsidRDefault="00051048" w:rsidP="00051048">
            <w:pPr>
              <w:spacing w:line="240" w:lineRule="auto"/>
              <w:rPr>
                <w:rFonts w:ascii="Calibri" w:eastAsia="Times New Roman" w:hAnsi="Calibri" w:cs="Calibri"/>
                <w:color w:val="000000"/>
                <w:sz w:val="22"/>
                <w:lang w:eastAsia="en-GB"/>
              </w:rPr>
            </w:pPr>
            <w:r w:rsidRPr="00C05886">
              <w:rPr>
                <w:rFonts w:ascii="Calibri" w:eastAsia="Times New Roman" w:hAnsi="Calibri" w:cs="Calibri"/>
                <w:color w:val="000000"/>
                <w:sz w:val="22"/>
                <w:lang w:eastAsia="en-GB"/>
              </w:rPr>
              <w:t>4.3%</w:t>
            </w:r>
          </w:p>
        </w:tc>
        <w:tc>
          <w:tcPr>
            <w:tcW w:w="0" w:type="auto"/>
            <w:noWrap/>
          </w:tcPr>
          <w:p w14:paraId="04B3BB91" w14:textId="77777777" w:rsidR="00051048" w:rsidRPr="00C05886" w:rsidRDefault="00051048" w:rsidP="00051048">
            <w:pPr>
              <w:spacing w:line="240" w:lineRule="auto"/>
              <w:rPr>
                <w:rFonts w:ascii="Calibri" w:eastAsia="Times New Roman" w:hAnsi="Calibri" w:cs="Calibri"/>
                <w:color w:val="000000"/>
                <w:sz w:val="22"/>
                <w:lang w:eastAsia="en-GB"/>
              </w:rPr>
            </w:pPr>
            <w:r w:rsidRPr="00C05886">
              <w:rPr>
                <w:rFonts w:ascii="Calibri" w:eastAsia="Times New Roman" w:hAnsi="Calibri" w:cs="Calibri"/>
                <w:color w:val="000000"/>
                <w:sz w:val="22"/>
                <w:lang w:eastAsia="en-GB"/>
              </w:rPr>
              <w:t>5.6%</w:t>
            </w:r>
          </w:p>
        </w:tc>
        <w:tc>
          <w:tcPr>
            <w:tcW w:w="0" w:type="auto"/>
            <w:noWrap/>
          </w:tcPr>
          <w:p w14:paraId="7E2F5D4C" w14:textId="77777777" w:rsidR="00051048" w:rsidRPr="00C05886" w:rsidRDefault="00051048" w:rsidP="00051048">
            <w:pPr>
              <w:spacing w:line="240" w:lineRule="auto"/>
              <w:rPr>
                <w:rFonts w:ascii="Calibri" w:eastAsia="Times New Roman" w:hAnsi="Calibri" w:cs="Calibri"/>
                <w:color w:val="000000"/>
                <w:sz w:val="22"/>
                <w:lang w:eastAsia="en-GB"/>
              </w:rPr>
            </w:pPr>
            <w:r w:rsidRPr="00C05886">
              <w:rPr>
                <w:rFonts w:ascii="Calibri" w:eastAsia="Times New Roman" w:hAnsi="Calibri" w:cs="Calibri"/>
                <w:color w:val="000000"/>
                <w:sz w:val="22"/>
                <w:lang w:eastAsia="en-GB"/>
              </w:rPr>
              <w:t>1.6%</w:t>
            </w:r>
          </w:p>
        </w:tc>
      </w:tr>
      <w:tr w:rsidR="00051048" w:rsidRPr="00C05886" w14:paraId="6E964DA6" w14:textId="77777777" w:rsidTr="001B276E">
        <w:trPr>
          <w:trHeight w:val="300"/>
        </w:trPr>
        <w:tc>
          <w:tcPr>
            <w:tcW w:w="0" w:type="auto"/>
            <w:noWrap/>
            <w:hideMark/>
          </w:tcPr>
          <w:p w14:paraId="00704F48" w14:textId="77777777" w:rsidR="00051048" w:rsidRPr="00C05886" w:rsidRDefault="00051048" w:rsidP="00051048">
            <w:pPr>
              <w:spacing w:line="240" w:lineRule="auto"/>
              <w:rPr>
                <w:rFonts w:ascii="Calibri" w:eastAsia="Times New Roman" w:hAnsi="Calibri" w:cs="Calibri"/>
                <w:color w:val="000000"/>
                <w:sz w:val="22"/>
                <w:lang w:eastAsia="en-GB"/>
              </w:rPr>
            </w:pPr>
            <w:r w:rsidRPr="00C05886">
              <w:rPr>
                <w:rFonts w:ascii="Calibri" w:eastAsia="Times New Roman" w:hAnsi="Calibri" w:cs="Calibri"/>
                <w:color w:val="000000"/>
                <w:sz w:val="22"/>
                <w:lang w:eastAsia="en-GB"/>
              </w:rPr>
              <w:t>Asian</w:t>
            </w:r>
          </w:p>
        </w:tc>
        <w:tc>
          <w:tcPr>
            <w:tcW w:w="0" w:type="auto"/>
            <w:noWrap/>
          </w:tcPr>
          <w:p w14:paraId="6F9E25D7" w14:textId="77777777" w:rsidR="00051048" w:rsidRPr="00C05886" w:rsidRDefault="00051048" w:rsidP="00051048">
            <w:pPr>
              <w:spacing w:line="240" w:lineRule="auto"/>
              <w:rPr>
                <w:rFonts w:ascii="Calibri" w:eastAsia="Times New Roman" w:hAnsi="Calibri" w:cs="Calibri"/>
                <w:color w:val="000000"/>
                <w:sz w:val="22"/>
                <w:lang w:eastAsia="en-GB"/>
              </w:rPr>
            </w:pPr>
            <w:r w:rsidRPr="00C05886">
              <w:rPr>
                <w:rFonts w:ascii="Calibri" w:eastAsia="Times New Roman" w:hAnsi="Calibri" w:cs="Calibri"/>
                <w:color w:val="000000"/>
                <w:sz w:val="22"/>
                <w:lang w:eastAsia="en-GB"/>
              </w:rPr>
              <w:t>12.1%</w:t>
            </w:r>
          </w:p>
        </w:tc>
        <w:tc>
          <w:tcPr>
            <w:tcW w:w="0" w:type="auto"/>
            <w:noWrap/>
          </w:tcPr>
          <w:p w14:paraId="211E9B26" w14:textId="77777777" w:rsidR="00051048" w:rsidRPr="00C05886" w:rsidRDefault="00051048" w:rsidP="00051048">
            <w:pPr>
              <w:spacing w:line="240" w:lineRule="auto"/>
              <w:rPr>
                <w:rFonts w:ascii="Calibri" w:eastAsia="Times New Roman" w:hAnsi="Calibri" w:cs="Calibri"/>
                <w:color w:val="000000"/>
                <w:sz w:val="22"/>
                <w:lang w:eastAsia="en-GB"/>
              </w:rPr>
            </w:pPr>
            <w:r w:rsidRPr="00C05886">
              <w:rPr>
                <w:rFonts w:ascii="Calibri" w:eastAsia="Times New Roman" w:hAnsi="Calibri" w:cs="Calibri"/>
                <w:color w:val="000000"/>
                <w:sz w:val="22"/>
                <w:lang w:eastAsia="en-GB"/>
              </w:rPr>
              <w:t>12.7%</w:t>
            </w:r>
          </w:p>
        </w:tc>
        <w:tc>
          <w:tcPr>
            <w:tcW w:w="0" w:type="auto"/>
            <w:noWrap/>
          </w:tcPr>
          <w:p w14:paraId="2E32D15B" w14:textId="77777777" w:rsidR="00051048" w:rsidRPr="00C05886" w:rsidRDefault="00051048" w:rsidP="00051048">
            <w:pPr>
              <w:spacing w:line="240" w:lineRule="auto"/>
              <w:rPr>
                <w:rFonts w:ascii="Calibri" w:eastAsia="Times New Roman" w:hAnsi="Calibri" w:cs="Calibri"/>
                <w:color w:val="000000"/>
                <w:sz w:val="22"/>
                <w:lang w:eastAsia="en-GB"/>
              </w:rPr>
            </w:pPr>
            <w:r w:rsidRPr="00C05886">
              <w:rPr>
                <w:rFonts w:ascii="Calibri" w:eastAsia="Times New Roman" w:hAnsi="Calibri" w:cs="Calibri"/>
                <w:color w:val="000000"/>
                <w:sz w:val="22"/>
                <w:lang w:eastAsia="en-GB"/>
              </w:rPr>
              <w:t>10.2%</w:t>
            </w:r>
          </w:p>
        </w:tc>
      </w:tr>
      <w:tr w:rsidR="00051048" w:rsidRPr="00C05886" w14:paraId="7968AF68" w14:textId="77777777" w:rsidTr="001B276E">
        <w:trPr>
          <w:trHeight w:val="300"/>
        </w:trPr>
        <w:tc>
          <w:tcPr>
            <w:tcW w:w="0" w:type="auto"/>
            <w:noWrap/>
            <w:hideMark/>
          </w:tcPr>
          <w:p w14:paraId="172DBEFC" w14:textId="77777777" w:rsidR="00051048" w:rsidRPr="00C05886" w:rsidRDefault="00051048" w:rsidP="00051048">
            <w:pPr>
              <w:spacing w:line="240" w:lineRule="auto"/>
              <w:rPr>
                <w:rFonts w:ascii="Calibri" w:eastAsia="Times New Roman" w:hAnsi="Calibri" w:cs="Calibri"/>
                <w:color w:val="000000"/>
                <w:sz w:val="22"/>
                <w:lang w:eastAsia="en-GB"/>
              </w:rPr>
            </w:pPr>
            <w:r w:rsidRPr="00C05886">
              <w:rPr>
                <w:rFonts w:ascii="Calibri" w:eastAsia="Times New Roman" w:hAnsi="Calibri" w:cs="Calibri"/>
                <w:color w:val="000000"/>
                <w:sz w:val="22"/>
                <w:lang w:eastAsia="en-GB"/>
              </w:rPr>
              <w:t>Black/African/Caribbean</w:t>
            </w:r>
          </w:p>
        </w:tc>
        <w:tc>
          <w:tcPr>
            <w:tcW w:w="0" w:type="auto"/>
            <w:noWrap/>
          </w:tcPr>
          <w:p w14:paraId="51048FC1" w14:textId="77777777" w:rsidR="00051048" w:rsidRPr="00C05886" w:rsidRDefault="00051048" w:rsidP="00051048">
            <w:pPr>
              <w:spacing w:line="240" w:lineRule="auto"/>
              <w:rPr>
                <w:rFonts w:ascii="Calibri" w:eastAsia="Times New Roman" w:hAnsi="Calibri" w:cs="Calibri"/>
                <w:color w:val="000000"/>
                <w:sz w:val="22"/>
                <w:lang w:eastAsia="en-GB"/>
              </w:rPr>
            </w:pPr>
            <w:r w:rsidRPr="00C05886">
              <w:rPr>
                <w:rFonts w:ascii="Calibri" w:eastAsia="Times New Roman" w:hAnsi="Calibri" w:cs="Calibri"/>
                <w:color w:val="000000"/>
                <w:sz w:val="22"/>
                <w:lang w:eastAsia="en-GB"/>
              </w:rPr>
              <w:t>5.7%</w:t>
            </w:r>
          </w:p>
        </w:tc>
        <w:tc>
          <w:tcPr>
            <w:tcW w:w="0" w:type="auto"/>
            <w:noWrap/>
          </w:tcPr>
          <w:p w14:paraId="370BC085" w14:textId="77777777" w:rsidR="00051048" w:rsidRPr="00C05886" w:rsidRDefault="00051048" w:rsidP="00051048">
            <w:pPr>
              <w:spacing w:line="240" w:lineRule="auto"/>
              <w:rPr>
                <w:rFonts w:ascii="Calibri" w:eastAsia="Times New Roman" w:hAnsi="Calibri" w:cs="Calibri"/>
                <w:color w:val="000000"/>
                <w:sz w:val="22"/>
                <w:lang w:eastAsia="en-GB"/>
              </w:rPr>
            </w:pPr>
            <w:r w:rsidRPr="00C05886">
              <w:rPr>
                <w:rFonts w:ascii="Calibri" w:eastAsia="Times New Roman" w:hAnsi="Calibri" w:cs="Calibri"/>
                <w:color w:val="000000"/>
                <w:sz w:val="22"/>
                <w:lang w:eastAsia="en-GB"/>
              </w:rPr>
              <w:t>2.4%</w:t>
            </w:r>
          </w:p>
        </w:tc>
        <w:tc>
          <w:tcPr>
            <w:tcW w:w="0" w:type="auto"/>
            <w:noWrap/>
          </w:tcPr>
          <w:p w14:paraId="58E58D40" w14:textId="77777777" w:rsidR="00051048" w:rsidRPr="00C05886" w:rsidRDefault="00051048" w:rsidP="00051048">
            <w:pPr>
              <w:spacing w:line="240" w:lineRule="auto"/>
              <w:rPr>
                <w:rFonts w:ascii="Calibri" w:eastAsia="Times New Roman" w:hAnsi="Calibri" w:cs="Calibri"/>
                <w:color w:val="000000"/>
                <w:sz w:val="22"/>
                <w:lang w:eastAsia="en-GB"/>
              </w:rPr>
            </w:pPr>
            <w:r w:rsidRPr="00C05886">
              <w:rPr>
                <w:rFonts w:ascii="Calibri" w:eastAsia="Times New Roman" w:hAnsi="Calibri" w:cs="Calibri"/>
                <w:color w:val="000000"/>
                <w:sz w:val="22"/>
                <w:lang w:eastAsia="en-GB"/>
              </w:rPr>
              <w:t>-</w:t>
            </w:r>
          </w:p>
        </w:tc>
      </w:tr>
      <w:tr w:rsidR="00051048" w:rsidRPr="00C05886" w14:paraId="2A752EDC" w14:textId="77777777" w:rsidTr="001B276E">
        <w:trPr>
          <w:trHeight w:val="300"/>
        </w:trPr>
        <w:tc>
          <w:tcPr>
            <w:tcW w:w="0" w:type="auto"/>
            <w:noWrap/>
            <w:hideMark/>
          </w:tcPr>
          <w:p w14:paraId="401E1CD8" w14:textId="77777777" w:rsidR="00051048" w:rsidRPr="00C05886" w:rsidRDefault="00051048" w:rsidP="00051048">
            <w:pPr>
              <w:spacing w:line="240" w:lineRule="auto"/>
              <w:rPr>
                <w:rFonts w:ascii="Calibri" w:eastAsia="Times New Roman" w:hAnsi="Calibri" w:cs="Calibri"/>
                <w:color w:val="000000"/>
                <w:sz w:val="22"/>
                <w:lang w:eastAsia="en-GB"/>
              </w:rPr>
            </w:pPr>
            <w:proofErr w:type="gramStart"/>
            <w:r w:rsidRPr="00C05886">
              <w:rPr>
                <w:rFonts w:ascii="Calibri" w:eastAsia="Times New Roman" w:hAnsi="Calibri" w:cs="Calibri"/>
                <w:color w:val="000000"/>
                <w:sz w:val="22"/>
                <w:lang w:eastAsia="en-GB"/>
              </w:rPr>
              <w:t>Other</w:t>
            </w:r>
            <w:proofErr w:type="gramEnd"/>
            <w:r w:rsidRPr="00C05886">
              <w:rPr>
                <w:rFonts w:ascii="Calibri" w:eastAsia="Times New Roman" w:hAnsi="Calibri" w:cs="Calibri"/>
                <w:color w:val="000000"/>
                <w:sz w:val="22"/>
                <w:lang w:eastAsia="en-GB"/>
              </w:rPr>
              <w:t xml:space="preserve"> ethnic group (self-described)</w:t>
            </w:r>
          </w:p>
        </w:tc>
        <w:tc>
          <w:tcPr>
            <w:tcW w:w="0" w:type="auto"/>
            <w:noWrap/>
          </w:tcPr>
          <w:p w14:paraId="5E45723E" w14:textId="77777777" w:rsidR="00051048" w:rsidRPr="00C05886" w:rsidRDefault="00051048" w:rsidP="00051048">
            <w:pPr>
              <w:spacing w:line="240" w:lineRule="auto"/>
              <w:rPr>
                <w:rFonts w:ascii="Calibri" w:eastAsia="Times New Roman" w:hAnsi="Calibri" w:cs="Calibri"/>
                <w:color w:val="000000"/>
                <w:sz w:val="22"/>
                <w:lang w:eastAsia="en-GB"/>
              </w:rPr>
            </w:pPr>
            <w:r w:rsidRPr="00C05886">
              <w:rPr>
                <w:rFonts w:ascii="Calibri" w:eastAsia="Times New Roman" w:hAnsi="Calibri" w:cs="Calibri"/>
                <w:color w:val="000000"/>
                <w:sz w:val="22"/>
                <w:lang w:eastAsia="en-GB"/>
              </w:rPr>
              <w:t>-</w:t>
            </w:r>
          </w:p>
        </w:tc>
        <w:tc>
          <w:tcPr>
            <w:tcW w:w="0" w:type="auto"/>
            <w:noWrap/>
          </w:tcPr>
          <w:p w14:paraId="293CA451" w14:textId="77777777" w:rsidR="00051048" w:rsidRPr="00C05886" w:rsidRDefault="00051048" w:rsidP="00051048">
            <w:pPr>
              <w:spacing w:line="240" w:lineRule="auto"/>
              <w:rPr>
                <w:rFonts w:ascii="Calibri" w:eastAsia="Times New Roman" w:hAnsi="Calibri" w:cs="Calibri"/>
                <w:color w:val="000000"/>
                <w:sz w:val="22"/>
                <w:lang w:eastAsia="en-GB"/>
              </w:rPr>
            </w:pPr>
            <w:r w:rsidRPr="00C05886">
              <w:rPr>
                <w:rFonts w:ascii="Calibri" w:eastAsia="Times New Roman" w:hAnsi="Calibri" w:cs="Calibri"/>
                <w:color w:val="000000"/>
                <w:sz w:val="22"/>
                <w:lang w:eastAsia="en-GB"/>
              </w:rPr>
              <w:t>-</w:t>
            </w:r>
          </w:p>
        </w:tc>
        <w:tc>
          <w:tcPr>
            <w:tcW w:w="0" w:type="auto"/>
            <w:noWrap/>
          </w:tcPr>
          <w:p w14:paraId="16789191" w14:textId="77777777" w:rsidR="00051048" w:rsidRPr="00C05886" w:rsidRDefault="00051048" w:rsidP="00051048">
            <w:pPr>
              <w:spacing w:line="240" w:lineRule="auto"/>
              <w:rPr>
                <w:rFonts w:ascii="Calibri" w:eastAsia="Times New Roman" w:hAnsi="Calibri" w:cs="Calibri"/>
                <w:color w:val="000000"/>
                <w:sz w:val="22"/>
                <w:lang w:eastAsia="en-GB"/>
              </w:rPr>
            </w:pPr>
            <w:r w:rsidRPr="00C05886">
              <w:rPr>
                <w:rFonts w:ascii="Calibri" w:eastAsia="Times New Roman" w:hAnsi="Calibri" w:cs="Calibri"/>
                <w:color w:val="000000"/>
                <w:sz w:val="22"/>
                <w:lang w:eastAsia="en-GB"/>
              </w:rPr>
              <w:t>0.8%</w:t>
            </w:r>
          </w:p>
        </w:tc>
      </w:tr>
      <w:tr w:rsidR="00051048" w:rsidRPr="00C05886" w14:paraId="704272BD" w14:textId="77777777" w:rsidTr="00721064">
        <w:trPr>
          <w:trHeight w:val="300"/>
        </w:trPr>
        <w:tc>
          <w:tcPr>
            <w:tcW w:w="8746" w:type="dxa"/>
            <w:gridSpan w:val="4"/>
            <w:noWrap/>
            <w:hideMark/>
          </w:tcPr>
          <w:p w14:paraId="6C9376D3" w14:textId="77777777" w:rsidR="00051048" w:rsidRPr="00C05886" w:rsidRDefault="00051048" w:rsidP="00051048">
            <w:pPr>
              <w:spacing w:line="240" w:lineRule="auto"/>
              <w:rPr>
                <w:rFonts w:ascii="Times New Roman" w:eastAsia="Times New Roman" w:hAnsi="Times New Roman" w:cs="Times New Roman"/>
                <w:sz w:val="22"/>
                <w:lang w:eastAsia="en-GB"/>
              </w:rPr>
            </w:pPr>
            <w:r w:rsidRPr="00C05886">
              <w:rPr>
                <w:rFonts w:ascii="Calibri" w:eastAsia="Times New Roman" w:hAnsi="Calibri" w:cs="Calibri"/>
                <w:b/>
                <w:bCs/>
                <w:sz w:val="22"/>
                <w:lang w:eastAsia="en-GB"/>
              </w:rPr>
              <w:t>Education</w:t>
            </w:r>
          </w:p>
        </w:tc>
      </w:tr>
      <w:tr w:rsidR="00051048" w:rsidRPr="00C05886" w14:paraId="6BD36795" w14:textId="77777777" w:rsidTr="001B276E">
        <w:trPr>
          <w:trHeight w:val="300"/>
        </w:trPr>
        <w:tc>
          <w:tcPr>
            <w:tcW w:w="0" w:type="auto"/>
            <w:noWrap/>
            <w:hideMark/>
          </w:tcPr>
          <w:p w14:paraId="4038A0B1" w14:textId="77777777" w:rsidR="00051048" w:rsidRPr="00C05886" w:rsidRDefault="00051048" w:rsidP="00051048">
            <w:pPr>
              <w:spacing w:line="240" w:lineRule="auto"/>
              <w:rPr>
                <w:rFonts w:ascii="Calibri" w:eastAsia="Times New Roman" w:hAnsi="Calibri" w:cs="Calibri"/>
                <w:color w:val="000000"/>
                <w:sz w:val="22"/>
                <w:lang w:eastAsia="en-GB"/>
              </w:rPr>
            </w:pPr>
            <w:r w:rsidRPr="00C05886">
              <w:rPr>
                <w:rFonts w:ascii="Calibri" w:eastAsia="Times New Roman" w:hAnsi="Calibri" w:cs="Calibri"/>
                <w:color w:val="000000"/>
                <w:sz w:val="22"/>
                <w:lang w:eastAsia="en-GB"/>
              </w:rPr>
              <w:t>High school, GCSE or equivalent</w:t>
            </w:r>
          </w:p>
        </w:tc>
        <w:tc>
          <w:tcPr>
            <w:tcW w:w="0" w:type="auto"/>
            <w:noWrap/>
          </w:tcPr>
          <w:p w14:paraId="57796CA8" w14:textId="77777777" w:rsidR="00051048" w:rsidRPr="00C05886" w:rsidRDefault="00051048" w:rsidP="00051048">
            <w:pPr>
              <w:spacing w:line="240" w:lineRule="auto"/>
              <w:rPr>
                <w:rFonts w:ascii="Calibri" w:eastAsia="Times New Roman" w:hAnsi="Calibri" w:cs="Calibri"/>
                <w:color w:val="000000"/>
                <w:sz w:val="22"/>
                <w:lang w:eastAsia="en-GB"/>
              </w:rPr>
            </w:pPr>
            <w:r w:rsidRPr="00C05886">
              <w:rPr>
                <w:rFonts w:ascii="Calibri" w:eastAsia="Times New Roman" w:hAnsi="Calibri" w:cs="Calibri"/>
                <w:color w:val="000000"/>
                <w:sz w:val="22"/>
                <w:lang w:eastAsia="en-GB"/>
              </w:rPr>
              <w:t>26.2%</w:t>
            </w:r>
          </w:p>
        </w:tc>
        <w:tc>
          <w:tcPr>
            <w:tcW w:w="0" w:type="auto"/>
            <w:noWrap/>
          </w:tcPr>
          <w:p w14:paraId="684A585F" w14:textId="77777777" w:rsidR="00051048" w:rsidRPr="00C05886" w:rsidRDefault="00051048" w:rsidP="00051048">
            <w:pPr>
              <w:spacing w:line="240" w:lineRule="auto"/>
              <w:rPr>
                <w:rFonts w:ascii="Calibri" w:eastAsia="Times New Roman" w:hAnsi="Calibri" w:cs="Calibri"/>
                <w:color w:val="000000"/>
                <w:sz w:val="22"/>
                <w:lang w:eastAsia="en-GB"/>
              </w:rPr>
            </w:pPr>
            <w:r w:rsidRPr="00C05886">
              <w:rPr>
                <w:rFonts w:ascii="Calibri" w:eastAsia="Times New Roman" w:hAnsi="Calibri" w:cs="Calibri"/>
                <w:color w:val="000000"/>
                <w:sz w:val="22"/>
                <w:lang w:eastAsia="en-GB"/>
              </w:rPr>
              <w:t>26.2%</w:t>
            </w:r>
          </w:p>
        </w:tc>
        <w:tc>
          <w:tcPr>
            <w:tcW w:w="0" w:type="auto"/>
            <w:noWrap/>
          </w:tcPr>
          <w:p w14:paraId="072D3192" w14:textId="77777777" w:rsidR="00051048" w:rsidRPr="00C05886" w:rsidRDefault="00051048" w:rsidP="00051048">
            <w:pPr>
              <w:spacing w:line="240" w:lineRule="auto"/>
              <w:rPr>
                <w:rFonts w:ascii="Calibri" w:eastAsia="Times New Roman" w:hAnsi="Calibri" w:cs="Calibri"/>
                <w:color w:val="000000"/>
                <w:sz w:val="22"/>
                <w:lang w:eastAsia="en-GB"/>
              </w:rPr>
            </w:pPr>
            <w:r w:rsidRPr="00C05886">
              <w:rPr>
                <w:rFonts w:ascii="Calibri" w:eastAsia="Times New Roman" w:hAnsi="Calibri" w:cs="Calibri"/>
                <w:color w:val="000000"/>
                <w:sz w:val="22"/>
                <w:lang w:eastAsia="en-GB"/>
              </w:rPr>
              <w:t>37.2%</w:t>
            </w:r>
          </w:p>
        </w:tc>
      </w:tr>
      <w:tr w:rsidR="00051048" w:rsidRPr="00C05886" w14:paraId="2309A7D6" w14:textId="77777777" w:rsidTr="001B276E">
        <w:trPr>
          <w:trHeight w:val="300"/>
        </w:trPr>
        <w:tc>
          <w:tcPr>
            <w:tcW w:w="0" w:type="auto"/>
            <w:noWrap/>
            <w:hideMark/>
          </w:tcPr>
          <w:p w14:paraId="2839AC27" w14:textId="77777777" w:rsidR="00051048" w:rsidRPr="00C05886" w:rsidRDefault="00051048" w:rsidP="00051048">
            <w:pPr>
              <w:spacing w:line="240" w:lineRule="auto"/>
              <w:rPr>
                <w:rFonts w:ascii="Calibri" w:eastAsia="Times New Roman" w:hAnsi="Calibri" w:cs="Calibri"/>
                <w:color w:val="000000"/>
                <w:sz w:val="22"/>
                <w:lang w:eastAsia="en-GB"/>
              </w:rPr>
            </w:pPr>
            <w:r w:rsidRPr="00C05886">
              <w:rPr>
                <w:rFonts w:ascii="Calibri" w:eastAsia="Times New Roman" w:hAnsi="Calibri" w:cs="Calibri"/>
                <w:color w:val="000000"/>
                <w:sz w:val="22"/>
                <w:lang w:eastAsia="en-GB"/>
              </w:rPr>
              <w:t>Bachelor or equivalent</w:t>
            </w:r>
          </w:p>
        </w:tc>
        <w:tc>
          <w:tcPr>
            <w:tcW w:w="0" w:type="auto"/>
            <w:noWrap/>
          </w:tcPr>
          <w:p w14:paraId="478E12BC" w14:textId="77777777" w:rsidR="00051048" w:rsidRPr="00C05886" w:rsidRDefault="00051048" w:rsidP="00051048">
            <w:pPr>
              <w:spacing w:line="240" w:lineRule="auto"/>
              <w:rPr>
                <w:rFonts w:ascii="Calibri" w:eastAsia="Times New Roman" w:hAnsi="Calibri" w:cs="Calibri"/>
                <w:color w:val="000000"/>
                <w:sz w:val="22"/>
                <w:lang w:eastAsia="en-GB"/>
              </w:rPr>
            </w:pPr>
            <w:r w:rsidRPr="00C05886">
              <w:rPr>
                <w:rFonts w:ascii="Calibri" w:eastAsia="Times New Roman" w:hAnsi="Calibri" w:cs="Calibri"/>
                <w:color w:val="000000"/>
                <w:sz w:val="22"/>
                <w:lang w:eastAsia="en-GB"/>
              </w:rPr>
              <w:t>49.6%</w:t>
            </w:r>
          </w:p>
        </w:tc>
        <w:tc>
          <w:tcPr>
            <w:tcW w:w="0" w:type="auto"/>
            <w:noWrap/>
          </w:tcPr>
          <w:p w14:paraId="30718379" w14:textId="77777777" w:rsidR="00051048" w:rsidRPr="00C05886" w:rsidRDefault="00051048" w:rsidP="00051048">
            <w:pPr>
              <w:spacing w:line="240" w:lineRule="auto"/>
              <w:rPr>
                <w:rFonts w:ascii="Calibri" w:eastAsia="Times New Roman" w:hAnsi="Calibri" w:cs="Calibri"/>
                <w:color w:val="000000"/>
                <w:sz w:val="22"/>
                <w:lang w:eastAsia="en-GB"/>
              </w:rPr>
            </w:pPr>
            <w:r w:rsidRPr="00C05886">
              <w:rPr>
                <w:rFonts w:ascii="Calibri" w:eastAsia="Times New Roman" w:hAnsi="Calibri" w:cs="Calibri"/>
                <w:color w:val="000000"/>
                <w:sz w:val="22"/>
                <w:lang w:eastAsia="en-GB"/>
              </w:rPr>
              <w:t>45.2%</w:t>
            </w:r>
          </w:p>
        </w:tc>
        <w:tc>
          <w:tcPr>
            <w:tcW w:w="0" w:type="auto"/>
            <w:noWrap/>
          </w:tcPr>
          <w:p w14:paraId="0DCD963F" w14:textId="77777777" w:rsidR="00051048" w:rsidRPr="00C05886" w:rsidRDefault="00051048" w:rsidP="00051048">
            <w:pPr>
              <w:spacing w:line="240" w:lineRule="auto"/>
              <w:rPr>
                <w:rFonts w:ascii="Calibri" w:eastAsia="Times New Roman" w:hAnsi="Calibri" w:cs="Calibri"/>
                <w:color w:val="000000"/>
                <w:sz w:val="22"/>
                <w:lang w:eastAsia="en-GB"/>
              </w:rPr>
            </w:pPr>
            <w:r w:rsidRPr="00C05886">
              <w:rPr>
                <w:rFonts w:ascii="Calibri" w:eastAsia="Times New Roman" w:hAnsi="Calibri" w:cs="Calibri"/>
                <w:color w:val="000000"/>
                <w:sz w:val="22"/>
                <w:lang w:eastAsia="en-GB"/>
              </w:rPr>
              <w:t>41.9%</w:t>
            </w:r>
          </w:p>
        </w:tc>
      </w:tr>
      <w:tr w:rsidR="00051048" w:rsidRPr="00C05886" w14:paraId="7DE2A545" w14:textId="77777777" w:rsidTr="001B276E">
        <w:trPr>
          <w:trHeight w:val="300"/>
        </w:trPr>
        <w:tc>
          <w:tcPr>
            <w:tcW w:w="0" w:type="auto"/>
            <w:noWrap/>
            <w:hideMark/>
          </w:tcPr>
          <w:p w14:paraId="44787204" w14:textId="77777777" w:rsidR="00051048" w:rsidRPr="00C05886" w:rsidRDefault="00051048" w:rsidP="00051048">
            <w:pPr>
              <w:spacing w:line="240" w:lineRule="auto"/>
              <w:rPr>
                <w:rFonts w:ascii="Calibri" w:eastAsia="Times New Roman" w:hAnsi="Calibri" w:cs="Calibri"/>
                <w:color w:val="000000"/>
                <w:sz w:val="22"/>
                <w:lang w:eastAsia="en-GB"/>
              </w:rPr>
            </w:pPr>
            <w:r w:rsidRPr="00C05886">
              <w:rPr>
                <w:rFonts w:ascii="Calibri" w:eastAsia="Times New Roman" w:hAnsi="Calibri" w:cs="Calibri"/>
                <w:color w:val="000000"/>
                <w:sz w:val="22"/>
                <w:lang w:eastAsia="en-GB"/>
              </w:rPr>
              <w:t>Masters or equivalent</w:t>
            </w:r>
          </w:p>
        </w:tc>
        <w:tc>
          <w:tcPr>
            <w:tcW w:w="0" w:type="auto"/>
            <w:noWrap/>
          </w:tcPr>
          <w:p w14:paraId="5BBAE2E9" w14:textId="77777777" w:rsidR="00051048" w:rsidRPr="00C05886" w:rsidRDefault="00051048" w:rsidP="00051048">
            <w:pPr>
              <w:spacing w:line="240" w:lineRule="auto"/>
              <w:rPr>
                <w:rFonts w:ascii="Calibri" w:eastAsia="Times New Roman" w:hAnsi="Calibri" w:cs="Calibri"/>
                <w:color w:val="000000"/>
                <w:sz w:val="22"/>
                <w:lang w:eastAsia="en-GB"/>
              </w:rPr>
            </w:pPr>
            <w:r w:rsidRPr="00C05886">
              <w:rPr>
                <w:rFonts w:ascii="Calibri" w:eastAsia="Times New Roman" w:hAnsi="Calibri" w:cs="Calibri"/>
                <w:color w:val="000000"/>
                <w:sz w:val="22"/>
                <w:lang w:eastAsia="en-GB"/>
              </w:rPr>
              <w:t>21.3%</w:t>
            </w:r>
          </w:p>
        </w:tc>
        <w:tc>
          <w:tcPr>
            <w:tcW w:w="0" w:type="auto"/>
            <w:noWrap/>
          </w:tcPr>
          <w:p w14:paraId="2B9FEE38" w14:textId="77777777" w:rsidR="00051048" w:rsidRPr="00C05886" w:rsidRDefault="00051048" w:rsidP="00051048">
            <w:pPr>
              <w:spacing w:line="240" w:lineRule="auto"/>
              <w:rPr>
                <w:rFonts w:ascii="Calibri" w:eastAsia="Times New Roman" w:hAnsi="Calibri" w:cs="Calibri"/>
                <w:color w:val="000000"/>
                <w:sz w:val="22"/>
                <w:lang w:eastAsia="en-GB"/>
              </w:rPr>
            </w:pPr>
            <w:r w:rsidRPr="00C05886">
              <w:rPr>
                <w:rFonts w:ascii="Calibri" w:eastAsia="Times New Roman" w:hAnsi="Calibri" w:cs="Calibri"/>
                <w:color w:val="000000"/>
                <w:sz w:val="22"/>
                <w:lang w:eastAsia="en-GB"/>
              </w:rPr>
              <w:t>24.6%</w:t>
            </w:r>
          </w:p>
        </w:tc>
        <w:tc>
          <w:tcPr>
            <w:tcW w:w="0" w:type="auto"/>
            <w:noWrap/>
          </w:tcPr>
          <w:p w14:paraId="3182B190" w14:textId="77777777" w:rsidR="00051048" w:rsidRPr="00C05886" w:rsidRDefault="00051048" w:rsidP="00051048">
            <w:pPr>
              <w:spacing w:line="240" w:lineRule="auto"/>
              <w:rPr>
                <w:rFonts w:ascii="Calibri" w:eastAsia="Times New Roman" w:hAnsi="Calibri" w:cs="Calibri"/>
                <w:color w:val="000000"/>
                <w:sz w:val="22"/>
                <w:lang w:eastAsia="en-GB"/>
              </w:rPr>
            </w:pPr>
            <w:r w:rsidRPr="00C05886">
              <w:rPr>
                <w:rFonts w:ascii="Calibri" w:eastAsia="Times New Roman" w:hAnsi="Calibri" w:cs="Calibri"/>
                <w:color w:val="000000"/>
                <w:sz w:val="22"/>
                <w:lang w:eastAsia="en-GB"/>
              </w:rPr>
              <w:t>19.4%</w:t>
            </w:r>
          </w:p>
        </w:tc>
      </w:tr>
      <w:tr w:rsidR="00051048" w:rsidRPr="00C05886" w14:paraId="657095B9" w14:textId="77777777" w:rsidTr="001B276E">
        <w:trPr>
          <w:trHeight w:val="300"/>
        </w:trPr>
        <w:tc>
          <w:tcPr>
            <w:tcW w:w="0" w:type="auto"/>
            <w:noWrap/>
            <w:hideMark/>
          </w:tcPr>
          <w:p w14:paraId="7AEB3E9A" w14:textId="77777777" w:rsidR="00051048" w:rsidRPr="00C05886" w:rsidRDefault="00051048" w:rsidP="00051048">
            <w:pPr>
              <w:spacing w:line="240" w:lineRule="auto"/>
              <w:rPr>
                <w:rFonts w:ascii="Calibri" w:eastAsia="Times New Roman" w:hAnsi="Calibri" w:cs="Calibri"/>
                <w:color w:val="000000"/>
                <w:sz w:val="22"/>
                <w:lang w:eastAsia="en-GB"/>
              </w:rPr>
            </w:pPr>
            <w:r w:rsidRPr="00C05886">
              <w:rPr>
                <w:rFonts w:ascii="Calibri" w:eastAsia="Times New Roman" w:hAnsi="Calibri" w:cs="Calibri"/>
                <w:color w:val="000000"/>
                <w:sz w:val="22"/>
                <w:lang w:eastAsia="en-GB"/>
              </w:rPr>
              <w:t>Doctoral or equivalent</w:t>
            </w:r>
          </w:p>
        </w:tc>
        <w:tc>
          <w:tcPr>
            <w:tcW w:w="0" w:type="auto"/>
            <w:noWrap/>
          </w:tcPr>
          <w:p w14:paraId="2DCD8193" w14:textId="77777777" w:rsidR="00051048" w:rsidRPr="00C05886" w:rsidRDefault="00051048" w:rsidP="00051048">
            <w:pPr>
              <w:spacing w:line="240" w:lineRule="auto"/>
              <w:rPr>
                <w:rFonts w:ascii="Calibri" w:eastAsia="Times New Roman" w:hAnsi="Calibri" w:cs="Calibri"/>
                <w:color w:val="000000"/>
                <w:sz w:val="22"/>
                <w:lang w:eastAsia="en-GB"/>
              </w:rPr>
            </w:pPr>
            <w:r w:rsidRPr="00C05886">
              <w:rPr>
                <w:rFonts w:ascii="Calibri" w:eastAsia="Times New Roman" w:hAnsi="Calibri" w:cs="Calibri"/>
                <w:color w:val="000000"/>
                <w:sz w:val="22"/>
                <w:lang w:eastAsia="en-GB"/>
              </w:rPr>
              <w:t>2.8%</w:t>
            </w:r>
          </w:p>
        </w:tc>
        <w:tc>
          <w:tcPr>
            <w:tcW w:w="0" w:type="auto"/>
            <w:noWrap/>
          </w:tcPr>
          <w:p w14:paraId="3FF09FF8" w14:textId="77777777" w:rsidR="00051048" w:rsidRPr="00C05886" w:rsidRDefault="00051048" w:rsidP="00051048">
            <w:pPr>
              <w:spacing w:line="240" w:lineRule="auto"/>
              <w:rPr>
                <w:rFonts w:ascii="Calibri" w:eastAsia="Times New Roman" w:hAnsi="Calibri" w:cs="Calibri"/>
                <w:color w:val="000000"/>
                <w:sz w:val="22"/>
                <w:lang w:eastAsia="en-GB"/>
              </w:rPr>
            </w:pPr>
            <w:r w:rsidRPr="00C05886">
              <w:rPr>
                <w:rFonts w:ascii="Calibri" w:eastAsia="Times New Roman" w:hAnsi="Calibri" w:cs="Calibri"/>
                <w:color w:val="000000"/>
                <w:sz w:val="22"/>
                <w:lang w:eastAsia="en-GB"/>
              </w:rPr>
              <w:t>4%</w:t>
            </w:r>
          </w:p>
        </w:tc>
        <w:tc>
          <w:tcPr>
            <w:tcW w:w="0" w:type="auto"/>
            <w:noWrap/>
          </w:tcPr>
          <w:p w14:paraId="0D35D672" w14:textId="77777777" w:rsidR="00051048" w:rsidRPr="00C05886" w:rsidRDefault="00051048" w:rsidP="00051048">
            <w:pPr>
              <w:spacing w:line="240" w:lineRule="auto"/>
              <w:rPr>
                <w:rFonts w:ascii="Calibri" w:eastAsia="Times New Roman" w:hAnsi="Calibri" w:cs="Calibri"/>
                <w:color w:val="000000"/>
                <w:sz w:val="22"/>
                <w:lang w:eastAsia="en-GB"/>
              </w:rPr>
            </w:pPr>
            <w:r w:rsidRPr="00C05886">
              <w:rPr>
                <w:rFonts w:ascii="Calibri" w:eastAsia="Times New Roman" w:hAnsi="Calibri" w:cs="Calibri"/>
                <w:color w:val="000000"/>
                <w:sz w:val="22"/>
                <w:lang w:eastAsia="en-GB"/>
              </w:rPr>
              <w:t>1.6%</w:t>
            </w:r>
          </w:p>
        </w:tc>
      </w:tr>
    </w:tbl>
    <w:p w14:paraId="2B2CD0E5" w14:textId="77777777" w:rsidR="00051048" w:rsidRPr="00C05886" w:rsidRDefault="00051048" w:rsidP="00F333A8"/>
    <w:p w14:paraId="7156B03D" w14:textId="5B31666A" w:rsidR="00051048" w:rsidRPr="00C05886" w:rsidRDefault="00051048" w:rsidP="00051048">
      <w:pPr>
        <w:pStyle w:val="Heading4"/>
      </w:pPr>
      <w:r w:rsidRPr="00C05886">
        <w:lastRenderedPageBreak/>
        <w:t xml:space="preserve">Affective response to the </w:t>
      </w:r>
      <w:r w:rsidR="00087BB3">
        <w:t>levels of species richness</w:t>
      </w:r>
    </w:p>
    <w:p w14:paraId="25B40634" w14:textId="48679171" w:rsidR="00051048" w:rsidRPr="00C05886" w:rsidRDefault="00E03AC3" w:rsidP="000229F1">
      <w:r>
        <w:t>The</w:t>
      </w:r>
      <w:r w:rsidRPr="00C05886">
        <w:t xml:space="preserve"> </w:t>
      </w:r>
      <w:r w:rsidR="00051048" w:rsidRPr="00C05886">
        <w:t xml:space="preserve">Positive Affect (Joviality and Serenity) </w:t>
      </w:r>
      <w:r>
        <w:t>scores</w:t>
      </w:r>
      <w:r w:rsidRPr="00C05886">
        <w:t xml:space="preserve"> </w:t>
      </w:r>
      <w:r w:rsidR="00051048" w:rsidRPr="00C05886">
        <w:t xml:space="preserve">were affected by both the time in the procedure and the level of </w:t>
      </w:r>
      <w:r>
        <w:t>species richness</w:t>
      </w:r>
      <w:r w:rsidRPr="00C05886">
        <w:t xml:space="preserve"> </w:t>
      </w:r>
      <w:r w:rsidR="00051048" w:rsidRPr="00C05886">
        <w:t xml:space="preserve">being viewed, i.e. there were significant interactions (Table 3). There was no significant interaction for Negative Affect (Table 3), but the stage of the procedure had a strong influence (going up after the stressor). </w:t>
      </w:r>
    </w:p>
    <w:p w14:paraId="065EBE0E" w14:textId="484386C0" w:rsidR="00051048" w:rsidRPr="00C05886" w:rsidRDefault="00051048" w:rsidP="007D46C9">
      <w:pPr>
        <w:pStyle w:val="Caption"/>
        <w:keepNext/>
      </w:pPr>
      <w:r w:rsidRPr="00C05886">
        <w:t xml:space="preserve">Table </w:t>
      </w:r>
      <w:r w:rsidRPr="00C05886">
        <w:fldChar w:fldCharType="begin"/>
      </w:r>
      <w:r w:rsidRPr="00C05886">
        <w:instrText xml:space="preserve"> SEQ Table \* ARABIC </w:instrText>
      </w:r>
      <w:r w:rsidRPr="00C05886">
        <w:fldChar w:fldCharType="separate"/>
      </w:r>
      <w:r w:rsidR="00FD16CF">
        <w:rPr>
          <w:noProof/>
        </w:rPr>
        <w:t>2</w:t>
      </w:r>
      <w:r w:rsidRPr="00C05886">
        <w:fldChar w:fldCharType="end"/>
      </w:r>
      <w:r w:rsidRPr="00C05886">
        <w:t xml:space="preserve">. Summary of the mixed ANOVA. Dependent variable: actual </w:t>
      </w:r>
      <w:r w:rsidR="00BF64B9">
        <w:t>species richness</w:t>
      </w:r>
    </w:p>
    <w:tbl>
      <w:tblPr>
        <w:tblStyle w:val="TableGrid"/>
        <w:tblW w:w="9880" w:type="dxa"/>
        <w:tblLook w:val="04A0" w:firstRow="1" w:lastRow="0" w:firstColumn="1" w:lastColumn="0" w:noHBand="0" w:noVBand="1"/>
      </w:tblPr>
      <w:tblGrid>
        <w:gridCol w:w="1975"/>
        <w:gridCol w:w="3839"/>
        <w:gridCol w:w="873"/>
        <w:gridCol w:w="1217"/>
        <w:gridCol w:w="1976"/>
      </w:tblGrid>
      <w:tr w:rsidR="00051048" w:rsidRPr="00C05886" w14:paraId="2661B215" w14:textId="77777777" w:rsidTr="0073689C">
        <w:trPr>
          <w:trHeight w:val="322"/>
        </w:trPr>
        <w:tc>
          <w:tcPr>
            <w:tcW w:w="1975" w:type="dxa"/>
          </w:tcPr>
          <w:p w14:paraId="7BADC54C" w14:textId="77777777" w:rsidR="00051048" w:rsidRPr="00C05886" w:rsidRDefault="00051048" w:rsidP="00B959BA">
            <w:pPr>
              <w:spacing w:line="240" w:lineRule="auto"/>
              <w:jc w:val="left"/>
              <w:rPr>
                <w:b/>
                <w:bCs/>
                <w:sz w:val="22"/>
              </w:rPr>
            </w:pPr>
            <w:r w:rsidRPr="00C05886">
              <w:rPr>
                <w:b/>
                <w:bCs/>
                <w:sz w:val="22"/>
              </w:rPr>
              <w:t>Affective indicator</w:t>
            </w:r>
          </w:p>
        </w:tc>
        <w:tc>
          <w:tcPr>
            <w:tcW w:w="3839" w:type="dxa"/>
          </w:tcPr>
          <w:p w14:paraId="5476E6E0" w14:textId="77777777" w:rsidR="00051048" w:rsidRPr="00C05886" w:rsidRDefault="00051048" w:rsidP="00B959BA">
            <w:pPr>
              <w:spacing w:line="240" w:lineRule="auto"/>
              <w:jc w:val="left"/>
              <w:rPr>
                <w:b/>
                <w:bCs/>
                <w:sz w:val="22"/>
              </w:rPr>
            </w:pPr>
            <w:r w:rsidRPr="00C05886">
              <w:rPr>
                <w:b/>
                <w:bCs/>
                <w:sz w:val="22"/>
              </w:rPr>
              <w:t>Analysis component</w:t>
            </w:r>
          </w:p>
        </w:tc>
        <w:tc>
          <w:tcPr>
            <w:tcW w:w="873" w:type="dxa"/>
          </w:tcPr>
          <w:p w14:paraId="7083F95C" w14:textId="77777777" w:rsidR="00051048" w:rsidRPr="00C05886" w:rsidRDefault="00051048" w:rsidP="00B959BA">
            <w:pPr>
              <w:spacing w:line="240" w:lineRule="auto"/>
              <w:jc w:val="left"/>
              <w:rPr>
                <w:b/>
                <w:bCs/>
                <w:sz w:val="22"/>
              </w:rPr>
            </w:pPr>
            <w:r w:rsidRPr="00C05886">
              <w:rPr>
                <w:b/>
                <w:bCs/>
                <w:sz w:val="22"/>
              </w:rPr>
              <w:t>F</w:t>
            </w:r>
          </w:p>
        </w:tc>
        <w:tc>
          <w:tcPr>
            <w:tcW w:w="1217" w:type="dxa"/>
          </w:tcPr>
          <w:p w14:paraId="12024466" w14:textId="77777777" w:rsidR="00051048" w:rsidRPr="00C05886" w:rsidRDefault="00051048" w:rsidP="00B959BA">
            <w:pPr>
              <w:spacing w:line="240" w:lineRule="auto"/>
              <w:jc w:val="left"/>
              <w:rPr>
                <w:b/>
                <w:bCs/>
                <w:sz w:val="22"/>
              </w:rPr>
            </w:pPr>
            <w:r w:rsidRPr="00C05886">
              <w:rPr>
                <w:b/>
                <w:bCs/>
                <w:sz w:val="22"/>
              </w:rPr>
              <w:t>P-value</w:t>
            </w:r>
          </w:p>
        </w:tc>
        <w:tc>
          <w:tcPr>
            <w:tcW w:w="1976" w:type="dxa"/>
          </w:tcPr>
          <w:p w14:paraId="7C06A7D6" w14:textId="77777777" w:rsidR="00051048" w:rsidRPr="00C05886" w:rsidRDefault="00051048" w:rsidP="00B959BA">
            <w:pPr>
              <w:spacing w:line="240" w:lineRule="auto"/>
              <w:jc w:val="left"/>
              <w:rPr>
                <w:b/>
                <w:bCs/>
                <w:sz w:val="22"/>
              </w:rPr>
            </w:pPr>
            <w:r w:rsidRPr="00C05886">
              <w:rPr>
                <w:b/>
                <w:bCs/>
                <w:sz w:val="22"/>
              </w:rPr>
              <w:t>Partial eta squared</w:t>
            </w:r>
          </w:p>
        </w:tc>
      </w:tr>
      <w:tr w:rsidR="00051048" w:rsidRPr="00C05886" w14:paraId="7D84810F" w14:textId="77777777" w:rsidTr="00B959BA">
        <w:trPr>
          <w:trHeight w:val="510"/>
        </w:trPr>
        <w:tc>
          <w:tcPr>
            <w:tcW w:w="1975" w:type="dxa"/>
          </w:tcPr>
          <w:p w14:paraId="0CF9947E" w14:textId="77777777" w:rsidR="00051048" w:rsidRPr="00C05886" w:rsidRDefault="00051048" w:rsidP="00B959BA">
            <w:pPr>
              <w:spacing w:line="240" w:lineRule="auto"/>
              <w:rPr>
                <w:sz w:val="22"/>
              </w:rPr>
            </w:pPr>
            <w:r w:rsidRPr="00C05886">
              <w:rPr>
                <w:sz w:val="22"/>
              </w:rPr>
              <w:t>Joviality</w:t>
            </w:r>
          </w:p>
        </w:tc>
        <w:tc>
          <w:tcPr>
            <w:tcW w:w="3839" w:type="dxa"/>
          </w:tcPr>
          <w:p w14:paraId="5DC2567A" w14:textId="77777777" w:rsidR="00051048" w:rsidRPr="00C05886" w:rsidRDefault="00051048" w:rsidP="00B959BA">
            <w:pPr>
              <w:spacing w:line="240" w:lineRule="auto"/>
              <w:rPr>
                <w:sz w:val="22"/>
              </w:rPr>
            </w:pPr>
            <w:r w:rsidRPr="00C05886">
              <w:rPr>
                <w:sz w:val="22"/>
              </w:rPr>
              <w:t>Stage of the procedure</w:t>
            </w:r>
            <w:r w:rsidRPr="00C05886">
              <w:rPr>
                <w:sz w:val="22"/>
                <w:vertAlign w:val="superscript"/>
              </w:rPr>
              <w:t>1</w:t>
            </w:r>
          </w:p>
          <w:p w14:paraId="037C62B6" w14:textId="35D4824A" w:rsidR="00051048" w:rsidRPr="00C05886" w:rsidRDefault="00051048" w:rsidP="00B959BA">
            <w:pPr>
              <w:spacing w:line="240" w:lineRule="auto"/>
              <w:rPr>
                <w:sz w:val="22"/>
              </w:rPr>
            </w:pPr>
            <w:r w:rsidRPr="00C05886">
              <w:rPr>
                <w:sz w:val="22"/>
              </w:rPr>
              <w:t xml:space="preserve">Environment </w:t>
            </w:r>
            <w:bookmarkStart w:id="160" w:name="_Hlk178688753"/>
            <w:r w:rsidR="00087BB3">
              <w:rPr>
                <w:sz w:val="22"/>
              </w:rPr>
              <w:t>species richness</w:t>
            </w:r>
            <w:bookmarkEnd w:id="160"/>
            <w:r w:rsidR="00087BB3" w:rsidRPr="00C05886">
              <w:rPr>
                <w:sz w:val="22"/>
                <w:vertAlign w:val="superscript"/>
              </w:rPr>
              <w:t>2</w:t>
            </w:r>
          </w:p>
          <w:p w14:paraId="55E3922B" w14:textId="77777777" w:rsidR="00051048" w:rsidRPr="00C05886" w:rsidRDefault="00051048" w:rsidP="00B959BA">
            <w:pPr>
              <w:spacing w:line="240" w:lineRule="auto"/>
              <w:rPr>
                <w:sz w:val="22"/>
              </w:rPr>
            </w:pPr>
            <w:r w:rsidRPr="00C05886">
              <w:rPr>
                <w:sz w:val="22"/>
              </w:rPr>
              <w:t>Interaction</w:t>
            </w:r>
            <w:r w:rsidRPr="00C05886">
              <w:rPr>
                <w:sz w:val="22"/>
                <w:vertAlign w:val="superscript"/>
              </w:rPr>
              <w:t>3</w:t>
            </w:r>
          </w:p>
        </w:tc>
        <w:tc>
          <w:tcPr>
            <w:tcW w:w="873" w:type="dxa"/>
          </w:tcPr>
          <w:p w14:paraId="166B625A" w14:textId="77777777" w:rsidR="00051048" w:rsidRPr="00C05886" w:rsidRDefault="00051048" w:rsidP="00B959BA">
            <w:pPr>
              <w:spacing w:line="240" w:lineRule="auto"/>
              <w:rPr>
                <w:sz w:val="22"/>
              </w:rPr>
            </w:pPr>
            <w:r w:rsidRPr="00C05886">
              <w:rPr>
                <w:sz w:val="22"/>
              </w:rPr>
              <w:t>88.47</w:t>
            </w:r>
          </w:p>
          <w:p w14:paraId="30A8CB4C" w14:textId="77777777" w:rsidR="00051048" w:rsidRPr="00C05886" w:rsidRDefault="00051048" w:rsidP="00B959BA">
            <w:pPr>
              <w:spacing w:line="240" w:lineRule="auto"/>
              <w:rPr>
                <w:sz w:val="22"/>
              </w:rPr>
            </w:pPr>
            <w:r w:rsidRPr="00C05886">
              <w:rPr>
                <w:sz w:val="22"/>
              </w:rPr>
              <w:t>3.274</w:t>
            </w:r>
          </w:p>
          <w:p w14:paraId="568BE9B7" w14:textId="77777777" w:rsidR="00051048" w:rsidRPr="00C05886" w:rsidRDefault="00051048" w:rsidP="00B959BA">
            <w:pPr>
              <w:spacing w:line="240" w:lineRule="auto"/>
              <w:rPr>
                <w:sz w:val="22"/>
              </w:rPr>
            </w:pPr>
            <w:r w:rsidRPr="00C05886">
              <w:rPr>
                <w:sz w:val="22"/>
              </w:rPr>
              <w:t>27.98</w:t>
            </w:r>
          </w:p>
        </w:tc>
        <w:tc>
          <w:tcPr>
            <w:tcW w:w="1217" w:type="dxa"/>
          </w:tcPr>
          <w:p w14:paraId="5091F9C8" w14:textId="77777777" w:rsidR="00051048" w:rsidRPr="00C05886" w:rsidRDefault="00051048" w:rsidP="00B959BA">
            <w:pPr>
              <w:spacing w:line="240" w:lineRule="auto"/>
              <w:rPr>
                <w:sz w:val="22"/>
              </w:rPr>
            </w:pPr>
            <w:r w:rsidRPr="00C05886">
              <w:rPr>
                <w:sz w:val="22"/>
              </w:rPr>
              <w:t>&lt;0.001</w:t>
            </w:r>
          </w:p>
          <w:p w14:paraId="0B284181" w14:textId="77777777" w:rsidR="00051048" w:rsidRPr="00C05886" w:rsidRDefault="00051048" w:rsidP="00B959BA">
            <w:pPr>
              <w:spacing w:line="240" w:lineRule="auto"/>
              <w:rPr>
                <w:sz w:val="22"/>
              </w:rPr>
            </w:pPr>
            <w:r w:rsidRPr="00C05886">
              <w:rPr>
                <w:sz w:val="22"/>
              </w:rPr>
              <w:t>0.039</w:t>
            </w:r>
          </w:p>
          <w:p w14:paraId="2265AF28" w14:textId="77777777" w:rsidR="00051048" w:rsidRPr="00C05886" w:rsidRDefault="00051048" w:rsidP="00B959BA">
            <w:pPr>
              <w:spacing w:line="240" w:lineRule="auto"/>
              <w:rPr>
                <w:sz w:val="22"/>
              </w:rPr>
            </w:pPr>
            <w:r w:rsidRPr="00C05886">
              <w:rPr>
                <w:sz w:val="22"/>
              </w:rPr>
              <w:t>&lt;0.001</w:t>
            </w:r>
          </w:p>
        </w:tc>
        <w:tc>
          <w:tcPr>
            <w:tcW w:w="1976" w:type="dxa"/>
          </w:tcPr>
          <w:p w14:paraId="31FD5B56" w14:textId="77777777" w:rsidR="00051048" w:rsidRPr="00C05886" w:rsidRDefault="00051048" w:rsidP="00B959BA">
            <w:pPr>
              <w:spacing w:line="240" w:lineRule="auto"/>
              <w:rPr>
                <w:sz w:val="22"/>
              </w:rPr>
            </w:pPr>
            <w:r w:rsidRPr="00C05886">
              <w:rPr>
                <w:sz w:val="22"/>
              </w:rPr>
              <w:t>0.184</w:t>
            </w:r>
          </w:p>
          <w:p w14:paraId="5FA5C8DC" w14:textId="77777777" w:rsidR="00051048" w:rsidRPr="00C05886" w:rsidRDefault="00051048" w:rsidP="00B959BA">
            <w:pPr>
              <w:spacing w:line="240" w:lineRule="auto"/>
              <w:rPr>
                <w:sz w:val="22"/>
              </w:rPr>
            </w:pPr>
            <w:r w:rsidRPr="00C05886">
              <w:rPr>
                <w:sz w:val="22"/>
              </w:rPr>
              <w:t>0.016</w:t>
            </w:r>
          </w:p>
          <w:p w14:paraId="761778DC" w14:textId="77777777" w:rsidR="00051048" w:rsidRPr="00C05886" w:rsidRDefault="00051048" w:rsidP="00B959BA">
            <w:pPr>
              <w:spacing w:line="240" w:lineRule="auto"/>
              <w:rPr>
                <w:sz w:val="22"/>
              </w:rPr>
            </w:pPr>
            <w:r w:rsidRPr="00C05886">
              <w:rPr>
                <w:sz w:val="22"/>
              </w:rPr>
              <w:t>0.125</w:t>
            </w:r>
          </w:p>
        </w:tc>
      </w:tr>
      <w:tr w:rsidR="00051048" w:rsidRPr="00C05886" w14:paraId="2E6BFC00" w14:textId="77777777" w:rsidTr="00B959BA">
        <w:trPr>
          <w:trHeight w:val="510"/>
        </w:trPr>
        <w:tc>
          <w:tcPr>
            <w:tcW w:w="1975" w:type="dxa"/>
          </w:tcPr>
          <w:p w14:paraId="5F582771" w14:textId="77777777" w:rsidR="00051048" w:rsidRPr="00C05886" w:rsidRDefault="00051048" w:rsidP="00B959BA">
            <w:pPr>
              <w:spacing w:line="240" w:lineRule="auto"/>
              <w:rPr>
                <w:sz w:val="22"/>
              </w:rPr>
            </w:pPr>
            <w:r w:rsidRPr="00C05886">
              <w:rPr>
                <w:sz w:val="22"/>
              </w:rPr>
              <w:t>Serenity</w:t>
            </w:r>
          </w:p>
        </w:tc>
        <w:tc>
          <w:tcPr>
            <w:tcW w:w="3839" w:type="dxa"/>
          </w:tcPr>
          <w:p w14:paraId="53EDF1CA" w14:textId="77777777" w:rsidR="00051048" w:rsidRPr="00C05886" w:rsidRDefault="00051048" w:rsidP="00B959BA">
            <w:pPr>
              <w:spacing w:line="240" w:lineRule="auto"/>
              <w:rPr>
                <w:sz w:val="22"/>
              </w:rPr>
            </w:pPr>
            <w:r w:rsidRPr="00C05886">
              <w:rPr>
                <w:sz w:val="22"/>
              </w:rPr>
              <w:t>Stage of the procedure</w:t>
            </w:r>
          </w:p>
          <w:p w14:paraId="6A61C71E" w14:textId="349726AD" w:rsidR="00051048" w:rsidRPr="00C05886" w:rsidRDefault="00051048" w:rsidP="00B959BA">
            <w:pPr>
              <w:spacing w:line="240" w:lineRule="auto"/>
              <w:rPr>
                <w:sz w:val="22"/>
              </w:rPr>
            </w:pPr>
            <w:r w:rsidRPr="00C05886">
              <w:rPr>
                <w:sz w:val="22"/>
              </w:rPr>
              <w:t xml:space="preserve">Environment </w:t>
            </w:r>
            <w:r w:rsidR="00087BB3">
              <w:rPr>
                <w:sz w:val="22"/>
              </w:rPr>
              <w:t>species richness</w:t>
            </w:r>
          </w:p>
          <w:p w14:paraId="4420C9F3" w14:textId="77777777" w:rsidR="00051048" w:rsidRPr="00C05886" w:rsidRDefault="00051048" w:rsidP="00B959BA">
            <w:pPr>
              <w:spacing w:line="240" w:lineRule="auto"/>
              <w:rPr>
                <w:sz w:val="22"/>
              </w:rPr>
            </w:pPr>
            <w:r w:rsidRPr="00C05886">
              <w:rPr>
                <w:sz w:val="22"/>
              </w:rPr>
              <w:t>Interaction</w:t>
            </w:r>
          </w:p>
        </w:tc>
        <w:tc>
          <w:tcPr>
            <w:tcW w:w="873" w:type="dxa"/>
          </w:tcPr>
          <w:p w14:paraId="38F05960" w14:textId="77777777" w:rsidR="00051048" w:rsidRPr="00C05886" w:rsidRDefault="00051048" w:rsidP="00B959BA">
            <w:pPr>
              <w:spacing w:line="240" w:lineRule="auto"/>
              <w:rPr>
                <w:sz w:val="22"/>
              </w:rPr>
            </w:pPr>
            <w:r w:rsidRPr="00C05886">
              <w:rPr>
                <w:sz w:val="22"/>
              </w:rPr>
              <w:t>203.6</w:t>
            </w:r>
          </w:p>
          <w:p w14:paraId="77A19981" w14:textId="77777777" w:rsidR="00051048" w:rsidRPr="00C05886" w:rsidRDefault="00051048" w:rsidP="00B959BA">
            <w:pPr>
              <w:spacing w:line="240" w:lineRule="auto"/>
              <w:rPr>
                <w:sz w:val="22"/>
              </w:rPr>
            </w:pPr>
            <w:r w:rsidRPr="00C05886">
              <w:rPr>
                <w:sz w:val="22"/>
              </w:rPr>
              <w:t>1.538</w:t>
            </w:r>
          </w:p>
          <w:p w14:paraId="0D8ADDB5" w14:textId="77777777" w:rsidR="00051048" w:rsidRPr="00C05886" w:rsidRDefault="00051048" w:rsidP="00B959BA">
            <w:pPr>
              <w:spacing w:line="240" w:lineRule="auto"/>
              <w:rPr>
                <w:sz w:val="22"/>
              </w:rPr>
            </w:pPr>
            <w:r w:rsidRPr="00C05886">
              <w:rPr>
                <w:sz w:val="22"/>
              </w:rPr>
              <w:t>13.151</w:t>
            </w:r>
          </w:p>
        </w:tc>
        <w:tc>
          <w:tcPr>
            <w:tcW w:w="1217" w:type="dxa"/>
          </w:tcPr>
          <w:p w14:paraId="23681557" w14:textId="77777777" w:rsidR="00051048" w:rsidRPr="00C05886" w:rsidRDefault="00051048" w:rsidP="00B959BA">
            <w:pPr>
              <w:spacing w:line="240" w:lineRule="auto"/>
              <w:rPr>
                <w:sz w:val="22"/>
              </w:rPr>
            </w:pPr>
            <w:r w:rsidRPr="00C05886">
              <w:rPr>
                <w:sz w:val="22"/>
              </w:rPr>
              <w:t>&lt;0.001</w:t>
            </w:r>
          </w:p>
          <w:p w14:paraId="6B076100" w14:textId="77777777" w:rsidR="00051048" w:rsidRPr="00C05886" w:rsidRDefault="00051048" w:rsidP="00B959BA">
            <w:pPr>
              <w:spacing w:line="240" w:lineRule="auto"/>
              <w:rPr>
                <w:sz w:val="22"/>
              </w:rPr>
            </w:pPr>
            <w:r w:rsidRPr="00C05886">
              <w:rPr>
                <w:sz w:val="22"/>
              </w:rPr>
              <w:t>0.216</w:t>
            </w:r>
          </w:p>
          <w:p w14:paraId="15213843" w14:textId="77777777" w:rsidR="00051048" w:rsidRPr="00C05886" w:rsidRDefault="00051048" w:rsidP="00B959BA">
            <w:pPr>
              <w:spacing w:line="240" w:lineRule="auto"/>
              <w:rPr>
                <w:sz w:val="22"/>
              </w:rPr>
            </w:pPr>
            <w:r w:rsidRPr="00C05886">
              <w:rPr>
                <w:sz w:val="22"/>
              </w:rPr>
              <w:t>&lt;0.001</w:t>
            </w:r>
          </w:p>
        </w:tc>
        <w:tc>
          <w:tcPr>
            <w:tcW w:w="1976" w:type="dxa"/>
          </w:tcPr>
          <w:p w14:paraId="36780E2C" w14:textId="77777777" w:rsidR="00051048" w:rsidRPr="00C05886" w:rsidRDefault="00051048" w:rsidP="00B959BA">
            <w:pPr>
              <w:spacing w:line="240" w:lineRule="auto"/>
              <w:rPr>
                <w:sz w:val="22"/>
              </w:rPr>
            </w:pPr>
            <w:r w:rsidRPr="00C05886">
              <w:rPr>
                <w:sz w:val="22"/>
              </w:rPr>
              <w:t>0.341</w:t>
            </w:r>
          </w:p>
          <w:p w14:paraId="36C491CA" w14:textId="77777777" w:rsidR="00051048" w:rsidRPr="00C05886" w:rsidRDefault="00051048" w:rsidP="00B959BA">
            <w:pPr>
              <w:spacing w:line="240" w:lineRule="auto"/>
              <w:rPr>
                <w:sz w:val="22"/>
              </w:rPr>
            </w:pPr>
            <w:r w:rsidRPr="00C05886">
              <w:rPr>
                <w:sz w:val="22"/>
              </w:rPr>
              <w:t>0.008</w:t>
            </w:r>
          </w:p>
          <w:p w14:paraId="2E19CA20" w14:textId="77777777" w:rsidR="00051048" w:rsidRPr="00C05886" w:rsidRDefault="00051048" w:rsidP="00B959BA">
            <w:pPr>
              <w:spacing w:line="240" w:lineRule="auto"/>
              <w:rPr>
                <w:sz w:val="22"/>
              </w:rPr>
            </w:pPr>
            <w:r w:rsidRPr="00C05886">
              <w:rPr>
                <w:sz w:val="22"/>
              </w:rPr>
              <w:t>0.063</w:t>
            </w:r>
          </w:p>
        </w:tc>
      </w:tr>
      <w:tr w:rsidR="00051048" w:rsidRPr="00C05886" w14:paraId="4A68445A" w14:textId="77777777" w:rsidTr="00B959BA">
        <w:trPr>
          <w:trHeight w:val="510"/>
        </w:trPr>
        <w:tc>
          <w:tcPr>
            <w:tcW w:w="1975" w:type="dxa"/>
          </w:tcPr>
          <w:p w14:paraId="7FAF65B0" w14:textId="77777777" w:rsidR="00051048" w:rsidRPr="00C05886" w:rsidRDefault="00051048" w:rsidP="00B959BA">
            <w:pPr>
              <w:spacing w:line="240" w:lineRule="auto"/>
              <w:rPr>
                <w:sz w:val="22"/>
              </w:rPr>
            </w:pPr>
            <w:r w:rsidRPr="00C05886">
              <w:rPr>
                <w:sz w:val="22"/>
              </w:rPr>
              <w:t>Negative Affect</w:t>
            </w:r>
          </w:p>
        </w:tc>
        <w:tc>
          <w:tcPr>
            <w:tcW w:w="3839" w:type="dxa"/>
          </w:tcPr>
          <w:p w14:paraId="06DCFB0A" w14:textId="77777777" w:rsidR="00051048" w:rsidRPr="00C05886" w:rsidRDefault="00051048" w:rsidP="00B959BA">
            <w:pPr>
              <w:spacing w:line="240" w:lineRule="auto"/>
              <w:rPr>
                <w:sz w:val="22"/>
              </w:rPr>
            </w:pPr>
            <w:r w:rsidRPr="00C05886">
              <w:rPr>
                <w:sz w:val="22"/>
              </w:rPr>
              <w:t>Stage of the procedure</w:t>
            </w:r>
          </w:p>
          <w:p w14:paraId="669769E6" w14:textId="25B393DD" w:rsidR="00051048" w:rsidRPr="00C05886" w:rsidRDefault="00051048" w:rsidP="00B959BA">
            <w:pPr>
              <w:spacing w:line="240" w:lineRule="auto"/>
              <w:rPr>
                <w:sz w:val="22"/>
              </w:rPr>
            </w:pPr>
            <w:r w:rsidRPr="00C05886">
              <w:rPr>
                <w:sz w:val="22"/>
              </w:rPr>
              <w:t xml:space="preserve">Environment </w:t>
            </w:r>
            <w:r w:rsidR="00087BB3">
              <w:rPr>
                <w:sz w:val="22"/>
              </w:rPr>
              <w:t>species richness</w:t>
            </w:r>
          </w:p>
          <w:p w14:paraId="59C69064" w14:textId="77777777" w:rsidR="00051048" w:rsidRPr="00C05886" w:rsidRDefault="00051048" w:rsidP="00B959BA">
            <w:pPr>
              <w:spacing w:line="240" w:lineRule="auto"/>
              <w:rPr>
                <w:sz w:val="22"/>
              </w:rPr>
            </w:pPr>
            <w:r w:rsidRPr="00C05886">
              <w:rPr>
                <w:sz w:val="22"/>
              </w:rPr>
              <w:t>Interaction</w:t>
            </w:r>
          </w:p>
        </w:tc>
        <w:tc>
          <w:tcPr>
            <w:tcW w:w="873" w:type="dxa"/>
          </w:tcPr>
          <w:p w14:paraId="319E457D" w14:textId="77777777" w:rsidR="00051048" w:rsidRPr="00C05886" w:rsidRDefault="00051048" w:rsidP="00B959BA">
            <w:pPr>
              <w:spacing w:line="240" w:lineRule="auto"/>
              <w:rPr>
                <w:sz w:val="22"/>
              </w:rPr>
            </w:pPr>
            <w:r w:rsidRPr="00C05886">
              <w:rPr>
                <w:sz w:val="22"/>
              </w:rPr>
              <w:t>88.75</w:t>
            </w:r>
          </w:p>
          <w:p w14:paraId="1FDC9B3D" w14:textId="77777777" w:rsidR="00051048" w:rsidRPr="00C05886" w:rsidRDefault="00051048" w:rsidP="00B959BA">
            <w:pPr>
              <w:spacing w:line="240" w:lineRule="auto"/>
              <w:rPr>
                <w:sz w:val="22"/>
              </w:rPr>
            </w:pPr>
            <w:r w:rsidRPr="00C05886">
              <w:rPr>
                <w:sz w:val="22"/>
              </w:rPr>
              <w:t>2.536</w:t>
            </w:r>
          </w:p>
          <w:p w14:paraId="6D3C29EE" w14:textId="77777777" w:rsidR="00051048" w:rsidRPr="00C05886" w:rsidRDefault="00051048" w:rsidP="00B959BA">
            <w:pPr>
              <w:spacing w:line="240" w:lineRule="auto"/>
              <w:rPr>
                <w:sz w:val="22"/>
              </w:rPr>
            </w:pPr>
            <w:r w:rsidRPr="00C05886">
              <w:rPr>
                <w:sz w:val="22"/>
              </w:rPr>
              <w:t>0.586</w:t>
            </w:r>
          </w:p>
        </w:tc>
        <w:tc>
          <w:tcPr>
            <w:tcW w:w="1217" w:type="dxa"/>
          </w:tcPr>
          <w:p w14:paraId="38218732" w14:textId="77777777" w:rsidR="00051048" w:rsidRPr="00C05886" w:rsidRDefault="00051048" w:rsidP="00B959BA">
            <w:pPr>
              <w:spacing w:line="240" w:lineRule="auto"/>
              <w:rPr>
                <w:sz w:val="22"/>
              </w:rPr>
            </w:pPr>
            <w:r w:rsidRPr="00C05886">
              <w:rPr>
                <w:sz w:val="22"/>
              </w:rPr>
              <w:t>&lt;0.001</w:t>
            </w:r>
          </w:p>
          <w:p w14:paraId="794C6D31" w14:textId="77777777" w:rsidR="00051048" w:rsidRPr="00C05886" w:rsidRDefault="00051048" w:rsidP="00B959BA">
            <w:pPr>
              <w:spacing w:line="240" w:lineRule="auto"/>
              <w:rPr>
                <w:sz w:val="22"/>
              </w:rPr>
            </w:pPr>
            <w:r w:rsidRPr="00C05886">
              <w:rPr>
                <w:sz w:val="22"/>
              </w:rPr>
              <w:t>0.08</w:t>
            </w:r>
          </w:p>
          <w:p w14:paraId="0405DD73" w14:textId="77777777" w:rsidR="00051048" w:rsidRPr="00C05886" w:rsidRDefault="00051048" w:rsidP="00B959BA">
            <w:pPr>
              <w:spacing w:line="240" w:lineRule="auto"/>
              <w:rPr>
                <w:sz w:val="22"/>
              </w:rPr>
            </w:pPr>
            <w:r w:rsidRPr="00C05886">
              <w:rPr>
                <w:sz w:val="22"/>
              </w:rPr>
              <w:t>0.65</w:t>
            </w:r>
          </w:p>
        </w:tc>
        <w:tc>
          <w:tcPr>
            <w:tcW w:w="1976" w:type="dxa"/>
          </w:tcPr>
          <w:p w14:paraId="700D46F0" w14:textId="77777777" w:rsidR="00051048" w:rsidRPr="00C05886" w:rsidRDefault="00051048" w:rsidP="00B959BA">
            <w:pPr>
              <w:spacing w:line="240" w:lineRule="auto"/>
              <w:rPr>
                <w:sz w:val="22"/>
              </w:rPr>
            </w:pPr>
            <w:r w:rsidRPr="00C05886">
              <w:rPr>
                <w:sz w:val="22"/>
              </w:rPr>
              <w:t>0.184</w:t>
            </w:r>
          </w:p>
          <w:p w14:paraId="48674DF0" w14:textId="77777777" w:rsidR="00051048" w:rsidRPr="00C05886" w:rsidRDefault="00051048" w:rsidP="00B959BA">
            <w:pPr>
              <w:spacing w:line="240" w:lineRule="auto"/>
              <w:rPr>
                <w:sz w:val="22"/>
              </w:rPr>
            </w:pPr>
            <w:r w:rsidRPr="00C05886">
              <w:rPr>
                <w:sz w:val="22"/>
              </w:rPr>
              <w:t>0.013</w:t>
            </w:r>
          </w:p>
          <w:p w14:paraId="3E25C7A1" w14:textId="77777777" w:rsidR="00051048" w:rsidRPr="00C05886" w:rsidRDefault="00051048" w:rsidP="00B959BA">
            <w:pPr>
              <w:spacing w:line="240" w:lineRule="auto"/>
              <w:rPr>
                <w:sz w:val="22"/>
              </w:rPr>
            </w:pPr>
            <w:r w:rsidRPr="00C05886">
              <w:rPr>
                <w:sz w:val="22"/>
              </w:rPr>
              <w:t>0.003</w:t>
            </w:r>
          </w:p>
        </w:tc>
      </w:tr>
    </w:tbl>
    <w:p w14:paraId="1D131ADF" w14:textId="77777777" w:rsidR="00051048" w:rsidRPr="00C05886" w:rsidRDefault="00051048" w:rsidP="005720C7">
      <w:pPr>
        <w:rPr>
          <w:sz w:val="20"/>
          <w:szCs w:val="20"/>
        </w:rPr>
      </w:pPr>
      <w:r w:rsidRPr="00C05886">
        <w:rPr>
          <w:sz w:val="18"/>
          <w:szCs w:val="18"/>
          <w:vertAlign w:val="superscript"/>
        </w:rPr>
        <w:t xml:space="preserve">1 </w:t>
      </w:r>
      <w:r w:rsidRPr="00C05886">
        <w:rPr>
          <w:sz w:val="18"/>
          <w:szCs w:val="18"/>
        </w:rPr>
        <w:t xml:space="preserve">Whitin-subjects component, </w:t>
      </w:r>
      <w:r w:rsidRPr="00C05886">
        <w:rPr>
          <w:sz w:val="18"/>
          <w:szCs w:val="18"/>
          <w:vertAlign w:val="superscript"/>
        </w:rPr>
        <w:t>2</w:t>
      </w:r>
      <w:r w:rsidRPr="00C05886">
        <w:rPr>
          <w:sz w:val="18"/>
          <w:szCs w:val="18"/>
        </w:rPr>
        <w:t xml:space="preserve"> Between-subjects component, </w:t>
      </w:r>
      <w:r w:rsidRPr="00C05886">
        <w:rPr>
          <w:sz w:val="18"/>
          <w:szCs w:val="18"/>
          <w:vertAlign w:val="superscript"/>
        </w:rPr>
        <w:t xml:space="preserve">3 </w:t>
      </w:r>
      <w:r w:rsidRPr="00C05886">
        <w:rPr>
          <w:sz w:val="18"/>
          <w:szCs w:val="18"/>
        </w:rPr>
        <w:t>Within-between-subjects interaction.</w:t>
      </w:r>
    </w:p>
    <w:p w14:paraId="00FA9F41" w14:textId="753C5707" w:rsidR="00051048" w:rsidRPr="00C05886" w:rsidRDefault="00051048" w:rsidP="000229F1">
      <w:r w:rsidRPr="00C05886">
        <w:t xml:space="preserve">The mixed ANOVA showed that all the affect indicators varied during the procedure. The Joviality and Serenity scores decreased after the stressor (stage 2), while Negative Affect increased. After the virtual visit (stage 3), the Joviality scores increased beyond the baseline level for the two green parks but decreased for the car park visitors (Figure 5). Serenity scores increased after the virtual environments, but to a lesser degree in the car park condition compared with the two green parks. Negative affect was reduced after exploring any of the environments (Figure 6). Post-hoc comparisons showed no differences (p &gt; 0.05) between the two </w:t>
      </w:r>
      <w:r w:rsidR="00087BB3">
        <w:t>vegetated parks</w:t>
      </w:r>
      <w:r w:rsidRPr="00C05886">
        <w:t xml:space="preserve"> in all affective indicators.</w:t>
      </w:r>
    </w:p>
    <w:p w14:paraId="787A1E72" w14:textId="07A130F6" w:rsidR="00D9259D" w:rsidRPr="005D7515" w:rsidRDefault="00D9259D" w:rsidP="008A0CE2">
      <w:pPr>
        <w:keepNext/>
        <w:autoSpaceDE w:val="0"/>
        <w:autoSpaceDN w:val="0"/>
        <w:adjustRightInd w:val="0"/>
        <w:spacing w:after="0" w:line="240" w:lineRule="auto"/>
        <w:rPr>
          <w:noProof/>
          <w14:ligatures w14:val="standardContextual"/>
        </w:rPr>
      </w:pPr>
      <w:r>
        <w:rPr>
          <w:noProof/>
          <w14:ligatures w14:val="standardContextual"/>
        </w:rPr>
        <w:lastRenderedPageBreak/>
        <w:drawing>
          <wp:inline distT="0" distB="0" distL="0" distR="0" wp14:anchorId="28A862FF" wp14:editId="319C1C8E">
            <wp:extent cx="2988000" cy="2743200"/>
            <wp:effectExtent l="0" t="0" r="3175" b="0"/>
            <wp:docPr id="1981051675" name="Chart 1">
              <a:extLst xmlns:a="http://schemas.openxmlformats.org/drawingml/2006/main">
                <a:ext uri="{FF2B5EF4-FFF2-40B4-BE49-F238E27FC236}">
                  <a16:creationId xmlns:a16="http://schemas.microsoft.com/office/drawing/2014/main" id="{570754AE-FF6A-8FBE-51B6-59189D939D9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r w:rsidRPr="00134B49" w:rsidDel="00D9259D">
        <w:rPr>
          <w:noProof/>
          <w:lang w:eastAsia="en-GB"/>
        </w:rPr>
        <w:t xml:space="preserve"> </w:t>
      </w:r>
      <w:r w:rsidR="00051048" w:rsidRPr="00C05886">
        <w:t xml:space="preserve"> </w:t>
      </w:r>
      <w:r w:rsidRPr="00D9259D">
        <w:rPr>
          <w:noProof/>
          <w14:ligatures w14:val="standardContextual"/>
        </w:rPr>
        <w:t xml:space="preserve"> </w:t>
      </w:r>
      <w:r>
        <w:rPr>
          <w:noProof/>
          <w14:ligatures w14:val="standardContextual"/>
        </w:rPr>
        <w:drawing>
          <wp:inline distT="0" distB="0" distL="0" distR="0" wp14:anchorId="7BB18347" wp14:editId="59CDA5A1">
            <wp:extent cx="2988000" cy="2743200"/>
            <wp:effectExtent l="0" t="0" r="3175" b="0"/>
            <wp:docPr id="2032153588" name="Chart 1">
              <a:extLst xmlns:a="http://schemas.openxmlformats.org/drawingml/2006/main">
                <a:ext uri="{FF2B5EF4-FFF2-40B4-BE49-F238E27FC236}">
                  <a16:creationId xmlns:a16="http://schemas.microsoft.com/office/drawing/2014/main" id="{5C7574ED-06AD-896E-F0F7-18BEC822E1C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14:paraId="31AEC47B" w14:textId="4DE00111" w:rsidR="00051048" w:rsidRPr="00C05886" w:rsidRDefault="00051048" w:rsidP="008A0CE2">
      <w:pPr>
        <w:pStyle w:val="Caption"/>
      </w:pPr>
      <w:r w:rsidRPr="00C05886">
        <w:t xml:space="preserve">Figure </w:t>
      </w:r>
      <w:r w:rsidR="00B959BA" w:rsidRPr="00C05886">
        <w:t>5</w:t>
      </w:r>
      <w:r w:rsidRPr="00C05886">
        <w:t xml:space="preserve">. Mean affective values for Joviality (Left) and Serenity (Right) at the three stages of the experiment for each level of actual </w:t>
      </w:r>
      <w:r w:rsidR="00087BB3">
        <w:t>species richness</w:t>
      </w:r>
    </w:p>
    <w:p w14:paraId="18B4797E" w14:textId="2595CFC1" w:rsidR="00051048" w:rsidRPr="00C05886" w:rsidRDefault="00D9259D" w:rsidP="00B072B6">
      <w:pPr>
        <w:keepNext/>
        <w:autoSpaceDE w:val="0"/>
        <w:autoSpaceDN w:val="0"/>
        <w:adjustRightInd w:val="0"/>
        <w:spacing w:after="0" w:line="240" w:lineRule="auto"/>
      </w:pPr>
      <w:r w:rsidRPr="00D9259D">
        <w:rPr>
          <w:noProof/>
          <w14:ligatures w14:val="standardContextual"/>
        </w:rPr>
        <w:t xml:space="preserve"> </w:t>
      </w:r>
      <w:r>
        <w:rPr>
          <w:noProof/>
          <w14:ligatures w14:val="standardContextual"/>
        </w:rPr>
        <w:drawing>
          <wp:inline distT="0" distB="0" distL="0" distR="0" wp14:anchorId="036A46E0" wp14:editId="5B53A663">
            <wp:extent cx="2988000" cy="2743200"/>
            <wp:effectExtent l="0" t="0" r="3175" b="0"/>
            <wp:docPr id="110288627" name="Chart 1">
              <a:extLst xmlns:a="http://schemas.openxmlformats.org/drawingml/2006/main">
                <a:ext uri="{FF2B5EF4-FFF2-40B4-BE49-F238E27FC236}">
                  <a16:creationId xmlns:a16="http://schemas.microsoft.com/office/drawing/2014/main" id="{ACECE6E0-3468-00E3-E8E7-E4450687329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14:paraId="5EA58796" w14:textId="7F4FEC23" w:rsidR="00051048" w:rsidRPr="00C05886" w:rsidRDefault="00051048" w:rsidP="008A0CE2">
      <w:pPr>
        <w:pStyle w:val="Caption"/>
        <w:rPr>
          <w:rFonts w:ascii="Times New Roman" w:hAnsi="Times New Roman" w:cs="Times New Roman"/>
          <w:kern w:val="0"/>
          <w:sz w:val="24"/>
          <w:szCs w:val="24"/>
        </w:rPr>
      </w:pPr>
      <w:r w:rsidRPr="00C05886">
        <w:t xml:space="preserve">Figure </w:t>
      </w:r>
      <w:r w:rsidR="00B959BA" w:rsidRPr="00C05886">
        <w:t>6</w:t>
      </w:r>
      <w:r w:rsidRPr="00C05886">
        <w:t xml:space="preserve">. Mean Negative Affect values at the three stages of the experiment for each level of actual </w:t>
      </w:r>
      <w:r w:rsidR="00087BB3">
        <w:t>species richness</w:t>
      </w:r>
      <w:r w:rsidRPr="00C05886">
        <w:t>.</w:t>
      </w:r>
    </w:p>
    <w:p w14:paraId="1F5E87D9" w14:textId="77777777" w:rsidR="00B959BA" w:rsidRPr="00C05886" w:rsidRDefault="00B959BA">
      <w:pPr>
        <w:spacing w:line="259" w:lineRule="auto"/>
        <w:jc w:val="left"/>
        <w:rPr>
          <w:rFonts w:eastAsiaTheme="majorEastAsia" w:cstheme="majorBidi"/>
          <w:b/>
          <w:kern w:val="2"/>
          <w:sz w:val="28"/>
          <w:szCs w:val="24"/>
          <w14:ligatures w14:val="standardContextual"/>
        </w:rPr>
      </w:pPr>
      <w:r w:rsidRPr="00C05886">
        <w:br w:type="page"/>
      </w:r>
    </w:p>
    <w:p w14:paraId="0F4F7F84" w14:textId="3822F06E" w:rsidR="00051048" w:rsidRPr="00C05886" w:rsidRDefault="00051048" w:rsidP="00051048">
      <w:pPr>
        <w:pStyle w:val="Heading3"/>
      </w:pPr>
      <w:bookmarkStart w:id="161" w:name="_Toc179962399"/>
      <w:r w:rsidRPr="00C05886">
        <w:lastRenderedPageBreak/>
        <w:t xml:space="preserve">Affective response to the perceived </w:t>
      </w:r>
      <w:r w:rsidR="00087BB3">
        <w:t>species richness</w:t>
      </w:r>
      <w:bookmarkEnd w:id="161"/>
    </w:p>
    <w:p w14:paraId="77DBAA0A" w14:textId="77777777" w:rsidR="00051048" w:rsidRPr="00C05886" w:rsidRDefault="00051048" w:rsidP="00C14C65">
      <w:r w:rsidRPr="00C05886">
        <w:t>The participants’ perceived number of species was in line with the environments’ grey-green axis, with most participants perceiving zero species in the car park and similar numbers of participants perceiving some or a lot of species in the two green parks (Table 4).</w:t>
      </w:r>
    </w:p>
    <w:p w14:paraId="41173F96" w14:textId="68E6CFBE" w:rsidR="00051048" w:rsidRPr="00C05886" w:rsidRDefault="00051048" w:rsidP="00F25A82">
      <w:pPr>
        <w:pStyle w:val="Caption"/>
        <w:keepNext/>
      </w:pPr>
      <w:r w:rsidRPr="00C05886">
        <w:t xml:space="preserve">Table </w:t>
      </w:r>
      <w:r w:rsidR="00B959BA" w:rsidRPr="00C05886">
        <w:t>4</w:t>
      </w:r>
      <w:r w:rsidRPr="00C05886">
        <w:t>. Count of the participants’ perceptions of biodiversity in each virtual environment.</w:t>
      </w:r>
    </w:p>
    <w:tbl>
      <w:tblPr>
        <w:tblStyle w:val="TableGrid"/>
        <w:tblW w:w="0" w:type="auto"/>
        <w:tblLook w:val="04A0" w:firstRow="1" w:lastRow="0" w:firstColumn="1" w:lastColumn="0" w:noHBand="0" w:noVBand="1"/>
      </w:tblPr>
      <w:tblGrid>
        <w:gridCol w:w="2407"/>
        <w:gridCol w:w="2407"/>
        <w:gridCol w:w="2407"/>
        <w:gridCol w:w="2407"/>
      </w:tblGrid>
      <w:tr w:rsidR="00051048" w:rsidRPr="00C05886" w14:paraId="5458F02B" w14:textId="77777777" w:rsidTr="00C14C65">
        <w:tc>
          <w:tcPr>
            <w:tcW w:w="2407" w:type="dxa"/>
          </w:tcPr>
          <w:p w14:paraId="33EF445F" w14:textId="77777777" w:rsidR="00051048" w:rsidRPr="00C05886" w:rsidRDefault="00051048" w:rsidP="00051048">
            <w:pPr>
              <w:spacing w:line="240" w:lineRule="auto"/>
              <w:rPr>
                <w:sz w:val="22"/>
              </w:rPr>
            </w:pPr>
            <w:r w:rsidRPr="00C05886">
              <w:rPr>
                <w:sz w:val="22"/>
              </w:rPr>
              <w:t>Perceived biodiversity</w:t>
            </w:r>
          </w:p>
        </w:tc>
        <w:tc>
          <w:tcPr>
            <w:tcW w:w="2407" w:type="dxa"/>
          </w:tcPr>
          <w:p w14:paraId="7D1EB30B" w14:textId="77777777" w:rsidR="00051048" w:rsidRPr="00C05886" w:rsidRDefault="00051048" w:rsidP="00051048">
            <w:pPr>
              <w:spacing w:line="240" w:lineRule="auto"/>
              <w:rPr>
                <w:sz w:val="22"/>
              </w:rPr>
            </w:pPr>
            <w:r w:rsidRPr="00C05886">
              <w:rPr>
                <w:sz w:val="22"/>
              </w:rPr>
              <w:t>Car park</w:t>
            </w:r>
          </w:p>
        </w:tc>
        <w:tc>
          <w:tcPr>
            <w:tcW w:w="2407" w:type="dxa"/>
          </w:tcPr>
          <w:p w14:paraId="1DC7B897" w14:textId="77777777" w:rsidR="00051048" w:rsidRPr="00C05886" w:rsidRDefault="00051048" w:rsidP="00051048">
            <w:pPr>
              <w:spacing w:line="240" w:lineRule="auto"/>
              <w:rPr>
                <w:sz w:val="22"/>
              </w:rPr>
            </w:pPr>
            <w:r w:rsidRPr="00C05886">
              <w:rPr>
                <w:sz w:val="22"/>
              </w:rPr>
              <w:t>Low biodiversity park</w:t>
            </w:r>
          </w:p>
        </w:tc>
        <w:tc>
          <w:tcPr>
            <w:tcW w:w="2407" w:type="dxa"/>
          </w:tcPr>
          <w:p w14:paraId="12013B9F" w14:textId="77777777" w:rsidR="00051048" w:rsidRPr="00C05886" w:rsidRDefault="00051048" w:rsidP="00051048">
            <w:pPr>
              <w:spacing w:line="240" w:lineRule="auto"/>
              <w:rPr>
                <w:sz w:val="22"/>
              </w:rPr>
            </w:pPr>
            <w:r w:rsidRPr="00C05886">
              <w:rPr>
                <w:sz w:val="22"/>
              </w:rPr>
              <w:t>High biodiversity park</w:t>
            </w:r>
          </w:p>
        </w:tc>
      </w:tr>
      <w:tr w:rsidR="00051048" w:rsidRPr="00C05886" w14:paraId="3AA78C0E" w14:textId="77777777" w:rsidTr="00C14C65">
        <w:tc>
          <w:tcPr>
            <w:tcW w:w="2407" w:type="dxa"/>
          </w:tcPr>
          <w:p w14:paraId="73027E4E" w14:textId="77777777" w:rsidR="00051048" w:rsidRPr="00C05886" w:rsidRDefault="00051048" w:rsidP="00051048">
            <w:pPr>
              <w:spacing w:line="240" w:lineRule="auto"/>
              <w:rPr>
                <w:sz w:val="22"/>
              </w:rPr>
            </w:pPr>
            <w:r w:rsidRPr="00C05886">
              <w:rPr>
                <w:sz w:val="22"/>
              </w:rPr>
              <w:t>No species</w:t>
            </w:r>
          </w:p>
        </w:tc>
        <w:tc>
          <w:tcPr>
            <w:tcW w:w="2407" w:type="dxa"/>
          </w:tcPr>
          <w:p w14:paraId="41B46AA0" w14:textId="77777777" w:rsidR="00051048" w:rsidRPr="00C05886" w:rsidRDefault="00051048" w:rsidP="00051048">
            <w:pPr>
              <w:spacing w:line="240" w:lineRule="auto"/>
              <w:rPr>
                <w:sz w:val="22"/>
              </w:rPr>
            </w:pPr>
            <w:r w:rsidRPr="00C05886">
              <w:rPr>
                <w:sz w:val="22"/>
              </w:rPr>
              <w:t>101</w:t>
            </w:r>
          </w:p>
        </w:tc>
        <w:tc>
          <w:tcPr>
            <w:tcW w:w="2407" w:type="dxa"/>
          </w:tcPr>
          <w:p w14:paraId="416B525E" w14:textId="77777777" w:rsidR="00051048" w:rsidRPr="00C05886" w:rsidRDefault="00051048" w:rsidP="00051048">
            <w:pPr>
              <w:spacing w:line="240" w:lineRule="auto"/>
              <w:rPr>
                <w:sz w:val="22"/>
              </w:rPr>
            </w:pPr>
            <w:r w:rsidRPr="00C05886">
              <w:rPr>
                <w:sz w:val="22"/>
              </w:rPr>
              <w:t>1</w:t>
            </w:r>
          </w:p>
        </w:tc>
        <w:tc>
          <w:tcPr>
            <w:tcW w:w="2407" w:type="dxa"/>
          </w:tcPr>
          <w:p w14:paraId="4D43BC9C" w14:textId="77777777" w:rsidR="00051048" w:rsidRPr="00C05886" w:rsidRDefault="00051048" w:rsidP="00051048">
            <w:pPr>
              <w:spacing w:line="240" w:lineRule="auto"/>
              <w:rPr>
                <w:sz w:val="22"/>
              </w:rPr>
            </w:pPr>
            <w:r w:rsidRPr="00C05886">
              <w:rPr>
                <w:sz w:val="22"/>
              </w:rPr>
              <w:t>0</w:t>
            </w:r>
          </w:p>
        </w:tc>
      </w:tr>
      <w:tr w:rsidR="00051048" w:rsidRPr="00C05886" w14:paraId="4ED5075C" w14:textId="77777777" w:rsidTr="00C14C65">
        <w:tc>
          <w:tcPr>
            <w:tcW w:w="2407" w:type="dxa"/>
          </w:tcPr>
          <w:p w14:paraId="48B4D7B1" w14:textId="77777777" w:rsidR="00051048" w:rsidRPr="00C05886" w:rsidRDefault="00051048" w:rsidP="00051048">
            <w:pPr>
              <w:spacing w:line="240" w:lineRule="auto"/>
              <w:rPr>
                <w:sz w:val="22"/>
              </w:rPr>
            </w:pPr>
            <w:r w:rsidRPr="00C05886">
              <w:rPr>
                <w:sz w:val="22"/>
              </w:rPr>
              <w:t>A few</w:t>
            </w:r>
          </w:p>
        </w:tc>
        <w:tc>
          <w:tcPr>
            <w:tcW w:w="2407" w:type="dxa"/>
          </w:tcPr>
          <w:p w14:paraId="5CC37CA3" w14:textId="77777777" w:rsidR="00051048" w:rsidRPr="00C05886" w:rsidRDefault="00051048" w:rsidP="00051048">
            <w:pPr>
              <w:spacing w:line="240" w:lineRule="auto"/>
              <w:rPr>
                <w:sz w:val="22"/>
              </w:rPr>
            </w:pPr>
            <w:r w:rsidRPr="00C05886">
              <w:rPr>
                <w:sz w:val="22"/>
              </w:rPr>
              <w:t>21</w:t>
            </w:r>
          </w:p>
        </w:tc>
        <w:tc>
          <w:tcPr>
            <w:tcW w:w="2407" w:type="dxa"/>
          </w:tcPr>
          <w:p w14:paraId="5291632A" w14:textId="77777777" w:rsidR="00051048" w:rsidRPr="00C05886" w:rsidRDefault="00051048" w:rsidP="00051048">
            <w:pPr>
              <w:spacing w:line="240" w:lineRule="auto"/>
              <w:rPr>
                <w:sz w:val="22"/>
              </w:rPr>
            </w:pPr>
            <w:r w:rsidRPr="00C05886">
              <w:rPr>
                <w:sz w:val="22"/>
              </w:rPr>
              <w:t>5</w:t>
            </w:r>
          </w:p>
        </w:tc>
        <w:tc>
          <w:tcPr>
            <w:tcW w:w="2407" w:type="dxa"/>
          </w:tcPr>
          <w:p w14:paraId="2E9615F4" w14:textId="77777777" w:rsidR="00051048" w:rsidRPr="00C05886" w:rsidRDefault="00051048" w:rsidP="00051048">
            <w:pPr>
              <w:spacing w:line="240" w:lineRule="auto"/>
              <w:rPr>
                <w:sz w:val="22"/>
              </w:rPr>
            </w:pPr>
            <w:r w:rsidRPr="00C05886">
              <w:rPr>
                <w:sz w:val="22"/>
              </w:rPr>
              <w:t>3</w:t>
            </w:r>
          </w:p>
        </w:tc>
      </w:tr>
      <w:tr w:rsidR="00051048" w:rsidRPr="00C05886" w14:paraId="47A78A05" w14:textId="77777777" w:rsidTr="00C14C65">
        <w:tc>
          <w:tcPr>
            <w:tcW w:w="2407" w:type="dxa"/>
          </w:tcPr>
          <w:p w14:paraId="5D882678" w14:textId="77777777" w:rsidR="00051048" w:rsidRPr="00C05886" w:rsidRDefault="00051048" w:rsidP="00051048">
            <w:pPr>
              <w:spacing w:line="240" w:lineRule="auto"/>
              <w:rPr>
                <w:sz w:val="22"/>
              </w:rPr>
            </w:pPr>
            <w:r w:rsidRPr="00C05886">
              <w:rPr>
                <w:sz w:val="22"/>
              </w:rPr>
              <w:t>Some</w:t>
            </w:r>
          </w:p>
        </w:tc>
        <w:tc>
          <w:tcPr>
            <w:tcW w:w="2407" w:type="dxa"/>
          </w:tcPr>
          <w:p w14:paraId="4B389F76" w14:textId="77777777" w:rsidR="00051048" w:rsidRPr="00C05886" w:rsidRDefault="00051048" w:rsidP="00051048">
            <w:pPr>
              <w:spacing w:line="240" w:lineRule="auto"/>
              <w:rPr>
                <w:sz w:val="22"/>
              </w:rPr>
            </w:pPr>
            <w:r w:rsidRPr="00C05886">
              <w:rPr>
                <w:sz w:val="22"/>
              </w:rPr>
              <w:t>17</w:t>
            </w:r>
          </w:p>
        </w:tc>
        <w:tc>
          <w:tcPr>
            <w:tcW w:w="2407" w:type="dxa"/>
          </w:tcPr>
          <w:p w14:paraId="564A51D9" w14:textId="77777777" w:rsidR="00051048" w:rsidRPr="00C05886" w:rsidRDefault="00051048" w:rsidP="00051048">
            <w:pPr>
              <w:spacing w:line="240" w:lineRule="auto"/>
              <w:rPr>
                <w:sz w:val="22"/>
              </w:rPr>
            </w:pPr>
            <w:r w:rsidRPr="00C05886">
              <w:rPr>
                <w:sz w:val="22"/>
              </w:rPr>
              <w:t>42</w:t>
            </w:r>
          </w:p>
        </w:tc>
        <w:tc>
          <w:tcPr>
            <w:tcW w:w="2407" w:type="dxa"/>
          </w:tcPr>
          <w:p w14:paraId="7C32E5D1" w14:textId="77777777" w:rsidR="00051048" w:rsidRPr="00C05886" w:rsidRDefault="00051048" w:rsidP="00051048">
            <w:pPr>
              <w:spacing w:line="240" w:lineRule="auto"/>
              <w:rPr>
                <w:sz w:val="22"/>
              </w:rPr>
            </w:pPr>
            <w:r w:rsidRPr="00C05886">
              <w:rPr>
                <w:sz w:val="22"/>
              </w:rPr>
              <w:t>33</w:t>
            </w:r>
          </w:p>
        </w:tc>
      </w:tr>
      <w:tr w:rsidR="00051048" w:rsidRPr="00C05886" w14:paraId="46434588" w14:textId="77777777" w:rsidTr="00C14C65">
        <w:tc>
          <w:tcPr>
            <w:tcW w:w="2407" w:type="dxa"/>
          </w:tcPr>
          <w:p w14:paraId="0166CED7" w14:textId="77777777" w:rsidR="00051048" w:rsidRPr="00C05886" w:rsidRDefault="00051048" w:rsidP="00051048">
            <w:pPr>
              <w:spacing w:line="240" w:lineRule="auto"/>
              <w:rPr>
                <w:sz w:val="22"/>
              </w:rPr>
            </w:pPr>
            <w:r w:rsidRPr="00C05886">
              <w:rPr>
                <w:sz w:val="22"/>
              </w:rPr>
              <w:t>A lot</w:t>
            </w:r>
          </w:p>
        </w:tc>
        <w:tc>
          <w:tcPr>
            <w:tcW w:w="2407" w:type="dxa"/>
          </w:tcPr>
          <w:p w14:paraId="6019CC98" w14:textId="77777777" w:rsidR="00051048" w:rsidRPr="00C05886" w:rsidRDefault="00051048" w:rsidP="00051048">
            <w:pPr>
              <w:spacing w:line="240" w:lineRule="auto"/>
              <w:rPr>
                <w:sz w:val="22"/>
              </w:rPr>
            </w:pPr>
            <w:r w:rsidRPr="00C05886">
              <w:rPr>
                <w:sz w:val="22"/>
              </w:rPr>
              <w:t>2</w:t>
            </w:r>
          </w:p>
        </w:tc>
        <w:tc>
          <w:tcPr>
            <w:tcW w:w="2407" w:type="dxa"/>
          </w:tcPr>
          <w:p w14:paraId="58CACFCA" w14:textId="77777777" w:rsidR="00051048" w:rsidRPr="00C05886" w:rsidRDefault="00051048" w:rsidP="00051048">
            <w:pPr>
              <w:spacing w:line="240" w:lineRule="auto"/>
              <w:rPr>
                <w:sz w:val="22"/>
              </w:rPr>
            </w:pPr>
            <w:r w:rsidRPr="00C05886">
              <w:rPr>
                <w:sz w:val="22"/>
              </w:rPr>
              <w:t>78</w:t>
            </w:r>
          </w:p>
        </w:tc>
        <w:tc>
          <w:tcPr>
            <w:tcW w:w="2407" w:type="dxa"/>
          </w:tcPr>
          <w:p w14:paraId="77926540" w14:textId="77777777" w:rsidR="00051048" w:rsidRPr="00C05886" w:rsidRDefault="00051048" w:rsidP="00051048">
            <w:pPr>
              <w:spacing w:line="240" w:lineRule="auto"/>
              <w:rPr>
                <w:sz w:val="22"/>
              </w:rPr>
            </w:pPr>
            <w:r w:rsidRPr="00C05886">
              <w:rPr>
                <w:sz w:val="22"/>
              </w:rPr>
              <w:t>93</w:t>
            </w:r>
          </w:p>
        </w:tc>
      </w:tr>
    </w:tbl>
    <w:p w14:paraId="1DCF40DC" w14:textId="77777777" w:rsidR="00051048" w:rsidRPr="00C05886" w:rsidRDefault="00051048" w:rsidP="00C14C65"/>
    <w:p w14:paraId="32F7F238" w14:textId="2F6E6D3A" w:rsidR="00051048" w:rsidRPr="00C05886" w:rsidRDefault="00051048" w:rsidP="00C14C65">
      <w:r w:rsidRPr="00C05886">
        <w:t xml:space="preserve">The mixed ANOVA showed a significant interaction effect of the perceived </w:t>
      </w:r>
      <w:r w:rsidR="00087BB3" w:rsidRPr="00087BB3">
        <w:t>species richness</w:t>
      </w:r>
      <w:r w:rsidR="00087BB3" w:rsidRPr="00087BB3" w:rsidDel="00087BB3">
        <w:t xml:space="preserve"> </w:t>
      </w:r>
      <w:r w:rsidRPr="00C05886">
        <w:t>over all of the affective scores (Table 5). Post hoc tests showed that after visiting the virtual environment, those who perceived zero species showed significantly lower Joviality and Serenity and higher Negative Affect, compared with those who perceived some or a lot of species (Figures 7 and 8).</w:t>
      </w:r>
      <w:r w:rsidR="004567A7">
        <w:t xml:space="preserve"> </w:t>
      </w:r>
      <w:r w:rsidR="00FD4694">
        <w:t>Since 99% of those who perceived “no species” were conflated with the car park virtual environment</w:t>
      </w:r>
      <w:r w:rsidR="004567A7">
        <w:t xml:space="preserve">, </w:t>
      </w:r>
      <w:r w:rsidR="00FD4694">
        <w:t xml:space="preserve">another mixed ANOVA model was used to compare the effect of perceiving “a few” species or more on the emotional response (Table 5, in parenthesis). The analysis showed that those who perceived “a lot” of species had increased Joviality (but not improved Serenity or negative Affect) after </w:t>
      </w:r>
      <w:r w:rsidR="00FD4694" w:rsidRPr="00C05886">
        <w:t>visiting the virtual environment</w:t>
      </w:r>
      <w:r w:rsidR="00FD4694">
        <w:t>, compared with those who perceived “some species” or less. However, post-hoc comparisons showed that this difference in Joviality was not statistically significant (</w:t>
      </w:r>
      <w:r w:rsidR="00161D15">
        <w:t>p</w:t>
      </w:r>
      <w:r w:rsidR="00FD4694">
        <w:t xml:space="preserve"> &gt; 0.10).</w:t>
      </w:r>
    </w:p>
    <w:p w14:paraId="6D140DF5" w14:textId="3A610590" w:rsidR="00051048" w:rsidRPr="00C05886" w:rsidRDefault="00051048" w:rsidP="00FF3ABF">
      <w:pPr>
        <w:pStyle w:val="Caption"/>
        <w:keepNext/>
      </w:pPr>
      <w:r w:rsidRPr="00C05886">
        <w:t xml:space="preserve">Table </w:t>
      </w:r>
      <w:r w:rsidR="00B959BA" w:rsidRPr="00C05886">
        <w:t>5</w:t>
      </w:r>
      <w:r w:rsidRPr="00C05886">
        <w:t xml:space="preserve">. Summary of the mixed ANOVA. Dependent variable: perceived </w:t>
      </w:r>
      <w:r w:rsidR="00087BB3">
        <w:t>species richness</w:t>
      </w:r>
    </w:p>
    <w:tbl>
      <w:tblPr>
        <w:tblStyle w:val="TableGrid"/>
        <w:tblW w:w="0" w:type="auto"/>
        <w:tblLook w:val="04A0" w:firstRow="1" w:lastRow="0" w:firstColumn="1" w:lastColumn="0" w:noHBand="0" w:noVBand="1"/>
      </w:tblPr>
      <w:tblGrid>
        <w:gridCol w:w="1925"/>
        <w:gridCol w:w="2606"/>
        <w:gridCol w:w="1418"/>
        <w:gridCol w:w="1753"/>
        <w:gridCol w:w="1926"/>
      </w:tblGrid>
      <w:tr w:rsidR="00051048" w:rsidRPr="00C05886" w14:paraId="1E0A428F" w14:textId="77777777" w:rsidTr="00150991">
        <w:tc>
          <w:tcPr>
            <w:tcW w:w="1925" w:type="dxa"/>
          </w:tcPr>
          <w:p w14:paraId="35685203" w14:textId="77777777" w:rsidR="00051048" w:rsidRPr="00C05886" w:rsidRDefault="00051048" w:rsidP="00051048">
            <w:pPr>
              <w:spacing w:line="240" w:lineRule="auto"/>
              <w:rPr>
                <w:b/>
                <w:bCs/>
                <w:sz w:val="22"/>
              </w:rPr>
            </w:pPr>
            <w:r w:rsidRPr="00C05886">
              <w:rPr>
                <w:b/>
                <w:bCs/>
                <w:sz w:val="22"/>
              </w:rPr>
              <w:t>Affective indicator</w:t>
            </w:r>
          </w:p>
        </w:tc>
        <w:tc>
          <w:tcPr>
            <w:tcW w:w="2606" w:type="dxa"/>
          </w:tcPr>
          <w:p w14:paraId="7E1F070A" w14:textId="77777777" w:rsidR="00051048" w:rsidRPr="00C05886" w:rsidRDefault="00051048" w:rsidP="00051048">
            <w:pPr>
              <w:spacing w:line="240" w:lineRule="auto"/>
              <w:rPr>
                <w:b/>
                <w:bCs/>
                <w:sz w:val="22"/>
              </w:rPr>
            </w:pPr>
            <w:r w:rsidRPr="00C05886">
              <w:rPr>
                <w:b/>
                <w:bCs/>
                <w:sz w:val="22"/>
              </w:rPr>
              <w:t>Analysis component</w:t>
            </w:r>
          </w:p>
        </w:tc>
        <w:tc>
          <w:tcPr>
            <w:tcW w:w="1418" w:type="dxa"/>
          </w:tcPr>
          <w:p w14:paraId="075E158E" w14:textId="77777777" w:rsidR="00051048" w:rsidRPr="00C05886" w:rsidRDefault="00051048" w:rsidP="00051048">
            <w:pPr>
              <w:spacing w:line="240" w:lineRule="auto"/>
              <w:rPr>
                <w:b/>
                <w:bCs/>
                <w:sz w:val="22"/>
              </w:rPr>
            </w:pPr>
            <w:r w:rsidRPr="00C05886">
              <w:rPr>
                <w:b/>
                <w:bCs/>
                <w:sz w:val="22"/>
              </w:rPr>
              <w:t>F</w:t>
            </w:r>
          </w:p>
        </w:tc>
        <w:tc>
          <w:tcPr>
            <w:tcW w:w="1753" w:type="dxa"/>
          </w:tcPr>
          <w:p w14:paraId="3F6D9312" w14:textId="77777777" w:rsidR="00051048" w:rsidRPr="00C05886" w:rsidRDefault="00051048" w:rsidP="00051048">
            <w:pPr>
              <w:spacing w:line="240" w:lineRule="auto"/>
              <w:rPr>
                <w:b/>
                <w:bCs/>
                <w:sz w:val="22"/>
              </w:rPr>
            </w:pPr>
            <w:r w:rsidRPr="00C05886">
              <w:rPr>
                <w:b/>
                <w:bCs/>
                <w:sz w:val="22"/>
              </w:rPr>
              <w:t>P-value</w:t>
            </w:r>
          </w:p>
        </w:tc>
        <w:tc>
          <w:tcPr>
            <w:tcW w:w="1926" w:type="dxa"/>
          </w:tcPr>
          <w:p w14:paraId="69AFF300" w14:textId="77777777" w:rsidR="00051048" w:rsidRPr="00C05886" w:rsidRDefault="00051048" w:rsidP="00051048">
            <w:pPr>
              <w:spacing w:line="240" w:lineRule="auto"/>
              <w:rPr>
                <w:b/>
                <w:bCs/>
                <w:sz w:val="22"/>
              </w:rPr>
            </w:pPr>
            <w:r w:rsidRPr="00C05886">
              <w:rPr>
                <w:b/>
                <w:bCs/>
                <w:sz w:val="22"/>
              </w:rPr>
              <w:t>Partial eta squared</w:t>
            </w:r>
          </w:p>
        </w:tc>
      </w:tr>
      <w:tr w:rsidR="00051048" w:rsidRPr="00C05886" w14:paraId="004CC3A5" w14:textId="77777777" w:rsidTr="00150991">
        <w:tc>
          <w:tcPr>
            <w:tcW w:w="1925" w:type="dxa"/>
          </w:tcPr>
          <w:p w14:paraId="0AA82F96" w14:textId="77777777" w:rsidR="00051048" w:rsidRPr="00C05886" w:rsidRDefault="00051048" w:rsidP="00051048">
            <w:pPr>
              <w:spacing w:line="240" w:lineRule="auto"/>
              <w:rPr>
                <w:sz w:val="22"/>
              </w:rPr>
            </w:pPr>
            <w:r w:rsidRPr="00C05886">
              <w:rPr>
                <w:sz w:val="22"/>
              </w:rPr>
              <w:t>Joviality</w:t>
            </w:r>
          </w:p>
        </w:tc>
        <w:tc>
          <w:tcPr>
            <w:tcW w:w="2606" w:type="dxa"/>
          </w:tcPr>
          <w:p w14:paraId="7136337A" w14:textId="77777777" w:rsidR="00051048" w:rsidRPr="00C05886" w:rsidRDefault="00051048" w:rsidP="00051048">
            <w:pPr>
              <w:spacing w:line="240" w:lineRule="auto"/>
              <w:rPr>
                <w:sz w:val="22"/>
              </w:rPr>
            </w:pPr>
            <w:r w:rsidRPr="00C05886">
              <w:rPr>
                <w:sz w:val="22"/>
              </w:rPr>
              <w:t>Stage of the procedure</w:t>
            </w:r>
            <w:r w:rsidRPr="00C05886">
              <w:rPr>
                <w:sz w:val="22"/>
                <w:vertAlign w:val="superscript"/>
              </w:rPr>
              <w:t>1</w:t>
            </w:r>
          </w:p>
          <w:p w14:paraId="4761D30B" w14:textId="2B711508" w:rsidR="00051048" w:rsidRPr="00C05886" w:rsidRDefault="00051048" w:rsidP="00051048">
            <w:pPr>
              <w:spacing w:line="240" w:lineRule="auto"/>
              <w:rPr>
                <w:sz w:val="22"/>
              </w:rPr>
            </w:pPr>
            <w:r w:rsidRPr="00C05886">
              <w:rPr>
                <w:sz w:val="22"/>
              </w:rPr>
              <w:t>Perc</w:t>
            </w:r>
            <w:r w:rsidR="00087BB3">
              <w:rPr>
                <w:sz w:val="22"/>
              </w:rPr>
              <w:t xml:space="preserve">. </w:t>
            </w:r>
            <w:r w:rsidR="00087BB3" w:rsidRPr="00087BB3">
              <w:t>species richness</w:t>
            </w:r>
            <w:r w:rsidRPr="00C05886">
              <w:rPr>
                <w:sz w:val="22"/>
                <w:vertAlign w:val="superscript"/>
              </w:rPr>
              <w:t>2</w:t>
            </w:r>
          </w:p>
          <w:p w14:paraId="0EEA336D" w14:textId="77777777" w:rsidR="00051048" w:rsidRPr="00C05886" w:rsidRDefault="00051048" w:rsidP="00051048">
            <w:pPr>
              <w:spacing w:line="240" w:lineRule="auto"/>
              <w:rPr>
                <w:sz w:val="22"/>
              </w:rPr>
            </w:pPr>
            <w:r w:rsidRPr="00C05886">
              <w:rPr>
                <w:sz w:val="22"/>
              </w:rPr>
              <w:t>Interaction</w:t>
            </w:r>
            <w:r w:rsidRPr="00C05886">
              <w:rPr>
                <w:sz w:val="22"/>
                <w:vertAlign w:val="superscript"/>
              </w:rPr>
              <w:t>3</w:t>
            </w:r>
          </w:p>
        </w:tc>
        <w:tc>
          <w:tcPr>
            <w:tcW w:w="1418" w:type="dxa"/>
          </w:tcPr>
          <w:p w14:paraId="49C39BB0" w14:textId="473F769A" w:rsidR="00051048" w:rsidRPr="00C05886" w:rsidRDefault="00051048" w:rsidP="00051048">
            <w:pPr>
              <w:spacing w:line="240" w:lineRule="auto"/>
              <w:rPr>
                <w:sz w:val="22"/>
              </w:rPr>
            </w:pPr>
            <w:r w:rsidRPr="00C05886">
              <w:rPr>
                <w:sz w:val="22"/>
              </w:rPr>
              <w:t>47.11 (</w:t>
            </w:r>
            <w:r w:rsidR="00023E22">
              <w:rPr>
                <w:sz w:val="22"/>
              </w:rPr>
              <w:t>39</w:t>
            </w:r>
            <w:r w:rsidRPr="00C05886">
              <w:rPr>
                <w:sz w:val="22"/>
              </w:rPr>
              <w:t>.6)</w:t>
            </w:r>
          </w:p>
          <w:p w14:paraId="70388687" w14:textId="68B5DB71" w:rsidR="00051048" w:rsidRPr="00C05886" w:rsidRDefault="00051048" w:rsidP="00051048">
            <w:pPr>
              <w:spacing w:line="240" w:lineRule="auto"/>
              <w:rPr>
                <w:sz w:val="22"/>
              </w:rPr>
            </w:pPr>
            <w:r w:rsidRPr="00C05886">
              <w:rPr>
                <w:sz w:val="22"/>
              </w:rPr>
              <w:t>3.76 (</w:t>
            </w:r>
            <w:r w:rsidR="00023E22">
              <w:rPr>
                <w:sz w:val="22"/>
              </w:rPr>
              <w:t>0.58</w:t>
            </w:r>
            <w:r w:rsidRPr="00C05886">
              <w:rPr>
                <w:sz w:val="22"/>
              </w:rPr>
              <w:t>)</w:t>
            </w:r>
          </w:p>
          <w:p w14:paraId="438DCFD8" w14:textId="437865D7" w:rsidR="00051048" w:rsidRPr="00C05886" w:rsidRDefault="00051048" w:rsidP="00051048">
            <w:pPr>
              <w:spacing w:line="240" w:lineRule="auto"/>
              <w:rPr>
                <w:sz w:val="22"/>
              </w:rPr>
            </w:pPr>
            <w:r w:rsidRPr="00C05886">
              <w:rPr>
                <w:sz w:val="22"/>
              </w:rPr>
              <w:t>21.96 (</w:t>
            </w:r>
            <w:r w:rsidR="00023E22">
              <w:rPr>
                <w:sz w:val="22"/>
              </w:rPr>
              <w:t>5</w:t>
            </w:r>
            <w:r w:rsidRPr="00C05886">
              <w:rPr>
                <w:sz w:val="22"/>
              </w:rPr>
              <w:t>.</w:t>
            </w:r>
            <w:r w:rsidR="00023E22">
              <w:rPr>
                <w:sz w:val="22"/>
              </w:rPr>
              <w:t>71</w:t>
            </w:r>
            <w:r w:rsidRPr="00C05886">
              <w:rPr>
                <w:sz w:val="22"/>
              </w:rPr>
              <w:t>)</w:t>
            </w:r>
          </w:p>
        </w:tc>
        <w:tc>
          <w:tcPr>
            <w:tcW w:w="1753" w:type="dxa"/>
          </w:tcPr>
          <w:p w14:paraId="326B7367" w14:textId="77777777" w:rsidR="00051048" w:rsidRPr="00C05886" w:rsidRDefault="00051048" w:rsidP="00051048">
            <w:pPr>
              <w:spacing w:line="240" w:lineRule="auto"/>
              <w:rPr>
                <w:sz w:val="22"/>
              </w:rPr>
            </w:pPr>
            <w:r w:rsidRPr="00C05886">
              <w:rPr>
                <w:sz w:val="22"/>
              </w:rPr>
              <w:t>&lt;0.001 (&lt;0.001)</w:t>
            </w:r>
          </w:p>
          <w:p w14:paraId="5F36F967" w14:textId="7CE7B8E7" w:rsidR="00051048" w:rsidRPr="00C05886" w:rsidRDefault="00051048" w:rsidP="00051048">
            <w:pPr>
              <w:spacing w:line="240" w:lineRule="auto"/>
              <w:rPr>
                <w:sz w:val="22"/>
              </w:rPr>
            </w:pPr>
            <w:r w:rsidRPr="00C05886">
              <w:rPr>
                <w:sz w:val="22"/>
              </w:rPr>
              <w:t>0.011 (0.</w:t>
            </w:r>
            <w:r w:rsidR="00023E22">
              <w:rPr>
                <w:sz w:val="22"/>
              </w:rPr>
              <w:t>56</w:t>
            </w:r>
            <w:r w:rsidRPr="00C05886">
              <w:rPr>
                <w:sz w:val="22"/>
              </w:rPr>
              <w:t>)</w:t>
            </w:r>
          </w:p>
          <w:p w14:paraId="5B0ACD17" w14:textId="60AD60EA" w:rsidR="00051048" w:rsidRPr="00C05886" w:rsidRDefault="00051048" w:rsidP="00051048">
            <w:pPr>
              <w:spacing w:line="240" w:lineRule="auto"/>
              <w:rPr>
                <w:sz w:val="22"/>
              </w:rPr>
            </w:pPr>
            <w:r w:rsidRPr="00C05886">
              <w:rPr>
                <w:sz w:val="22"/>
              </w:rPr>
              <w:t>&lt;0.001 (</w:t>
            </w:r>
            <w:r w:rsidR="00023E22" w:rsidRPr="00C05886">
              <w:rPr>
                <w:sz w:val="22"/>
              </w:rPr>
              <w:t>&lt;0.001</w:t>
            </w:r>
            <w:r w:rsidRPr="00C05886">
              <w:rPr>
                <w:sz w:val="22"/>
              </w:rPr>
              <w:t>)</w:t>
            </w:r>
          </w:p>
        </w:tc>
        <w:tc>
          <w:tcPr>
            <w:tcW w:w="1926" w:type="dxa"/>
          </w:tcPr>
          <w:p w14:paraId="486AE20B" w14:textId="77777777" w:rsidR="00051048" w:rsidRPr="00C05886" w:rsidRDefault="00051048" w:rsidP="00051048">
            <w:pPr>
              <w:spacing w:line="240" w:lineRule="auto"/>
              <w:rPr>
                <w:sz w:val="22"/>
              </w:rPr>
            </w:pPr>
            <w:r w:rsidRPr="00C05886">
              <w:rPr>
                <w:sz w:val="22"/>
              </w:rPr>
              <w:t>0.107</w:t>
            </w:r>
          </w:p>
          <w:p w14:paraId="476E8F0C" w14:textId="77777777" w:rsidR="00051048" w:rsidRPr="00C05886" w:rsidRDefault="00051048" w:rsidP="00051048">
            <w:pPr>
              <w:spacing w:line="240" w:lineRule="auto"/>
              <w:rPr>
                <w:sz w:val="22"/>
              </w:rPr>
            </w:pPr>
            <w:r w:rsidRPr="00C05886">
              <w:rPr>
                <w:sz w:val="22"/>
              </w:rPr>
              <w:t>0.028</w:t>
            </w:r>
          </w:p>
          <w:p w14:paraId="77728B09" w14:textId="77777777" w:rsidR="00051048" w:rsidRPr="00C05886" w:rsidRDefault="00051048" w:rsidP="00051048">
            <w:pPr>
              <w:spacing w:line="240" w:lineRule="auto"/>
              <w:rPr>
                <w:sz w:val="22"/>
              </w:rPr>
            </w:pPr>
            <w:r w:rsidRPr="00C05886">
              <w:rPr>
                <w:sz w:val="22"/>
              </w:rPr>
              <w:t>0.144</w:t>
            </w:r>
          </w:p>
        </w:tc>
      </w:tr>
      <w:tr w:rsidR="00051048" w:rsidRPr="00C05886" w14:paraId="01F5DB61" w14:textId="77777777" w:rsidTr="00150991">
        <w:tc>
          <w:tcPr>
            <w:tcW w:w="1925" w:type="dxa"/>
          </w:tcPr>
          <w:p w14:paraId="1BFA4FA9" w14:textId="77777777" w:rsidR="00051048" w:rsidRPr="00C05886" w:rsidRDefault="00051048" w:rsidP="00051048">
            <w:pPr>
              <w:spacing w:line="240" w:lineRule="auto"/>
              <w:rPr>
                <w:sz w:val="22"/>
              </w:rPr>
            </w:pPr>
            <w:r w:rsidRPr="00C05886">
              <w:rPr>
                <w:sz w:val="22"/>
              </w:rPr>
              <w:t>Serenity</w:t>
            </w:r>
          </w:p>
        </w:tc>
        <w:tc>
          <w:tcPr>
            <w:tcW w:w="2606" w:type="dxa"/>
          </w:tcPr>
          <w:p w14:paraId="6CCEBB25" w14:textId="77777777" w:rsidR="00051048" w:rsidRPr="00C05886" w:rsidRDefault="00051048" w:rsidP="00051048">
            <w:pPr>
              <w:spacing w:line="240" w:lineRule="auto"/>
              <w:rPr>
                <w:sz w:val="22"/>
              </w:rPr>
            </w:pPr>
            <w:r w:rsidRPr="00C05886">
              <w:rPr>
                <w:sz w:val="22"/>
              </w:rPr>
              <w:t>Stage of the procedure</w:t>
            </w:r>
          </w:p>
          <w:p w14:paraId="51EE5DDF" w14:textId="22851F28" w:rsidR="00051048" w:rsidRPr="00C05886" w:rsidRDefault="00051048" w:rsidP="00051048">
            <w:pPr>
              <w:spacing w:line="240" w:lineRule="auto"/>
              <w:rPr>
                <w:sz w:val="22"/>
              </w:rPr>
            </w:pPr>
            <w:r w:rsidRPr="00C05886">
              <w:rPr>
                <w:sz w:val="22"/>
              </w:rPr>
              <w:t>Per</w:t>
            </w:r>
            <w:r w:rsidR="00087BB3">
              <w:rPr>
                <w:sz w:val="22"/>
              </w:rPr>
              <w:t>c.</w:t>
            </w:r>
            <w:r w:rsidRPr="00C05886">
              <w:rPr>
                <w:sz w:val="22"/>
              </w:rPr>
              <w:t xml:space="preserve"> </w:t>
            </w:r>
            <w:r w:rsidR="00087BB3" w:rsidRPr="00087BB3">
              <w:t>species richness</w:t>
            </w:r>
          </w:p>
          <w:p w14:paraId="40940F59" w14:textId="77777777" w:rsidR="00051048" w:rsidRPr="00C05886" w:rsidRDefault="00051048" w:rsidP="00051048">
            <w:pPr>
              <w:spacing w:line="240" w:lineRule="auto"/>
              <w:rPr>
                <w:sz w:val="22"/>
              </w:rPr>
            </w:pPr>
            <w:r w:rsidRPr="00C05886">
              <w:rPr>
                <w:sz w:val="22"/>
              </w:rPr>
              <w:t>Interaction</w:t>
            </w:r>
          </w:p>
        </w:tc>
        <w:tc>
          <w:tcPr>
            <w:tcW w:w="1418" w:type="dxa"/>
          </w:tcPr>
          <w:p w14:paraId="0B1DB349" w14:textId="400FE153" w:rsidR="00051048" w:rsidRPr="00C05886" w:rsidRDefault="00051048" w:rsidP="00051048">
            <w:pPr>
              <w:spacing w:line="240" w:lineRule="auto"/>
              <w:rPr>
                <w:sz w:val="22"/>
              </w:rPr>
            </w:pPr>
            <w:r w:rsidRPr="00C05886">
              <w:rPr>
                <w:sz w:val="22"/>
              </w:rPr>
              <w:t>124.9 (</w:t>
            </w:r>
            <w:r w:rsidR="00430D23">
              <w:rPr>
                <w:sz w:val="22"/>
              </w:rPr>
              <w:t>92</w:t>
            </w:r>
            <w:r w:rsidRPr="00C05886">
              <w:rPr>
                <w:sz w:val="22"/>
              </w:rPr>
              <w:t>.1)</w:t>
            </w:r>
          </w:p>
          <w:p w14:paraId="0D73A4DB" w14:textId="157FF5F8" w:rsidR="00051048" w:rsidRPr="00C05886" w:rsidRDefault="00051048" w:rsidP="00051048">
            <w:pPr>
              <w:spacing w:line="240" w:lineRule="auto"/>
              <w:rPr>
                <w:sz w:val="22"/>
              </w:rPr>
            </w:pPr>
            <w:r w:rsidRPr="00C05886">
              <w:rPr>
                <w:sz w:val="22"/>
              </w:rPr>
              <w:t>1.02 (0.</w:t>
            </w:r>
            <w:r w:rsidR="00023E22">
              <w:rPr>
                <w:sz w:val="22"/>
              </w:rPr>
              <w:t>36</w:t>
            </w:r>
            <w:r w:rsidRPr="00C05886">
              <w:rPr>
                <w:sz w:val="22"/>
              </w:rPr>
              <w:t>)</w:t>
            </w:r>
          </w:p>
          <w:p w14:paraId="288814EA" w14:textId="690BF472" w:rsidR="00051048" w:rsidRPr="00C05886" w:rsidRDefault="00051048" w:rsidP="00051048">
            <w:pPr>
              <w:spacing w:line="240" w:lineRule="auto"/>
              <w:rPr>
                <w:sz w:val="22"/>
              </w:rPr>
            </w:pPr>
            <w:r w:rsidRPr="00C05886">
              <w:rPr>
                <w:sz w:val="22"/>
              </w:rPr>
              <w:t>9.74 (</w:t>
            </w:r>
            <w:r w:rsidR="00430D23">
              <w:rPr>
                <w:sz w:val="22"/>
              </w:rPr>
              <w:t>3.06</w:t>
            </w:r>
            <w:r w:rsidRPr="00C05886">
              <w:rPr>
                <w:sz w:val="22"/>
              </w:rPr>
              <w:t>)</w:t>
            </w:r>
          </w:p>
        </w:tc>
        <w:tc>
          <w:tcPr>
            <w:tcW w:w="1753" w:type="dxa"/>
          </w:tcPr>
          <w:p w14:paraId="0797270F" w14:textId="77777777" w:rsidR="00051048" w:rsidRPr="00C05886" w:rsidRDefault="00051048" w:rsidP="00051048">
            <w:pPr>
              <w:spacing w:line="240" w:lineRule="auto"/>
              <w:rPr>
                <w:sz w:val="22"/>
              </w:rPr>
            </w:pPr>
            <w:r w:rsidRPr="00C05886">
              <w:rPr>
                <w:sz w:val="22"/>
              </w:rPr>
              <w:t>&lt;0.001 (&lt;0.001)</w:t>
            </w:r>
          </w:p>
          <w:p w14:paraId="4CC219F4" w14:textId="0AADB2F4" w:rsidR="00051048" w:rsidRPr="00C05886" w:rsidRDefault="00051048" w:rsidP="00051048">
            <w:pPr>
              <w:spacing w:line="240" w:lineRule="auto"/>
              <w:rPr>
                <w:sz w:val="22"/>
              </w:rPr>
            </w:pPr>
            <w:r w:rsidRPr="00C05886">
              <w:rPr>
                <w:sz w:val="22"/>
              </w:rPr>
              <w:t>0.385 (0.</w:t>
            </w:r>
            <w:r w:rsidR="00023E22">
              <w:rPr>
                <w:sz w:val="22"/>
              </w:rPr>
              <w:t>7</w:t>
            </w:r>
            <w:r w:rsidRPr="00C05886">
              <w:rPr>
                <w:sz w:val="22"/>
              </w:rPr>
              <w:t>)</w:t>
            </w:r>
          </w:p>
          <w:p w14:paraId="4D6A85A0" w14:textId="44B6DF95" w:rsidR="00051048" w:rsidRPr="00C05886" w:rsidRDefault="00051048" w:rsidP="00051048">
            <w:pPr>
              <w:spacing w:line="240" w:lineRule="auto"/>
              <w:rPr>
                <w:sz w:val="22"/>
              </w:rPr>
            </w:pPr>
            <w:r w:rsidRPr="00C05886">
              <w:rPr>
                <w:sz w:val="22"/>
              </w:rPr>
              <w:t>&lt;0.001 (0.</w:t>
            </w:r>
            <w:r w:rsidR="00430D23">
              <w:rPr>
                <w:sz w:val="22"/>
              </w:rPr>
              <w:t>17</w:t>
            </w:r>
            <w:r w:rsidRPr="00C05886">
              <w:rPr>
                <w:sz w:val="22"/>
              </w:rPr>
              <w:t>)</w:t>
            </w:r>
          </w:p>
        </w:tc>
        <w:tc>
          <w:tcPr>
            <w:tcW w:w="1926" w:type="dxa"/>
          </w:tcPr>
          <w:p w14:paraId="0A9518C1" w14:textId="77777777" w:rsidR="00051048" w:rsidRPr="00C05886" w:rsidRDefault="00051048" w:rsidP="00051048">
            <w:pPr>
              <w:spacing w:line="240" w:lineRule="auto"/>
              <w:rPr>
                <w:sz w:val="22"/>
              </w:rPr>
            </w:pPr>
            <w:r w:rsidRPr="00C05886">
              <w:rPr>
                <w:sz w:val="22"/>
              </w:rPr>
              <w:t>0.242</w:t>
            </w:r>
          </w:p>
          <w:p w14:paraId="14E35E7C" w14:textId="77777777" w:rsidR="00051048" w:rsidRPr="00C05886" w:rsidRDefault="00051048" w:rsidP="00051048">
            <w:pPr>
              <w:spacing w:line="240" w:lineRule="auto"/>
              <w:rPr>
                <w:sz w:val="22"/>
              </w:rPr>
            </w:pPr>
            <w:r w:rsidRPr="00C05886">
              <w:rPr>
                <w:sz w:val="22"/>
              </w:rPr>
              <w:t>0.008</w:t>
            </w:r>
          </w:p>
          <w:p w14:paraId="71AC81A0" w14:textId="77777777" w:rsidR="00051048" w:rsidRPr="00C05886" w:rsidRDefault="00051048" w:rsidP="00051048">
            <w:pPr>
              <w:spacing w:line="240" w:lineRule="auto"/>
              <w:rPr>
                <w:sz w:val="22"/>
              </w:rPr>
            </w:pPr>
            <w:r w:rsidRPr="00C05886">
              <w:rPr>
                <w:sz w:val="22"/>
              </w:rPr>
              <w:t>0.069</w:t>
            </w:r>
          </w:p>
        </w:tc>
      </w:tr>
      <w:tr w:rsidR="00051048" w:rsidRPr="00C05886" w14:paraId="4C400591" w14:textId="77777777" w:rsidTr="00150991">
        <w:tc>
          <w:tcPr>
            <w:tcW w:w="1925" w:type="dxa"/>
          </w:tcPr>
          <w:p w14:paraId="4FEDBC47" w14:textId="77777777" w:rsidR="00051048" w:rsidRPr="00C05886" w:rsidRDefault="00051048" w:rsidP="00051048">
            <w:pPr>
              <w:spacing w:line="240" w:lineRule="auto"/>
              <w:rPr>
                <w:sz w:val="22"/>
              </w:rPr>
            </w:pPr>
            <w:r w:rsidRPr="00C05886">
              <w:rPr>
                <w:sz w:val="22"/>
              </w:rPr>
              <w:t>Negative Affect</w:t>
            </w:r>
          </w:p>
        </w:tc>
        <w:tc>
          <w:tcPr>
            <w:tcW w:w="2606" w:type="dxa"/>
          </w:tcPr>
          <w:p w14:paraId="6E5CD7CB" w14:textId="77777777" w:rsidR="00051048" w:rsidRPr="00C05886" w:rsidRDefault="00051048" w:rsidP="00051048">
            <w:pPr>
              <w:spacing w:line="240" w:lineRule="auto"/>
              <w:rPr>
                <w:sz w:val="22"/>
              </w:rPr>
            </w:pPr>
            <w:r w:rsidRPr="00C05886">
              <w:rPr>
                <w:sz w:val="22"/>
              </w:rPr>
              <w:t>Stage of the procedure</w:t>
            </w:r>
          </w:p>
          <w:p w14:paraId="7ACF7C15" w14:textId="044769A5" w:rsidR="00051048" w:rsidRPr="00C05886" w:rsidRDefault="00051048" w:rsidP="00051048">
            <w:pPr>
              <w:spacing w:line="240" w:lineRule="auto"/>
              <w:rPr>
                <w:sz w:val="22"/>
              </w:rPr>
            </w:pPr>
            <w:r w:rsidRPr="00C05886">
              <w:rPr>
                <w:sz w:val="22"/>
              </w:rPr>
              <w:t>Perc</w:t>
            </w:r>
            <w:r w:rsidR="00087BB3">
              <w:rPr>
                <w:sz w:val="22"/>
              </w:rPr>
              <w:t>.</w:t>
            </w:r>
            <w:r w:rsidRPr="00C05886">
              <w:rPr>
                <w:sz w:val="22"/>
              </w:rPr>
              <w:t xml:space="preserve"> </w:t>
            </w:r>
            <w:r w:rsidR="00087BB3" w:rsidRPr="00087BB3">
              <w:t>species richness</w:t>
            </w:r>
          </w:p>
          <w:p w14:paraId="04D81CDB" w14:textId="77777777" w:rsidR="00051048" w:rsidRPr="00C05886" w:rsidRDefault="00051048" w:rsidP="00051048">
            <w:pPr>
              <w:spacing w:line="240" w:lineRule="auto"/>
              <w:rPr>
                <w:sz w:val="22"/>
              </w:rPr>
            </w:pPr>
            <w:r w:rsidRPr="00C05886">
              <w:rPr>
                <w:sz w:val="22"/>
              </w:rPr>
              <w:t>Interaction</w:t>
            </w:r>
          </w:p>
        </w:tc>
        <w:tc>
          <w:tcPr>
            <w:tcW w:w="1418" w:type="dxa"/>
          </w:tcPr>
          <w:p w14:paraId="71D7AE56" w14:textId="7057919A" w:rsidR="00051048" w:rsidRPr="00C05886" w:rsidRDefault="00051048" w:rsidP="00051048">
            <w:pPr>
              <w:spacing w:line="240" w:lineRule="auto"/>
              <w:rPr>
                <w:sz w:val="22"/>
              </w:rPr>
            </w:pPr>
            <w:r w:rsidRPr="00C05886">
              <w:rPr>
                <w:sz w:val="22"/>
              </w:rPr>
              <w:t>49.01 (</w:t>
            </w:r>
            <w:r w:rsidR="00430D23">
              <w:rPr>
                <w:sz w:val="22"/>
              </w:rPr>
              <w:t>41</w:t>
            </w:r>
            <w:r w:rsidRPr="00C05886">
              <w:rPr>
                <w:sz w:val="22"/>
              </w:rPr>
              <w:t>.</w:t>
            </w:r>
            <w:r w:rsidR="00430D23">
              <w:rPr>
                <w:sz w:val="22"/>
              </w:rPr>
              <w:t>9</w:t>
            </w:r>
            <w:r w:rsidRPr="00C05886">
              <w:rPr>
                <w:sz w:val="22"/>
              </w:rPr>
              <w:t>)</w:t>
            </w:r>
          </w:p>
          <w:p w14:paraId="7A47FC98" w14:textId="6A79BAED" w:rsidR="00051048" w:rsidRPr="00C05886" w:rsidRDefault="00051048" w:rsidP="00051048">
            <w:pPr>
              <w:spacing w:line="240" w:lineRule="auto"/>
              <w:rPr>
                <w:sz w:val="22"/>
              </w:rPr>
            </w:pPr>
            <w:r w:rsidRPr="00C05886">
              <w:rPr>
                <w:sz w:val="22"/>
              </w:rPr>
              <w:t>2.536 (</w:t>
            </w:r>
            <w:r w:rsidR="00023E22">
              <w:rPr>
                <w:sz w:val="22"/>
              </w:rPr>
              <w:t>2.46</w:t>
            </w:r>
            <w:r w:rsidRPr="00C05886">
              <w:rPr>
                <w:sz w:val="22"/>
              </w:rPr>
              <w:t>)</w:t>
            </w:r>
          </w:p>
          <w:p w14:paraId="36B24E07" w14:textId="5B050B36" w:rsidR="00051048" w:rsidRPr="00C05886" w:rsidRDefault="00051048" w:rsidP="00051048">
            <w:pPr>
              <w:spacing w:line="240" w:lineRule="auto"/>
              <w:rPr>
                <w:sz w:val="22"/>
              </w:rPr>
            </w:pPr>
            <w:r w:rsidRPr="00C05886">
              <w:rPr>
                <w:sz w:val="22"/>
              </w:rPr>
              <w:t>2.4 (</w:t>
            </w:r>
            <w:r w:rsidR="00430D23">
              <w:rPr>
                <w:sz w:val="22"/>
              </w:rPr>
              <w:t>1.55</w:t>
            </w:r>
            <w:r w:rsidRPr="00C05886">
              <w:rPr>
                <w:sz w:val="22"/>
              </w:rPr>
              <w:t>)</w:t>
            </w:r>
          </w:p>
        </w:tc>
        <w:tc>
          <w:tcPr>
            <w:tcW w:w="1753" w:type="dxa"/>
          </w:tcPr>
          <w:p w14:paraId="7168314A" w14:textId="77777777" w:rsidR="00051048" w:rsidRPr="00C05886" w:rsidRDefault="00051048" w:rsidP="00051048">
            <w:pPr>
              <w:spacing w:line="240" w:lineRule="auto"/>
              <w:rPr>
                <w:sz w:val="22"/>
              </w:rPr>
            </w:pPr>
            <w:r w:rsidRPr="00C05886">
              <w:rPr>
                <w:sz w:val="22"/>
              </w:rPr>
              <w:t>&lt;0.001 (&lt;0.001)</w:t>
            </w:r>
          </w:p>
          <w:p w14:paraId="4537E06A" w14:textId="6B8BECC8" w:rsidR="00051048" w:rsidRPr="00C05886" w:rsidRDefault="00051048" w:rsidP="00051048">
            <w:pPr>
              <w:spacing w:line="240" w:lineRule="auto"/>
              <w:rPr>
                <w:sz w:val="22"/>
              </w:rPr>
            </w:pPr>
            <w:r w:rsidRPr="00C05886">
              <w:rPr>
                <w:sz w:val="22"/>
              </w:rPr>
              <w:t>0.157 (0.</w:t>
            </w:r>
            <w:r w:rsidR="00023E22">
              <w:rPr>
                <w:sz w:val="22"/>
              </w:rPr>
              <w:t>08</w:t>
            </w:r>
            <w:r w:rsidRPr="00C05886">
              <w:rPr>
                <w:sz w:val="22"/>
              </w:rPr>
              <w:t>)</w:t>
            </w:r>
          </w:p>
          <w:p w14:paraId="0BA91828" w14:textId="7207B083" w:rsidR="00051048" w:rsidRPr="00C05886" w:rsidRDefault="00051048" w:rsidP="00051048">
            <w:pPr>
              <w:spacing w:line="240" w:lineRule="auto"/>
              <w:rPr>
                <w:sz w:val="22"/>
              </w:rPr>
            </w:pPr>
            <w:r w:rsidRPr="00C05886">
              <w:rPr>
                <w:sz w:val="22"/>
              </w:rPr>
              <w:t>0.034 (0.</w:t>
            </w:r>
            <w:r w:rsidR="00430D23">
              <w:rPr>
                <w:sz w:val="22"/>
              </w:rPr>
              <w:t>198</w:t>
            </w:r>
            <w:r w:rsidRPr="00C05886">
              <w:rPr>
                <w:sz w:val="22"/>
              </w:rPr>
              <w:t>)</w:t>
            </w:r>
          </w:p>
        </w:tc>
        <w:tc>
          <w:tcPr>
            <w:tcW w:w="1926" w:type="dxa"/>
          </w:tcPr>
          <w:p w14:paraId="71105B3E" w14:textId="77777777" w:rsidR="00051048" w:rsidRPr="00C05886" w:rsidRDefault="00051048" w:rsidP="00051048">
            <w:pPr>
              <w:spacing w:line="240" w:lineRule="auto"/>
              <w:rPr>
                <w:sz w:val="22"/>
              </w:rPr>
            </w:pPr>
            <w:r w:rsidRPr="00C05886">
              <w:rPr>
                <w:sz w:val="22"/>
              </w:rPr>
              <w:t>0.111</w:t>
            </w:r>
          </w:p>
          <w:p w14:paraId="1B8959E1" w14:textId="77777777" w:rsidR="00051048" w:rsidRPr="00C05886" w:rsidRDefault="00051048" w:rsidP="00051048">
            <w:pPr>
              <w:spacing w:line="240" w:lineRule="auto"/>
              <w:rPr>
                <w:sz w:val="22"/>
              </w:rPr>
            </w:pPr>
            <w:r w:rsidRPr="00C05886">
              <w:rPr>
                <w:sz w:val="22"/>
              </w:rPr>
              <w:t>0.013</w:t>
            </w:r>
          </w:p>
          <w:p w14:paraId="7F49C60E" w14:textId="77777777" w:rsidR="00051048" w:rsidRPr="00C05886" w:rsidRDefault="00051048" w:rsidP="00051048">
            <w:pPr>
              <w:spacing w:line="240" w:lineRule="auto"/>
              <w:rPr>
                <w:sz w:val="22"/>
              </w:rPr>
            </w:pPr>
            <w:r w:rsidRPr="00C05886">
              <w:rPr>
                <w:sz w:val="22"/>
              </w:rPr>
              <w:t>0.018</w:t>
            </w:r>
          </w:p>
        </w:tc>
      </w:tr>
    </w:tbl>
    <w:p w14:paraId="4F225687" w14:textId="2C0B752C" w:rsidR="00051048" w:rsidRPr="00C05886" w:rsidRDefault="00051048" w:rsidP="00A4656E">
      <w:pPr>
        <w:rPr>
          <w:sz w:val="18"/>
          <w:szCs w:val="18"/>
        </w:rPr>
      </w:pPr>
      <w:r w:rsidRPr="00C05886">
        <w:rPr>
          <w:sz w:val="18"/>
          <w:szCs w:val="18"/>
          <w:vertAlign w:val="superscript"/>
        </w:rPr>
        <w:t xml:space="preserve">1 </w:t>
      </w:r>
      <w:r w:rsidRPr="00C05886">
        <w:rPr>
          <w:sz w:val="18"/>
          <w:szCs w:val="18"/>
        </w:rPr>
        <w:t xml:space="preserve">Whitin-subjects component, </w:t>
      </w:r>
      <w:r w:rsidRPr="00C05886">
        <w:rPr>
          <w:sz w:val="18"/>
          <w:szCs w:val="18"/>
          <w:vertAlign w:val="superscript"/>
        </w:rPr>
        <w:t>2</w:t>
      </w:r>
      <w:r w:rsidRPr="00C05886">
        <w:rPr>
          <w:sz w:val="18"/>
          <w:szCs w:val="18"/>
        </w:rPr>
        <w:t xml:space="preserve"> Between-subjects component, </w:t>
      </w:r>
      <w:r w:rsidRPr="00C05886">
        <w:rPr>
          <w:sz w:val="18"/>
          <w:szCs w:val="18"/>
          <w:vertAlign w:val="superscript"/>
        </w:rPr>
        <w:t xml:space="preserve">3 </w:t>
      </w:r>
      <w:r w:rsidRPr="00C05886">
        <w:rPr>
          <w:sz w:val="18"/>
          <w:szCs w:val="18"/>
        </w:rPr>
        <w:t xml:space="preserve">Within-between-subjects interaction. Values shown in parenthesis represent the model without the </w:t>
      </w:r>
      <w:r w:rsidR="00430D23">
        <w:rPr>
          <w:sz w:val="18"/>
          <w:szCs w:val="18"/>
        </w:rPr>
        <w:t>lowest category of perceptions “no-species”</w:t>
      </w:r>
      <w:r w:rsidRPr="00C05886">
        <w:rPr>
          <w:sz w:val="18"/>
          <w:szCs w:val="18"/>
        </w:rPr>
        <w:t>.</w:t>
      </w:r>
    </w:p>
    <w:p w14:paraId="735E647D" w14:textId="77777777" w:rsidR="00051048" w:rsidRPr="00C05886" w:rsidRDefault="00051048" w:rsidP="00140E89">
      <w:pPr>
        <w:keepNext/>
        <w:autoSpaceDE w:val="0"/>
        <w:autoSpaceDN w:val="0"/>
        <w:adjustRightInd w:val="0"/>
        <w:spacing w:after="0" w:line="400" w:lineRule="atLeast"/>
      </w:pPr>
      <w:r w:rsidRPr="00134B49">
        <w:rPr>
          <w:noProof/>
          <w:lang w:eastAsia="en-GB"/>
        </w:rPr>
        <w:lastRenderedPageBreak/>
        <w:drawing>
          <wp:inline distT="0" distB="0" distL="0" distR="0" wp14:anchorId="0F278155" wp14:editId="4D4C5E88">
            <wp:extent cx="3024000" cy="2736000"/>
            <wp:effectExtent l="0" t="0" r="5080" b="7620"/>
            <wp:docPr id="1767087325" name="Chart 1">
              <a:extLst xmlns:a="http://schemas.openxmlformats.org/drawingml/2006/main">
                <a:ext uri="{FF2B5EF4-FFF2-40B4-BE49-F238E27FC236}">
                  <a16:creationId xmlns:a16="http://schemas.microsoft.com/office/drawing/2014/main" id="{B569FF7E-19F0-F8F1-DC16-C69F6282BBB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r w:rsidRPr="00C05886">
        <w:rPr>
          <w:rFonts w:ascii="Times New Roman" w:hAnsi="Times New Roman" w:cs="Times New Roman"/>
          <w:szCs w:val="24"/>
        </w:rPr>
        <w:t xml:space="preserve"> </w:t>
      </w:r>
      <w:r w:rsidRPr="00134B49">
        <w:rPr>
          <w:noProof/>
          <w:lang w:eastAsia="en-GB"/>
        </w:rPr>
        <w:drawing>
          <wp:inline distT="0" distB="0" distL="0" distR="0" wp14:anchorId="09C92745" wp14:editId="27BF2AA9">
            <wp:extent cx="3024000" cy="2736000"/>
            <wp:effectExtent l="0" t="0" r="5080" b="7620"/>
            <wp:docPr id="1597631517" name="Chart 1">
              <a:extLst xmlns:a="http://schemas.openxmlformats.org/drawingml/2006/main">
                <a:ext uri="{FF2B5EF4-FFF2-40B4-BE49-F238E27FC236}">
                  <a16:creationId xmlns:a16="http://schemas.microsoft.com/office/drawing/2014/main" id="{5C360E74-D93E-FC66-8FCC-5FE4BA70A94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0741FB63" w14:textId="2A32F665" w:rsidR="00051048" w:rsidRPr="00C05886" w:rsidRDefault="00051048" w:rsidP="008A0CE2">
      <w:pPr>
        <w:pStyle w:val="Caption"/>
      </w:pPr>
      <w:r w:rsidRPr="00C05886">
        <w:t xml:space="preserve">Figure </w:t>
      </w:r>
      <w:r w:rsidR="00B959BA" w:rsidRPr="00C05886">
        <w:t>7</w:t>
      </w:r>
      <w:r w:rsidRPr="00C05886">
        <w:t>. Mean affective values for Joviality (Left) and Serenity (Right) at the three stages of the experiment for each level of perceived biodiversity.</w:t>
      </w:r>
    </w:p>
    <w:p w14:paraId="0955AEB4" w14:textId="77777777" w:rsidR="00051048" w:rsidRPr="00C05886" w:rsidRDefault="00051048" w:rsidP="00C66B4D">
      <w:pPr>
        <w:keepNext/>
      </w:pPr>
      <w:r w:rsidRPr="00134B49">
        <w:rPr>
          <w:noProof/>
          <w:lang w:eastAsia="en-GB"/>
        </w:rPr>
        <w:drawing>
          <wp:inline distT="0" distB="0" distL="0" distR="0" wp14:anchorId="25838085" wp14:editId="08C42FAE">
            <wp:extent cx="3024000" cy="2736000"/>
            <wp:effectExtent l="0" t="0" r="5080" b="7620"/>
            <wp:docPr id="1074787064" name="Chart 1">
              <a:extLst xmlns:a="http://schemas.openxmlformats.org/drawingml/2006/main">
                <a:ext uri="{FF2B5EF4-FFF2-40B4-BE49-F238E27FC236}">
                  <a16:creationId xmlns:a16="http://schemas.microsoft.com/office/drawing/2014/main" id="{130429D5-BEB5-BF9E-455F-A2631B58B48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14:paraId="371BE989" w14:textId="657A9A6A" w:rsidR="00051048" w:rsidRPr="00C05886" w:rsidRDefault="00051048" w:rsidP="008A0CE2">
      <w:pPr>
        <w:pStyle w:val="Caption"/>
      </w:pPr>
      <w:r w:rsidRPr="00C05886">
        <w:t xml:space="preserve">Figure </w:t>
      </w:r>
      <w:r w:rsidR="00B959BA" w:rsidRPr="00C05886">
        <w:t>8</w:t>
      </w:r>
      <w:r w:rsidRPr="00C05886">
        <w:t>. Mean Negative Affect values at the three stages of the experiment for each level of perceived biodiversity.</w:t>
      </w:r>
    </w:p>
    <w:p w14:paraId="44DB04CF" w14:textId="77777777" w:rsidR="00051048" w:rsidRPr="00C05886" w:rsidRDefault="00051048" w:rsidP="00051048">
      <w:pPr>
        <w:pStyle w:val="Heading3"/>
        <w:rPr>
          <w:i/>
          <w:iCs/>
          <w:color w:val="44546A" w:themeColor="text2"/>
          <w:sz w:val="18"/>
          <w:szCs w:val="18"/>
        </w:rPr>
      </w:pPr>
      <w:r w:rsidRPr="00C05886">
        <w:br w:type="page"/>
      </w:r>
      <w:bookmarkStart w:id="162" w:name="_Toc179962400"/>
      <w:r w:rsidRPr="00C05886">
        <w:lastRenderedPageBreak/>
        <w:t>Face-to-face sample</w:t>
      </w:r>
      <w:bookmarkEnd w:id="162"/>
    </w:p>
    <w:p w14:paraId="21546373" w14:textId="77777777" w:rsidR="00051048" w:rsidRPr="00C05886" w:rsidRDefault="00051048" w:rsidP="00051048">
      <w:pPr>
        <w:pStyle w:val="Heading4"/>
      </w:pPr>
      <w:r w:rsidRPr="00C05886">
        <w:t>Descriptive statistics</w:t>
      </w:r>
    </w:p>
    <w:p w14:paraId="3D77FBFC" w14:textId="77777777" w:rsidR="00051048" w:rsidRPr="00C05886" w:rsidRDefault="00051048" w:rsidP="000229F1">
      <w:r w:rsidRPr="00C05886">
        <w:t>A convenience sample of 52 participants took part in the experiment. Participants were 73% female; the average age was 30 (SD = 6.7 years) and the most common ethnicities were Asian (52%) and White (29%). 71% of the participants reported a Nature connectedness of 5 and 6 (i.e. medium to high).</w:t>
      </w:r>
    </w:p>
    <w:p w14:paraId="3F0AB7C8" w14:textId="4E9ADBE5" w:rsidR="00051048" w:rsidRPr="00C05886" w:rsidRDefault="00051048" w:rsidP="00051048">
      <w:pPr>
        <w:pStyle w:val="Heading4"/>
      </w:pPr>
      <w:r w:rsidRPr="00C05886">
        <w:t xml:space="preserve">Effect of actual and perceived </w:t>
      </w:r>
      <w:r w:rsidR="00087BB3">
        <w:t>species richness</w:t>
      </w:r>
      <w:r w:rsidR="00087BB3" w:rsidRPr="00C05886">
        <w:t xml:space="preserve"> </w:t>
      </w:r>
      <w:r w:rsidRPr="00C05886">
        <w:t>on the affective scores</w:t>
      </w:r>
    </w:p>
    <w:p w14:paraId="19394734" w14:textId="44260332" w:rsidR="00051048" w:rsidRPr="00C05886" w:rsidRDefault="00051048" w:rsidP="000229F1">
      <w:r w:rsidRPr="00C05886">
        <w:t xml:space="preserve">A mixed ANOVA showed that all three affective states changed during the procedure (within-subject effect’s p-value always &lt; 0.001), but there was no main effect of the environment </w:t>
      </w:r>
      <w:r w:rsidR="005271A5">
        <w:t>species richness</w:t>
      </w:r>
      <w:r w:rsidR="005271A5" w:rsidRPr="00C05886">
        <w:t xml:space="preserve"> </w:t>
      </w:r>
      <w:r w:rsidRPr="00C05886">
        <w:t xml:space="preserve">between any of the groups (i.e. between-subjects effect’s p-value were always &gt; 0.05). As in the case of the online sample, the analysis highlighted a significant interaction for Joviality (F = 9.44, p &lt; 0.001) and Serenity (F = 6.48, p &lt; 0.001); the interaction for the Negative Affect was significant at the 90% confidence interval (F = 9.44, p = 0.07). Post hoc tests, showed that, after the environment exposure, Joviality and Serenity increased for participants who had seen the two green parks, but not for those assigned to the car park (p &lt; 0.001). </w:t>
      </w:r>
      <w:r w:rsidR="005271A5">
        <w:t>The Negative Affect</w:t>
      </w:r>
      <w:r w:rsidRPr="00C05886">
        <w:t xml:space="preserve"> </w:t>
      </w:r>
      <w:r w:rsidR="005271A5">
        <w:t>was reduced in all three parks but post hoc test</w:t>
      </w:r>
      <w:r w:rsidR="00586639">
        <w:t>s</w:t>
      </w:r>
      <w:r w:rsidR="005271A5">
        <w:t xml:space="preserve"> highlighted a significant difference between the high species richness park and the car park</w:t>
      </w:r>
      <w:r w:rsidR="00161D15">
        <w:t xml:space="preserve"> </w:t>
      </w:r>
      <w:r w:rsidRPr="00C05886">
        <w:t>(p = 0.03).</w:t>
      </w:r>
    </w:p>
    <w:p w14:paraId="456D5DAC" w14:textId="479E535E" w:rsidR="00051048" w:rsidRPr="00C05886" w:rsidRDefault="00051048" w:rsidP="00B37267">
      <w:pPr>
        <w:keepNext/>
      </w:pPr>
      <w:r w:rsidRPr="00C05886">
        <w:t xml:space="preserve"> </w:t>
      </w:r>
      <w:r w:rsidR="00C77F35">
        <w:rPr>
          <w:noProof/>
          <w14:ligatures w14:val="standardContextual"/>
        </w:rPr>
        <w:drawing>
          <wp:inline distT="0" distB="0" distL="0" distR="0" wp14:anchorId="2958BAFF" wp14:editId="7E445E9F">
            <wp:extent cx="2988000" cy="2743200"/>
            <wp:effectExtent l="0" t="0" r="3175" b="0"/>
            <wp:docPr id="789652794" name="Chart 1">
              <a:extLst xmlns:a="http://schemas.openxmlformats.org/drawingml/2006/main">
                <a:ext uri="{FF2B5EF4-FFF2-40B4-BE49-F238E27FC236}">
                  <a16:creationId xmlns:a16="http://schemas.microsoft.com/office/drawing/2014/main" id="{2D7503A9-B5F5-9906-9B6C-BDEEB8CE855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r w:rsidR="00C77F35" w:rsidRPr="00134B49">
        <w:rPr>
          <w:noProof/>
          <w:lang w:eastAsia="en-GB"/>
        </w:rPr>
        <w:t xml:space="preserve"> </w:t>
      </w:r>
      <w:r w:rsidR="00C77F35" w:rsidRPr="00C77F35">
        <w:rPr>
          <w:noProof/>
          <w14:ligatures w14:val="standardContextual"/>
        </w:rPr>
        <w:t xml:space="preserve">  </w:t>
      </w:r>
      <w:r w:rsidR="00C77F35">
        <w:rPr>
          <w:noProof/>
          <w14:ligatures w14:val="standardContextual"/>
        </w:rPr>
        <w:drawing>
          <wp:inline distT="0" distB="0" distL="0" distR="0" wp14:anchorId="3638AA2C" wp14:editId="019CE5FC">
            <wp:extent cx="2988000" cy="2743200"/>
            <wp:effectExtent l="0" t="0" r="3175" b="0"/>
            <wp:docPr id="507049819" name="Chart 1">
              <a:extLst xmlns:a="http://schemas.openxmlformats.org/drawingml/2006/main">
                <a:ext uri="{FF2B5EF4-FFF2-40B4-BE49-F238E27FC236}">
                  <a16:creationId xmlns:a16="http://schemas.microsoft.com/office/drawing/2014/main" id="{1AECF584-F4E8-27A6-7C1A-774DBC1731B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r w:rsidR="00C77F35" w:rsidRPr="00C77F35">
        <w:rPr>
          <w:noProof/>
          <w14:ligatures w14:val="standardContextual"/>
        </w:rPr>
        <w:t xml:space="preserve"> </w:t>
      </w:r>
    </w:p>
    <w:p w14:paraId="0FAF69C7" w14:textId="53809D2F" w:rsidR="00051048" w:rsidRPr="00C05886" w:rsidRDefault="00051048" w:rsidP="008A0CE2">
      <w:pPr>
        <w:pStyle w:val="Caption"/>
      </w:pPr>
      <w:r w:rsidRPr="00C05886">
        <w:t xml:space="preserve">Figure </w:t>
      </w:r>
      <w:r w:rsidR="00B959BA" w:rsidRPr="00C05886">
        <w:t>9</w:t>
      </w:r>
      <w:r w:rsidRPr="00C05886">
        <w:t>. Mean affective values for Joviality (Left) and Serenity (Right) at the three stages of the experiment for each level of actual biodiversity.</w:t>
      </w:r>
    </w:p>
    <w:p w14:paraId="5779A60C" w14:textId="705BE82D" w:rsidR="00051048" w:rsidRPr="00C05886" w:rsidRDefault="00051048" w:rsidP="00B2711C">
      <w:pPr>
        <w:keepNext/>
      </w:pPr>
      <w:r w:rsidRPr="00134B49">
        <w:rPr>
          <w:noProof/>
          <w:lang w:eastAsia="en-GB"/>
        </w:rPr>
        <w:lastRenderedPageBreak/>
        <w:drawing>
          <wp:inline distT="0" distB="0" distL="0" distR="0" wp14:anchorId="2EFE11E2" wp14:editId="3A105453">
            <wp:extent cx="3024000" cy="2736000"/>
            <wp:effectExtent l="0" t="0" r="5080" b="7620"/>
            <wp:docPr id="1577506739" name="Chart 1">
              <a:extLst xmlns:a="http://schemas.openxmlformats.org/drawingml/2006/main">
                <a:ext uri="{FF2B5EF4-FFF2-40B4-BE49-F238E27FC236}">
                  <a16:creationId xmlns:a16="http://schemas.microsoft.com/office/drawing/2014/main" id="{76E3FAA0-4928-2234-F000-B94D99F118A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r w:rsidR="00C77F35" w:rsidRPr="00C77F35">
        <w:rPr>
          <w:noProof/>
          <w14:ligatures w14:val="standardContextual"/>
        </w:rPr>
        <w:t xml:space="preserve"> </w:t>
      </w:r>
    </w:p>
    <w:p w14:paraId="70E40162" w14:textId="7659ACF8" w:rsidR="00051048" w:rsidRPr="00C05886" w:rsidRDefault="00051048" w:rsidP="00B2711C">
      <w:pPr>
        <w:pStyle w:val="Caption"/>
      </w:pPr>
      <w:r w:rsidRPr="00C05886">
        <w:t xml:space="preserve">Figure </w:t>
      </w:r>
      <w:r w:rsidR="00B959BA" w:rsidRPr="00C05886">
        <w:t>10</w:t>
      </w:r>
      <w:r w:rsidRPr="00C05886">
        <w:t>. Mean Negative Affect values at the three stages of the experiment for each level of actual biodiversity.</w:t>
      </w:r>
    </w:p>
    <w:p w14:paraId="7616036F" w14:textId="4E0F1641" w:rsidR="00051048" w:rsidRPr="00C05886" w:rsidRDefault="00051048" w:rsidP="000229F1">
      <w:r w:rsidRPr="00C05886">
        <w:t xml:space="preserve">The perceived </w:t>
      </w:r>
      <w:r w:rsidR="005271A5">
        <w:t>species richness</w:t>
      </w:r>
      <w:r w:rsidR="005271A5" w:rsidRPr="00C05886">
        <w:t xml:space="preserve"> </w:t>
      </w:r>
      <w:r w:rsidRPr="00C05886">
        <w:t xml:space="preserve">showed a similar interaction effect but </w:t>
      </w:r>
      <w:r w:rsidR="005271A5">
        <w:t xml:space="preserve">this </w:t>
      </w:r>
      <w:r w:rsidRPr="00C05886">
        <w:t xml:space="preserve">was limited to </w:t>
      </w:r>
      <w:r w:rsidR="00336E07">
        <w:t xml:space="preserve">the Positive Affect (i.e. </w:t>
      </w:r>
      <w:r w:rsidRPr="00C05886">
        <w:t>Joviality and Serenity</w:t>
      </w:r>
      <w:r w:rsidR="00336E07">
        <w:t>)</w:t>
      </w:r>
      <w:r w:rsidRPr="00C05886">
        <w:t xml:space="preserve">. Post hoc tests showed that, after exploring the environments, Joviality and serenity were </w:t>
      </w:r>
      <w:r w:rsidR="00161D15">
        <w:t>significantly</w:t>
      </w:r>
      <w:r w:rsidR="00161D15" w:rsidRPr="00C05886">
        <w:t xml:space="preserve"> </w:t>
      </w:r>
      <w:r w:rsidRPr="00C05886">
        <w:t xml:space="preserve">higher in those who reported </w:t>
      </w:r>
      <w:r w:rsidR="00586639">
        <w:t>having</w:t>
      </w:r>
      <w:r w:rsidRPr="00C05886">
        <w:t xml:space="preserve"> seen a lot of species than in those who had seen none (p &lt; 0.001).</w:t>
      </w:r>
      <w:r w:rsidR="00161D15">
        <w:t xml:space="preserve"> However, as in the online sample, all those who perceived “no species” were conflated in the car park tour. Removing these participants from the analysis confirmed the interaction effect on the Positive Affect scores, however</w:t>
      </w:r>
      <w:r w:rsidR="00586639">
        <w:t>,</w:t>
      </w:r>
      <w:r w:rsidR="00161D15">
        <w:t xml:space="preserve"> these differences were not significant in the post-hoc comparisons (p &gt; 0.05).</w:t>
      </w:r>
    </w:p>
    <w:p w14:paraId="458EBCD3" w14:textId="33D59215" w:rsidR="00051048" w:rsidRPr="00C05886" w:rsidRDefault="00051048" w:rsidP="00051048">
      <w:pPr>
        <w:pStyle w:val="Heading4"/>
      </w:pPr>
      <w:r w:rsidRPr="00C05886">
        <w:t xml:space="preserve">Effect of actual and perceived </w:t>
      </w:r>
      <w:r w:rsidR="00161D15">
        <w:t>species richness</w:t>
      </w:r>
      <w:r w:rsidR="00161D15" w:rsidRPr="00C05886">
        <w:t xml:space="preserve"> </w:t>
      </w:r>
      <w:r w:rsidRPr="00C05886">
        <w:t>on the heart rate variability.</w:t>
      </w:r>
    </w:p>
    <w:p w14:paraId="0FEEBC1A" w14:textId="23520619" w:rsidR="00051048" w:rsidRPr="00C05886" w:rsidRDefault="00051048" w:rsidP="002A5C18">
      <w:r w:rsidRPr="00C05886">
        <w:t>The analysis showed that the procedure produced some changes in the heart rate variability indicators but</w:t>
      </w:r>
      <w:r w:rsidR="00161D15">
        <w:t>, statistically,</w:t>
      </w:r>
      <w:r w:rsidRPr="00C05886">
        <w:t xml:space="preserve"> there were no</w:t>
      </w:r>
      <w:r w:rsidR="00161D15">
        <w:t xml:space="preserve"> significant</w:t>
      </w:r>
      <w:r w:rsidRPr="00C05886">
        <w:t xml:space="preserve"> differences between the levels of biodiversity (Table 6). Only the High-Frequency heart rate variability showed a significant change at the 95% confidence interval and post hoc comparison showed that the HF decreased during the stressor (average change from baseline to stressor = -6, p = 0.01) and marginally increased during the environment exposure (average change from stressor to park = +2.5, p = 0.3). There was no effect of perceived </w:t>
      </w:r>
      <w:r w:rsidR="00161D15">
        <w:t>species richness</w:t>
      </w:r>
      <w:r w:rsidR="00161D15" w:rsidRPr="00C05886">
        <w:t xml:space="preserve"> </w:t>
      </w:r>
      <w:r w:rsidRPr="00C05886">
        <w:t>on the heart rate variability (i.e. all p-values &gt; 0.05)</w:t>
      </w:r>
    </w:p>
    <w:p w14:paraId="0C7FABD7" w14:textId="77777777" w:rsidR="00586639" w:rsidRDefault="00586639">
      <w:pPr>
        <w:spacing w:line="259" w:lineRule="auto"/>
        <w:jc w:val="left"/>
        <w:rPr>
          <w:i/>
          <w:iCs/>
          <w:color w:val="44546A" w:themeColor="text2"/>
          <w:kern w:val="2"/>
          <w:sz w:val="18"/>
          <w:szCs w:val="18"/>
          <w14:ligatures w14:val="standardContextual"/>
        </w:rPr>
      </w:pPr>
      <w:r>
        <w:br w:type="page"/>
      </w:r>
    </w:p>
    <w:p w14:paraId="54B2F5EE" w14:textId="176EB0C1" w:rsidR="00051048" w:rsidRPr="00C05886" w:rsidRDefault="00051048" w:rsidP="007202E9">
      <w:pPr>
        <w:pStyle w:val="Caption"/>
        <w:keepNext/>
      </w:pPr>
      <w:r w:rsidRPr="00C05886">
        <w:lastRenderedPageBreak/>
        <w:t xml:space="preserve">Table </w:t>
      </w:r>
      <w:r w:rsidR="00B959BA" w:rsidRPr="00C05886">
        <w:t>6</w:t>
      </w:r>
      <w:r w:rsidR="00BF64B9">
        <w:t xml:space="preserve"> </w:t>
      </w:r>
      <w:r w:rsidR="00BF64B9" w:rsidRPr="00C05886">
        <w:t xml:space="preserve">Summary of the mixed ANOVA. Dependent variable: </w:t>
      </w:r>
      <w:r w:rsidR="00BF64B9">
        <w:t>actual</w:t>
      </w:r>
      <w:r w:rsidR="00BF64B9" w:rsidRPr="00C05886">
        <w:t xml:space="preserve"> </w:t>
      </w:r>
      <w:r w:rsidR="00BF64B9">
        <w:t>species richness</w:t>
      </w:r>
    </w:p>
    <w:tbl>
      <w:tblPr>
        <w:tblStyle w:val="TableGrid"/>
        <w:tblW w:w="0" w:type="auto"/>
        <w:tblLook w:val="04A0" w:firstRow="1" w:lastRow="0" w:firstColumn="1" w:lastColumn="0" w:noHBand="0" w:noVBand="1"/>
      </w:tblPr>
      <w:tblGrid>
        <w:gridCol w:w="2260"/>
        <w:gridCol w:w="3405"/>
        <w:gridCol w:w="1320"/>
        <w:gridCol w:w="2058"/>
      </w:tblGrid>
      <w:tr w:rsidR="00051048" w:rsidRPr="00C05886" w14:paraId="5E2C8766" w14:textId="77777777" w:rsidTr="005D7515">
        <w:trPr>
          <w:trHeight w:val="218"/>
        </w:trPr>
        <w:tc>
          <w:tcPr>
            <w:tcW w:w="2260" w:type="dxa"/>
          </w:tcPr>
          <w:p w14:paraId="7091860C" w14:textId="5B7DD6E0" w:rsidR="00051048" w:rsidRPr="00C05886" w:rsidRDefault="0073689C" w:rsidP="00051048">
            <w:pPr>
              <w:spacing w:line="240" w:lineRule="auto"/>
              <w:rPr>
                <w:b/>
                <w:bCs/>
              </w:rPr>
            </w:pPr>
            <w:r w:rsidRPr="00C05886">
              <w:rPr>
                <w:b/>
                <w:bCs/>
              </w:rPr>
              <w:t>HRV</w:t>
            </w:r>
            <w:r w:rsidR="00051048" w:rsidRPr="00C05886">
              <w:rPr>
                <w:b/>
                <w:bCs/>
              </w:rPr>
              <w:t xml:space="preserve"> indicator</w:t>
            </w:r>
          </w:p>
        </w:tc>
        <w:tc>
          <w:tcPr>
            <w:tcW w:w="3405" w:type="dxa"/>
          </w:tcPr>
          <w:p w14:paraId="19D06B5B" w14:textId="77777777" w:rsidR="00051048" w:rsidRPr="00C05886" w:rsidRDefault="00051048" w:rsidP="00051048">
            <w:pPr>
              <w:spacing w:line="240" w:lineRule="auto"/>
              <w:rPr>
                <w:b/>
                <w:bCs/>
              </w:rPr>
            </w:pPr>
            <w:r w:rsidRPr="00C05886">
              <w:rPr>
                <w:b/>
                <w:bCs/>
              </w:rPr>
              <w:t>Analysis component</w:t>
            </w:r>
          </w:p>
        </w:tc>
        <w:tc>
          <w:tcPr>
            <w:tcW w:w="1320" w:type="dxa"/>
          </w:tcPr>
          <w:p w14:paraId="6BB3323C" w14:textId="77777777" w:rsidR="00051048" w:rsidRPr="00C05886" w:rsidRDefault="00051048" w:rsidP="00051048">
            <w:pPr>
              <w:spacing w:line="240" w:lineRule="auto"/>
              <w:rPr>
                <w:b/>
                <w:bCs/>
              </w:rPr>
            </w:pPr>
            <w:r w:rsidRPr="00C05886">
              <w:rPr>
                <w:b/>
                <w:bCs/>
              </w:rPr>
              <w:t>F</w:t>
            </w:r>
          </w:p>
        </w:tc>
        <w:tc>
          <w:tcPr>
            <w:tcW w:w="2058" w:type="dxa"/>
          </w:tcPr>
          <w:p w14:paraId="549B2021" w14:textId="77777777" w:rsidR="00051048" w:rsidRPr="00C05886" w:rsidRDefault="00051048" w:rsidP="00051048">
            <w:pPr>
              <w:spacing w:line="240" w:lineRule="auto"/>
              <w:rPr>
                <w:b/>
                <w:bCs/>
              </w:rPr>
            </w:pPr>
            <w:r w:rsidRPr="00C05886">
              <w:rPr>
                <w:b/>
                <w:bCs/>
              </w:rPr>
              <w:t>P-value</w:t>
            </w:r>
          </w:p>
        </w:tc>
      </w:tr>
      <w:tr w:rsidR="00051048" w:rsidRPr="00C05886" w14:paraId="199A0D43" w14:textId="77777777" w:rsidTr="005D7515">
        <w:trPr>
          <w:trHeight w:val="282"/>
        </w:trPr>
        <w:tc>
          <w:tcPr>
            <w:tcW w:w="2260" w:type="dxa"/>
          </w:tcPr>
          <w:p w14:paraId="6D534618" w14:textId="77777777" w:rsidR="00051048" w:rsidRPr="00C05886" w:rsidRDefault="00051048" w:rsidP="00051048">
            <w:pPr>
              <w:spacing w:line="240" w:lineRule="auto"/>
            </w:pPr>
            <w:r w:rsidRPr="00C05886">
              <w:t>(Ln) RMSDD</w:t>
            </w:r>
          </w:p>
        </w:tc>
        <w:tc>
          <w:tcPr>
            <w:tcW w:w="3405" w:type="dxa"/>
          </w:tcPr>
          <w:p w14:paraId="2EB4F218" w14:textId="77777777" w:rsidR="00051048" w:rsidRPr="00C05886" w:rsidRDefault="00051048" w:rsidP="00051048">
            <w:pPr>
              <w:spacing w:line="240" w:lineRule="auto"/>
            </w:pPr>
            <w:r w:rsidRPr="00C05886">
              <w:t>Stage of the procedure</w:t>
            </w:r>
            <w:r w:rsidRPr="00C05886">
              <w:rPr>
                <w:vertAlign w:val="superscript"/>
              </w:rPr>
              <w:t>1</w:t>
            </w:r>
          </w:p>
          <w:p w14:paraId="6EB8416E" w14:textId="2862F704" w:rsidR="00051048" w:rsidRPr="00C05886" w:rsidRDefault="00051048" w:rsidP="00051048">
            <w:pPr>
              <w:spacing w:line="240" w:lineRule="auto"/>
            </w:pPr>
            <w:r w:rsidRPr="00C05886">
              <w:t xml:space="preserve">Environment </w:t>
            </w:r>
            <w:r w:rsidR="00161D15">
              <w:t>species richness</w:t>
            </w:r>
            <w:r w:rsidR="00161D15" w:rsidRPr="00C05886">
              <w:rPr>
                <w:vertAlign w:val="superscript"/>
              </w:rPr>
              <w:t>2</w:t>
            </w:r>
          </w:p>
        </w:tc>
        <w:tc>
          <w:tcPr>
            <w:tcW w:w="1320" w:type="dxa"/>
          </w:tcPr>
          <w:p w14:paraId="2DB31A70" w14:textId="77777777" w:rsidR="00051048" w:rsidRPr="00C05886" w:rsidRDefault="00051048" w:rsidP="00051048">
            <w:pPr>
              <w:spacing w:line="240" w:lineRule="auto"/>
            </w:pPr>
            <w:r w:rsidRPr="00C05886">
              <w:t>2.94</w:t>
            </w:r>
          </w:p>
          <w:p w14:paraId="4B0A0FBB" w14:textId="77777777" w:rsidR="00051048" w:rsidRPr="00C05886" w:rsidRDefault="00051048" w:rsidP="00051048">
            <w:pPr>
              <w:spacing w:line="240" w:lineRule="auto"/>
            </w:pPr>
            <w:r w:rsidRPr="00C05886">
              <w:t>0.6</w:t>
            </w:r>
          </w:p>
        </w:tc>
        <w:tc>
          <w:tcPr>
            <w:tcW w:w="2058" w:type="dxa"/>
          </w:tcPr>
          <w:p w14:paraId="5C0A58FE" w14:textId="77777777" w:rsidR="00051048" w:rsidRPr="00C05886" w:rsidRDefault="00051048" w:rsidP="00051048">
            <w:pPr>
              <w:spacing w:line="240" w:lineRule="auto"/>
            </w:pPr>
            <w:r w:rsidRPr="00C05886">
              <w:t>0.06</w:t>
            </w:r>
          </w:p>
          <w:p w14:paraId="1404DCDF" w14:textId="77777777" w:rsidR="00051048" w:rsidRPr="00C05886" w:rsidRDefault="00051048" w:rsidP="00051048">
            <w:pPr>
              <w:spacing w:line="240" w:lineRule="auto"/>
            </w:pPr>
            <w:r w:rsidRPr="00C05886">
              <w:t>0.55</w:t>
            </w:r>
          </w:p>
        </w:tc>
      </w:tr>
      <w:tr w:rsidR="00051048" w:rsidRPr="00C05886" w14:paraId="4EA70B8F" w14:textId="77777777" w:rsidTr="005D7515">
        <w:trPr>
          <w:trHeight w:val="283"/>
        </w:trPr>
        <w:tc>
          <w:tcPr>
            <w:tcW w:w="2260" w:type="dxa"/>
          </w:tcPr>
          <w:p w14:paraId="45FB8A4C" w14:textId="77777777" w:rsidR="00051048" w:rsidRPr="00C05886" w:rsidRDefault="00051048" w:rsidP="00B959BA">
            <w:pPr>
              <w:spacing w:line="240" w:lineRule="auto"/>
              <w:jc w:val="left"/>
            </w:pPr>
            <w:r w:rsidRPr="00C05886">
              <w:t>High Frequency (normalised units)</w:t>
            </w:r>
          </w:p>
        </w:tc>
        <w:tc>
          <w:tcPr>
            <w:tcW w:w="3405" w:type="dxa"/>
          </w:tcPr>
          <w:p w14:paraId="5DF55FF9" w14:textId="77777777" w:rsidR="00051048" w:rsidRPr="00C05886" w:rsidRDefault="00051048" w:rsidP="00051048">
            <w:pPr>
              <w:spacing w:line="240" w:lineRule="auto"/>
            </w:pPr>
            <w:r w:rsidRPr="00C05886">
              <w:t>Stage of the procedure</w:t>
            </w:r>
          </w:p>
          <w:p w14:paraId="296FAF8C" w14:textId="77AB11D1" w:rsidR="00051048" w:rsidRPr="00C05886" w:rsidRDefault="00051048" w:rsidP="00051048">
            <w:pPr>
              <w:spacing w:line="240" w:lineRule="auto"/>
            </w:pPr>
            <w:r w:rsidRPr="00C05886">
              <w:t xml:space="preserve">Environment </w:t>
            </w:r>
            <w:r w:rsidR="00161D15">
              <w:t>species richness</w:t>
            </w:r>
          </w:p>
        </w:tc>
        <w:tc>
          <w:tcPr>
            <w:tcW w:w="1320" w:type="dxa"/>
          </w:tcPr>
          <w:p w14:paraId="3CAE4A67" w14:textId="77777777" w:rsidR="00051048" w:rsidRPr="00C05886" w:rsidRDefault="00051048" w:rsidP="00051048">
            <w:pPr>
              <w:spacing w:line="240" w:lineRule="auto"/>
            </w:pPr>
            <w:r w:rsidRPr="00C05886">
              <w:t>3.76</w:t>
            </w:r>
          </w:p>
          <w:p w14:paraId="05692245" w14:textId="77777777" w:rsidR="00051048" w:rsidRPr="00C05886" w:rsidRDefault="00051048" w:rsidP="00051048">
            <w:pPr>
              <w:spacing w:line="240" w:lineRule="auto"/>
            </w:pPr>
            <w:r w:rsidRPr="00C05886">
              <w:t>0.78</w:t>
            </w:r>
          </w:p>
        </w:tc>
        <w:tc>
          <w:tcPr>
            <w:tcW w:w="2058" w:type="dxa"/>
          </w:tcPr>
          <w:p w14:paraId="2D54642B" w14:textId="77777777" w:rsidR="00051048" w:rsidRPr="00C05886" w:rsidRDefault="00051048" w:rsidP="00051048">
            <w:pPr>
              <w:spacing w:line="240" w:lineRule="auto"/>
            </w:pPr>
            <w:r w:rsidRPr="00C05886">
              <w:t>0.03</w:t>
            </w:r>
          </w:p>
          <w:p w14:paraId="19939AD1" w14:textId="77777777" w:rsidR="00051048" w:rsidRPr="00C05886" w:rsidRDefault="00051048" w:rsidP="00051048">
            <w:pPr>
              <w:spacing w:line="240" w:lineRule="auto"/>
            </w:pPr>
            <w:r w:rsidRPr="00C05886">
              <w:t>0.46</w:t>
            </w:r>
          </w:p>
        </w:tc>
      </w:tr>
      <w:tr w:rsidR="00051048" w:rsidRPr="00C05886" w14:paraId="6C0441B4" w14:textId="77777777" w:rsidTr="005D7515">
        <w:trPr>
          <w:trHeight w:val="309"/>
        </w:trPr>
        <w:tc>
          <w:tcPr>
            <w:tcW w:w="2260" w:type="dxa"/>
          </w:tcPr>
          <w:p w14:paraId="7973394C" w14:textId="77777777" w:rsidR="00051048" w:rsidRPr="00C05886" w:rsidRDefault="00051048" w:rsidP="00051048">
            <w:pPr>
              <w:spacing w:line="240" w:lineRule="auto"/>
            </w:pPr>
            <w:r w:rsidRPr="00C05886">
              <w:t>Low frequency / High frequency ratio</w:t>
            </w:r>
          </w:p>
        </w:tc>
        <w:tc>
          <w:tcPr>
            <w:tcW w:w="3405" w:type="dxa"/>
          </w:tcPr>
          <w:p w14:paraId="546A1C55" w14:textId="77777777" w:rsidR="00051048" w:rsidRPr="00C05886" w:rsidRDefault="00051048" w:rsidP="00051048">
            <w:pPr>
              <w:spacing w:line="240" w:lineRule="auto"/>
            </w:pPr>
            <w:r w:rsidRPr="00C05886">
              <w:t>Stage of the procedure</w:t>
            </w:r>
          </w:p>
          <w:p w14:paraId="05CDCF4F" w14:textId="78D7760F" w:rsidR="00051048" w:rsidRPr="00C05886" w:rsidRDefault="00051048" w:rsidP="00051048">
            <w:pPr>
              <w:spacing w:line="240" w:lineRule="auto"/>
            </w:pPr>
            <w:r w:rsidRPr="00C05886">
              <w:t xml:space="preserve">Environment </w:t>
            </w:r>
            <w:r w:rsidR="00161D15">
              <w:t>species richness</w:t>
            </w:r>
          </w:p>
        </w:tc>
        <w:tc>
          <w:tcPr>
            <w:tcW w:w="1320" w:type="dxa"/>
          </w:tcPr>
          <w:p w14:paraId="4396C8CA" w14:textId="77777777" w:rsidR="00051048" w:rsidRPr="00C05886" w:rsidRDefault="00051048" w:rsidP="00051048">
            <w:pPr>
              <w:spacing w:line="240" w:lineRule="auto"/>
            </w:pPr>
            <w:r w:rsidRPr="00C05886">
              <w:t>2.81</w:t>
            </w:r>
          </w:p>
          <w:p w14:paraId="0AA1C4FA" w14:textId="77777777" w:rsidR="00051048" w:rsidRPr="00C05886" w:rsidRDefault="00051048" w:rsidP="00051048">
            <w:pPr>
              <w:spacing w:line="240" w:lineRule="auto"/>
            </w:pPr>
            <w:r w:rsidRPr="00C05886">
              <w:t>0.85</w:t>
            </w:r>
          </w:p>
        </w:tc>
        <w:tc>
          <w:tcPr>
            <w:tcW w:w="2058" w:type="dxa"/>
          </w:tcPr>
          <w:p w14:paraId="7B0E6B41" w14:textId="77777777" w:rsidR="00051048" w:rsidRPr="00C05886" w:rsidRDefault="00051048" w:rsidP="00051048">
            <w:pPr>
              <w:spacing w:line="240" w:lineRule="auto"/>
            </w:pPr>
            <w:r w:rsidRPr="00C05886">
              <w:t>0.08</w:t>
            </w:r>
          </w:p>
          <w:p w14:paraId="7335A4E8" w14:textId="77777777" w:rsidR="00051048" w:rsidRPr="00C05886" w:rsidRDefault="00051048" w:rsidP="00051048">
            <w:pPr>
              <w:spacing w:line="240" w:lineRule="auto"/>
            </w:pPr>
            <w:r w:rsidRPr="00C05886">
              <w:t>0.43</w:t>
            </w:r>
          </w:p>
        </w:tc>
      </w:tr>
    </w:tbl>
    <w:p w14:paraId="7A59861B" w14:textId="77777777" w:rsidR="00051048" w:rsidRPr="00C05886" w:rsidRDefault="00051048" w:rsidP="00750466">
      <w:pPr>
        <w:rPr>
          <w:sz w:val="18"/>
          <w:szCs w:val="18"/>
        </w:rPr>
      </w:pPr>
      <w:r w:rsidRPr="00C05886">
        <w:rPr>
          <w:sz w:val="18"/>
          <w:szCs w:val="18"/>
          <w:vertAlign w:val="superscript"/>
        </w:rPr>
        <w:t xml:space="preserve">1 </w:t>
      </w:r>
      <w:r w:rsidRPr="00C05886">
        <w:rPr>
          <w:sz w:val="18"/>
          <w:szCs w:val="18"/>
        </w:rPr>
        <w:t xml:space="preserve">Whitin-subjects component, </w:t>
      </w:r>
      <w:r w:rsidRPr="00C05886">
        <w:rPr>
          <w:sz w:val="18"/>
          <w:szCs w:val="18"/>
          <w:vertAlign w:val="superscript"/>
        </w:rPr>
        <w:t>2</w:t>
      </w:r>
      <w:r w:rsidRPr="00C05886">
        <w:rPr>
          <w:sz w:val="18"/>
          <w:szCs w:val="18"/>
        </w:rPr>
        <w:t xml:space="preserve"> Between-subjects component, </w:t>
      </w:r>
      <w:r w:rsidRPr="00C05886">
        <w:rPr>
          <w:sz w:val="18"/>
          <w:szCs w:val="18"/>
          <w:vertAlign w:val="superscript"/>
        </w:rPr>
        <w:t xml:space="preserve">3 </w:t>
      </w:r>
      <w:r w:rsidRPr="00C05886">
        <w:rPr>
          <w:sz w:val="18"/>
          <w:szCs w:val="18"/>
        </w:rPr>
        <w:t>Within-between-subjects interaction.</w:t>
      </w:r>
    </w:p>
    <w:p w14:paraId="577AB36B" w14:textId="77777777" w:rsidR="00051048" w:rsidRPr="00C05886" w:rsidRDefault="00051048" w:rsidP="00051048">
      <w:pPr>
        <w:pStyle w:val="Heading2"/>
      </w:pPr>
      <w:bookmarkStart w:id="163" w:name="_Toc179962401"/>
      <w:r w:rsidRPr="00C05886">
        <w:t>Discussion</w:t>
      </w:r>
      <w:bookmarkEnd w:id="163"/>
    </w:p>
    <w:p w14:paraId="1941E238" w14:textId="77777777" w:rsidR="00051048" w:rsidRPr="00C05886" w:rsidRDefault="00051048" w:rsidP="00051048">
      <w:pPr>
        <w:pStyle w:val="Heading3"/>
      </w:pPr>
      <w:bookmarkStart w:id="164" w:name="_Toc179962402"/>
      <w:r w:rsidRPr="00C05886">
        <w:t>Short exposure to virtual green spaces improved emotional well-being</w:t>
      </w:r>
      <w:bookmarkEnd w:id="164"/>
    </w:p>
    <w:p w14:paraId="0F9049BA" w14:textId="2F654A70" w:rsidR="00051048" w:rsidRPr="00C05886" w:rsidRDefault="00051048" w:rsidP="00E454D5">
      <w:r w:rsidRPr="00C05886">
        <w:t xml:space="preserve">The results support the hypothesis that even a short and virtual exposure to green space can provide a noticeable boost to emotional well-being. Although the benefits of green space exposure on health become evident after longer exposure </w:t>
      </w:r>
      <w:r w:rsidRPr="00C05886">
        <w:fldChar w:fldCharType="begin"/>
      </w:r>
      <w:r w:rsidRPr="00C05886">
        <w:instrText xml:space="preserve"> ADDIN ZOTERO_ITEM CSL_CITATION {"citationID":"WM9fP9Mr","properties":{"formattedCitation":"(Shanahan {\\i{}et al.}, 2016; Bardhan {\\i{}et al.}, 2023)","plainCitation":"(Shanahan et al., 2016; Bardhan et al., 2023)","noteIndex":0},"citationItems":[{"id":4911,"uris":["http://zotero.org/users/10951124/items/VVP4IPG3"],"itemData":{"id":4911,"type":"article-journal","abstract":"Nature within cities will have a central role in helping address key global public health challenges associated with urbanization. However, there is almost no guidance on how much or how frequently people need to engage with nature, and what types or characteristics of nature need to be incorporated in cities for the best health outcomes. Here we use a nature dose framework to examine the associations between the duration, frequency and intensity of exposure to nature and health in an urban population. We show that people who made long visits to green spaces had lower rates of depression and high blood pressure, and those who visited more frequently had greater social cohesion. Higher levels of physical activity were linked to both duration and frequency of green space visits. A dose-response analysis for depression and high blood pressure suggest that visits to outdoor green spaces of 30 minutes or more during the course of a week could reduce the population prevalence of these illnesses by up to 7% and 9% respectively. Given that the societal costs of depression alone in Australia are estimated at AUD$12.6 billion per annum, savings to public health budgets across all health outcomes could be immense.","container-title":"Scientific Reports","DOI":"10.1038/srep28551","ISSN":"20452322","title":"Health Benefits from Nature Experiences Depend on Dose","volume":"6","author":[{"family":"Shanahan","given":"Danielle F."},{"family":"Bush","given":"Robert"},{"family":"Gaston","given":"Kevin J."},{"family":"Lin","given":"Brenda B."},{"family":"Dean","given":"Julie"},{"family":"Barber","given":"Elizabeth"},{"family":"Fuller","given":"Richard A."}],"issued":{"date-parts":[["2016"]]}}},{"id":9987,"uris":["http://zotero.org/users/10951124/items/PJHKGPJY"],"itemData":{"id":9987,"type":"article-journal","container-title":"Journal of Environmental Psychology","DOI":"10.1016/j.jenvp.2023.102083","ISSN":"02724944","journalAbbreviation":"Journal of Environmental Psychology","language":"en","page":"102083","source":"DOI.org (Crossref)","title":"Time in nature is associated with higher levels of positive mood: Evidence from the 2023 NatureDose™ student survey","title-short":"Time in nature is associated with higher levels of positive mood","volume":"90","author":[{"family":"Bardhan","given":"Mondira"},{"family":"Zhang","given":"Kuiran"},{"family":"Browning","given":"Matthew H.E.M."},{"family":"Dong","given":"Jiaying"},{"family":"Liu","given":"Tong"},{"family":"Bailey","given":"Christopher"},{"family":"McAnirlin","given":"Olivia"},{"family":"Hanley","given":"Jared"},{"family":"Minson","given":"Christopher T."},{"family":"Mutel","given":"Robert L."},{"family":"Ranganathan","given":"Shyam"},{"family":"Reuben","given":"Aaron"}],"issued":{"date-parts":[["2023",9]]}}}],"schema":"https://github.com/citation-style-language/schema/raw/master/csl-citation.json"} </w:instrText>
      </w:r>
      <w:r w:rsidRPr="00C05886">
        <w:fldChar w:fldCharType="separate"/>
      </w:r>
      <w:r w:rsidRPr="00C05886">
        <w:rPr>
          <w:rFonts w:ascii="Calibri" w:hAnsi="Calibri" w:cs="Calibri"/>
          <w:szCs w:val="24"/>
        </w:rPr>
        <w:t xml:space="preserve">(Shanahan </w:t>
      </w:r>
      <w:r w:rsidRPr="00C05886">
        <w:rPr>
          <w:rFonts w:ascii="Calibri" w:hAnsi="Calibri" w:cs="Calibri"/>
          <w:i/>
          <w:iCs/>
          <w:szCs w:val="24"/>
        </w:rPr>
        <w:t>et al.</w:t>
      </w:r>
      <w:r w:rsidRPr="00C05886">
        <w:rPr>
          <w:rFonts w:ascii="Calibri" w:hAnsi="Calibri" w:cs="Calibri"/>
          <w:szCs w:val="24"/>
        </w:rPr>
        <w:t xml:space="preserve">, 2016; Bardhan </w:t>
      </w:r>
      <w:r w:rsidRPr="00C05886">
        <w:rPr>
          <w:rFonts w:ascii="Calibri" w:hAnsi="Calibri" w:cs="Calibri"/>
          <w:i/>
          <w:iCs/>
          <w:szCs w:val="24"/>
        </w:rPr>
        <w:t>et al.</w:t>
      </w:r>
      <w:r w:rsidRPr="00C05886">
        <w:rPr>
          <w:rFonts w:ascii="Calibri" w:hAnsi="Calibri" w:cs="Calibri"/>
          <w:szCs w:val="24"/>
        </w:rPr>
        <w:t>, 2023)</w:t>
      </w:r>
      <w:r w:rsidRPr="00C05886">
        <w:fldChar w:fldCharType="end"/>
      </w:r>
      <w:r w:rsidRPr="00C05886">
        <w:t xml:space="preserve">, virtually visiting a green park for 3 minutes increased the Positive Affect of the participants. This was especially </w:t>
      </w:r>
      <w:r w:rsidR="00B006FC">
        <w:t>noticeable</w:t>
      </w:r>
      <w:r w:rsidR="00B006FC" w:rsidRPr="00C05886">
        <w:t xml:space="preserve"> </w:t>
      </w:r>
      <w:r w:rsidRPr="00C05886">
        <w:t xml:space="preserve">in the Joviality </w:t>
      </w:r>
      <w:r w:rsidR="00B006FC">
        <w:t xml:space="preserve">scores </w:t>
      </w:r>
      <w:r w:rsidRPr="00C05886">
        <w:t>(i.e. high arousal Positive Affect), which increased beyond the baseline levels for those who explored the green parks.</w:t>
      </w:r>
      <w:r w:rsidR="00B006FC">
        <w:t xml:space="preserve"> These participants also showed that their</w:t>
      </w:r>
      <w:r w:rsidRPr="00C05886">
        <w:t xml:space="preserve"> Serenity was completely recovered</w:t>
      </w:r>
      <w:r w:rsidR="00B006FC">
        <w:t xml:space="preserve"> (i.e. it returned close to the baseline level)</w:t>
      </w:r>
      <w:r w:rsidRPr="00C05886">
        <w:t xml:space="preserve">. Instead, the participants assigned to the car park felt their Joviality declining and their Serenity could not return to the baseline levels. This finding is in line with previous meta-analyses which argued that exposure to green space increased the Positive Affect more than it reduced the Negative Affect </w:t>
      </w:r>
      <w:r w:rsidRPr="00C05886">
        <w:fldChar w:fldCharType="begin"/>
      </w:r>
      <w:r w:rsidRPr="00C05886">
        <w:instrText xml:space="preserve"> ADDIN ZOTERO_ITEM CSL_CITATION {"citationID":"e9XfwdBJ","properties":{"formattedCitation":"(McMahan and Estes, 2015; Yao, Zhang and Gong, 2021)","plainCitation":"(McMahan and Estes, 2015; Yao, Zhang and Gong, 2021)","noteIndex":0},"citationItems":[{"id":6296,"uris":["http://zotero.org/users/10951124/items/UFVUX6YA"],"itemData":{"id":6296,"type":"article-journal","abstract":"&lt;p&gt;A growing body of empirical research suggests that brief contact with natural environments improves emotional well-being. The current study synthesizes this body of research using meta-analytic techniques and assesses the mean effect size of exposure to natural environments on both positive and negative affect. Thirty-two studies with a total of 2356 participants were included. Across these studies, exposure to natural environments was associated with a moderate increase in positive affect and a smaller, yet consistent, decrease in negative affect relative to comparison conditions. Significant heterogeneity was found for the effect of nature on positive affect, and type of emotion assessment, type of exposure to nature, location of study, and mean age of sample were found to moderate this effect. The implications of these findings for existing theory and research are discussed, with particular emphasis placed on potential avenues for fruitful future research examining the effects of nature on well-being.&lt;/p&gt;","container-title":"The Journal of Positive Psychology","DOI":"10.1080/17439760.2014.994224","ISSN":"1743-9760","issue":"6","page":"507-519","title":"The effect of contact with natural environments on positive and negative affect: A meta-analysis","volume":"10","author":[{"family":"McMahan","given":"Ethan A"},{"family":"Estes","given":"David"}],"issued":{"date-parts":[["2015"]]}}},{"id":9006,"uris":["http://zotero.org/users/10951124/items/GMVXGIGK"],"itemData":{"id":9006,"type":"article-journal","abstract":"There is an increasing evidence that natural environment provides substantial human health benefits. One mechanism underlying this relationship is the experience of stress. However, no formal statistical assessment has been conducted to test this statement. A meta-analysis was used in our study to conduct a comprehensive systematic review for the effect of direct exposure to natural environment on stress relieving. We searched four online databases and reference lists, 31 studies with a total of 1842 participants were included. Meta-analysis results showed increased natural exposure was associated with decreased salivary cortisol -0.06 (95 % CI -0.08, -0.04), state-of anxiety -12.48 (95 %CI -26.61, 1.66), self-reported stress -0.33 (95 %CI -0.78, 0.13), systolic blood pressure (SBP) -3.82 (95 %CI -6.77, -0.86), diastolic blood pressure (DBP) -2.21 (95 %CI -3.93, -0.49), Ln(LF/HF) -0.29 (95 %CI -0.41, -0.18) of heart rate variability (HRV) and increased restorative outcomes 4.82 (95 %CI -1.87, 11.51). These measurements provide the most convincing evidence that exposure to the natural environment can lead to stress reduction, and ultimately improve health. However, there was significant residual heterogeneity between studies and risk of bias was high. It is a recommended that future research in this area take appropriate steps to reduce bias and improve quality in order to build a strong evidence-based medicine foundation. This will help to convince policymakers and health professionals of the stress relieving benefits of exposure to nature, and encourage to give due regard to create, maintain, and improve existing accessible greenspaces in insufficient areas.","container-title":"Urban Forestry &amp; Urban Greening","DOI":"https://doi.org/10.1016/j.ufug.2020.126932","ISSN":"1618-8667","page":"1-12","title":"The effect of exposure to the natural environment on stress reduction: A meta-analysis","volume":"57","author":[{"family":"Yao","given":"Wenfei"},{"family":"Zhang","given":"Xiaofeng"},{"family":"Gong","given":"Qi"}],"issued":{"date-parts":[["2021"]]}}}],"schema":"https://github.com/citation-style-language/schema/raw/master/csl-citation.json"} </w:instrText>
      </w:r>
      <w:r w:rsidRPr="00C05886">
        <w:fldChar w:fldCharType="separate"/>
      </w:r>
      <w:r w:rsidRPr="00C05886">
        <w:rPr>
          <w:rFonts w:ascii="Calibri" w:hAnsi="Calibri" w:cs="Calibri"/>
        </w:rPr>
        <w:t>(McMahan and Estes, 2015; Yao, Zhang and Gong, 2021)</w:t>
      </w:r>
      <w:r w:rsidRPr="00C05886">
        <w:fldChar w:fldCharType="end"/>
      </w:r>
      <w:r w:rsidRPr="00C05886">
        <w:t xml:space="preserve">. On the other hand, this increase in Positive Affect contrasts with a meta-analysis comparing the effect of real green spaces against virtual ones </w:t>
      </w:r>
      <w:r w:rsidRPr="00C05886">
        <w:fldChar w:fldCharType="begin"/>
      </w:r>
      <w:r w:rsidRPr="00C05886">
        <w:instrText xml:space="preserve"> ADDIN ZOTERO_ITEM CSL_CITATION {"citationID":"fhmaNVVL","properties":{"formattedCitation":"(Browning, Shipley, {\\i{}et al.}, 2020)","plainCitation":"(Browning, Shipley, et al., 2020)","noteIndex":0},"citationItems":[{"id":5471,"uris":["http://zotero.org/users/10951124/items/HS7BZ2DY"],"itemData":{"id":5471,"type":"article-journal","abstract":"Accumulating evidence indicates that simulated natural settings can engage mechanisms that promote health. Simulations offer alternatives to actual natural settings for populations unable to travel outdoors safely; however, few studies have contrasted the effects of simulations of natural settings to their actual outdoor counterparts. We compared the impacts of simulated and actual natural settings on positive and negative affect (mood) levels using a pooled sample of participants enrolled in extant experimental studies. Relevant articles were identified from a review of research published/in press by March 2020. Of 15 articles identified, five met the inclusion criteria and administered a single cross-cutting, standardized instrument (the Positive and Negative Affect Schedule; PANAS) before and after exposure. Random effects meta-analysis of pooled effects showed that positive affect increased in the actual settings but not in their simulated counterparts (Hedge's g = 0.88; 95% CI: 0.53, 1.25). We observed no difference in effects on negative affect change scores (g = -0.23; 95% CI: -0.60, 0.13), with studies generally showing reductions in negative affect in both settings. Further research with additional populations, settings, antecedent conditions and durations will provide a more robust understanding of differences in effects between these two ways to enhance mood by viewing nature.","container-title":"Frontiers in Psychology","DOI":"10.3389/fpsyg.2020.02200","issue":"September","page":"1-12","title":"An Actual Natural Setting Improves Mood Better Than Its Virtual Counterpart: A Meta-Analysis of Experimental Data","volume":"11","author":[{"family":"Browning","given":"Matthew"},{"family":"Shipley","given":"Nathan"},{"family":"McAnirlin","given":"Olivia"},{"family":"Becker","given":"Douglas"},{"family":"Yu","given":"Chia-Pin"},{"family":"Hartig","given":"Terry"},{"family":"Dzhambov","given":"Angel M."}],"issued":{"date-parts":[["2020"]]}}}],"schema":"https://github.com/citation-style-language/schema/raw/master/csl-citation.json"} </w:instrText>
      </w:r>
      <w:r w:rsidRPr="00C05886">
        <w:fldChar w:fldCharType="separate"/>
      </w:r>
      <w:r w:rsidRPr="00C05886">
        <w:rPr>
          <w:rFonts w:ascii="Calibri" w:hAnsi="Calibri" w:cs="Calibri"/>
          <w:szCs w:val="24"/>
        </w:rPr>
        <w:t xml:space="preserve">(Browning, Shipley, </w:t>
      </w:r>
      <w:r w:rsidRPr="00C05886">
        <w:rPr>
          <w:rFonts w:ascii="Calibri" w:hAnsi="Calibri" w:cs="Calibri"/>
          <w:i/>
          <w:iCs/>
          <w:szCs w:val="24"/>
        </w:rPr>
        <w:t>et al.</w:t>
      </w:r>
      <w:r w:rsidRPr="00C05886">
        <w:rPr>
          <w:rFonts w:ascii="Calibri" w:hAnsi="Calibri" w:cs="Calibri"/>
          <w:szCs w:val="24"/>
        </w:rPr>
        <w:t>, 2020)</w:t>
      </w:r>
      <w:r w:rsidRPr="00C05886">
        <w:fldChar w:fldCharType="end"/>
      </w:r>
      <w:r w:rsidRPr="00C05886">
        <w:t xml:space="preserve">, which found that </w:t>
      </w:r>
      <w:r w:rsidR="00586639">
        <w:t>the </w:t>
      </w:r>
      <w:r w:rsidRPr="00C05886">
        <w:t xml:space="preserve">Positive Affect increased only in real green space settings. A possible explanation could be that few of the studies reviewed by Browning and colleagues involved a stress induction, which may increase the need to relax, or showed a designed space with many species and involved an active engagement from the participant as in the virtual tour.  </w:t>
      </w:r>
    </w:p>
    <w:p w14:paraId="2D690DB5" w14:textId="6820A900" w:rsidR="00051048" w:rsidRPr="00C05886" w:rsidRDefault="00051048" w:rsidP="00E454D5">
      <w:r w:rsidRPr="00C05886">
        <w:t xml:space="preserve">Interestingly, low Negative Affect was restored </w:t>
      </w:r>
      <w:r w:rsidR="00586639">
        <w:t>in all three park variations</w:t>
      </w:r>
      <w:r w:rsidRPr="00C05886">
        <w:t xml:space="preserve">, including the car park. This suggests that quiet and calm urban spaces may be sufficient to reduce momentary stress. Some studies have shown that some built environments can increase well-being when not crowded </w:t>
      </w:r>
      <w:r w:rsidRPr="00C05886">
        <w:fldChar w:fldCharType="begin"/>
      </w:r>
      <w:r w:rsidR="00020123" w:rsidRPr="00C05886">
        <w:instrText xml:space="preserve"> ADDIN ZOTERO_ITEM CSL_CITATION {"citationID":"mHavkiyg","properties":{"formattedCitation":"(Staats {\\i{}et al.}, 2016)","plainCitation":"(Staats et al., 2016)","noteIndex":0},"citationItems":[{"id":6585,"uris":["http://zotero.org/users/10951124/items/3X2U2TJB"],"itemData":{"id":6585,"type":"article-journal","abstract":"Objectives Given the need for knowledge on the restorative potential of urban settings, we sought to estimate the effects of personal and contextual factors on preferences and restoration likelihood assessments for different urban activities-in-environments. We also sought to study the generality of these effects across different countries. Methods We conducted a true experiment with convenience samples of university students in the Netherlands (n = 80), Sweden (n = 100), and the USA (n = 316). In each country, the experiment had a mixed design with activities-in-environments (sitting in a park, sitting in a cafe, walking in a shopping mall, walking along a busy street)manipulated within-subjects and the need for restoration (attentional fatigue, no attentional fatigue) and immediate social context (in company, alone)manipulated between-subjects. The manipulations relied on previously tested scenarios describing everyday situations that participants were instructed to remember and imagine themselves being in. For each imagined situation (activity-in-environment with antecedent fatigue condition and immediate social context), subjects provided two criterion measures: general preference and the likelihood of achieving psychological restoration. Results The settings received different preference and restoration likelihood ratings as expected, affirming that a busy street, often used in comparisons with natural settings, is not representative of the restorative potential of urban settings. Being with a close friend and attentional fatigue both moderated ratings for specific settings. Findings of additional moderation by country of residence caution against broad generalizations regarding preferences for and the expected restorative effects of different urban settings. Conclusions Preferences and restoration likelihood ratings for urban activity-environment combinations are subject to multiple personal and contextual determinants, including level of attentional fatigue, being alone versus in company, and broader aspects of the urban context that vary across cities and countries. Claims regarding a lack of restorative quality in urban environments are problematic.","container-title":"PLoS ONE","DOI":"10.1371/journal.pone.0146213","ISSN":"19326203","issue":"1","title":"Urban options for psychological restoration: Common strategies in everyday situations","volume":"11","author":[{"family":"Staats","given":"Henk"},{"family":"Jahncke","given":"Helena"},{"family":"Herzog","given":"Thomas R."},{"family":"Hartig","given":"Terry"}],"issued":{"date-parts":[["2016"]]}}}],"schema":"https://github.com/citation-style-language/schema/raw/master/csl-citation.json"} </w:instrText>
      </w:r>
      <w:r w:rsidRPr="00C05886">
        <w:fldChar w:fldCharType="separate"/>
      </w:r>
      <w:r w:rsidR="00020123" w:rsidRPr="00C05886">
        <w:rPr>
          <w:rFonts w:ascii="Calibri" w:hAnsi="Calibri" w:cs="Calibri"/>
          <w:szCs w:val="24"/>
        </w:rPr>
        <w:t xml:space="preserve">(Staats </w:t>
      </w:r>
      <w:r w:rsidR="00020123" w:rsidRPr="00C05886">
        <w:rPr>
          <w:rFonts w:ascii="Calibri" w:hAnsi="Calibri" w:cs="Calibri"/>
          <w:i/>
          <w:iCs/>
          <w:szCs w:val="24"/>
        </w:rPr>
        <w:t>et al.</w:t>
      </w:r>
      <w:r w:rsidR="00020123" w:rsidRPr="00C05886">
        <w:rPr>
          <w:rFonts w:ascii="Calibri" w:hAnsi="Calibri" w:cs="Calibri"/>
          <w:szCs w:val="24"/>
        </w:rPr>
        <w:t>, 2016)</w:t>
      </w:r>
      <w:r w:rsidRPr="00C05886">
        <w:fldChar w:fldCharType="end"/>
      </w:r>
      <w:r w:rsidRPr="00C05886">
        <w:t xml:space="preserve"> and with very low traffic </w:t>
      </w:r>
      <w:r w:rsidRPr="00C05886">
        <w:fldChar w:fldCharType="begin"/>
      </w:r>
      <w:r w:rsidR="00020123" w:rsidRPr="00C05886">
        <w:instrText xml:space="preserve"> ADDIN ZOTERO_ITEM CSL_CITATION {"citationID":"lkwyBVb7","properties":{"formattedCitation":"(Stigsdotter {\\i{}et al.}, 2017)","plainCitation":"(Stigsdotter et al., 2017)","noteIndex":0},"citationItems":[{"id":6373,"uris":["http://zotero.org/users/10951124/items/3HXF94D8"],"itemData":{"id":6373,"type":"article-journal","abstract":"Today, urbanization presents a challenge to urban planning with regard to creating healthy living environments. The aim of this research is to gain further knowledge of the restorativeness of a best case urban and natural environment: that is a historic down town urban environment and forest environment located in an arboretum. The study has a cross-over design where 51 (N) female university students are exposed to the two environments through both seated viewing and walking. A mixed method approach is used with both physiological measurements of blood pressure (BP) and heart rate variability (HRV) and psychological measurements of mood change and perceived restorativeness. The HRV results show no significant differences between the two environments, and both environments are found to be more physiologically restorative than being at the office or on the minibus. The results of the psychological measures indicate that the forest walk has a positive effect on mood, while the walk in the urban environment has no effect. The forest environment is also rated more highly with regard to perceived restorativeness than the urban environment. The results support the current research that shows natural environments as more restorative than urban environments. The study also adds to the ongoing debate on healthy urban planning by indicating that architectural and historical qualities may be associated with the physiological well-being of citizens.","container-title":"Health and Place","DOI":"10.1016/j.healthplace.2017.05.007","ISSN":"18732054","page":"145-154","title":"It is not all bad for the grey city – A crossover study on physiological and psychological restoration in a forest and an urban environment","volume":"46","author":[{"family":"Stigsdotter","given":"Ulrika K."},{"family":"Corazon","given":"Sus Sola"},{"family":"Sidenius","given":"Ulrik"},{"family":"Kristiansen","given":"Jesper"},{"family":"Grahn","given":"Patrik"}],"issued":{"date-parts":[["2017"]]}}}],"schema":"https://github.com/citation-style-language/schema/raw/master/csl-citation.json"} </w:instrText>
      </w:r>
      <w:r w:rsidRPr="00C05886">
        <w:fldChar w:fldCharType="separate"/>
      </w:r>
      <w:r w:rsidR="00020123" w:rsidRPr="00C05886">
        <w:rPr>
          <w:rFonts w:ascii="Calibri" w:hAnsi="Calibri" w:cs="Calibri"/>
          <w:szCs w:val="24"/>
        </w:rPr>
        <w:t xml:space="preserve">(Stigsdotter </w:t>
      </w:r>
      <w:r w:rsidR="00020123" w:rsidRPr="00C05886">
        <w:rPr>
          <w:rFonts w:ascii="Calibri" w:hAnsi="Calibri" w:cs="Calibri"/>
          <w:i/>
          <w:iCs/>
          <w:szCs w:val="24"/>
        </w:rPr>
        <w:t>et al.</w:t>
      </w:r>
      <w:r w:rsidR="00020123" w:rsidRPr="00C05886">
        <w:rPr>
          <w:rFonts w:ascii="Calibri" w:hAnsi="Calibri" w:cs="Calibri"/>
          <w:szCs w:val="24"/>
        </w:rPr>
        <w:t>, 2017)</w:t>
      </w:r>
      <w:r w:rsidRPr="00C05886">
        <w:fldChar w:fldCharType="end"/>
      </w:r>
      <w:r w:rsidRPr="00C05886">
        <w:t>. Nevertheless,</w:t>
      </w:r>
      <w:r w:rsidR="00B006FC">
        <w:t xml:space="preserve"> as in </w:t>
      </w:r>
      <w:r w:rsidR="00B006FC">
        <w:fldChar w:fldCharType="begin"/>
      </w:r>
      <w:r w:rsidR="00D00124">
        <w:instrText xml:space="preserve"> ADDIN ZOTERO_ITEM CSL_CITATION {"citationID":"isEMzlVI","properties":{"formattedCitation":"(Subiza-P\\uc0\\u233{}rez, Vozmediano and San Juan, 2019)","plainCitation":"(Subiza-Pérez, Vozmediano and San Juan, 2019)","dontUpdate":true,"noteIndex":0},"citationItems":[{"id":7454,"uris":["http://zotero.org/users/10951124/items/75A2LJIX"],"itemData":{"id":7454,"type":"article-journal","abstract":"Almost four decades ago, Attention Restoration Theory and Stress Recovery Theory postulated that nature could help people to recover from the attentional fatigue and the emotional negative outcomes coming from their daily performance. Since then, these theories have inspired a great amount...","container-title":"Landscape Research","DOI":"10.1080/01426397.2018.1493443","ISSN":"0142-6397","issue":"4","page":"493-505","title":"Pretest-posttest field studies on psychological restoration: a descriptive review and reflections for the future","volume":"44","author":[{"family":"Subiza-Pérez","given":"Mikel"},{"family":"Vozmediano","given":"Laura"},{"family":"San Juan","given":"César"}],"issued":{"date-parts":[["2019"]]}}}],"schema":"https://github.com/citation-style-language/schema/raw/master/csl-citation.json"} </w:instrText>
      </w:r>
      <w:r w:rsidR="00B006FC">
        <w:fldChar w:fldCharType="separate"/>
      </w:r>
      <w:r w:rsidR="00B006FC" w:rsidRPr="00B006FC">
        <w:rPr>
          <w:rFonts w:ascii="Calibri" w:hAnsi="Calibri" w:cs="Calibri"/>
          <w:szCs w:val="24"/>
        </w:rPr>
        <w:t xml:space="preserve">Subiza-Pérez, Vozmediano and San Juan </w:t>
      </w:r>
      <w:r w:rsidR="00B006FC">
        <w:rPr>
          <w:rFonts w:ascii="Calibri" w:hAnsi="Calibri" w:cs="Calibri"/>
          <w:szCs w:val="24"/>
        </w:rPr>
        <w:t>(</w:t>
      </w:r>
      <w:r w:rsidR="00B006FC" w:rsidRPr="00B006FC">
        <w:rPr>
          <w:rFonts w:ascii="Calibri" w:hAnsi="Calibri" w:cs="Calibri"/>
          <w:szCs w:val="24"/>
        </w:rPr>
        <w:t>2019)</w:t>
      </w:r>
      <w:r w:rsidR="00B006FC">
        <w:fldChar w:fldCharType="end"/>
      </w:r>
      <w:r w:rsidR="00586639">
        <w:t>,</w:t>
      </w:r>
      <w:r w:rsidRPr="00C05886">
        <w:t xml:space="preserve"> the reduction of Negative Affect in the car park was not </w:t>
      </w:r>
      <w:r w:rsidRPr="00C05886">
        <w:lastRenderedPageBreak/>
        <w:t xml:space="preserve">matched by a full recovery in Positive Affect, suggesting that green spaces </w:t>
      </w:r>
      <w:r w:rsidR="00B006FC">
        <w:t>may be</w:t>
      </w:r>
      <w:r w:rsidR="00B006FC" w:rsidRPr="00C05886">
        <w:t xml:space="preserve"> </w:t>
      </w:r>
      <w:r w:rsidRPr="00C05886">
        <w:t>more effective at reducing stress levels after the stressor.</w:t>
      </w:r>
    </w:p>
    <w:p w14:paraId="323FA7E1" w14:textId="4EF892F0" w:rsidR="00051048" w:rsidRPr="00C05886" w:rsidRDefault="00051048" w:rsidP="00E454D5">
      <w:r w:rsidRPr="00C05886">
        <w:t xml:space="preserve">The results were generally </w:t>
      </w:r>
      <w:r w:rsidR="00BE2A1E">
        <w:t>similar</w:t>
      </w:r>
      <w:r w:rsidR="00BE2A1E" w:rsidRPr="00C05886">
        <w:t xml:space="preserve"> </w:t>
      </w:r>
      <w:r w:rsidRPr="00C05886">
        <w:t xml:space="preserve">for both online and face-to-face participants. However, the latter showed slightly larger changes in their affective scores (e.g. higher Negative Affect after the stressor, and higher-than-baseline Serenity after exploring a green park; see Figures 9-10). This could be due to the relaxation period used to record the baseline HRV, which could have increased the negative response to the stressor and prompted a stronger recovery. Finally, even when considering the very short exposure and the limitations of the virtual experience, these results </w:t>
      </w:r>
      <w:r w:rsidR="00BE2A1E">
        <w:t>support</w:t>
      </w:r>
      <w:r w:rsidR="00BE2A1E" w:rsidRPr="00C05886">
        <w:t xml:space="preserve"> </w:t>
      </w:r>
      <w:r w:rsidRPr="00C05886">
        <w:t>the notion that green spaces would be more suitable environments for recovery from stress than most urban spaces.</w:t>
      </w:r>
    </w:p>
    <w:p w14:paraId="4F183562" w14:textId="3129DC4D" w:rsidR="00051048" w:rsidRPr="00C05886" w:rsidRDefault="00051048" w:rsidP="00051048">
      <w:pPr>
        <w:pStyle w:val="Heading3"/>
      </w:pPr>
      <w:bookmarkStart w:id="165" w:name="_Toc179962403"/>
      <w:r w:rsidRPr="00C05886">
        <w:t xml:space="preserve">Actual and perceived </w:t>
      </w:r>
      <w:r w:rsidR="00B006FC">
        <w:t>species richness</w:t>
      </w:r>
      <w:bookmarkEnd w:id="165"/>
    </w:p>
    <w:p w14:paraId="6EC4D7DA" w14:textId="3E996329" w:rsidR="00051048" w:rsidRPr="00C05886" w:rsidRDefault="00051048" w:rsidP="00E454D5">
      <w:r w:rsidRPr="00C05886">
        <w:t xml:space="preserve">The environments’ </w:t>
      </w:r>
      <w:r w:rsidR="00B006FC">
        <w:t>species richness</w:t>
      </w:r>
      <w:r w:rsidR="00B006FC" w:rsidRPr="00C05886">
        <w:t xml:space="preserve"> </w:t>
      </w:r>
      <w:r w:rsidRPr="00C05886">
        <w:t xml:space="preserve">was relevant to the recovery process but only </w:t>
      </w:r>
      <w:r w:rsidR="00B006FC">
        <w:t>in terms of</w:t>
      </w:r>
      <w:r w:rsidR="00B006FC" w:rsidRPr="00C05886">
        <w:t xml:space="preserve"> </w:t>
      </w:r>
      <w:r w:rsidRPr="00C05886">
        <w:t xml:space="preserve">comparing </w:t>
      </w:r>
      <w:r w:rsidR="00586639">
        <w:t>the </w:t>
      </w:r>
      <w:r w:rsidR="00B006FC">
        <w:t>absence of species</w:t>
      </w:r>
      <w:r w:rsidRPr="00C05886">
        <w:t xml:space="preserve"> with </w:t>
      </w:r>
      <w:r w:rsidR="00B006FC">
        <w:t>the presence</w:t>
      </w:r>
      <w:r w:rsidR="00B006FC" w:rsidRPr="00C05886">
        <w:t xml:space="preserve"> </w:t>
      </w:r>
      <w:r w:rsidR="00B006FC">
        <w:t>of at least some species</w:t>
      </w:r>
      <w:r w:rsidRPr="00C05886">
        <w:t xml:space="preserve">. </w:t>
      </w:r>
      <w:r w:rsidR="00B006FC">
        <w:t>Indeed</w:t>
      </w:r>
      <w:r w:rsidRPr="00C05886">
        <w:t xml:space="preserve">, there was statistically no difference between the low and the high </w:t>
      </w:r>
      <w:r w:rsidR="00B006FC">
        <w:t>species richness</w:t>
      </w:r>
      <w:r w:rsidR="00B006FC" w:rsidRPr="00C05886">
        <w:t xml:space="preserve"> </w:t>
      </w:r>
      <w:r w:rsidRPr="00C05886">
        <w:t xml:space="preserve">parks. It is possible that the duration of the virtual tours was too short to highlight </w:t>
      </w:r>
      <w:r w:rsidR="00586639">
        <w:t>the </w:t>
      </w:r>
      <w:r w:rsidRPr="00C05886">
        <w:t xml:space="preserve">differences between the </w:t>
      </w:r>
      <w:r w:rsidR="008D560D">
        <w:t>two vegetated</w:t>
      </w:r>
      <w:r w:rsidRPr="00C05886">
        <w:t xml:space="preserve"> parks. However previous experimental studies which used longer exposures – e.g. 5 minutes </w:t>
      </w:r>
      <w:r w:rsidRPr="00C05886">
        <w:fldChar w:fldCharType="begin"/>
      </w:r>
      <w:r w:rsidRPr="00C05886">
        <w:instrText xml:space="preserve"> ADDIN ZOTERO_ITEM CSL_CITATION {"citationID":"qvnuNCFQ","properties":{"formattedCitation":"(Schebella {\\i{}et al.}, 2020)","plainCitation":"(Schebella et al., 2020)","noteIndex":0},"citationItems":[{"id":9668,"uris":["http://zotero.org/users/10951124/items/XY8G99AE"],"itemData":{"id":9668,"type":"article-journal","abstract":"Immersive virtual environments (IVEs) were used to test the effects of biodiversity on recovery from induced stress. Three natural environments and one urban environment were used to represent ordinal levels of biodiversity (none, low, moderate, and high). The four IVEs comprised visual, auditory, and olfactory stimuli. An additional high biodiversity IVE without auditory or olfactory stimuli was also included to study the effects of multisensory stimulation per se on recovery from stress and perceptions of biodiversity. Following stress induction via a novel IVE Trier Social Stress Test (TSST-IVE), heart rate and five self-reported well-being measures were used to assess participants&amp;rsquo; recovery after immersion in one of the five IVEs. The results showed consistent well-being responses across both self-reported and physiological measures, suggesting biodiversity does directly affect human well-being. However, the relationship was not linear. For most measures of well-being, stress recovery was least effective in the urban IVE, consistent with past research. The low biodiversity IVE elicited the greatest improvement in all well-being measures except self-reported calmness. One could speculate that the landscape features of the least biodiverse IVE may elicit subconscious preferences toward savanna-like landscapes, as suggested by previous studies. The IVE depicting a moderate level of biodiversity was the least restorative of the natural environments. A multisensory experience was associated with better recovery in all measures of well-being than a visual-only experience, and perceptions of landscape components significantly differed between two identical nature scenes when auditory and olfactory stimuli were removed. Nuances in the data and implications of the findings are discussed. The results signal a need for caution and question the assumption that cultural ecosystem services align with positive outcomes for biodiversity conservation.","container-title":"International Journal of Environmental Research and Public Health","DOI":"10.3390/ijerph17010056","ISSN":"1660-4601","issue":"1","title":"The Nature of Reality: Human Stress Recovery during Exposure to Biodiverse, Multisensory Virtual Environments","volume":"17","author":[{"family":"Schebella","given":"Morgan F."},{"family":"Weber","given":"Delene"},{"family":"Schultz","given":"Lisa"},{"family":"Weinstein","given":"Philip"}],"issued":{"date-parts":[["2020"]]}}}],"schema":"https://github.com/citation-style-language/schema/raw/master/csl-citation.json"} </w:instrText>
      </w:r>
      <w:r w:rsidRPr="00C05886">
        <w:fldChar w:fldCharType="separate"/>
      </w:r>
      <w:r w:rsidRPr="00C05886">
        <w:rPr>
          <w:rFonts w:ascii="Calibri" w:hAnsi="Calibri" w:cs="Calibri"/>
          <w:szCs w:val="24"/>
        </w:rPr>
        <w:t xml:space="preserve">(Schebella </w:t>
      </w:r>
      <w:r w:rsidRPr="00C05886">
        <w:rPr>
          <w:rFonts w:ascii="Calibri" w:hAnsi="Calibri" w:cs="Calibri"/>
          <w:i/>
          <w:iCs/>
          <w:szCs w:val="24"/>
        </w:rPr>
        <w:t>et al.</w:t>
      </w:r>
      <w:r w:rsidRPr="00C05886">
        <w:rPr>
          <w:rFonts w:ascii="Calibri" w:hAnsi="Calibri" w:cs="Calibri"/>
          <w:szCs w:val="24"/>
        </w:rPr>
        <w:t>, 2020)</w:t>
      </w:r>
      <w:r w:rsidRPr="00C05886">
        <w:fldChar w:fldCharType="end"/>
      </w:r>
      <w:r w:rsidRPr="00C05886">
        <w:t xml:space="preserve"> or 10 minutes </w:t>
      </w:r>
      <w:r w:rsidRPr="00C05886">
        <w:fldChar w:fldCharType="begin"/>
      </w:r>
      <w:r w:rsidR="00FB3282" w:rsidRPr="00C05886">
        <w:instrText xml:space="preserve"> ADDIN ZOTERO_ITEM CSL_CITATION {"citationID":"MAqNBT7K","properties":{"formattedCitation":"(Van Den Berg, Jorgensen and Wilson, 2014)","plainCitation":"(Van Den Berg, Jorgensen and Wilson, 2014)","noteIndex":0},"citationItems":[{"id":7023,"uris":["http://zotero.org/users/10951124/items/9KGD5Q28"],"itemData":{"id":7023,"type":"article-journal","abstract":"A growing body of research suggests that natural settings are more effective in providing restoration from depleted emotional and cognitive resources than built settings. However, there is a lack of evidence-based guidelines on which options for urban green space design and management are most effective in providing restoration. To address this need, the present study examined the restorative impacts of urban public spaces differing in naturalness. After having been pre-stressed by watching a scary movie, 102 participants were randomly assigned to viewing one of four photo/video presentations depicting an urban street, parkland, tended woodland, or wild woods. Self-reported mood and restorative state were measured at baseline, after the stressor and after viewing the environment. After controlling for stress reactivity, participants in the natural conditions showed stronger recovery on all dependent measures than those in the urban street condition. Differences in recovery among the natural settings did not reach significance. Keyword analysis revealed that the wild woods were described as more arousing than the parkland and tended woodland. There was substantial variation in recovery of vitality within natural conditions, which was related to perceptions of naturalness. In general, the findings suggest that restoration in urban public spaces depends on individual perceptions and needs as well as physical characteristics of the setting.","container-title":"Landscape and Urban Planning","DOI":"10.1016/j.landurbplan.2014.04.012","ISSN":"0169-2046","issue":"C","page":"173-181","title":"Evaluating restoration in urban green spaces: Does setting type make a difference?","volume":"127","author":[{"family":"Van Den Berg","given":"Agnes E"},{"family":"Jorgensen","given":"Anna"},{"family":"Wilson","given":"Edward R"}],"issued":{"date-parts":[["2014"]]}}}],"schema":"https://github.com/citation-style-language/schema/raw/master/csl-citation.json"} </w:instrText>
      </w:r>
      <w:r w:rsidRPr="00C05886">
        <w:fldChar w:fldCharType="separate"/>
      </w:r>
      <w:r w:rsidR="00FB3282" w:rsidRPr="00C05886">
        <w:rPr>
          <w:rFonts w:ascii="Calibri" w:hAnsi="Calibri" w:cs="Calibri"/>
        </w:rPr>
        <w:t>(Van Den Berg, Jorgensen and Wilson, 2014)</w:t>
      </w:r>
      <w:r w:rsidRPr="00C05886">
        <w:fldChar w:fldCharType="end"/>
      </w:r>
      <w:r w:rsidRPr="00C05886">
        <w:t xml:space="preserve"> – also found greater differences in stress recovery between an urban control and green spaces rather than between the green spaces (which were at different levels of </w:t>
      </w:r>
      <w:r w:rsidR="008D560D">
        <w:t>species richness</w:t>
      </w:r>
      <w:r w:rsidRPr="00C05886">
        <w:t xml:space="preserve">). However, differences between videos with higher and lower </w:t>
      </w:r>
      <w:r w:rsidR="008D560D">
        <w:t>species richness</w:t>
      </w:r>
      <w:r w:rsidR="008D560D" w:rsidRPr="00C05886">
        <w:t xml:space="preserve"> </w:t>
      </w:r>
      <w:r w:rsidRPr="00C05886">
        <w:t xml:space="preserve">were reported in the past. </w:t>
      </w:r>
      <w:r w:rsidRPr="00C05886">
        <w:fldChar w:fldCharType="begin"/>
      </w:r>
      <w:r w:rsidRPr="00C05886">
        <w:instrText xml:space="preserve"> ADDIN ZOTERO_ITEM CSL_CITATION {"citationID":"IEEiG9x8","properties":{"formattedCitation":"(Wolf {\\i{}et al.}, 2017)","plainCitation":"(Wolf et al., 2017)","dontUpdate":true,"noteIndex":0},"citationItems":[{"id":4925,"uris":["http://zotero.org/users/10951124/items/T2WHLDQG"],"itemData":{"id":4925,"type":"article-journal","container-title":"PloS one","DOI":"10.1371/journal.pone.0170225","issue":"1","page":"e0170225-e0170225","title":"Is Variety the Spice of Life? An Experimental Investigation into the Effects of Species Richness on Self-Reported Mental Well-Being.","volume":"12","author":[{"family":"Wolf","given":"Lukas J"},{"family":"Zu Ermgassen","given":"Sophus"},{"family":"Balmford","given":"Andrew"},{"family":"White","given":"Mathew"},{"family":"Weinstein","given":"Netta"}],"editor":[{"family":"Wolf","given":"Lukas J"}],"issued":{"date-parts":[["2017"]]}}}],"schema":"https://github.com/citation-style-language/schema/raw/master/csl-citation.json"} </w:instrText>
      </w:r>
      <w:r w:rsidRPr="00C05886">
        <w:fldChar w:fldCharType="separate"/>
      </w:r>
      <w:r w:rsidRPr="00C05886">
        <w:rPr>
          <w:rFonts w:ascii="Calibri" w:hAnsi="Calibri" w:cs="Calibri"/>
          <w:szCs w:val="24"/>
        </w:rPr>
        <w:t xml:space="preserve">Wolf </w:t>
      </w:r>
      <w:r w:rsidRPr="00C05886">
        <w:rPr>
          <w:rFonts w:ascii="Calibri" w:hAnsi="Calibri" w:cs="Calibri"/>
          <w:i/>
          <w:iCs/>
          <w:szCs w:val="24"/>
        </w:rPr>
        <w:t>et al.</w:t>
      </w:r>
      <w:r w:rsidRPr="00C05886">
        <w:rPr>
          <w:rFonts w:ascii="Calibri" w:hAnsi="Calibri" w:cs="Calibri"/>
          <w:szCs w:val="24"/>
        </w:rPr>
        <w:t xml:space="preserve"> (2017)</w:t>
      </w:r>
      <w:r w:rsidRPr="00C05886">
        <w:fldChar w:fldCharType="end"/>
      </w:r>
      <w:r w:rsidRPr="00C05886">
        <w:t xml:space="preserve"> were able to observe higher Positive affect and Vitality and lower Anxiety in their participants who watched a video with </w:t>
      </w:r>
      <w:r w:rsidR="008D560D">
        <w:t>four</w:t>
      </w:r>
      <w:r w:rsidRPr="00C05886">
        <w:t xml:space="preserve"> species of trees than in those who watched a video with </w:t>
      </w:r>
      <w:r w:rsidR="008D560D">
        <w:t xml:space="preserve">only one </w:t>
      </w:r>
      <w:r w:rsidRPr="00C05886">
        <w:t>species. Similarly</w:t>
      </w:r>
      <w:r w:rsidR="00FD1350" w:rsidRPr="00C05886">
        <w:t>,</w:t>
      </w:r>
      <w:r w:rsidRPr="00C05886">
        <w:t xml:space="preserve"> </w:t>
      </w:r>
      <w:r w:rsidRPr="00C05886">
        <w:fldChar w:fldCharType="begin"/>
      </w:r>
      <w:r w:rsidR="000309A4" w:rsidRPr="00C05886">
        <w:instrText xml:space="preserve"> ADDIN ZOTERO_ITEM CSL_CITATION {"citationID":"9zOQnUQs","properties":{"formattedCitation":"(Johansson {\\i{}et al.}, 2014)","plainCitation":"(Johansson et al., 2014)","dontUpdate":true,"noteIndex":0},"citationItems":[{"id":8502,"uris":["http://zotero.org/users/local/pAEZdfSt/items/IMLZ568A","http://zotero.org/users/10951124/items/IMLZ568A"],"itemData":{"id":8502,"type":"article-journal","abstract":"Using a multilevel approach, this study investigates direct (perceptual, emotional, and physiological responses [qEEG]) and reflected (preference, attitude, and intention to accept conservation measures) appraisal of different levels of biodiversity in temperate deciduous broad-leaf forest biotopes. Thirty-five participants viewed three series of zoomed pictures from biotopes assessed according to biological criteria to be of High, Intermediate, and Low level of biodiversity. Participants’ appraisal differed between the biotopes, and partly between the conceptualisation of appraisal, but overall there was a consistency across direct and reflected levels of appraisal. The most prominent result of the analysis of qEEG was a higher brain activity in the Theta frequency for the Low biotope. The Theta frequency has amongst others been associated with on-set of sleep and in the present context probably indicating that the Low biotope was less stimulating. The Low biotope was perceived to have the lowest degree of biodiversity followed by the Intermediate and the High biotopes. The Intermediate biotope elicited the most positive emotional response, and was rated highest in preference and in importance to conserve, whereas the intention to accept conservation measures did not differ between the biotopes. Thus biodiversity related criteria presently favoured in forest conservation management schemes are not necessarily prioritised by the public. Emotional components are likely to be at stake tending to favour the conservation of biotopes of an intermediate level of biodiversity.","container-title":"Urban Forestry &amp; Urban Greening","DOI":"https://doi.org/10.1016/j.ufug.2013.10.009","ISSN":"1618-8667","issue":"1","page":"28-37","title":"Does biological quality matter? Direct and reflected appraisal of biodiversity in temperate deciduous broad-leaf forest","volume":"13","author":[{"family":"Johansson","given":"Maria"},{"family":"Gyllin","given":"Mats"},{"family":"Witzell","given":"Jesper"},{"family":"Küller","given":"Marianne"}],"issued":{"date-parts":[["2014"]]}}}],"schema":"https://github.com/citation-style-language/schema/raw/master/csl-citation.json"} </w:instrText>
      </w:r>
      <w:r w:rsidRPr="00C05886">
        <w:fldChar w:fldCharType="separate"/>
      </w:r>
      <w:r w:rsidRPr="00C05886">
        <w:rPr>
          <w:rFonts w:ascii="Calibri" w:hAnsi="Calibri" w:cs="Calibri"/>
          <w:szCs w:val="24"/>
        </w:rPr>
        <w:t xml:space="preserve">Johansson </w:t>
      </w:r>
      <w:r w:rsidRPr="00C05886">
        <w:rPr>
          <w:rFonts w:ascii="Calibri" w:hAnsi="Calibri" w:cs="Calibri"/>
          <w:i/>
          <w:iCs/>
          <w:szCs w:val="24"/>
        </w:rPr>
        <w:t>et al.</w:t>
      </w:r>
      <w:r w:rsidRPr="00C05886">
        <w:rPr>
          <w:rFonts w:ascii="Calibri" w:hAnsi="Calibri" w:cs="Calibri"/>
          <w:szCs w:val="24"/>
        </w:rPr>
        <w:t xml:space="preserve"> (2014)</w:t>
      </w:r>
      <w:r w:rsidRPr="00C05886">
        <w:fldChar w:fldCharType="end"/>
      </w:r>
      <w:r w:rsidRPr="00C05886">
        <w:t xml:space="preserve"> reported differences in psychological (self-reported emotions) and physiological (electroencephalography) measures in response to watching slideshows of three forest biotopes (at low, intermediate and high biodiversity</w:t>
      </w:r>
      <w:r w:rsidR="008D560D">
        <w:t>; the species richness was not reported</w:t>
      </w:r>
      <w:r w:rsidRPr="00C05886">
        <w:t>).</w:t>
      </w:r>
    </w:p>
    <w:p w14:paraId="1099AB94" w14:textId="10FCBF7D" w:rsidR="00051048" w:rsidRPr="00C05886" w:rsidRDefault="00051048" w:rsidP="00E454D5">
      <w:r w:rsidRPr="00C05886">
        <w:t xml:space="preserve">Another possibility is that the effect of </w:t>
      </w:r>
      <w:r w:rsidR="008D560D">
        <w:t>species richness</w:t>
      </w:r>
      <w:r w:rsidR="008D560D" w:rsidRPr="00C05886">
        <w:t xml:space="preserve"> </w:t>
      </w:r>
      <w:r w:rsidRPr="00C05886">
        <w:t xml:space="preserve">could be non-linear. In the car park, the absence of biodiversity was detrimental to Joviality and greatly reduced the recovery of Serenity. At the same time both </w:t>
      </w:r>
      <w:proofErr w:type="spellStart"/>
      <w:r w:rsidRPr="00C05886">
        <w:t>Schebella</w:t>
      </w:r>
      <w:proofErr w:type="spellEnd"/>
      <w:r w:rsidRPr="00C05886">
        <w:t xml:space="preserve"> </w:t>
      </w:r>
      <w:r w:rsidRPr="00C05886">
        <w:rPr>
          <w:i/>
          <w:iCs/>
        </w:rPr>
        <w:t>et al</w:t>
      </w:r>
      <w:r w:rsidRPr="00C05886">
        <w:t xml:space="preserve"> (2020) and Johansson </w:t>
      </w:r>
      <w:r w:rsidRPr="00C05886">
        <w:rPr>
          <w:i/>
          <w:iCs/>
        </w:rPr>
        <w:t xml:space="preserve">et al. </w:t>
      </w:r>
      <w:r w:rsidRPr="00C05886">
        <w:t xml:space="preserve">(2014) observed the greatest benefits of simulated green spaces when </w:t>
      </w:r>
      <w:r w:rsidR="008D560D">
        <w:t xml:space="preserve">species richness (or </w:t>
      </w:r>
      <w:r w:rsidRPr="00C05886">
        <w:t>biodiversity</w:t>
      </w:r>
      <w:r w:rsidR="008D560D">
        <w:t>)</w:t>
      </w:r>
      <w:r w:rsidRPr="00C05886">
        <w:t xml:space="preserve"> </w:t>
      </w:r>
      <w:r w:rsidR="00586639">
        <w:t>was</w:t>
      </w:r>
      <w:r w:rsidR="008D560D" w:rsidRPr="00C05886">
        <w:t xml:space="preserve"> </w:t>
      </w:r>
      <w:r w:rsidRPr="00C05886">
        <w:t>at a low level (</w:t>
      </w:r>
      <w:r w:rsidR="005255D0">
        <w:t xml:space="preserve">between </w:t>
      </w:r>
      <w:r w:rsidR="008D560D">
        <w:t>three</w:t>
      </w:r>
      <w:r w:rsidR="005255D0">
        <w:t xml:space="preserve"> and </w:t>
      </w:r>
      <w:r w:rsidR="008D560D">
        <w:t>eight</w:t>
      </w:r>
      <w:r w:rsidRPr="00C05886">
        <w:t xml:space="preserve"> visible species). Over that level, both studies reported diminishing returns</w:t>
      </w:r>
      <w:r w:rsidR="005255D0">
        <w:t>.</w:t>
      </w:r>
      <w:r w:rsidR="005255D0" w:rsidRPr="005255D0">
        <w:t xml:space="preserve"> </w:t>
      </w:r>
      <w:r w:rsidR="005255D0" w:rsidRPr="00C05886">
        <w:t xml:space="preserve">This </w:t>
      </w:r>
      <w:r w:rsidR="005255D0">
        <w:t xml:space="preserve">may </w:t>
      </w:r>
      <w:r w:rsidR="005255D0" w:rsidRPr="00C05886">
        <w:t xml:space="preserve">suggest the effect of biodiversity could quickly reach a plateau, explaining why there was no </w:t>
      </w:r>
      <w:r w:rsidR="005255D0" w:rsidRPr="00C05886">
        <w:lastRenderedPageBreak/>
        <w:t>difference between 15 and 28 species</w:t>
      </w:r>
      <w:r w:rsidRPr="00C05886">
        <w:t xml:space="preserve">. </w:t>
      </w:r>
      <w:r w:rsidR="005255D0">
        <w:t xml:space="preserve">However, in a face-to-face experiment, arrangements of monocultures, 16, 32 and 64 species of herbaceous plants were shown to the participants for two minutes </w:t>
      </w:r>
      <w:r w:rsidR="005255D0">
        <w:fldChar w:fldCharType="begin"/>
      </w:r>
      <w:r w:rsidR="005255D0">
        <w:instrText xml:space="preserve"> ADDIN ZOTERO_ITEM CSL_CITATION {"citationID":"tmTD4nt6","properties":{"formattedCitation":"(Lindemann-Matthies and Matthies, 2018)","plainCitation":"(Lindemann-Matthies and Matthies, 2018)","noteIndex":0},"citationItems":[{"id":9126,"uris":["http://zotero.org/users/10951124/items/9ILWYPEK"],"itemData":{"id":9126,"type":"article-journal","container-title":"Web Ecol.","DOI":"10.5194/we-18-121-2018","ISSN":"1399-1183","issue":"2","note":"publisher: Copernicus Publications","page":"121-128","title":"The influence of plant species richness on stress recovery of humans","volume":"18","author":[{"family":"Lindemann-Matthies","given":"P"},{"family":"Matthies","given":"D"}],"issued":{"date-parts":[["2018",8,29]]}}}],"schema":"https://github.com/citation-style-language/schema/raw/master/csl-citation.json"} </w:instrText>
      </w:r>
      <w:r w:rsidR="005255D0">
        <w:fldChar w:fldCharType="separate"/>
      </w:r>
      <w:r w:rsidR="005255D0" w:rsidRPr="005255D0">
        <w:rPr>
          <w:rFonts w:ascii="Calibri" w:hAnsi="Calibri" w:cs="Calibri"/>
        </w:rPr>
        <w:t>(Lindemann-Matthies and Matthies, 2018)</w:t>
      </w:r>
      <w:r w:rsidR="005255D0">
        <w:fldChar w:fldCharType="end"/>
      </w:r>
      <w:r w:rsidR="005255D0">
        <w:t>. The participants, who had received a stress induction</w:t>
      </w:r>
      <w:r w:rsidR="00A44795">
        <w:t xml:space="preserve">, showed </w:t>
      </w:r>
      <w:r w:rsidR="00586639">
        <w:t>a</w:t>
      </w:r>
      <w:r w:rsidR="00A44795">
        <w:t xml:space="preserve"> higher recovery from stress in response to the arrangement of 32 species than in any other treatment. Again, this may suggest a non-linear effect of the species richness on stress recovery, though the ideal number of species seems difficult to infer. Future research using virtual environment</w:t>
      </w:r>
      <w:r w:rsidR="005E6967">
        <w:t>s</w:t>
      </w:r>
      <w:r w:rsidR="00A44795">
        <w:t xml:space="preserve"> could contribute by </w:t>
      </w:r>
      <w:r w:rsidR="005E6967">
        <w:t xml:space="preserve">comparing the stress recovery to a finer degree in the low-medium range of species richness (e.g. starting with three species followed by regular increments of </w:t>
      </w:r>
      <w:r w:rsidR="00586639">
        <w:t>two to three</w:t>
      </w:r>
      <w:r w:rsidR="005E6967">
        <w:t xml:space="preserve"> species).</w:t>
      </w:r>
    </w:p>
    <w:p w14:paraId="7257F719" w14:textId="06AC1553" w:rsidR="00051048" w:rsidRPr="00C05886" w:rsidRDefault="000D2888" w:rsidP="00E454D5">
      <w:r w:rsidRPr="000D2888">
        <w:t xml:space="preserve">The actual and perceived </w:t>
      </w:r>
      <w:r w:rsidR="008D560D">
        <w:t>species richness</w:t>
      </w:r>
      <w:r w:rsidRPr="000D2888">
        <w:t xml:space="preserve"> showed a similar effect</w:t>
      </w:r>
      <w:r>
        <w:t xml:space="preserve"> on the emotional response</w:t>
      </w:r>
      <w:r w:rsidR="00051048" w:rsidRPr="00C05886">
        <w:t xml:space="preserve">. </w:t>
      </w:r>
      <w:r>
        <w:t xml:space="preserve">However, </w:t>
      </w:r>
      <w:r w:rsidR="00586639">
        <w:t>contrary</w:t>
      </w:r>
      <w:r w:rsidR="00051048" w:rsidRPr="00C05886">
        <w:t xml:space="preserve"> to the actual </w:t>
      </w:r>
      <w:r w:rsidR="008D560D">
        <w:t>species richness</w:t>
      </w:r>
      <w:r w:rsidR="00051048" w:rsidRPr="00C05886">
        <w:t xml:space="preserve">, the effect of the perceptions seemed linear. The more </w:t>
      </w:r>
      <w:r w:rsidR="008D560D">
        <w:t>species richness</w:t>
      </w:r>
      <w:r w:rsidR="008D560D" w:rsidRPr="00C05886" w:rsidDel="008D560D">
        <w:t xml:space="preserve"> </w:t>
      </w:r>
      <w:r w:rsidR="00051048" w:rsidRPr="00C05886">
        <w:t xml:space="preserve">the participants </w:t>
      </w:r>
      <w:r w:rsidR="008D560D">
        <w:t>perceived</w:t>
      </w:r>
      <w:r w:rsidR="00051048" w:rsidRPr="00C05886">
        <w:t xml:space="preserve">, the higher the Positive Affect they reported. </w:t>
      </w:r>
      <w:r w:rsidR="000F16E2">
        <w:t>To a minor degree, t</w:t>
      </w:r>
      <w:r w:rsidR="00051048" w:rsidRPr="00C05886">
        <w:t xml:space="preserve">his effect </w:t>
      </w:r>
      <w:r>
        <w:t>was observed in the</w:t>
      </w:r>
      <w:r w:rsidR="00051048" w:rsidRPr="00C05886">
        <w:t xml:space="preserve"> Joviality score even when the analysis of the perceived biodiversity was restricted to </w:t>
      </w:r>
      <w:r w:rsidRPr="00C05886">
        <w:t>th</w:t>
      </w:r>
      <w:r>
        <w:t>ose who perceived at least “a few” species – i.e.</w:t>
      </w:r>
      <w:r w:rsidR="000F16E2">
        <w:t xml:space="preserve"> those who were assigned to the</w:t>
      </w:r>
      <w:r w:rsidRPr="00C05886">
        <w:t xml:space="preserve"> </w:t>
      </w:r>
      <w:r w:rsidR="00051048" w:rsidRPr="00C05886">
        <w:t>two green park</w:t>
      </w:r>
      <w:r w:rsidR="000F16E2">
        <w:t>s</w:t>
      </w:r>
      <w:r w:rsidR="00051048" w:rsidRPr="00C05886">
        <w:t xml:space="preserve">. This finding supports the notion that perceived biodiversity could be a stronger predictor of well-being than actual biodiversity </w:t>
      </w:r>
      <w:r w:rsidR="00051048" w:rsidRPr="00C05886">
        <w:fldChar w:fldCharType="begin"/>
      </w:r>
      <w:r w:rsidR="00051048" w:rsidRPr="00C05886">
        <w:instrText xml:space="preserve"> ADDIN ZOTERO_ITEM CSL_CITATION {"citationID":"2ZWMq0uR","properties":{"formattedCitation":"(Dallimer {\\i{}et al.}, 2012; Reining, Lemieux and Doherty, 2021)","plainCitation":"(Dallimer et al., 2012; Reining, Lemieux and Doherty, 2021)","noteIndex":0},"citationItems":[{"id":5841,"uris":["http://zotero.org/users/10951124/items/KQUVK8G6"],"itemData":{"id":5841,"type":"article-journal","abstract":"Over half of the world's human population lives in cities, and for many, urban greenspaces are the only places where they encounter biodiversity. This is of particular concern because there is growing evidence that human well-being is enhanced by exposure to nature. However, the specific qualities of greenspaces that offer the greatest benefits remain poorly understood. One possibility is that humans respond positively to increased levels of biodiversity. Here, we demonstrate the lack of a consistent relationship between actual plant, butterfly, and bird species richness and the psychological well-being of urban greenspace visitors. Instead, well-being shows a positive relationship with the richness that the greenspace users perceived to be present. One plausible explanation for this discrepancy, which we investigate, is that people generally have poor biodiversity-identification skills. The apparent importance of perceived species richness and the mismatch between reality and perception pose a serious challenge for aligning conservation and human well-being agendas.","container-title":"BioScience","DOI":"10.1525/bio.2012.62.1.9","ISSN":"00063568","issue":"1","page":"47-55","title":"Biodiversity and the Feel-Good Factor: Understanding Associations between Self-Reported Human Well-being and Species Richness","volume":"62","author":[{"family":"Dallimer","given":"Martin"},{"family":"Irvine","given":"Katherine N."},{"family":"Skinner","given":"Andrew M.J. J"},{"family":"Davies","given":"Zoe G."},{"family":"Rouquette","given":"James R."},{"family":"Maltby","given":"Lorraine L."},{"family":"Warren","given":"Philip H."},{"family":"Armsworth","given":"Paul R."},{"family":"Gaston","given":"Kevin J."}],"issued":{"date-parts":[["2012"]]}}},{"id":9663,"uris":["http://zotero.org/users/10951124/items/J9NXCZ7N"],"itemData":{"id":9663,"type":"article-journal","container-title":"Journal of Environmental Planning and Management","DOI":"10.1080/09640568.2020.1857227","ISSN":"0964-0568","issue":"13","journalAbbreviation":"Journal of Environmental Planning and Management","note":"publisher: Routledge","page":"2300-2325","title":"Linking restorative human health outcomes to protected area ecosystem diversity and integrity","volume":"64","author":[{"family":"Reining","given":"Catherine E."},{"family":"Lemieux","given":"Christopher J."},{"family":"Doherty","given":"Sean T."}],"issued":{"date-parts":[["2021",11,10]]}}}],"schema":"https://github.com/citation-style-language/schema/raw/master/csl-citation.json"} </w:instrText>
      </w:r>
      <w:r w:rsidR="00051048" w:rsidRPr="00C05886">
        <w:fldChar w:fldCharType="separate"/>
      </w:r>
      <w:r w:rsidR="00051048" w:rsidRPr="00C05886">
        <w:rPr>
          <w:rFonts w:ascii="Calibri" w:hAnsi="Calibri" w:cs="Calibri"/>
          <w:szCs w:val="24"/>
        </w:rPr>
        <w:t xml:space="preserve">(Dallimer </w:t>
      </w:r>
      <w:r w:rsidR="00051048" w:rsidRPr="00C05886">
        <w:rPr>
          <w:rFonts w:ascii="Calibri" w:hAnsi="Calibri" w:cs="Calibri"/>
          <w:i/>
          <w:iCs/>
          <w:szCs w:val="24"/>
        </w:rPr>
        <w:t>et al.</w:t>
      </w:r>
      <w:r w:rsidR="00051048" w:rsidRPr="00C05886">
        <w:rPr>
          <w:rFonts w:ascii="Calibri" w:hAnsi="Calibri" w:cs="Calibri"/>
          <w:szCs w:val="24"/>
        </w:rPr>
        <w:t>, 2012; Reining, Lemieux and Doherty, 2021)</w:t>
      </w:r>
      <w:r w:rsidR="00051048" w:rsidRPr="00C05886">
        <w:fldChar w:fldCharType="end"/>
      </w:r>
      <w:r w:rsidR="00051048" w:rsidRPr="00C05886">
        <w:t>.</w:t>
      </w:r>
    </w:p>
    <w:p w14:paraId="33AF6BF9" w14:textId="040A9D80" w:rsidR="00051048" w:rsidRPr="00C05886" w:rsidRDefault="00051048" w:rsidP="00E454D5">
      <w:r w:rsidRPr="00C05886">
        <w:t xml:space="preserve">However, a closer examination of how many species the participants perceived in each treatment (Table 4) reveals that the </w:t>
      </w:r>
      <w:r w:rsidR="00C519B7">
        <w:t>perceived species richness</w:t>
      </w:r>
      <w:r w:rsidRPr="00C05886">
        <w:t xml:space="preserve"> </w:t>
      </w:r>
      <w:r w:rsidR="00C519B7">
        <w:t>diverged from the number of species shown</w:t>
      </w:r>
      <w:r w:rsidRPr="00C05886">
        <w:t>. Surprisingly, 40</w:t>
      </w:r>
      <w:r w:rsidR="00C519B7">
        <w:t xml:space="preserve"> </w:t>
      </w:r>
      <w:r w:rsidRPr="00C05886">
        <w:t>online participants</w:t>
      </w:r>
      <w:r w:rsidR="00C519B7">
        <w:t xml:space="preserve"> (out of 141)</w:t>
      </w:r>
      <w:r w:rsidRPr="00C05886">
        <w:t xml:space="preserve"> </w:t>
      </w:r>
      <w:r w:rsidR="00C519B7">
        <w:t xml:space="preserve">who were </w:t>
      </w:r>
      <w:r w:rsidRPr="00C05886">
        <w:t>assigned to the car park treatment</w:t>
      </w:r>
      <w:r w:rsidR="00C519B7">
        <w:t>,</w:t>
      </w:r>
      <w:r w:rsidRPr="00C05886">
        <w:t xml:space="preserve"> perceived </w:t>
      </w:r>
      <w:r w:rsidR="00C519B7">
        <w:t>“a few” or more species</w:t>
      </w:r>
      <w:r w:rsidRPr="00C05886">
        <w:t xml:space="preserve"> while there </w:t>
      </w:r>
      <w:r w:rsidR="00C519B7">
        <w:t>were none</w:t>
      </w:r>
      <w:r w:rsidRPr="00C05886">
        <w:t>. It is possible that these online participants had lower engagement at that stage of the survey – as th</w:t>
      </w:r>
      <w:r w:rsidR="00C519B7">
        <w:t xml:space="preserve">is </w:t>
      </w:r>
      <w:r w:rsidRPr="00C05886">
        <w:t xml:space="preserve">was the final question – and some may simply have misunderstood the wording. However, there were also </w:t>
      </w:r>
      <w:r w:rsidR="00C519B7">
        <w:t>three</w:t>
      </w:r>
      <w:r w:rsidR="00C519B7" w:rsidRPr="00C05886">
        <w:t xml:space="preserve"> </w:t>
      </w:r>
      <w:r w:rsidRPr="00C05886">
        <w:t xml:space="preserve">face-to-face participants assigned to the car park who reported seeing “a few” species during the tour. This allowed the researchers to probe further about why they thought so. One participant identified some greenish spots of the pavement (Figure 3) as moss or lichens; another participant counted humans as animals; and the last one said there were trees visible far in the distance, outside the car park (although the question specifically asked about the car park itself). This suggests that some online participants may have </w:t>
      </w:r>
      <w:r w:rsidR="00C519B7">
        <w:t xml:space="preserve">perceived some species </w:t>
      </w:r>
      <w:r w:rsidRPr="00C05886">
        <w:t xml:space="preserve">where there was none. It could also provide support to the hypothesised “People/Biodiversity paradox” </w:t>
      </w:r>
      <w:r w:rsidRPr="00C05886">
        <w:fldChar w:fldCharType="begin"/>
      </w:r>
      <w:r w:rsidRPr="00C05886">
        <w:instrText xml:space="preserve"> ADDIN ZOTERO_ITEM CSL_CITATION {"citationID":"n6kY065Z","properties":{"formattedCitation":"(Pett {\\i{}et al.}, 2016)","plainCitation":"(Pett et al., 2016)","noteIndex":0},"citationItems":[{"id":6856,"uris":["http://zotero.org/users/10951124/items/X7EKZDIM"],"itemData":{"id":6856,"type":"article-journal","abstract":"© 2016. Published by Oxford University Press on behalf of the American Institute of Biological Sciences. All rights reserved. Global phenomena, including urbanization, agricultural intensification, and biotic homogenization, have led to extensive ecosystem degradation, species extinctions, and, consequently, a reduction in biodiversity. However, although it is now widely asserted in the research, policy, and practice arenas that interacting with nature is fundamental to human health and well-being, there is a paucity of nuanced evidence characterizing how the living components of nature, biodiversity, play a role in this accepted truth. Understanding these human-biodiversity relationships is essential if the conservation agenda is to be aligned successfully with that of public health by policymakers and practitioners. Here, we show that an apparent \"people-biodiversity paradox\" is emerging from the literature, comprising a mismatch between (a) people's biodiversity preferences and how these inclinations relate to personal subjective well-being and (b) the limited ability of individuals to accurately perceive the biodiversity surrounding them. In addition, we present a conceptual framework for understanding the complexity underpinning human-biodiversity interactions.","container-title":"BioScience","DOI":"10.1093/biosci/biw036","issue":"7","page":"576-583","title":"Unpacking the people-biodiversity paradox: A conceptual framework","volume":"66","author":[{"family":"Pett","given":"T.J."},{"family":"Shwartz","given":"A."},{"family":"Irvine","given":"K.N."},{"family":"Dallimer","given":"M."},{"family":"Davies","given":"Z.G."}],"issued":{"date-parts":[["2016"]]}}}],"schema":"https://github.com/citation-style-language/schema/raw/master/csl-citation.json"} </w:instrText>
      </w:r>
      <w:r w:rsidRPr="00C05886">
        <w:fldChar w:fldCharType="separate"/>
      </w:r>
      <w:r w:rsidRPr="00C05886">
        <w:rPr>
          <w:rFonts w:ascii="Calibri" w:hAnsi="Calibri" w:cs="Calibri"/>
          <w:szCs w:val="24"/>
        </w:rPr>
        <w:t xml:space="preserve">(Pett </w:t>
      </w:r>
      <w:r w:rsidRPr="00C05886">
        <w:rPr>
          <w:rFonts w:ascii="Calibri" w:hAnsi="Calibri" w:cs="Calibri"/>
          <w:i/>
          <w:iCs/>
          <w:szCs w:val="24"/>
        </w:rPr>
        <w:t>et al.</w:t>
      </w:r>
      <w:r w:rsidRPr="00C05886">
        <w:rPr>
          <w:rFonts w:ascii="Calibri" w:hAnsi="Calibri" w:cs="Calibri"/>
          <w:szCs w:val="24"/>
        </w:rPr>
        <w:t>, 2016)</w:t>
      </w:r>
      <w:r w:rsidRPr="00C05886">
        <w:fldChar w:fldCharType="end"/>
      </w:r>
      <w:r w:rsidRPr="00C05886">
        <w:t xml:space="preserve"> which argued that the public would </w:t>
      </w:r>
      <w:r w:rsidRPr="00C05886">
        <w:lastRenderedPageBreak/>
        <w:t>prefer biodiverse green spaces while not being able to properly acknowledge the real biodiversity present.</w:t>
      </w:r>
    </w:p>
    <w:p w14:paraId="6BCE0CE4" w14:textId="7DF7BA6D" w:rsidR="00051048" w:rsidRPr="00C05886" w:rsidRDefault="00051048" w:rsidP="00E454D5">
      <w:r w:rsidRPr="00C05886">
        <w:t xml:space="preserve">This seems </w:t>
      </w:r>
      <w:r w:rsidR="00C519B7">
        <w:t>in line</w:t>
      </w:r>
      <w:r w:rsidR="00C519B7" w:rsidRPr="00C05886">
        <w:t xml:space="preserve"> </w:t>
      </w:r>
      <w:r w:rsidR="00C519B7">
        <w:t>with</w:t>
      </w:r>
      <w:r w:rsidRPr="00C05886">
        <w:t xml:space="preserve"> the data, as 58% of the participants assigned to the low</w:t>
      </w:r>
      <w:r w:rsidR="00C519B7">
        <w:t>er</w:t>
      </w:r>
      <w:r w:rsidRPr="00C05886">
        <w:t xml:space="preserve"> </w:t>
      </w:r>
      <w:r w:rsidR="00C519B7">
        <w:t>species richness</w:t>
      </w:r>
      <w:r w:rsidR="00C519B7" w:rsidRPr="00C05886">
        <w:t xml:space="preserve"> </w:t>
      </w:r>
      <w:r w:rsidR="00C519B7">
        <w:t>perceived</w:t>
      </w:r>
      <w:r w:rsidR="00654F1B">
        <w:t xml:space="preserve"> park</w:t>
      </w:r>
      <w:r w:rsidR="00C519B7">
        <w:t xml:space="preserve"> “a lot” of species</w:t>
      </w:r>
      <w:r w:rsidRPr="00C05886">
        <w:t>, while 25% of those assigned to the high</w:t>
      </w:r>
      <w:r w:rsidR="00C519B7">
        <w:t>er</w:t>
      </w:r>
      <w:r w:rsidRPr="00C05886">
        <w:t xml:space="preserve"> </w:t>
      </w:r>
      <w:r w:rsidR="00C519B7">
        <w:t>species richness</w:t>
      </w:r>
      <w:r w:rsidR="00C519B7" w:rsidRPr="00C05886">
        <w:t xml:space="preserve"> </w:t>
      </w:r>
      <w:r w:rsidRPr="00C05886">
        <w:t xml:space="preserve">park </w:t>
      </w:r>
      <w:r w:rsidR="00C519B7">
        <w:t>perceived</w:t>
      </w:r>
      <w:r w:rsidR="00C519B7" w:rsidRPr="00C05886">
        <w:t xml:space="preserve"> </w:t>
      </w:r>
      <w:r w:rsidR="003303B7">
        <w:t>only “a few” or “some” species</w:t>
      </w:r>
      <w:r w:rsidRPr="00C05886">
        <w:t>.</w:t>
      </w:r>
      <w:r w:rsidR="003303B7">
        <w:t xml:space="preserve"> This may also be due to the broad and unguided categorisation of the measure </w:t>
      </w:r>
      <w:r w:rsidR="003303B7" w:rsidRPr="001663B1">
        <w:t>(</w:t>
      </w:r>
      <w:proofErr w:type="spellStart"/>
      <w:r w:rsidR="003303B7" w:rsidRPr="001663B1">
        <w:t>Gyllin</w:t>
      </w:r>
      <w:proofErr w:type="spellEnd"/>
      <w:r w:rsidR="003303B7" w:rsidRPr="001663B1">
        <w:t xml:space="preserve"> and Grahn, 2005)</w:t>
      </w:r>
      <w:r w:rsidR="003303B7">
        <w:t>, where the subjective meaning of “some” or “a lot” could have varied among the participants. I</w:t>
      </w:r>
      <w:r w:rsidRPr="00C05886">
        <w:t xml:space="preserve">naccuracy </w:t>
      </w:r>
      <w:r w:rsidR="003303B7">
        <w:t xml:space="preserve">in perceiving species richness </w:t>
      </w:r>
      <w:r w:rsidRPr="00C05886">
        <w:t xml:space="preserve">was reported by previous research work </w:t>
      </w:r>
      <w:r w:rsidRPr="00C05886">
        <w:fldChar w:fldCharType="begin"/>
      </w:r>
      <w:r w:rsidRPr="00C05886">
        <w:instrText xml:space="preserve"> ADDIN ZOTERO_ITEM CSL_CITATION {"citationID":"kZQFU8P1","properties":{"formattedCitation":"(Dallimer {\\i{}et al.}, 2012)","plainCitation":"(Dallimer et al., 2012)","noteIndex":0},"citationItems":[{"id":5841,"uris":["http://zotero.org/users/10951124/items/KQUVK8G6"],"itemData":{"id":5841,"type":"article-journal","abstract":"Over half of the world's human population lives in cities, and for many, urban greenspaces are the only places where they encounter biodiversity. This is of particular concern because there is growing evidence that human well-being is enhanced by exposure to nature. However, the specific qualities of greenspaces that offer the greatest benefits remain poorly understood. One possibility is that humans respond positively to increased levels of biodiversity. Here, we demonstrate the lack of a consistent relationship between actual plant, butterfly, and bird species richness and the psychological well-being of urban greenspace visitors. Instead, well-being shows a positive relationship with the richness that the greenspace users perceived to be present. One plausible explanation for this discrepancy, which we investigate, is that people generally have poor biodiversity-identification skills. The apparent importance of perceived species richness and the mismatch between reality and perception pose a serious challenge for aligning conservation and human well-being agendas.","container-title":"BioScience","DOI":"10.1525/bio.2012.62.1.9","ISSN":"00063568","issue":"1","page":"47-55","title":"Biodiversity and the Feel-Good Factor: Understanding Associations between Self-Reported Human Well-being and Species Richness","volume":"62","author":[{"family":"Dallimer","given":"Martin"},{"family":"Irvine","given":"Katherine N."},{"family":"Skinner","given":"Andrew M.J. J"},{"family":"Davies","given":"Zoe G."},{"family":"Rouquette","given":"James R."},{"family":"Maltby","given":"Lorraine L."},{"family":"Warren","given":"Philip H."},{"family":"Armsworth","given":"Paul R."},{"family":"Gaston","given":"Kevin J."}],"issued":{"date-parts":[["2012"]]}}}],"schema":"https://github.com/citation-style-language/schema/raw/master/csl-citation.json"} </w:instrText>
      </w:r>
      <w:r w:rsidRPr="00C05886">
        <w:fldChar w:fldCharType="separate"/>
      </w:r>
      <w:r w:rsidRPr="00C05886">
        <w:rPr>
          <w:rFonts w:ascii="Calibri" w:hAnsi="Calibri" w:cs="Calibri"/>
          <w:szCs w:val="24"/>
        </w:rPr>
        <w:t xml:space="preserve">(Dallimer </w:t>
      </w:r>
      <w:r w:rsidRPr="00C05886">
        <w:rPr>
          <w:rFonts w:ascii="Calibri" w:hAnsi="Calibri" w:cs="Calibri"/>
          <w:i/>
          <w:iCs/>
          <w:szCs w:val="24"/>
        </w:rPr>
        <w:t>et al.</w:t>
      </w:r>
      <w:r w:rsidRPr="00C05886">
        <w:rPr>
          <w:rFonts w:ascii="Calibri" w:hAnsi="Calibri" w:cs="Calibri"/>
          <w:szCs w:val="24"/>
        </w:rPr>
        <w:t>, 2012)</w:t>
      </w:r>
      <w:r w:rsidRPr="00C05886">
        <w:fldChar w:fldCharType="end"/>
      </w:r>
      <w:r w:rsidRPr="00C05886">
        <w:t xml:space="preserve">, and overestimation seems </w:t>
      </w:r>
      <w:r w:rsidR="003303B7">
        <w:t>a</w:t>
      </w:r>
      <w:r w:rsidRPr="00C05886">
        <w:t xml:space="preserve"> common trend </w:t>
      </w:r>
      <w:r w:rsidRPr="00C05886">
        <w:fldChar w:fldCharType="begin"/>
      </w:r>
      <w:r w:rsidR="000309A4" w:rsidRPr="00C05886">
        <w:instrText xml:space="preserve"> ADDIN ZOTERO_ITEM CSL_CITATION {"citationID":"CTQv6l1k","properties":{"formattedCitation":"(Lindemann-Matthies and Bose, 2008; Assaf Shwartz {\\i{}et al.}, 2014)","plainCitation":"(Lindemann-Matthies and Bose, 2008; Assaf Shwartz et al., 2014)","noteIndex":0},"citationItems":[{"id":8229,"uris":["http://zotero.org/users/10951124/items/ZNFYF3FU"],"itemData":{"id":8229,"type":"article-journal","abstract":"This paper presents the results of interviews and a questionnaire study on public knowledge of the concept of biodiversity and of plant species richness in Switzerland. Despite its extensive use in science and policy making, the concept of biodiversity is not widely recognized or known to people in Switzerland. Overall, 60% of all study participants (161 grammar school pupils, 110 non-graduates, and 96 graduates in the Canton of Zurich) had never heard the term biodiversity, while the others had come across it primarily in the media. Few study participants considered their school education a relevant source of information about biodiversity. Study participants most frequently referred to the diversity of plants and animals when defining biodiversity, but also quite often believed that biodiversity had something to do with ecological concepts such as the equilibrium between all components of nature. Both young people and adults held widely inaccurate ideas of the plant species richness of communities. Particularly for Switzerland, plant species richness was strongly overestimated.","container-title":"Human Ecology","DOI":"10.1007/s10745-008-9194-1","ISSN":"1572-9915","issue":"5","page":"731-742","title":"How Many Species Are There? Public Understanding and Awareness of Biodiversity in Switzerland","volume":"36","author":[{"family":"Lindemann-Matthies","given":"Petra"},{"family":"Bose","given":"Elisabeth"}],"issued":{"date-parts":[["2008"]]}}},{"id":6245,"uris":["http://zotero.org/users/10951124/items/ER322ZT3"],"itemData":{"id":6245,"type":"article-journal","abstract":"&lt;p&gt;Urbanization is presenting a growing problem for biodiversity conservation, notably by increasingly isolating over half of the world’s population from the experience of nature. This separation of people from nature is an important environmental issue, as it could fundamentally influence the way people value nature and their willingness to conserve it. Here we provide the first experimental study that jointly explores how urban biodiversity can be enhanced and how these changes may influence some aspects of people–biodiversity interactions.&lt;/p&gt; &lt;p&gt;We significantly increased the diversity of flowers, birds and pollinators in small public gardens (Paris, France) by providing additional resources (i.e., planting flower-meadows and placing nesting-boxes). Semi-structured interviews were conducted &lt;/p&gt; &lt;p&gt; with 1116 regular garden users before and after the manipulation. Close-ended questionnaires were completed exploring the respondents’ biodiversity perception and their sensitivity to the changes in biodiversity. Our results highlight a people–biodiversity paradox between people’s perceptions and biodiversity awareness. Respondents expressed a strong preference for a rich diversity of species (excluding insects) and related this diversity to their well-being in the gardens. However, they did not notice the diversity of species. Respondents underestimated species richness and only noticed the changes in native flower richness in those gardens where advertisement and public involvement were organized. More experimental interdisciplinary studies are needed to further explore the people–biodiversity interactions. This would help expose the role that urban biodiversity plays in people’s daily life and the importance of this interaction for raising public support for general conservation policies.&lt;/p&gt;","container-title":"Biological Conservation","DOI":"10.1016/j.biocon.2014.01.009","ISSN":"0006-3207","page":"82-90","title":"Enhancing urban biodiversity and its influence on city-dwellers: An experiment","volume":"171","author":[{"family":"Shwartz","given":"Assaf"},{"family":"Turbé","given":"Anne"},{"family":"Simon","given":"Laurent"},{"family":"Julliard","given":"Romain"}],"issued":{"date-parts":[["2014"]]}}}],"schema":"https://github.com/citation-style-language/schema/raw/master/csl-citation.json"} </w:instrText>
      </w:r>
      <w:r w:rsidRPr="00C05886">
        <w:fldChar w:fldCharType="separate"/>
      </w:r>
      <w:r w:rsidR="000309A4" w:rsidRPr="00C05886">
        <w:rPr>
          <w:rFonts w:ascii="Calibri" w:hAnsi="Calibri" w:cs="Calibri"/>
          <w:szCs w:val="24"/>
        </w:rPr>
        <w:t xml:space="preserve">(Lindemann-Matthies and Bose, 2008; Assaf Shwartz </w:t>
      </w:r>
      <w:r w:rsidR="000309A4" w:rsidRPr="00C05886">
        <w:rPr>
          <w:rFonts w:ascii="Calibri" w:hAnsi="Calibri" w:cs="Calibri"/>
          <w:i/>
          <w:iCs/>
          <w:szCs w:val="24"/>
        </w:rPr>
        <w:t>et al.</w:t>
      </w:r>
      <w:r w:rsidR="000309A4" w:rsidRPr="00C05886">
        <w:rPr>
          <w:rFonts w:ascii="Calibri" w:hAnsi="Calibri" w:cs="Calibri"/>
          <w:szCs w:val="24"/>
        </w:rPr>
        <w:t>, 2014)</w:t>
      </w:r>
      <w:r w:rsidRPr="00C05886">
        <w:fldChar w:fldCharType="end"/>
      </w:r>
      <w:r w:rsidRPr="00C05886">
        <w:t xml:space="preserve">. </w:t>
      </w:r>
    </w:p>
    <w:p w14:paraId="5AD17413" w14:textId="290BED7A" w:rsidR="00051048" w:rsidRPr="00C05886" w:rsidRDefault="00051048" w:rsidP="00E454D5">
      <w:r w:rsidRPr="00C05886">
        <w:t xml:space="preserve">However, it is </w:t>
      </w:r>
      <w:r w:rsidR="003303B7">
        <w:t xml:space="preserve">also </w:t>
      </w:r>
      <w:r w:rsidRPr="00C05886">
        <w:t xml:space="preserve">possible that the two parks were perceived similarly due to the regular structure of their vegetation which included sparse trees and flowering plants at three different heights (short, medium and tall). As reported by </w:t>
      </w:r>
      <w:r w:rsidRPr="00C05886">
        <w:fldChar w:fldCharType="begin"/>
      </w:r>
      <w:r w:rsidRPr="00C05886">
        <w:instrText xml:space="preserve"> ADDIN ZOTERO_ITEM CSL_CITATION {"citationID":"uDidPblZ","properties":{"formattedCitation":"(Schebella {\\i{}et al.}, 2019)","plainCitation":"(Schebella et al., 2019)","dontUpdate":true,"noteIndex":0},"citationItems":[{"id":9985,"uris":["http://zotero.org/users/10951124/items/TWY3NIZJ"],"itemData":{"id":9985,"type":"article-journal","container-title":"International Journal of Environmental Research","DOI":"10.1007/s41742-019-00200-0","ISSN":"1735-6865, 2008-2304","issue":"4","journalAbbreviation":"Int J Environ Res","language":"en","page":"707-720","source":"DOI.org (Crossref)","title":"In Pursuit of Urban Sustainability: Predicting Public Perceptions of Park Biodiversity Using Simple Assessment Tools","title-short":"In Pursuit of Urban Sustainability","volume":"13","author":[{"family":"Schebella","given":"M. F."},{"family":"Weber","given":"D."},{"family":"Schultz","given":"L."},{"family":"Weinstein","given":"P."}],"issued":{"date-parts":[["2019",8]]}}}],"schema":"https://github.com/citation-style-language/schema/raw/master/csl-citation.json"} </w:instrText>
      </w:r>
      <w:r w:rsidRPr="00C05886">
        <w:fldChar w:fldCharType="separate"/>
      </w:r>
      <w:r w:rsidRPr="00C05886">
        <w:rPr>
          <w:rFonts w:ascii="Calibri" w:hAnsi="Calibri" w:cs="Calibri"/>
          <w:szCs w:val="24"/>
        </w:rPr>
        <w:t xml:space="preserve">Schebella </w:t>
      </w:r>
      <w:r w:rsidRPr="00C05886">
        <w:rPr>
          <w:rFonts w:ascii="Calibri" w:hAnsi="Calibri" w:cs="Calibri"/>
          <w:i/>
          <w:iCs/>
          <w:szCs w:val="24"/>
        </w:rPr>
        <w:t>et al.</w:t>
      </w:r>
      <w:r w:rsidRPr="00C05886">
        <w:rPr>
          <w:rFonts w:ascii="Calibri" w:hAnsi="Calibri" w:cs="Calibri"/>
          <w:szCs w:val="24"/>
        </w:rPr>
        <w:t xml:space="preserve"> (2019)</w:t>
      </w:r>
      <w:r w:rsidRPr="00C05886">
        <w:fldChar w:fldCharType="end"/>
      </w:r>
      <w:r w:rsidRPr="00C05886">
        <w:t>, the structure of the vegetation is important in public perceptions of biodiversity. In addition, both the structure and the arrangement of the flowered blocks were kept consistent to ensure the participant would receive regular exposure while exploring the park. This regularity may have changed the overall perception of some participants.</w:t>
      </w:r>
    </w:p>
    <w:p w14:paraId="305ED073" w14:textId="23B7D419" w:rsidR="00051048" w:rsidRPr="00C05886" w:rsidRDefault="00BE2A1E" w:rsidP="00051048">
      <w:pPr>
        <w:pStyle w:val="Heading3"/>
      </w:pPr>
      <w:bookmarkStart w:id="166" w:name="_Toc179962404"/>
      <w:r>
        <w:t>Hearth rate variability</w:t>
      </w:r>
      <w:bookmarkEnd w:id="166"/>
    </w:p>
    <w:p w14:paraId="406F938F" w14:textId="109EC605" w:rsidR="00051048" w:rsidRPr="00C05886" w:rsidRDefault="00051048" w:rsidP="006A56BD">
      <w:r w:rsidRPr="00C05886">
        <w:t xml:space="preserve">Despite the affective response </w:t>
      </w:r>
      <w:r w:rsidR="00621015" w:rsidRPr="00C05886">
        <w:t>var</w:t>
      </w:r>
      <w:r w:rsidR="00621015">
        <w:t>ied</w:t>
      </w:r>
      <w:r w:rsidR="00621015" w:rsidRPr="00C05886">
        <w:t xml:space="preserve"> </w:t>
      </w:r>
      <w:r w:rsidR="00621015">
        <w:t>depending</w:t>
      </w:r>
      <w:r w:rsidR="00621015" w:rsidRPr="00C05886">
        <w:t xml:space="preserve"> </w:t>
      </w:r>
      <w:r w:rsidR="00621015">
        <w:t>on</w:t>
      </w:r>
      <w:r w:rsidRPr="00C05886">
        <w:t xml:space="preserve"> the environment treatment, the heart rate variability showed minimal to no changes. There were differences in some indicators between the baseline and the stressor stage but not between the stressor and the environment exposure stages. The parasympathetic indicators (RMSSD and HF) declined slightly after the stressor, while the LF/HF ratio increased. It is possible that in the present experiment the stimuli (the alarm and the virtual tour) did not </w:t>
      </w:r>
      <w:r w:rsidR="00AE55E7">
        <w:t>elicit</w:t>
      </w:r>
      <w:r w:rsidR="00AE55E7" w:rsidRPr="00C05886">
        <w:t xml:space="preserve"> </w:t>
      </w:r>
      <w:r w:rsidRPr="00C05886">
        <w:t xml:space="preserve">sufficient stress or recovery. In normal health conditions, the autonomous nervous system keeps the sympathetic and parasympathetic activity balanced in order to save energy </w:t>
      </w:r>
      <w:r w:rsidRPr="00C05886">
        <w:fldChar w:fldCharType="begin"/>
      </w:r>
      <w:r w:rsidR="000309A4" w:rsidRPr="00C05886">
        <w:instrText xml:space="preserve"> ADDIN ZOTERO_ITEM CSL_CITATION {"citationID":"sNKCJRUQ","properties":{"formattedCitation":"(Richardson, McEwan, {\\i{}et al.}, 2016)","plainCitation":"(Richardson, McEwan, et al., 2016)","noteIndex":0},"citationItems":[{"id":7088,"uris":["http://zotero.org/users/10951124/items/S387SPTP"],"itemData":{"id":7088,"type":"article-journal","abstract":"Key theories of the human need for nature take an evolutionary perspective, and many of the mental well-being benefits of nature relate to positive affect. As affect has a physiological basis, it is important to consider these benefits alongside regulatory processes. However, research into nature and positive affect tends not to consider affect regulation and the neurophysiology of emotion. This brief systematic review and meta-analysis presents evidence to support the use of an existing evolutionary functional model of affect regulation (the three circle model of emotion) that provides a tripartite framework in which to consider the mental well-being benefits of nature and to guide nature-based well-being interventions. The model outlines drive, contentment and threat dimensions of affect regulation based on a review of the emotion regulation literature. The model has been used previously for understanding mental well-being, delivering successful mental health-care interventions and providing directions for future research. Finally, the three circle model is easily understood in the context of our everyday lives, providing an accessible physiological-based narrative to help explain the benefits of nature.","container-title":"Evolutionary Psychological Science","DOI":"10.1007/s40806-016-0065-5","ISSN":"2198-9885","issue":"4","note":"publisher: Evolutionary Psychological Science","page":"308-320","title":"Joy and Calm: How an Evolutionary Functional Model of Affect Regulation Informs Positive Emotions in Nature","volume":"2","author":[{"family":"Richardson","given":"Miles"},{"family":"McEwan","given":"Kirsten"},{"family":"Maratos","given":"Frances"},{"family":"Sheffield","given":"David"}],"issued":{"date-parts":[["2016"]]}}}],"schema":"https://github.com/citation-style-language/schema/raw/master/csl-citation.json"} </w:instrText>
      </w:r>
      <w:r w:rsidRPr="00C05886">
        <w:fldChar w:fldCharType="separate"/>
      </w:r>
      <w:r w:rsidR="000309A4" w:rsidRPr="00C05886">
        <w:rPr>
          <w:rFonts w:ascii="Calibri" w:hAnsi="Calibri" w:cs="Calibri"/>
          <w:szCs w:val="24"/>
        </w:rPr>
        <w:t xml:space="preserve">(Richardson, McEwan, </w:t>
      </w:r>
      <w:r w:rsidR="000309A4" w:rsidRPr="00C05886">
        <w:rPr>
          <w:rFonts w:ascii="Calibri" w:hAnsi="Calibri" w:cs="Calibri"/>
          <w:i/>
          <w:iCs/>
          <w:szCs w:val="24"/>
        </w:rPr>
        <w:t>et al.</w:t>
      </w:r>
      <w:r w:rsidR="000309A4" w:rsidRPr="00C05886">
        <w:rPr>
          <w:rFonts w:ascii="Calibri" w:hAnsi="Calibri" w:cs="Calibri"/>
          <w:szCs w:val="24"/>
        </w:rPr>
        <w:t>, 2016)</w:t>
      </w:r>
      <w:r w:rsidRPr="00C05886">
        <w:fldChar w:fldCharType="end"/>
      </w:r>
      <w:r w:rsidRPr="00C05886">
        <w:t>. Although the affective response was more sensitive to both the stressor and the environment, it is possible that the duration of the stimuli was too short to affect the physiological response.</w:t>
      </w:r>
    </w:p>
    <w:p w14:paraId="137CAF3E" w14:textId="1BF5BD8E" w:rsidR="00051048" w:rsidRPr="00C05886" w:rsidRDefault="00051048" w:rsidP="00D914FC">
      <w:r w:rsidRPr="00C05886">
        <w:t>However, significant physiological responses were reported in recent studies which used similar experimental designs</w:t>
      </w:r>
      <w:r w:rsidR="00BE2A1E">
        <w:t xml:space="preserve"> and stimuli</w:t>
      </w:r>
      <w:r w:rsidRPr="00C05886">
        <w:t xml:space="preserve">. These also had comparably small sample sizes and limited the exposure to virtual green spaces to a few minutes. For example, </w:t>
      </w:r>
      <w:r w:rsidRPr="00C05886">
        <w:fldChar w:fldCharType="begin"/>
      </w:r>
      <w:r w:rsidRPr="00C05886">
        <w:instrText xml:space="preserve"> ADDIN ZOTERO_ITEM CSL_CITATION {"citationID":"C473so2w","properties":{"formattedCitation":"(Jo, Park and Yeon, 2021)","plainCitation":"(Jo, Park and Yeon, 2021)","dontUpdate":true,"noteIndex":0},"citationItems":[{"id":9206,"uris":["http://zotero.org/users/10951124/items/K5HKYNBR"],"itemData":{"id":9206,"type":"article-journal","abstract":"The purpose of this study is to study the effect of forest videos using virtual reality (VR) on the stress of college students. The study subjects were 60 college students who watched two-dimensional (2D) and VR videos, and we compared their control heart rate variability (HRV) and electroencephalogram (EEG). As a result, it was found that the VR group had a positive effect on high frequency (HF), standard deviation of all NN intervals (SDNN), and root-mean-square of successive differences (RMSSD) compared with the control group, and the VR group had a positive effect on HF compared with the 2D group. Second, EEG, a physiological indicator, showed statistical differences in Relative Alpha Power (RA), Relative Beta Power (RB), and Ratio of SMR&amp;ndash;Mid Beta to Theta (RSMT) in VR groups in intra-group analysis. Among them, it was investigated that watching forest videos on VR became a state of concentration and immersion due to the increase in RSMT. As a result of the above, it was investigated that forest videos using VR had a positive effect on the physiological stress on college students. Therefore, it is expected that a positive effect will occur if VR is used as an alternative to stress management for college students.","container-title":"International Journal of Environmental Research and Public Health","DOI":"10.3390/ijerph182312805","ISSN":"1660-4601","issue":"23","title":"The Effect of Forest Video Using Virtual Reality on the Stress Reduction of University Students Focused on C University in Korea","volume":"18","author":[{"family":"Jo","given":"Seong-Hee"},{"family":"Park","given":"Jin-Seok"},{"family":"Yeon","given":"Poung-Sik"}],"issued":{"date-parts":[["2021"]]}}}],"schema":"https://github.com/citation-style-language/schema/raw/master/csl-citation.json"} </w:instrText>
      </w:r>
      <w:r w:rsidRPr="00C05886">
        <w:fldChar w:fldCharType="separate"/>
      </w:r>
      <w:r w:rsidRPr="00C05886">
        <w:rPr>
          <w:rFonts w:ascii="Calibri" w:hAnsi="Calibri" w:cs="Calibri"/>
        </w:rPr>
        <w:t>Jo, Park and Yeon (2021)</w:t>
      </w:r>
      <w:r w:rsidRPr="00C05886">
        <w:fldChar w:fldCharType="end"/>
      </w:r>
      <w:r w:rsidRPr="00C05886">
        <w:t xml:space="preserve"> observed a significant parasympathetic increase (HF and RMSSD) in a group of 20 Korean college students, </w:t>
      </w:r>
      <w:r w:rsidRPr="00C05886">
        <w:lastRenderedPageBreak/>
        <w:t xml:space="preserve">after showing them a 360-degree video of a forest. Another Korean study </w:t>
      </w:r>
      <w:r w:rsidRPr="00C05886">
        <w:fldChar w:fldCharType="begin"/>
      </w:r>
      <w:r w:rsidRPr="00C05886">
        <w:instrText xml:space="preserve"> ADDIN ZOTERO_ITEM CSL_CITATION {"citationID":"vcNU3UmT","properties":{"formattedCitation":"(Jo, Lee and Jeon, 2022)","plainCitation":"(Jo, Lee and Jeon, 2022)","noteIndex":0},"citationItems":[{"id":10421,"uris":["http://zotero.org/users/10951124/items/QSBDBJ45"],"itemData":{"id":10421,"type":"article-journal","abstract":"Abstract\n            Noise sensitivity is a crucial factor affecting subjective psychophysiological responses to the acoustic environment of various indoor and outdoor spaces. This study examines how noise sensitivity or hyperacusis affects the recovery of emotional and autonomic nervous system (ANS) responses when experiencing various monoscopic 360 video and stereoscopic sound environments (urban and natural) that represent the actual environment. A total of 60 general participants with mild depression, stress, and anxiety were examined using a survey to investigate individual characteristics, including noise sensitivity, and K-means clustering was used to classify them into sensitivity groups. Emotional and physiological responses were measured using the Korean edition of Profile of Mood States and by assessing heart rate variability, respectively. Overall, the emotional recovery effect was greater in the natural than the urban environment, and the homeostatic mechanism of the ANS was better maintained, thereby increasing stress resistance. Noise sensitivity did not have considerable effect on psychophysiological recovery in the natural environment, but had a significant effect on emotional response in the urban environment. This can be used as basic data in seeking customized emotional recovery for individuals using monoscopic 360 video and stereoscopic sound technology in the future.","container-title":"Scientific Reports","DOI":"10.1038/s41598-022-08374-y","ISSN":"2045-2322","issue":"1","journalAbbreviation":"Sci Rep","language":"en","source":"DOI.org (Crossref)","title":"Effect of noise sensitivity on psychophysiological response through monoscopic 360 video and stereoscopic sound environment experience: a randomized control trial","title-short":"Effect of noise sensitivity on psychophysiological response through monoscopic 360 video and stereoscopic sound environment experience","URL":"https://www.nature.com/articles/s41598-022-08374-y","volume":"12","author":[{"family":"Jo","given":"Hyun In"},{"family":"Lee","given":"Kounseok"},{"family":"Jeon","given":"Jin Yong"}],"accessed":{"date-parts":[["2023",10,6]]},"issued":{"date-parts":[["2022",3,16]]}}}],"schema":"https://github.com/citation-style-language/schema/raw/master/csl-citation.json"} </w:instrText>
      </w:r>
      <w:r w:rsidRPr="00C05886">
        <w:fldChar w:fldCharType="separate"/>
      </w:r>
      <w:r w:rsidRPr="00C05886">
        <w:rPr>
          <w:rFonts w:ascii="Calibri" w:hAnsi="Calibri" w:cs="Calibri"/>
        </w:rPr>
        <w:t>(Jo, Lee and Jeon, 2022)</w:t>
      </w:r>
      <w:r w:rsidRPr="00C05886">
        <w:fldChar w:fldCharType="end"/>
      </w:r>
      <w:r w:rsidRPr="00C05886">
        <w:t xml:space="preserve"> reported an increase in SDNN (a</w:t>
      </w:r>
      <w:r w:rsidR="00FD1350" w:rsidRPr="00C05886">
        <w:t>n</w:t>
      </w:r>
      <w:r w:rsidRPr="00C05886">
        <w:t xml:space="preserve"> HRV index indicating parasympathetic activity) after showing 3 minutes of green space to a group of 60 participants, who were previously stressed. Increases in High-Frequency </w:t>
      </w:r>
      <w:r w:rsidR="0073689C" w:rsidRPr="00C05886">
        <w:t xml:space="preserve">heart rate variability </w:t>
      </w:r>
      <w:r w:rsidRPr="00C05886">
        <w:t xml:space="preserve">and decreases in the LF/HF ratio were also observed in a sample of employees in Singapore, after they had gazed at a nearby park from the office’s window </w:t>
      </w:r>
      <w:r w:rsidRPr="00C05886">
        <w:fldChar w:fldCharType="begin"/>
      </w:r>
      <w:r w:rsidR="009F0A3D" w:rsidRPr="00C05886">
        <w:instrText xml:space="preserve"> ADDIN ZOTERO_ITEM CSL_CITATION {"citationID":"zSCBvjwO","properties":{"formattedCitation":"(Elsadek, Liu and Xie, 2020)","plainCitation":"(Elsadek, Liu and Xie, 2020)","noteIndex":0},"citationItems":[{"id":5197,"uris":["http://zotero.org/users/10951124/items/F4DP2D6Y"],"itemData":{"id":5197,"type":"article-journal","abstract":"The current challenges of urbanization and densification threaten the health of urban dwellers. Previous studies have shown that contact with; or perception of green spaces has beneficial impacts on human psychological wellbeing. However, residents and employees who live or work in high-rise buildings have little opportunity to access green spaces during working hours. We do not know whether viewing green space through a high-rise estate window can potentially contribute to the psychological wellbeing of urban dwellers. Thirty participants were randomly assigned to two offices, a window looking out onto urban space, or a window looking out onto green space from a wide-angle of the 21st floor of the Jin-Mao Tower. During visual stimulation, sensors took physiological measures of their stress levels by measuring Electroencephalography, heart rate variability, and skin conductance, while their psychological reactions were collected using Profile of Mood States and Semantic Differential Questionnaire. Results showed that compared with the urban space view; viewing green space through a high-rise window resulted in a significant increase in alpha wave power in the frontal and occipital lobes, a significant increase in parasympathetic activity; and a significant decrease in the skin conductance. Moreover; a significant increase in “comfortable”, “beautiful”, “attractive”, “relaxed”, and “cheerful’’ feelings, and a significant improvement in mood states. Window views can significantly lead to better mental health and psychological wellbeing for urban dwellers. The observed results highlight the significance of considering the window views in urban high-rise neighborhood planning and design.","container-title":"Urban Forestry &amp; Urban Greening","DOI":"https://doi.org/10.1016/j.ufug.2020.126846","ISSN":"1618-8667","page":"126846","title":"Window view and relaxation: Viewing green space from a high-rise estate improves urban dwellers’ wellbeing","volume":"55","author":[{"family":"Elsadek","given":"Mohamed"},{"family":"Liu","given":"Binyi"},{"family":"Xie","given":"Junfang"}],"issued":{"date-parts":[["2020"]]}}}],"schema":"https://github.com/citation-style-language/schema/raw/master/csl-citation.json"} </w:instrText>
      </w:r>
      <w:r w:rsidRPr="00C05886">
        <w:fldChar w:fldCharType="separate"/>
      </w:r>
      <w:r w:rsidR="009F0A3D" w:rsidRPr="00C05886">
        <w:rPr>
          <w:rFonts w:ascii="Calibri" w:hAnsi="Calibri" w:cs="Calibri"/>
        </w:rPr>
        <w:t>(Elsadek, Liu and Xie, 2020)</w:t>
      </w:r>
      <w:r w:rsidRPr="00C05886">
        <w:fldChar w:fldCharType="end"/>
      </w:r>
      <w:r w:rsidRPr="00C05886">
        <w:t xml:space="preserve"> and after close observation of a flowering vase </w:t>
      </w:r>
      <w:r w:rsidRPr="00C05886">
        <w:fldChar w:fldCharType="begin"/>
      </w:r>
      <w:r w:rsidR="000309A4" w:rsidRPr="00C05886">
        <w:instrText xml:space="preserve"> ADDIN ZOTERO_ITEM CSL_CITATION {"citationID":"N7Eph5gn","properties":{"formattedCitation":"(Elsadek and Liu, 2020)","plainCitation":"(Elsadek and Liu, 2020)","noteIndex":0},"citationItems":[{"id":5278,"uris":["http://zotero.org/users/local/pAEZdfSt/items/QQ6MQY8R","http://zotero.org/users/10951124/items/QQ6MQY8R"],"itemData":{"id":5278,"type":"article-journal","abstract":"Despite the existence of plentiful studies on how plants can positively affect human wellbeing, few have focused on the potential effects of flower colours on stressed people. The present study was designed to illustrate the psychophysiological relaxation impacts of seeing purple and blue hydrangea flowers among finance workers. Thirty employees were asked to view purple, blue flowers or an empty table for 3-min, during which we measured the participants' brain activity, heart rate variability and skin conductance. We also assessed their emotions and mood states. Findings suggest that, compared with viewing the control, viewing blue and purple flowers resulted in a significant increase in alpha relative waves in the prefrontal and occipital lobes, and a significant increase in parasympathetic nervous activity. A significant increase in the sensation vote for ?comfort', ?relaxation' and ?cheerfulness', as well as a dramatic improvement in the mood state was observed. The results show clear evidence for the support of the use of blue and purple flowering plants in places where comfort and calmness are required. In addition, blue flowers were more favoured and had the greatest positive effects. Results indicate that viewing flowering plants would be a promising therapeutic approach for enhancing physiological functions and improving psychological relaxation for office workers.","container-title":"Indoor and Built Environment","DOI":"10.1177/1420326X20942572","ISSN":"1420-326X","note":"publisher: SAGE Publications Ltd STM","page":"1420326X20942572","title":"Effects of viewing flowering plants on employees' wellbeing in an office-like environment","author":[{"family":"Elsadek","given":"Mohamed"},{"family":"Liu","given":"Binyi"}],"issued":{"date-parts":[["2020",7,28]]}}}],"schema":"https://github.com/citation-style-language/schema/raw/master/csl-citation.json"} </w:instrText>
      </w:r>
      <w:r w:rsidRPr="00C05886">
        <w:fldChar w:fldCharType="separate"/>
      </w:r>
      <w:r w:rsidRPr="00C05886">
        <w:rPr>
          <w:rFonts w:ascii="Calibri" w:hAnsi="Calibri" w:cs="Calibri"/>
        </w:rPr>
        <w:t>(Elsadek and Liu, 2020)</w:t>
      </w:r>
      <w:r w:rsidRPr="00C05886">
        <w:fldChar w:fldCharType="end"/>
      </w:r>
      <w:r w:rsidRPr="00C05886">
        <w:t>. Both exposure times were only 3 minutes long.</w:t>
      </w:r>
    </w:p>
    <w:p w14:paraId="315B8C48" w14:textId="77777777" w:rsidR="00051048" w:rsidRPr="00C05886" w:rsidRDefault="00051048" w:rsidP="00051048">
      <w:pPr>
        <w:pStyle w:val="Heading2"/>
      </w:pPr>
      <w:bookmarkStart w:id="167" w:name="_Toc179962405"/>
      <w:r w:rsidRPr="00C05886">
        <w:t>Limitations</w:t>
      </w:r>
      <w:bookmarkEnd w:id="167"/>
    </w:p>
    <w:p w14:paraId="202166D2" w14:textId="3EF88006" w:rsidR="00051048" w:rsidRPr="00C05886" w:rsidRDefault="00051048" w:rsidP="00920B05">
      <w:r w:rsidRPr="00C05886">
        <w:t xml:space="preserve">Several limitations of this study must be addressed. First, only the effect of visual </w:t>
      </w:r>
      <w:r w:rsidR="00D00124">
        <w:t>species richness</w:t>
      </w:r>
      <w:r w:rsidR="00D00124" w:rsidRPr="00C05886">
        <w:t xml:space="preserve"> </w:t>
      </w:r>
      <w:r w:rsidRPr="00C05886">
        <w:t xml:space="preserve">was tested. Although sounds were excluded as potential confounders </w:t>
      </w:r>
      <w:r w:rsidRPr="00C05886">
        <w:fldChar w:fldCharType="begin"/>
      </w:r>
      <w:r w:rsidRPr="00C05886">
        <w:instrText xml:space="preserve"> ADDIN ZOTERO_ITEM CSL_CITATION {"citationID":"nTO1PbhV","properties":{"formattedCitation":"(Qi {\\i{}et al.}, 2022)","plainCitation":"(Qi et al., 2022)","noteIndex":0},"citationItems":[{"id":10513,"uris":["http://zotero.org/users/10951124/items/P2RHWWUJ"],"itemData":{"id":10513,"type":"article-journal","container-title":"Journal of Environmental Psychology","DOI":"10.1016/j.jenvp.2022.101879","ISSN":"02724944","journalAbbreviation":"Journal of Environmental Psychology","language":"en","page":"101879","source":"DOI.org (Crossref)","title":"Comparative study on birdsong and its multi-sensory combinational effects on physio-psychological restoration","volume":"83","author":[{"family":"Qi","given":"Ying"},{"family":"Chen","given":"Qujing"},{"family":"Lin","given":"Feng"},{"family":"Liu","given":"Qi"},{"family":"Zhang","given":"Xiaowan"},{"family":"Guo","given":"Jiayu"},{"family":"Qiu","given":"Ling"},{"family":"Gao","given":"Tian"}],"issued":{"date-parts":[["2022",10]]}}}],"schema":"https://github.com/citation-style-language/schema/raw/master/csl-citation.json"} </w:instrText>
      </w:r>
      <w:r w:rsidRPr="00C05886">
        <w:fldChar w:fldCharType="separate"/>
      </w:r>
      <w:r w:rsidRPr="00C05886">
        <w:rPr>
          <w:rFonts w:ascii="Calibri" w:hAnsi="Calibri" w:cs="Calibri"/>
          <w:szCs w:val="24"/>
        </w:rPr>
        <w:t xml:space="preserve">(Qi </w:t>
      </w:r>
      <w:r w:rsidRPr="00C05886">
        <w:rPr>
          <w:rFonts w:ascii="Calibri" w:hAnsi="Calibri" w:cs="Calibri"/>
          <w:i/>
          <w:iCs/>
          <w:szCs w:val="24"/>
        </w:rPr>
        <w:t>et al.</w:t>
      </w:r>
      <w:r w:rsidRPr="00C05886">
        <w:rPr>
          <w:rFonts w:ascii="Calibri" w:hAnsi="Calibri" w:cs="Calibri"/>
          <w:szCs w:val="24"/>
        </w:rPr>
        <w:t>, 2022)</w:t>
      </w:r>
      <w:r w:rsidRPr="00C05886">
        <w:fldChar w:fldCharType="end"/>
      </w:r>
      <w:r w:rsidRPr="00C05886">
        <w:t xml:space="preserve">, the experience of biodiversity is multisensory </w:t>
      </w:r>
      <w:r w:rsidRPr="00C05886">
        <w:fldChar w:fldCharType="begin"/>
      </w:r>
      <w:r w:rsidR="00D00124">
        <w:instrText xml:space="preserve"> ADDIN ZOTERO_ITEM CSL_CITATION {"citationID":"ETdTvXt6","properties":{"formattedCitation":"(Irvine {\\i{}et al.}, 2023)","plainCitation":"(Irvine et al., 2023)","noteIndex":0},"citationItems":[{"id":9703,"uris":["http://zotero.org/users/10951124/items/WT5LGGAZ"],"itemData":{"id":9703,"type":"article-journal","abstract":"The evidence linking nature and human wellbeing is compelling. Yet, there is a lack of understanding regarding which aspects of nature contribute to wellbeing and the role biodiversity plays specifically. This knowledge gap hampers our ability to understand and manage natural environments from an ecological perspective to improve human wellbeing. To investigate the impact of biodiversity on wellbeing in a range of contexts, there is a need for a psychometric scale. Here, we present BIO-WELL, a novel, reliable and validated self-reported wellbeing scale designed to investigate the biodiversity-health/wellbeing relationship. We describe the conceptual foundation, empirical development and psychometric evaluation of BIO-WELL. We detail five studies, involving 2962 participants, describing the steps taken in the scale's development: (1) a series of deliberative workshops to identify how people conceptualise biodiversity metrics and attributes, and the impact these have on wellbeing; (2) an in-depth qualitative analysis of biodiversity-focused stem questions and wellbeing response items, assessed through an expert panel, focus groups and cognitive interviewing techniques; (3) combined methods associated with classical test theory (e.g. factor analysis) and more modern measurement approaches drawn from item response theory to develop the scale; (4) a confirmatory factor analysis alongside classical test and item response theories to evaluate the scale; and (5) scale validation including discriminant/convergent, concurrent and predictive. The studies demonstrate that BIO-WELL is a valid and reliable scale with strong psychometric properties. We discuss ways it could be applied in research, policy and practice to further develop our conceptual and empirical understanding of the biodiversity-health relationship and assess the effectiveness of related interventions.","container-title":"Journal of Environmental Psychology","DOI":"10.1016/j.jenvp.2022.101921","ISSN":"0272-4944","journalAbbreviation":"Journal of Environmental Psychology","page":"101921","title":"BIO-WELL: The development and validation of a human wellbeing scale that measures responses to biodiversity","volume":"85","author":[{"family":"Irvine","given":"Katherine N."},{"family":"Fisher","given":"Jessica C."},{"family":"Bentley","given":"Phoebe R."},{"family":"Nawrath","given":"Maximillian"},{"family":"Dallimer","given":"Martin"},{"family":"Austen","given":"Gail E."},{"family":"Fish","given":"Rob"},{"family":"Davies","given":"Zoe G."}],"issued":{"date-parts":[["2023",2,1]]}}}],"schema":"https://github.com/citation-style-language/schema/raw/master/csl-citation.json"} </w:instrText>
      </w:r>
      <w:r w:rsidRPr="00C05886">
        <w:fldChar w:fldCharType="separate"/>
      </w:r>
      <w:r w:rsidR="00D00124" w:rsidRPr="00D00124">
        <w:rPr>
          <w:rFonts w:ascii="Calibri" w:hAnsi="Calibri" w:cs="Calibri"/>
          <w:szCs w:val="24"/>
        </w:rPr>
        <w:t xml:space="preserve">(Irvine </w:t>
      </w:r>
      <w:r w:rsidR="00D00124" w:rsidRPr="00D00124">
        <w:rPr>
          <w:rFonts w:ascii="Calibri" w:hAnsi="Calibri" w:cs="Calibri"/>
          <w:i/>
          <w:iCs/>
          <w:szCs w:val="24"/>
        </w:rPr>
        <w:t>et al.</w:t>
      </w:r>
      <w:r w:rsidR="00D00124" w:rsidRPr="00D00124">
        <w:rPr>
          <w:rFonts w:ascii="Calibri" w:hAnsi="Calibri" w:cs="Calibri"/>
          <w:szCs w:val="24"/>
        </w:rPr>
        <w:t>, 2023)</w:t>
      </w:r>
      <w:r w:rsidRPr="00C05886">
        <w:fldChar w:fldCharType="end"/>
      </w:r>
      <w:r w:rsidRPr="00C05886">
        <w:t xml:space="preserve">. This could have limited the effect of </w:t>
      </w:r>
      <w:r w:rsidR="00D00124">
        <w:t>species richness</w:t>
      </w:r>
      <w:r w:rsidR="00D00124" w:rsidRPr="00C05886">
        <w:t xml:space="preserve"> </w:t>
      </w:r>
      <w:r w:rsidR="00D00124">
        <w:t>(actual and perceived)</w:t>
      </w:r>
      <w:r w:rsidRPr="00C05886">
        <w:t xml:space="preserve"> on the affective response. </w:t>
      </w:r>
      <w:r w:rsidR="00AF07E1">
        <w:t>Second</w:t>
      </w:r>
      <w:r w:rsidRPr="00C05886">
        <w:t xml:space="preserve">, only three levels of </w:t>
      </w:r>
      <w:r w:rsidR="0019058B">
        <w:t>species richness</w:t>
      </w:r>
      <w:r w:rsidR="0019058B" w:rsidRPr="00C05886">
        <w:t xml:space="preserve"> </w:t>
      </w:r>
      <w:r w:rsidRPr="00C05886">
        <w:t xml:space="preserve">were tested – </w:t>
      </w:r>
      <w:r w:rsidR="00D00124">
        <w:t>none</w:t>
      </w:r>
      <w:r w:rsidRPr="00C05886">
        <w:t xml:space="preserve">, 15 and 28 species, respectively – limiting the understanding of a potential non-linear effect of </w:t>
      </w:r>
      <w:r w:rsidR="0019058B">
        <w:t>species richness</w:t>
      </w:r>
      <w:r w:rsidRPr="00C05886">
        <w:t xml:space="preserve">. Since in virtual nature the number of species can be effectively controlled, future research should test the effect of a </w:t>
      </w:r>
      <w:r w:rsidR="00AF07E1">
        <w:t>broader setup</w:t>
      </w:r>
      <w:r w:rsidRPr="00C05886">
        <w:t xml:space="preserve"> of </w:t>
      </w:r>
      <w:r w:rsidR="00586639">
        <w:t>species-rich</w:t>
      </w:r>
      <w:r w:rsidR="002261CE" w:rsidRPr="00C05886">
        <w:t xml:space="preserve"> </w:t>
      </w:r>
      <w:r w:rsidRPr="00C05886">
        <w:t>treatments (e.g. six</w:t>
      </w:r>
      <w:r w:rsidR="002261CE">
        <w:t>;</w:t>
      </w:r>
      <w:r w:rsidRPr="00C05886">
        <w:t xml:space="preserve"> </w:t>
      </w:r>
      <w:r w:rsidRPr="00C05886">
        <w:fldChar w:fldCharType="begin"/>
      </w:r>
      <w:r w:rsidRPr="00C05886">
        <w:instrText xml:space="preserve"> ADDIN ZOTERO_ITEM CSL_CITATION {"citationID":"5qo5L5NZ","properties":{"formattedCitation":"(Lindemann-Matthies and Matthies, 2018)","plainCitation":"(Lindemann-Matthies and Matthies, 2018)","dontUpdate":true,"noteIndex":0},"citationItems":[{"id":9126,"uris":["http://zotero.org/users/10951124/items/9ILWYPEK"],"itemData":{"id":9126,"type":"article-journal","container-title":"Web Ecol.","DOI":"10.5194/we-18-121-2018","ISSN":"1399-1183","issue":"2","note":"publisher: Copernicus Publications","page":"121-128","title":"The influence of plant species richness on stress recovery of humans","volume":"18","author":[{"family":"Lindemann-Matthies","given":"P"},{"family":"Matthies","given":"D"}],"issued":{"date-parts":[["2018",8,29]]}}}],"schema":"https://github.com/citation-style-language/schema/raw/master/csl-citation.json"} </w:instrText>
      </w:r>
      <w:r w:rsidRPr="00C05886">
        <w:fldChar w:fldCharType="separate"/>
      </w:r>
      <w:r w:rsidRPr="00C05886">
        <w:rPr>
          <w:rFonts w:ascii="Calibri" w:hAnsi="Calibri" w:cs="Calibri"/>
        </w:rPr>
        <w:t>Lindemann-Matthies and Matthies, 2018</w:t>
      </w:r>
      <w:r w:rsidRPr="00C05886">
        <w:fldChar w:fldCharType="end"/>
      </w:r>
      <w:r w:rsidRPr="00C05886">
        <w:t xml:space="preserve">). </w:t>
      </w:r>
      <w:r w:rsidR="00AF07E1">
        <w:t xml:space="preserve">Third, as the perceived species richness was only gauged in broad terms </w:t>
      </w:r>
      <w:r w:rsidR="002261CE">
        <w:t xml:space="preserve">an improved measure that includes a more precise quantification of the species present </w:t>
      </w:r>
      <w:r w:rsidR="00AF07E1">
        <w:t>should be used,</w:t>
      </w:r>
      <w:r w:rsidR="002261CE">
        <w:t xml:space="preserve"> perhaps separat</w:t>
      </w:r>
      <w:r w:rsidR="00AF07E1">
        <w:t>ing the species</w:t>
      </w:r>
      <w:r w:rsidR="002261CE">
        <w:t xml:space="preserve"> </w:t>
      </w:r>
      <w:r w:rsidR="00586639">
        <w:t>into</w:t>
      </w:r>
      <w:r w:rsidR="00AF07E1">
        <w:t xml:space="preserve"> easily identifiable</w:t>
      </w:r>
      <w:r w:rsidR="002261CE">
        <w:t xml:space="preserve"> </w:t>
      </w:r>
      <w:r w:rsidR="00586639">
        <w:t>groups</w:t>
      </w:r>
      <w:r w:rsidR="002261CE">
        <w:t xml:space="preserve"> (plants, birds etc; </w:t>
      </w:r>
      <w:r w:rsidR="002261CE">
        <w:fldChar w:fldCharType="begin"/>
      </w:r>
      <w:r w:rsidR="00AC5B06">
        <w:instrText xml:space="preserve"> ADDIN ZOTERO_ITEM CSL_CITATION {"citationID":"YJ6KKMTI","properties":{"formattedCitation":"(Fuller {\\i{}et al.}, 2007)","plainCitation":"(Fuller et al., 2007)","dontUpdate":true,"noteIndex":0},"citationItems":[{"id":5311,"uris":["http://zotero.org/users/10951124/items/7YKDXNX8"],"itemData":{"id":5311,"type":"article-journal","abstract":"The world's human population is becoming concentrated into cities, giving rise to concerns that it is becoming increasingly isolated from nature. Urban public greenspaces form the arena of many people's daily contact with nature and such contact has measurable physical and psychological benefits. Here we show that these psychological benefits increase with the species richness of urban greenspaces. Moreover, we demonstrate that greenspace users can more or less accurately perceive species richness depending on the taxonomic group in question. These results indicate that successful management of urban greenspaces should emphasize biological complexity to enhance human well-being in addition to biodiversity conservation. © 2007 The Royal Society.","container-title":"Biology letters","DOI":"10.1098/rsbl.2007.0149","ISSN":"1744-9561","issue":"4","note":"PMID: 17504734","page":"390-394","title":"Psychological benefits of greenspace increase with biodiversity.","volume":"3","author":[{"family":"Fuller","given":"Richard A."},{"family":"Irvine","given":"Katherine N."},{"family":"Devine-Wright","given":"Patrick"},{"family":"Warren","given":"Philip H."},{"family":"Gaston","given":"Kevin J."}],"editor":[{"family":"Fuller","given":"Richard A"}],"issued":{"date-parts":[["2007"]]}}}],"schema":"https://github.com/citation-style-language/schema/raw/master/csl-citation.json"} </w:instrText>
      </w:r>
      <w:r w:rsidR="002261CE">
        <w:fldChar w:fldCharType="separate"/>
      </w:r>
      <w:r w:rsidR="002261CE" w:rsidRPr="002261CE">
        <w:rPr>
          <w:rFonts w:ascii="Calibri" w:hAnsi="Calibri" w:cs="Calibri"/>
          <w:szCs w:val="24"/>
        </w:rPr>
        <w:t xml:space="preserve">Fuller </w:t>
      </w:r>
      <w:r w:rsidR="002261CE" w:rsidRPr="002261CE">
        <w:rPr>
          <w:rFonts w:ascii="Calibri" w:hAnsi="Calibri" w:cs="Calibri"/>
          <w:i/>
          <w:iCs/>
          <w:szCs w:val="24"/>
        </w:rPr>
        <w:t>et al.</w:t>
      </w:r>
      <w:r w:rsidR="002261CE" w:rsidRPr="002261CE">
        <w:rPr>
          <w:rFonts w:ascii="Calibri" w:hAnsi="Calibri" w:cs="Calibri"/>
          <w:szCs w:val="24"/>
        </w:rPr>
        <w:t>, 2007)</w:t>
      </w:r>
      <w:r w:rsidR="002261CE">
        <w:fldChar w:fldCharType="end"/>
      </w:r>
      <w:r w:rsidR="002261CE">
        <w:t>.</w:t>
      </w:r>
    </w:p>
    <w:p w14:paraId="3C7256C3" w14:textId="02CCB4A9" w:rsidR="00051048" w:rsidRPr="00C05886" w:rsidRDefault="00051048" w:rsidP="00920B05">
      <w:r w:rsidRPr="00C05886">
        <w:t>Concerning the face-to-face replication of the study,</w:t>
      </w:r>
      <w:r w:rsidR="00D00124">
        <w:t xml:space="preserve"> the small sample size limits</w:t>
      </w:r>
      <w:r w:rsidRPr="00C05886">
        <w:t xml:space="preserve"> the interpretation of </w:t>
      </w:r>
      <w:r w:rsidR="00D00124">
        <w:t xml:space="preserve">both the affective and </w:t>
      </w:r>
      <w:r w:rsidRPr="00C05886">
        <w:t>the physiological response</w:t>
      </w:r>
      <w:r w:rsidR="00D00124">
        <w:t>s</w:t>
      </w:r>
      <w:r w:rsidRPr="00C05886">
        <w:t xml:space="preserve"> (the heart rate variability)</w:t>
      </w:r>
      <w:r w:rsidR="00D00124">
        <w:t xml:space="preserve">. </w:t>
      </w:r>
      <w:r w:rsidRPr="00C05886">
        <w:t xml:space="preserve">Although the number of participants was similar to other physiological experiments, it remains uncertain whether the non-effect of </w:t>
      </w:r>
      <w:r w:rsidR="00D00124">
        <w:t>species richness</w:t>
      </w:r>
      <w:r w:rsidR="00D00124" w:rsidRPr="00C05886">
        <w:t xml:space="preserve"> o</w:t>
      </w:r>
      <w:r w:rsidR="00D00124">
        <w:t>n</w:t>
      </w:r>
      <w:r w:rsidR="00D00124" w:rsidRPr="00C05886">
        <w:t xml:space="preserve"> </w:t>
      </w:r>
      <w:r w:rsidRPr="00C05886">
        <w:t>the HRV was due to a lack of statistical power.</w:t>
      </w:r>
      <w:r w:rsidR="0019058B">
        <w:t xml:space="preserve"> </w:t>
      </w:r>
      <w:r w:rsidRPr="00C05886">
        <w:t>Future research looking at the physiological effect of biodiversity should recruit a larger number of participants (e.g. 30-40 per treatment, for a between-subjects design).</w:t>
      </w:r>
      <w:r w:rsidR="0019058B">
        <w:t xml:space="preserve"> Finally, it is possible that the limited realism of the 3D models used to build the virtual parks may have </w:t>
      </w:r>
      <w:r w:rsidR="00B56A67">
        <w:t xml:space="preserve">had a reduced effect on the affective and the physiological response. It is possible that using media showing real environments (i.e. really existing), as done in the past </w:t>
      </w:r>
      <w:r w:rsidR="00B56A67">
        <w:fldChar w:fldCharType="begin"/>
      </w:r>
      <w:r w:rsidR="00A35208">
        <w:instrText xml:space="preserve"> ADDIN ZOTERO_ITEM CSL_CITATION {"citationID":"3eqrNt8B","properties":{"formattedCitation":"(Johansson {\\i{}et al.}, 2014; Wolf {\\i{}et al.}, 2017; Browning, Shipley, {\\i{}et al.}, 2020)","plainCitation":"(Johansson et al., 2014; Wolf et al., 2017; Browning, Shipley, et al., 2020)","dontUpdate":true,"noteIndex":0},"citationItems":[{"id":8502,"uris":["http://zotero.org/users/local/pAEZdfSt/items/IMLZ568A","http://zotero.org/users/10951124/items/IMLZ568A"],"itemData":{"id":8502,"type":"article-journal","abstract":"Using a multilevel approach, this study investigates direct (perceptual, emotional, and physiological responses [qEEG]) and reflected (preference, attitude, and intention to accept conservation measures) appraisal of different levels of biodiversity in temperate deciduous broad-leaf forest biotopes. Thirty-five participants viewed three series of zoomed pictures from biotopes assessed according to biological criteria to be of High, Intermediate, and Low level of biodiversity. Participants’ appraisal differed between the biotopes, and partly between the conceptualisation of appraisal, but overall there was a consistency across direct and reflected levels of appraisal. The most prominent result of the analysis of qEEG was a higher brain activity in the Theta frequency for the Low biotope. The Theta frequency has amongst others been associated with on-set of sleep and in the present context probably indicating that the Low biotope was less stimulating. The Low biotope was perceived to have the lowest degree of biodiversity followed by the Intermediate and the High biotopes. The Intermediate biotope elicited the most positive emotional response, and was rated highest in preference and in importance to conserve, whereas the intention to accept conservation measures did not differ between the biotopes. Thus biodiversity related criteria presently favoured in forest conservation management schemes are not necessarily prioritised by the public. Emotional components are likely to be at stake tending to favour the conservation of biotopes of an intermediate level of biodiversity.","container-title":"Urban Forestry &amp; Urban Greening","DOI":"https://doi.org/10.1016/j.ufug.2013.10.009","ISSN":"1618-8667","issue":"1","page":"28-37","title":"Does biological quality matter? Direct and reflected appraisal of biodiversity in temperate deciduous broad-leaf forest","volume":"13","author":[{"family":"Johansson","given":"Maria"},{"family":"Gyllin","given":"Mats"},{"family":"Witzell","given":"Jesper"},{"family":"Küller","given":"Marianne"}],"issued":{"date-parts":[["2014"]]}}},{"id":4925,"uris":["http://zotero.org/users/10951124/items/T2WHLDQG"],"itemData":{"id":4925,"type":"article-journal","container-title":"PloS one","DOI":"10.1371/journal.pone.0170225","issue":"1","page":"e0170225-e0170225","title":"Is Variety the Spice of Life? An Experimental Investigation into the Effects of Species Richness on Self-Reported Mental Well-Being.","volume":"12","author":[{"family":"Wolf","given":"Lukas J"},{"family":"Zu Ermgassen","given":"Sophus"},{"family":"Balmford","given":"Andrew"},{"family":"White","given":"Mathew"},{"family":"Weinstein","given":"Netta"}],"editor":[{"family":"Wolf","given":"Lukas J"}],"issued":{"date-parts":[["2017"]]}}},{"id":5471,"uris":["http://zotero.org/users/10951124/items/HS7BZ2DY"],"itemData":{"id":5471,"type":"article-journal","abstract":"Accumulating evidence indicates that simulated natural settings can engage mechanisms that promote health. Simulations offer alternatives to actual natural settings for populations unable to travel outdoors safely; however, few studies have contrasted the effects of simulations of natural settings to their actual outdoor counterparts. We compared the impacts of simulated and actual natural settings on positive and negative affect (mood) levels using a pooled sample of participants enrolled in extant experimental studies. Relevant articles were identified from a review of research published/in press by March 2020. Of 15 articles identified, five met the inclusion criteria and administered a single cross-cutting, standardized instrument (the Positive and Negative Affect Schedule; PANAS) before and after exposure. Random effects meta-analysis of pooled effects showed that positive affect increased in the actual settings but not in their simulated counterparts (Hedge's g = 0.88; 95% CI: 0.53, 1.25). We observed no difference in effects on negative affect change scores (g = -0.23; 95% CI: -0.60, 0.13), with studies generally showing reductions in negative affect in both settings. Further research with additional populations, settings, antecedent conditions and durations will provide a more robust understanding of differences in effects between these two ways to enhance mood by viewing nature.","container-title":"Frontiers in Psychology","DOI":"10.3389/fpsyg.2020.02200","issue":"September","page":"1-12","title":"An Actual Natural Setting Improves Mood Better Than Its Virtual Counterpart: A Meta-Analysis of Experimental Data","volume":"11","author":[{"family":"Browning","given":"Matthew"},{"family":"Shipley","given":"Nathan"},{"family":"McAnirlin","given":"Olivia"},{"family":"Becker","given":"Douglas"},{"family":"Yu","given":"Chia-Pin"},{"family":"Hartig","given":"Terry"},{"family":"Dzhambov","given":"Angel M."}],"issued":{"date-parts":[["2020"]]}}}],"schema":"https://github.com/citation-style-language/schema/raw/master/csl-citation.json"} </w:instrText>
      </w:r>
      <w:r w:rsidR="00B56A67">
        <w:fldChar w:fldCharType="separate"/>
      </w:r>
      <w:r w:rsidR="00B56A67" w:rsidRPr="00B56A67">
        <w:rPr>
          <w:rFonts w:ascii="Calibri" w:hAnsi="Calibri" w:cs="Calibri"/>
          <w:szCs w:val="24"/>
        </w:rPr>
        <w:t>(</w:t>
      </w:r>
      <w:r w:rsidR="00B56A67">
        <w:rPr>
          <w:rFonts w:ascii="Calibri" w:hAnsi="Calibri" w:cs="Calibri"/>
          <w:szCs w:val="24"/>
        </w:rPr>
        <w:t xml:space="preserve">e.g. </w:t>
      </w:r>
      <w:r w:rsidR="00B56A67" w:rsidRPr="00B56A67">
        <w:rPr>
          <w:rFonts w:ascii="Calibri" w:hAnsi="Calibri" w:cs="Calibri"/>
          <w:szCs w:val="24"/>
        </w:rPr>
        <w:t xml:space="preserve">Johansson </w:t>
      </w:r>
      <w:r w:rsidR="00B56A67" w:rsidRPr="00B56A67">
        <w:rPr>
          <w:rFonts w:ascii="Calibri" w:hAnsi="Calibri" w:cs="Calibri"/>
          <w:i/>
          <w:iCs/>
          <w:szCs w:val="24"/>
        </w:rPr>
        <w:t>et al.</w:t>
      </w:r>
      <w:r w:rsidR="00B56A67" w:rsidRPr="00B56A67">
        <w:rPr>
          <w:rFonts w:ascii="Calibri" w:hAnsi="Calibri" w:cs="Calibri"/>
          <w:szCs w:val="24"/>
        </w:rPr>
        <w:t xml:space="preserve">, 2014; Wolf </w:t>
      </w:r>
      <w:r w:rsidR="00B56A67" w:rsidRPr="00B56A67">
        <w:rPr>
          <w:rFonts w:ascii="Calibri" w:hAnsi="Calibri" w:cs="Calibri"/>
          <w:i/>
          <w:iCs/>
          <w:szCs w:val="24"/>
        </w:rPr>
        <w:t>et al.</w:t>
      </w:r>
      <w:r w:rsidR="00B56A67" w:rsidRPr="00B56A67">
        <w:rPr>
          <w:rFonts w:ascii="Calibri" w:hAnsi="Calibri" w:cs="Calibri"/>
          <w:szCs w:val="24"/>
        </w:rPr>
        <w:t xml:space="preserve">, 2017; Browning, Shipley, </w:t>
      </w:r>
      <w:r w:rsidR="00B56A67" w:rsidRPr="00B56A67">
        <w:rPr>
          <w:rFonts w:ascii="Calibri" w:hAnsi="Calibri" w:cs="Calibri"/>
          <w:i/>
          <w:iCs/>
          <w:szCs w:val="24"/>
        </w:rPr>
        <w:t>et al.</w:t>
      </w:r>
      <w:r w:rsidR="00B56A67" w:rsidRPr="00B56A67">
        <w:rPr>
          <w:rFonts w:ascii="Calibri" w:hAnsi="Calibri" w:cs="Calibri"/>
          <w:szCs w:val="24"/>
        </w:rPr>
        <w:t>, 2020)</w:t>
      </w:r>
      <w:r w:rsidR="00B56A67">
        <w:fldChar w:fldCharType="end"/>
      </w:r>
      <w:r w:rsidR="00B56A67">
        <w:t>, could be more appropriate, provided that is possible to assess the existing species richness and to manipulate it.</w:t>
      </w:r>
    </w:p>
    <w:p w14:paraId="097753D4" w14:textId="77777777" w:rsidR="00051048" w:rsidRPr="00C05886" w:rsidRDefault="00051048" w:rsidP="00051048">
      <w:pPr>
        <w:pStyle w:val="Heading2"/>
      </w:pPr>
      <w:bookmarkStart w:id="168" w:name="_Toc179962406"/>
      <w:r w:rsidRPr="00C05886">
        <w:lastRenderedPageBreak/>
        <w:t>Conclusion</w:t>
      </w:r>
      <w:bookmarkEnd w:id="168"/>
    </w:p>
    <w:p w14:paraId="41D7AF74" w14:textId="77777777" w:rsidR="00051048" w:rsidRPr="00C05886" w:rsidRDefault="00051048" w:rsidP="001668C3">
      <w:r w:rsidRPr="00C05886">
        <w:t>In summary, this study supports the notion that exposure to urban green spaces can, even when virtual and brief, enhance the recovery from stress. It also suggests that virtual green spaces can be used effectively to investigate the stress recovery process, as these allow for more control of the variables and facilitate the recruitment of larger sample sizes. Virtual green spaces could find therapeutic applications for stressed individuals who must remain indoors, have limited mobility or have no access to real green space.</w:t>
      </w:r>
    </w:p>
    <w:p w14:paraId="0A72BAE7" w14:textId="77777777" w:rsidR="00051048" w:rsidRPr="00C05886" w:rsidRDefault="00051048" w:rsidP="001668C3">
      <w:r w:rsidRPr="00C05886">
        <w:t>Although the most biodiverse park did not seem to provide additional well-being, there was no evidence of detrimental effects. The high biodiversity park was also perceived as very biodiverse by many participants, which could have increased the positive affect even further. This should encourage designers and managers to include more biodiversity in urban green spaces, which will become more resilient to climate change and provide more ecosystem services.</w:t>
      </w:r>
    </w:p>
    <w:p w14:paraId="6E78E783" w14:textId="77777777" w:rsidR="00051048" w:rsidRPr="00C05886" w:rsidRDefault="00051048" w:rsidP="00051048">
      <w:pPr>
        <w:pStyle w:val="Heading2"/>
      </w:pPr>
      <w:bookmarkStart w:id="169" w:name="_Toc179962407"/>
      <w:bookmarkEnd w:id="146"/>
      <w:r w:rsidRPr="00C05886">
        <w:t>References</w:t>
      </w:r>
      <w:bookmarkEnd w:id="169"/>
    </w:p>
    <w:p w14:paraId="6837C0D3" w14:textId="77777777" w:rsidR="0081508E" w:rsidRPr="009A4522" w:rsidRDefault="0081508E" w:rsidP="005D7515">
      <w:pPr>
        <w:pStyle w:val="Bibliography"/>
        <w:jc w:val="both"/>
        <w:rPr>
          <w:rFonts w:ascii="Calibri" w:hAnsi="Calibri" w:cs="Calibri"/>
          <w:lang w:val="en-GB"/>
        </w:rPr>
      </w:pPr>
      <w:r w:rsidRPr="009A4522">
        <w:rPr>
          <w:lang w:val="en-GB"/>
        </w:rPr>
        <w:fldChar w:fldCharType="begin"/>
      </w:r>
      <w:r w:rsidRPr="009A4522">
        <w:rPr>
          <w:lang w:val="en-GB"/>
        </w:rPr>
        <w:instrText xml:space="preserve"> ADDIN ZOTERO_BIBL {"uncited":[],"omitted":[],"custom":[]} CSL_BIBLIOGRAPHY </w:instrText>
      </w:r>
      <w:r w:rsidRPr="009A4522">
        <w:rPr>
          <w:lang w:val="en-GB"/>
        </w:rPr>
        <w:fldChar w:fldCharType="separate"/>
      </w:r>
      <w:r w:rsidRPr="009A4522">
        <w:rPr>
          <w:rFonts w:ascii="Calibri" w:hAnsi="Calibri" w:cs="Calibri"/>
          <w:lang w:val="en-GB"/>
        </w:rPr>
        <w:t xml:space="preserve">Ausin-Azofra, J.M. </w:t>
      </w:r>
      <w:r w:rsidRPr="009A4522">
        <w:rPr>
          <w:rFonts w:ascii="Calibri" w:hAnsi="Calibri" w:cs="Calibri"/>
          <w:i/>
          <w:iCs/>
          <w:lang w:val="en-GB"/>
        </w:rPr>
        <w:t>et al.</w:t>
      </w:r>
      <w:r w:rsidRPr="009A4522">
        <w:rPr>
          <w:rFonts w:ascii="Calibri" w:hAnsi="Calibri" w:cs="Calibri"/>
          <w:lang w:val="en-GB"/>
        </w:rPr>
        <w:t xml:space="preserve"> (2021) ‘Do You See What I See? Effectiveness of 360-Degree vs. 2D Video Ads Using a Neuroscience Approach’, </w:t>
      </w:r>
      <w:r w:rsidRPr="009A4522">
        <w:rPr>
          <w:rFonts w:ascii="Calibri" w:hAnsi="Calibri" w:cs="Calibri"/>
          <w:i/>
          <w:iCs/>
          <w:lang w:val="en-GB"/>
        </w:rPr>
        <w:t>Frontiers in Psychology</w:t>
      </w:r>
      <w:r w:rsidRPr="009A4522">
        <w:rPr>
          <w:rFonts w:ascii="Calibri" w:hAnsi="Calibri" w:cs="Calibri"/>
          <w:lang w:val="en-GB"/>
        </w:rPr>
        <w:t>, 12, p. 612717. Available at: https://doi.org/10.3389/fpsyg.2021.612717.</w:t>
      </w:r>
    </w:p>
    <w:p w14:paraId="3DED3C63" w14:textId="77777777" w:rsidR="0081508E" w:rsidRPr="009A4522" w:rsidRDefault="0081508E" w:rsidP="005D7515">
      <w:pPr>
        <w:pStyle w:val="Bibliography"/>
        <w:jc w:val="both"/>
        <w:rPr>
          <w:rFonts w:ascii="Calibri" w:hAnsi="Calibri" w:cs="Calibri"/>
          <w:lang w:val="en-GB"/>
        </w:rPr>
      </w:pPr>
      <w:r w:rsidRPr="009A4522">
        <w:rPr>
          <w:rFonts w:ascii="Calibri" w:hAnsi="Calibri" w:cs="Calibri"/>
          <w:lang w:val="en-GB"/>
        </w:rPr>
        <w:t xml:space="preserve">Bardhan, M. </w:t>
      </w:r>
      <w:r w:rsidRPr="009A4522">
        <w:rPr>
          <w:rFonts w:ascii="Calibri" w:hAnsi="Calibri" w:cs="Calibri"/>
          <w:i/>
          <w:iCs/>
          <w:lang w:val="en-GB"/>
        </w:rPr>
        <w:t>et al.</w:t>
      </w:r>
      <w:r w:rsidRPr="009A4522">
        <w:rPr>
          <w:rFonts w:ascii="Calibri" w:hAnsi="Calibri" w:cs="Calibri"/>
          <w:lang w:val="en-GB"/>
        </w:rPr>
        <w:t xml:space="preserve"> (2023) ‘Time in nature is associated with higher levels of positive mood: Evidence from the 2023 NatureDose</w:t>
      </w:r>
      <w:r w:rsidRPr="009A4522">
        <w:rPr>
          <w:rFonts w:ascii="Calibri" w:hAnsi="Calibri" w:cs="Calibri"/>
          <w:vertAlign w:val="superscript"/>
          <w:lang w:val="en-GB"/>
        </w:rPr>
        <w:t>TM</w:t>
      </w:r>
      <w:r w:rsidRPr="009A4522">
        <w:rPr>
          <w:rFonts w:ascii="Calibri" w:hAnsi="Calibri" w:cs="Calibri"/>
          <w:lang w:val="en-GB"/>
        </w:rPr>
        <w:t xml:space="preserve"> student survey’, </w:t>
      </w:r>
      <w:r w:rsidRPr="009A4522">
        <w:rPr>
          <w:rFonts w:ascii="Calibri" w:hAnsi="Calibri" w:cs="Calibri"/>
          <w:i/>
          <w:iCs/>
          <w:lang w:val="en-GB"/>
        </w:rPr>
        <w:t>Journal of Environmental Psychology</w:t>
      </w:r>
      <w:r w:rsidRPr="009A4522">
        <w:rPr>
          <w:rFonts w:ascii="Calibri" w:hAnsi="Calibri" w:cs="Calibri"/>
          <w:lang w:val="en-GB"/>
        </w:rPr>
        <w:t>, 90, p. 102083. Available at: https://doi.org/10.1016/j.jenvp.2023.102083.</w:t>
      </w:r>
    </w:p>
    <w:p w14:paraId="513284B8" w14:textId="77777777" w:rsidR="0081508E" w:rsidRPr="009A4522" w:rsidRDefault="0081508E" w:rsidP="005D7515">
      <w:pPr>
        <w:pStyle w:val="Bibliography"/>
        <w:jc w:val="both"/>
        <w:rPr>
          <w:rFonts w:ascii="Calibri" w:hAnsi="Calibri" w:cs="Calibri"/>
          <w:lang w:val="en-GB"/>
        </w:rPr>
      </w:pPr>
      <w:r w:rsidRPr="009A4522">
        <w:rPr>
          <w:rFonts w:ascii="Calibri" w:hAnsi="Calibri" w:cs="Calibri"/>
          <w:lang w:val="en-GB"/>
        </w:rPr>
        <w:t xml:space="preserve">Berto, R. (2014) ‘The role of nature in coping with psycho-physiological stress: a literature review on restorativeness.’, </w:t>
      </w:r>
      <w:r w:rsidRPr="009A4522">
        <w:rPr>
          <w:rFonts w:ascii="Calibri" w:hAnsi="Calibri" w:cs="Calibri"/>
          <w:i/>
          <w:iCs/>
          <w:lang w:val="en-GB"/>
        </w:rPr>
        <w:t>Behavioral sciences (Basel, Switzerland)</w:t>
      </w:r>
      <w:r w:rsidRPr="009A4522">
        <w:rPr>
          <w:rFonts w:ascii="Calibri" w:hAnsi="Calibri" w:cs="Calibri"/>
          <w:lang w:val="en-GB"/>
        </w:rPr>
        <w:t>. Edited by R. Berto, 4(4), pp. 394–409. Available at: https://doi.org/10.3390/bs4040394.</w:t>
      </w:r>
    </w:p>
    <w:p w14:paraId="1A1A701F" w14:textId="77777777" w:rsidR="0081508E" w:rsidRPr="009A4522" w:rsidRDefault="0081508E" w:rsidP="005D7515">
      <w:pPr>
        <w:pStyle w:val="Bibliography"/>
        <w:jc w:val="both"/>
        <w:rPr>
          <w:rFonts w:ascii="Calibri" w:hAnsi="Calibri" w:cs="Calibri"/>
          <w:lang w:val="en-GB"/>
        </w:rPr>
      </w:pPr>
      <w:r w:rsidRPr="009A4522">
        <w:rPr>
          <w:rFonts w:ascii="Calibri" w:hAnsi="Calibri" w:cs="Calibri"/>
          <w:lang w:val="en-GB"/>
        </w:rPr>
        <w:t xml:space="preserve">Bornioli, A., Parkhurst, G. and Morgan, P.L. (2018) ‘Psychological Wellbeing Benefits of Simulated Exposure to Five Urban Settings: an Experimental Study From the Pedestrian’s Perspective’, </w:t>
      </w:r>
      <w:r w:rsidRPr="009A4522">
        <w:rPr>
          <w:rFonts w:ascii="Calibri" w:hAnsi="Calibri" w:cs="Calibri"/>
          <w:i/>
          <w:iCs/>
          <w:lang w:val="en-GB"/>
        </w:rPr>
        <w:t>Journal of Transport and Health</w:t>
      </w:r>
      <w:r w:rsidRPr="009A4522">
        <w:rPr>
          <w:rFonts w:ascii="Calibri" w:hAnsi="Calibri" w:cs="Calibri"/>
          <w:lang w:val="en-GB"/>
        </w:rPr>
        <w:t>, 9(October 2017), pp. 105–116. Available at: https://doi.org/10.1016/j.jth.2018.02.003.</w:t>
      </w:r>
    </w:p>
    <w:p w14:paraId="034C109C" w14:textId="77777777" w:rsidR="0081508E" w:rsidRPr="009A4522" w:rsidRDefault="0081508E" w:rsidP="005D7515">
      <w:pPr>
        <w:pStyle w:val="Bibliography"/>
        <w:jc w:val="both"/>
        <w:rPr>
          <w:rFonts w:ascii="Calibri" w:hAnsi="Calibri" w:cs="Calibri"/>
          <w:lang w:val="en-GB"/>
        </w:rPr>
      </w:pPr>
      <w:r w:rsidRPr="009A4522">
        <w:rPr>
          <w:rFonts w:ascii="Calibri" w:hAnsi="Calibri" w:cs="Calibri"/>
          <w:lang w:val="en-GB"/>
        </w:rPr>
        <w:t xml:space="preserve">Bratman, G.N. </w:t>
      </w:r>
      <w:r w:rsidRPr="009A4522">
        <w:rPr>
          <w:rFonts w:ascii="Calibri" w:hAnsi="Calibri" w:cs="Calibri"/>
          <w:i/>
          <w:iCs/>
          <w:lang w:val="en-GB"/>
        </w:rPr>
        <w:t>et al.</w:t>
      </w:r>
      <w:r w:rsidRPr="009A4522">
        <w:rPr>
          <w:rFonts w:ascii="Calibri" w:hAnsi="Calibri" w:cs="Calibri"/>
          <w:lang w:val="en-GB"/>
        </w:rPr>
        <w:t xml:space="preserve"> (2019) ‘Nature and mental health: An ecosystem service perspective’, </w:t>
      </w:r>
      <w:r w:rsidRPr="009A4522">
        <w:rPr>
          <w:rFonts w:ascii="Calibri" w:hAnsi="Calibri" w:cs="Calibri"/>
          <w:i/>
          <w:iCs/>
          <w:lang w:val="en-GB"/>
        </w:rPr>
        <w:t>Science Advances</w:t>
      </w:r>
      <w:r w:rsidRPr="009A4522">
        <w:rPr>
          <w:rFonts w:ascii="Calibri" w:hAnsi="Calibri" w:cs="Calibri"/>
          <w:lang w:val="en-GB"/>
        </w:rPr>
        <w:t>, 5(7). Available at: https://doi.org/10.1126/sciadv.aax0903.</w:t>
      </w:r>
    </w:p>
    <w:p w14:paraId="1825DEC1" w14:textId="77777777" w:rsidR="0081508E" w:rsidRPr="009A4522" w:rsidRDefault="0081508E" w:rsidP="005D7515">
      <w:pPr>
        <w:pStyle w:val="Bibliography"/>
        <w:jc w:val="both"/>
        <w:rPr>
          <w:rFonts w:ascii="Calibri" w:hAnsi="Calibri" w:cs="Calibri"/>
          <w:lang w:val="en-GB"/>
        </w:rPr>
      </w:pPr>
      <w:r w:rsidRPr="009A4522">
        <w:rPr>
          <w:rFonts w:ascii="Calibri" w:hAnsi="Calibri" w:cs="Calibri"/>
          <w:lang w:val="en-GB"/>
        </w:rPr>
        <w:t xml:space="preserve">Browning, M., Shipley, N., </w:t>
      </w:r>
      <w:r w:rsidRPr="009A4522">
        <w:rPr>
          <w:rFonts w:ascii="Calibri" w:hAnsi="Calibri" w:cs="Calibri"/>
          <w:i/>
          <w:iCs/>
          <w:lang w:val="en-GB"/>
        </w:rPr>
        <w:t>et al.</w:t>
      </w:r>
      <w:r w:rsidRPr="009A4522">
        <w:rPr>
          <w:rFonts w:ascii="Calibri" w:hAnsi="Calibri" w:cs="Calibri"/>
          <w:lang w:val="en-GB"/>
        </w:rPr>
        <w:t xml:space="preserve"> (2020) ‘An Actual Natural Setting Improves Mood Better Than Its Virtual Counterpart: A Meta-Analysis of Experimental Data’, </w:t>
      </w:r>
      <w:r w:rsidRPr="009A4522">
        <w:rPr>
          <w:rFonts w:ascii="Calibri" w:hAnsi="Calibri" w:cs="Calibri"/>
          <w:i/>
          <w:iCs/>
          <w:lang w:val="en-GB"/>
        </w:rPr>
        <w:t>Frontiers in Psychology</w:t>
      </w:r>
      <w:r w:rsidRPr="009A4522">
        <w:rPr>
          <w:rFonts w:ascii="Calibri" w:hAnsi="Calibri" w:cs="Calibri"/>
          <w:lang w:val="en-GB"/>
        </w:rPr>
        <w:t>, 11(September), pp. 1–12. Available at: https://doi.org/10.3389/fpsyg.2020.02200.</w:t>
      </w:r>
    </w:p>
    <w:p w14:paraId="7FDF60C9" w14:textId="77777777" w:rsidR="0081508E" w:rsidRPr="009A4522" w:rsidRDefault="0081508E" w:rsidP="005D7515">
      <w:pPr>
        <w:pStyle w:val="Bibliography"/>
        <w:jc w:val="both"/>
        <w:rPr>
          <w:rFonts w:ascii="Calibri" w:hAnsi="Calibri" w:cs="Calibri"/>
          <w:lang w:val="en-GB"/>
        </w:rPr>
      </w:pPr>
      <w:r w:rsidRPr="009A4522">
        <w:rPr>
          <w:rFonts w:ascii="Calibri" w:hAnsi="Calibri" w:cs="Calibri"/>
          <w:lang w:val="en-GB"/>
        </w:rPr>
        <w:lastRenderedPageBreak/>
        <w:t xml:space="preserve">Browning, M., Mimnaugh, K.J., </w:t>
      </w:r>
      <w:r w:rsidRPr="009A4522">
        <w:rPr>
          <w:rFonts w:ascii="Calibri" w:hAnsi="Calibri" w:cs="Calibri"/>
          <w:i/>
          <w:iCs/>
          <w:lang w:val="en-GB"/>
        </w:rPr>
        <w:t>et al.</w:t>
      </w:r>
      <w:r w:rsidRPr="009A4522">
        <w:rPr>
          <w:rFonts w:ascii="Calibri" w:hAnsi="Calibri" w:cs="Calibri"/>
          <w:lang w:val="en-GB"/>
        </w:rPr>
        <w:t xml:space="preserve"> (2020) ‘Can Simulated Nature Support Mental Health? Comparing Short, Single-Doses of 360-Degree Nature Videos in Virtual Reality With the Outdoors’, </w:t>
      </w:r>
      <w:r w:rsidRPr="009A4522">
        <w:rPr>
          <w:rFonts w:ascii="Calibri" w:hAnsi="Calibri" w:cs="Calibri"/>
          <w:i/>
          <w:iCs/>
          <w:lang w:val="en-GB"/>
        </w:rPr>
        <w:t>Frontiers in psychology</w:t>
      </w:r>
      <w:r w:rsidRPr="009A4522">
        <w:rPr>
          <w:rFonts w:ascii="Calibri" w:hAnsi="Calibri" w:cs="Calibri"/>
          <w:lang w:val="en-GB"/>
        </w:rPr>
        <w:t>, 10. Available at: https://doi.org/10.3389/fpsyg.2019.02667.</w:t>
      </w:r>
    </w:p>
    <w:p w14:paraId="37910B96" w14:textId="77777777" w:rsidR="0081508E" w:rsidRPr="009A4522" w:rsidRDefault="0081508E" w:rsidP="005D7515">
      <w:pPr>
        <w:pStyle w:val="Bibliography"/>
        <w:jc w:val="both"/>
        <w:rPr>
          <w:rFonts w:ascii="Calibri" w:hAnsi="Calibri" w:cs="Calibri"/>
          <w:lang w:val="en-GB"/>
        </w:rPr>
      </w:pPr>
      <w:r w:rsidRPr="009A4522">
        <w:rPr>
          <w:rFonts w:ascii="Calibri" w:hAnsi="Calibri" w:cs="Calibri"/>
          <w:lang w:val="en-GB"/>
        </w:rPr>
        <w:t xml:space="preserve">Browning, M.H.E.M. </w:t>
      </w:r>
      <w:r w:rsidRPr="009A4522">
        <w:rPr>
          <w:rFonts w:ascii="Calibri" w:hAnsi="Calibri" w:cs="Calibri"/>
          <w:i/>
          <w:iCs/>
          <w:lang w:val="en-GB"/>
        </w:rPr>
        <w:t>et al.</w:t>
      </w:r>
      <w:r w:rsidRPr="009A4522">
        <w:rPr>
          <w:rFonts w:ascii="Calibri" w:hAnsi="Calibri" w:cs="Calibri"/>
          <w:lang w:val="en-GB"/>
        </w:rPr>
        <w:t xml:space="preserve"> (2023) ‘Daily exposure to virtual nature reduces symptoms of anxiety in college students’, </w:t>
      </w:r>
      <w:r w:rsidRPr="009A4522">
        <w:rPr>
          <w:rFonts w:ascii="Calibri" w:hAnsi="Calibri" w:cs="Calibri"/>
          <w:i/>
          <w:iCs/>
          <w:lang w:val="en-GB"/>
        </w:rPr>
        <w:t>Scientific Reports</w:t>
      </w:r>
      <w:r w:rsidRPr="009A4522">
        <w:rPr>
          <w:rFonts w:ascii="Calibri" w:hAnsi="Calibri" w:cs="Calibri"/>
          <w:lang w:val="en-GB"/>
        </w:rPr>
        <w:t>, 13(1), p. 1239. Available at: https://doi.org/10.1038/s41598-023-28070-9.</w:t>
      </w:r>
    </w:p>
    <w:p w14:paraId="52764A0A" w14:textId="77777777" w:rsidR="0081508E" w:rsidRPr="009A4522" w:rsidRDefault="0081508E" w:rsidP="005D7515">
      <w:pPr>
        <w:pStyle w:val="Bibliography"/>
        <w:jc w:val="both"/>
        <w:rPr>
          <w:rFonts w:ascii="Calibri" w:hAnsi="Calibri" w:cs="Calibri"/>
          <w:lang w:val="en-GB"/>
        </w:rPr>
      </w:pPr>
      <w:r w:rsidRPr="009A4522">
        <w:rPr>
          <w:rFonts w:ascii="Calibri" w:hAnsi="Calibri" w:cs="Calibri"/>
          <w:lang w:val="en-GB"/>
        </w:rPr>
        <w:t xml:space="preserve">Cameron, R.W.F. </w:t>
      </w:r>
      <w:r w:rsidRPr="009A4522">
        <w:rPr>
          <w:rFonts w:ascii="Calibri" w:hAnsi="Calibri" w:cs="Calibri"/>
          <w:i/>
          <w:iCs/>
          <w:lang w:val="en-GB"/>
        </w:rPr>
        <w:t>et al.</w:t>
      </w:r>
      <w:r w:rsidRPr="009A4522">
        <w:rPr>
          <w:rFonts w:ascii="Calibri" w:hAnsi="Calibri" w:cs="Calibri"/>
          <w:lang w:val="en-GB"/>
        </w:rPr>
        <w:t xml:space="preserve"> (2020) ‘Where the wild things are! Do urban green spaces with greater avian biodiversity promote more positive emotions in humans?’, </w:t>
      </w:r>
      <w:r w:rsidRPr="009A4522">
        <w:rPr>
          <w:rFonts w:ascii="Calibri" w:hAnsi="Calibri" w:cs="Calibri"/>
          <w:i/>
          <w:iCs/>
          <w:lang w:val="en-GB"/>
        </w:rPr>
        <w:t>Urban Ecosystems</w:t>
      </w:r>
      <w:r w:rsidRPr="009A4522">
        <w:rPr>
          <w:rFonts w:ascii="Calibri" w:hAnsi="Calibri" w:cs="Calibri"/>
          <w:lang w:val="en-GB"/>
        </w:rPr>
        <w:t xml:space="preserve"> [Preprint]. Available at: https://doi.org/10.1007/s11252-020-00929-z.</w:t>
      </w:r>
    </w:p>
    <w:p w14:paraId="1F034597" w14:textId="77777777" w:rsidR="0081508E" w:rsidRPr="009A4522" w:rsidRDefault="0081508E" w:rsidP="005D7515">
      <w:pPr>
        <w:pStyle w:val="Bibliography"/>
        <w:jc w:val="both"/>
        <w:rPr>
          <w:rFonts w:ascii="Calibri" w:hAnsi="Calibri" w:cs="Calibri"/>
          <w:lang w:val="en-GB"/>
        </w:rPr>
      </w:pPr>
      <w:r w:rsidRPr="009A4522">
        <w:rPr>
          <w:rFonts w:ascii="Calibri" w:hAnsi="Calibri" w:cs="Calibri"/>
          <w:lang w:val="en-GB"/>
        </w:rPr>
        <w:t xml:space="preserve">Carrus, G. </w:t>
      </w:r>
      <w:r w:rsidRPr="009A4522">
        <w:rPr>
          <w:rFonts w:ascii="Calibri" w:hAnsi="Calibri" w:cs="Calibri"/>
          <w:i/>
          <w:iCs/>
          <w:lang w:val="en-GB"/>
        </w:rPr>
        <w:t>et al.</w:t>
      </w:r>
      <w:r w:rsidRPr="009A4522">
        <w:rPr>
          <w:rFonts w:ascii="Calibri" w:hAnsi="Calibri" w:cs="Calibri"/>
          <w:lang w:val="en-GB"/>
        </w:rPr>
        <w:t xml:space="preserve"> (2015) ‘Go greener, feel better? The positive effects of biodiversity on the well-being of individuals visiting urban and peri-urban green areas’, </w:t>
      </w:r>
      <w:r w:rsidRPr="009A4522">
        <w:rPr>
          <w:rFonts w:ascii="Calibri" w:hAnsi="Calibri" w:cs="Calibri"/>
          <w:i/>
          <w:iCs/>
          <w:lang w:val="en-GB"/>
        </w:rPr>
        <w:t>Landscape and Urban Planning</w:t>
      </w:r>
      <w:r w:rsidRPr="009A4522">
        <w:rPr>
          <w:rFonts w:ascii="Calibri" w:hAnsi="Calibri" w:cs="Calibri"/>
          <w:lang w:val="en-GB"/>
        </w:rPr>
        <w:t>, 134, pp. 221–228. Available at: https://doi.org/10.1016/j.landurbplan.2014.10.022.</w:t>
      </w:r>
    </w:p>
    <w:p w14:paraId="5B91712B" w14:textId="77777777" w:rsidR="0081508E" w:rsidRPr="009A4522" w:rsidRDefault="0081508E" w:rsidP="005D7515">
      <w:pPr>
        <w:pStyle w:val="Bibliography"/>
        <w:jc w:val="both"/>
        <w:rPr>
          <w:rFonts w:ascii="Calibri" w:hAnsi="Calibri" w:cs="Calibri"/>
          <w:lang w:val="en-GB"/>
        </w:rPr>
      </w:pPr>
      <w:r w:rsidRPr="009A4522">
        <w:rPr>
          <w:rFonts w:ascii="Calibri" w:hAnsi="Calibri" w:cs="Calibri"/>
          <w:lang w:val="en-GB"/>
        </w:rPr>
        <w:t xml:space="preserve">Chen, H.T., Yu, C.P. and Lee, H.Y. (2018) ‘The effects of forest bathing on stress recovery: Evidence from middle-aged females of Taiwan’, </w:t>
      </w:r>
      <w:r w:rsidRPr="009A4522">
        <w:rPr>
          <w:rFonts w:ascii="Calibri" w:hAnsi="Calibri" w:cs="Calibri"/>
          <w:i/>
          <w:iCs/>
          <w:lang w:val="en-GB"/>
        </w:rPr>
        <w:t>Forests</w:t>
      </w:r>
      <w:r w:rsidRPr="009A4522">
        <w:rPr>
          <w:rFonts w:ascii="Calibri" w:hAnsi="Calibri" w:cs="Calibri"/>
          <w:lang w:val="en-GB"/>
        </w:rPr>
        <w:t>, 8(2), pp. 1–9. Available at: https://doi.org/10.3390/f9070403.</w:t>
      </w:r>
    </w:p>
    <w:p w14:paraId="75AF6B1D" w14:textId="77777777" w:rsidR="0081508E" w:rsidRPr="009A4522" w:rsidRDefault="0081508E" w:rsidP="005D7515">
      <w:pPr>
        <w:pStyle w:val="Bibliography"/>
        <w:jc w:val="both"/>
        <w:rPr>
          <w:rFonts w:ascii="Calibri" w:hAnsi="Calibri" w:cs="Calibri"/>
          <w:lang w:val="en-GB"/>
        </w:rPr>
      </w:pPr>
      <w:r w:rsidRPr="009A4522">
        <w:rPr>
          <w:rFonts w:ascii="Calibri" w:hAnsi="Calibri" w:cs="Calibri"/>
          <w:lang w:val="en-GB"/>
        </w:rPr>
        <w:t xml:space="preserve">Chirico, A. and Gaggioli, A. (2019) ‘When Virtual Feels Real: Comparing Emotional Responses and Presence in Virtual and Natural Environments’, </w:t>
      </w:r>
      <w:r w:rsidRPr="009A4522">
        <w:rPr>
          <w:rFonts w:ascii="Calibri" w:hAnsi="Calibri" w:cs="Calibri"/>
          <w:i/>
          <w:iCs/>
          <w:lang w:val="en-GB"/>
        </w:rPr>
        <w:t>Cyberpsychology, Behavior, and Social Networking</w:t>
      </w:r>
      <w:r w:rsidRPr="009A4522">
        <w:rPr>
          <w:rFonts w:ascii="Calibri" w:hAnsi="Calibri" w:cs="Calibri"/>
          <w:lang w:val="en-GB"/>
        </w:rPr>
        <w:t>, 22(3), pp. 220–226. Available at: https://doi.org/10.1089/cyber.2018.0393.</w:t>
      </w:r>
    </w:p>
    <w:p w14:paraId="65AD3856" w14:textId="77777777" w:rsidR="0081508E" w:rsidRPr="009A4522" w:rsidRDefault="0081508E" w:rsidP="005D7515">
      <w:pPr>
        <w:pStyle w:val="Bibliography"/>
        <w:jc w:val="both"/>
        <w:rPr>
          <w:rFonts w:ascii="Calibri" w:hAnsi="Calibri" w:cs="Calibri"/>
          <w:lang w:val="en-GB"/>
        </w:rPr>
      </w:pPr>
      <w:r w:rsidRPr="009A4522">
        <w:rPr>
          <w:rFonts w:ascii="Calibri" w:hAnsi="Calibri" w:cs="Calibri"/>
          <w:lang w:val="en-GB"/>
        </w:rPr>
        <w:t xml:space="preserve">Cox, D.T.C. </w:t>
      </w:r>
      <w:r w:rsidRPr="009A4522">
        <w:rPr>
          <w:rFonts w:ascii="Calibri" w:hAnsi="Calibri" w:cs="Calibri"/>
          <w:i/>
          <w:iCs/>
          <w:lang w:val="en-GB"/>
        </w:rPr>
        <w:t>et al.</w:t>
      </w:r>
      <w:r w:rsidRPr="009A4522">
        <w:rPr>
          <w:rFonts w:ascii="Calibri" w:hAnsi="Calibri" w:cs="Calibri"/>
          <w:lang w:val="en-GB"/>
        </w:rPr>
        <w:t xml:space="preserve"> (2017) ‘Doses of nearby nature simultaneously associated with multiple health benefits’, </w:t>
      </w:r>
      <w:r w:rsidRPr="009A4522">
        <w:rPr>
          <w:rFonts w:ascii="Calibri" w:hAnsi="Calibri" w:cs="Calibri"/>
          <w:i/>
          <w:iCs/>
          <w:lang w:val="en-GB"/>
        </w:rPr>
        <w:t>Int J Environ Res Public Health</w:t>
      </w:r>
      <w:r w:rsidRPr="009A4522">
        <w:rPr>
          <w:rFonts w:ascii="Calibri" w:hAnsi="Calibri" w:cs="Calibri"/>
          <w:lang w:val="en-GB"/>
        </w:rPr>
        <w:t>, 14(2), p. 172. Available at: https://doi.org/10.3390/ijerph14020172.</w:t>
      </w:r>
    </w:p>
    <w:p w14:paraId="41571E5F" w14:textId="77777777" w:rsidR="0081508E" w:rsidRPr="009A4522" w:rsidRDefault="0081508E" w:rsidP="005D7515">
      <w:pPr>
        <w:pStyle w:val="Bibliography"/>
        <w:jc w:val="both"/>
        <w:rPr>
          <w:rFonts w:ascii="Calibri" w:hAnsi="Calibri" w:cs="Calibri"/>
          <w:lang w:val="en-GB"/>
        </w:rPr>
      </w:pPr>
      <w:r w:rsidRPr="009A4522">
        <w:rPr>
          <w:rFonts w:ascii="Calibri" w:hAnsi="Calibri" w:cs="Calibri"/>
          <w:lang w:val="en-GB"/>
        </w:rPr>
        <w:t xml:space="preserve">Dallimer, M. </w:t>
      </w:r>
      <w:r w:rsidRPr="009A4522">
        <w:rPr>
          <w:rFonts w:ascii="Calibri" w:hAnsi="Calibri" w:cs="Calibri"/>
          <w:i/>
          <w:iCs/>
          <w:lang w:val="en-GB"/>
        </w:rPr>
        <w:t>et al.</w:t>
      </w:r>
      <w:r w:rsidRPr="009A4522">
        <w:rPr>
          <w:rFonts w:ascii="Calibri" w:hAnsi="Calibri" w:cs="Calibri"/>
          <w:lang w:val="en-GB"/>
        </w:rPr>
        <w:t xml:space="preserve"> (2012) ‘Biodiversity and the Feel-Good Factor: Understanding Associations between Self-Reported Human Well-being and Species Richness’, </w:t>
      </w:r>
      <w:r w:rsidRPr="009A4522">
        <w:rPr>
          <w:rFonts w:ascii="Calibri" w:hAnsi="Calibri" w:cs="Calibri"/>
          <w:i/>
          <w:iCs/>
          <w:lang w:val="en-GB"/>
        </w:rPr>
        <w:t>BioScience</w:t>
      </w:r>
      <w:r w:rsidRPr="009A4522">
        <w:rPr>
          <w:rFonts w:ascii="Calibri" w:hAnsi="Calibri" w:cs="Calibri"/>
          <w:lang w:val="en-GB"/>
        </w:rPr>
        <w:t>, 62(1), pp. 47–55. Available at: https://doi.org/10.1525/bio.2012.62.1.9.</w:t>
      </w:r>
    </w:p>
    <w:p w14:paraId="46350844" w14:textId="77777777" w:rsidR="0081508E" w:rsidRPr="009A4522" w:rsidRDefault="0081508E" w:rsidP="005D7515">
      <w:pPr>
        <w:pStyle w:val="Bibliography"/>
        <w:jc w:val="both"/>
        <w:rPr>
          <w:rFonts w:ascii="Calibri" w:hAnsi="Calibri" w:cs="Calibri"/>
          <w:lang w:val="en-GB"/>
        </w:rPr>
      </w:pPr>
      <w:r w:rsidRPr="009A4522">
        <w:rPr>
          <w:rFonts w:ascii="Calibri" w:hAnsi="Calibri" w:cs="Calibri"/>
          <w:lang w:val="en-GB"/>
        </w:rPr>
        <w:t xml:space="preserve">Douglas, B.D., Ewell, P.J. and Brauer, M. (2023) ‘Data quality in online human-subjects research: Comparisons between MTurk, Prolific, CloudResearch, Qualtrics, and SONA’, </w:t>
      </w:r>
      <w:r w:rsidRPr="009A4522">
        <w:rPr>
          <w:rFonts w:ascii="Calibri" w:hAnsi="Calibri" w:cs="Calibri"/>
          <w:i/>
          <w:iCs/>
          <w:lang w:val="en-GB"/>
        </w:rPr>
        <w:t>PLOS ONE</w:t>
      </w:r>
      <w:r w:rsidRPr="009A4522">
        <w:rPr>
          <w:rFonts w:ascii="Calibri" w:hAnsi="Calibri" w:cs="Calibri"/>
          <w:lang w:val="en-GB"/>
        </w:rPr>
        <w:t>, 18(3), p. e0279720. Available at: https://doi.org/10.1371/journal.pone.0279720.</w:t>
      </w:r>
    </w:p>
    <w:p w14:paraId="7B8AE5CD" w14:textId="77777777" w:rsidR="0081508E" w:rsidRPr="009A4522" w:rsidRDefault="0081508E" w:rsidP="005D7515">
      <w:pPr>
        <w:pStyle w:val="Bibliography"/>
        <w:jc w:val="both"/>
        <w:rPr>
          <w:rFonts w:ascii="Calibri" w:hAnsi="Calibri" w:cs="Calibri"/>
          <w:lang w:val="en-GB"/>
        </w:rPr>
      </w:pPr>
      <w:r w:rsidRPr="009A4522">
        <w:rPr>
          <w:rFonts w:ascii="Calibri" w:hAnsi="Calibri" w:cs="Calibri"/>
          <w:lang w:val="en-GB"/>
        </w:rPr>
        <w:t xml:space="preserve">Douglas, J.W.A. and Evans, K.L. (2022) ‘An experimental test of the impact of avian diversity on attentional benefits and enjoyment of people experiencing urban green‐space’, </w:t>
      </w:r>
      <w:r w:rsidRPr="009A4522">
        <w:rPr>
          <w:rFonts w:ascii="Calibri" w:hAnsi="Calibri" w:cs="Calibri"/>
          <w:i/>
          <w:iCs/>
          <w:lang w:val="en-GB"/>
        </w:rPr>
        <w:t>People and Nature</w:t>
      </w:r>
      <w:r w:rsidRPr="009A4522">
        <w:rPr>
          <w:rFonts w:ascii="Calibri" w:hAnsi="Calibri" w:cs="Calibri"/>
          <w:lang w:val="en-GB"/>
        </w:rPr>
        <w:t>, 4(1), pp. 243–259. Available at: https://doi.org/10.1002/pan3.10279.</w:t>
      </w:r>
    </w:p>
    <w:p w14:paraId="1A9EE628" w14:textId="77777777" w:rsidR="0081508E" w:rsidRPr="009A4522" w:rsidRDefault="0081508E" w:rsidP="005D7515">
      <w:pPr>
        <w:pStyle w:val="Bibliography"/>
        <w:jc w:val="both"/>
        <w:rPr>
          <w:rFonts w:ascii="Calibri" w:hAnsi="Calibri" w:cs="Calibri"/>
          <w:lang w:val="en-GB"/>
        </w:rPr>
      </w:pPr>
      <w:r w:rsidRPr="009A4522">
        <w:rPr>
          <w:rFonts w:ascii="Calibri" w:hAnsi="Calibri" w:cs="Calibri"/>
          <w:lang w:val="en-GB"/>
        </w:rPr>
        <w:t xml:space="preserve">Elsadek, M. and Liu, B. (2020) ‘Effects of viewing flowering plants on employees’ wellbeing in an office-like environment’, </w:t>
      </w:r>
      <w:r w:rsidRPr="009A4522">
        <w:rPr>
          <w:rFonts w:ascii="Calibri" w:hAnsi="Calibri" w:cs="Calibri"/>
          <w:i/>
          <w:iCs/>
          <w:lang w:val="en-GB"/>
        </w:rPr>
        <w:t>Indoor and Built Environment</w:t>
      </w:r>
      <w:r w:rsidRPr="009A4522">
        <w:rPr>
          <w:rFonts w:ascii="Calibri" w:hAnsi="Calibri" w:cs="Calibri"/>
          <w:lang w:val="en-GB"/>
        </w:rPr>
        <w:t>, p. 1420326X20942572. Available at: https://doi.org/10.1177/1420326X20942572.</w:t>
      </w:r>
    </w:p>
    <w:p w14:paraId="5CF04999" w14:textId="77777777" w:rsidR="0081508E" w:rsidRPr="009A4522" w:rsidRDefault="0081508E" w:rsidP="005D7515">
      <w:pPr>
        <w:pStyle w:val="Bibliography"/>
        <w:jc w:val="both"/>
        <w:rPr>
          <w:rFonts w:ascii="Calibri" w:hAnsi="Calibri" w:cs="Calibri"/>
          <w:lang w:val="en-GB"/>
        </w:rPr>
      </w:pPr>
      <w:r w:rsidRPr="009A4522">
        <w:rPr>
          <w:rFonts w:ascii="Calibri" w:hAnsi="Calibri" w:cs="Calibri"/>
          <w:lang w:val="en-GB"/>
        </w:rPr>
        <w:lastRenderedPageBreak/>
        <w:t xml:space="preserve">Elsadek, M., Liu, B. and Xie, J. (2020) ‘Window view and relaxation: Viewing green space from a high-rise estate improves urban dwellers’ wellbeing’, </w:t>
      </w:r>
      <w:r w:rsidRPr="009A4522">
        <w:rPr>
          <w:rFonts w:ascii="Calibri" w:hAnsi="Calibri" w:cs="Calibri"/>
          <w:i/>
          <w:iCs/>
          <w:lang w:val="en-GB"/>
        </w:rPr>
        <w:t>Urban Forestry &amp; Urban Greening</w:t>
      </w:r>
      <w:r w:rsidRPr="009A4522">
        <w:rPr>
          <w:rFonts w:ascii="Calibri" w:hAnsi="Calibri" w:cs="Calibri"/>
          <w:lang w:val="en-GB"/>
        </w:rPr>
        <w:t>, 55, p. 126846. Available at: https://doi.org/10.1016/j.ufug.2020.126846.</w:t>
      </w:r>
    </w:p>
    <w:p w14:paraId="09444DD9" w14:textId="77777777" w:rsidR="0081508E" w:rsidRPr="009A4522" w:rsidRDefault="0081508E" w:rsidP="005D7515">
      <w:pPr>
        <w:pStyle w:val="Bibliography"/>
        <w:jc w:val="both"/>
        <w:rPr>
          <w:rFonts w:ascii="Calibri" w:hAnsi="Calibri" w:cs="Calibri"/>
          <w:lang w:val="en-GB"/>
        </w:rPr>
      </w:pPr>
      <w:r w:rsidRPr="009A4522">
        <w:rPr>
          <w:rFonts w:ascii="Calibri" w:hAnsi="Calibri" w:cs="Calibri"/>
          <w:lang w:val="en-GB"/>
        </w:rPr>
        <w:t xml:space="preserve">Farris, S., Dempsey, N., </w:t>
      </w:r>
      <w:r w:rsidRPr="009A4522">
        <w:rPr>
          <w:rFonts w:ascii="Calibri" w:hAnsi="Calibri" w:cs="Calibri"/>
          <w:i/>
          <w:iCs/>
          <w:lang w:val="en-GB"/>
        </w:rPr>
        <w:t>et al.</w:t>
      </w:r>
      <w:r w:rsidRPr="009A4522">
        <w:rPr>
          <w:rFonts w:ascii="Calibri" w:hAnsi="Calibri" w:cs="Calibri"/>
          <w:lang w:val="en-GB"/>
        </w:rPr>
        <w:t xml:space="preserve"> (2024) ‘Does increasing biodiversity in an urban woodland setting promote positive emotional responses in humans? A stress recovery experiment using 360-degree videos of an urban woodland’, </w:t>
      </w:r>
      <w:r w:rsidRPr="009A4522">
        <w:rPr>
          <w:rFonts w:ascii="Calibri" w:hAnsi="Calibri" w:cs="Calibri"/>
          <w:i/>
          <w:iCs/>
          <w:lang w:val="en-GB"/>
        </w:rPr>
        <w:t>PLOS ONE</w:t>
      </w:r>
      <w:r w:rsidRPr="009A4522">
        <w:rPr>
          <w:rFonts w:ascii="Calibri" w:hAnsi="Calibri" w:cs="Calibri"/>
          <w:lang w:val="en-GB"/>
        </w:rPr>
        <w:t>. Edited by T. Bhadauria, 19(2), p. e0297179. Available at: https://doi.org/10.1371/journal.pone.0297179.</w:t>
      </w:r>
    </w:p>
    <w:p w14:paraId="1C6B3A74" w14:textId="77777777" w:rsidR="0081508E" w:rsidRPr="009A4522" w:rsidRDefault="0081508E" w:rsidP="005D7515">
      <w:pPr>
        <w:pStyle w:val="Bibliography"/>
        <w:jc w:val="both"/>
        <w:rPr>
          <w:rFonts w:ascii="Calibri" w:hAnsi="Calibri" w:cs="Calibri"/>
          <w:lang w:val="en-GB"/>
        </w:rPr>
      </w:pPr>
      <w:r w:rsidRPr="009A4522">
        <w:rPr>
          <w:rFonts w:ascii="Calibri" w:hAnsi="Calibri" w:cs="Calibri"/>
          <w:lang w:val="en-GB"/>
        </w:rPr>
        <w:t xml:space="preserve">Farris, S., Zhang, L., </w:t>
      </w:r>
      <w:r w:rsidRPr="009A4522">
        <w:rPr>
          <w:rFonts w:ascii="Calibri" w:hAnsi="Calibri" w:cs="Calibri"/>
          <w:i/>
          <w:iCs/>
          <w:lang w:val="en-GB"/>
        </w:rPr>
        <w:t>et al.</w:t>
      </w:r>
      <w:r w:rsidRPr="009A4522">
        <w:rPr>
          <w:rFonts w:ascii="Calibri" w:hAnsi="Calibri" w:cs="Calibri"/>
          <w:lang w:val="en-GB"/>
        </w:rPr>
        <w:t xml:space="preserve"> (2024) ‘“The Elephant in the Room” – does actual or perceived biodiversity elicit restorative responses in a virtual park?’, </w:t>
      </w:r>
      <w:r w:rsidRPr="009A4522">
        <w:rPr>
          <w:rFonts w:ascii="Calibri" w:hAnsi="Calibri" w:cs="Calibri"/>
          <w:i/>
          <w:iCs/>
          <w:lang w:val="en-GB"/>
        </w:rPr>
        <w:t>Cities &amp; Health</w:t>
      </w:r>
      <w:r w:rsidRPr="009A4522">
        <w:rPr>
          <w:rFonts w:ascii="Calibri" w:hAnsi="Calibri" w:cs="Calibri"/>
          <w:lang w:val="en-GB"/>
        </w:rPr>
        <w:t>, pp. 1–16. Available at: https://doi.org/10.1080/23748834.2024.2383825.</w:t>
      </w:r>
    </w:p>
    <w:p w14:paraId="58AE2598" w14:textId="77777777" w:rsidR="0081508E" w:rsidRPr="009A4522" w:rsidRDefault="0081508E" w:rsidP="005D7515">
      <w:pPr>
        <w:pStyle w:val="Bibliography"/>
        <w:jc w:val="both"/>
        <w:rPr>
          <w:rFonts w:ascii="Calibri" w:hAnsi="Calibri" w:cs="Calibri"/>
          <w:lang w:val="en-GB"/>
        </w:rPr>
      </w:pPr>
      <w:r w:rsidRPr="009A4522">
        <w:rPr>
          <w:rFonts w:ascii="Calibri" w:hAnsi="Calibri" w:cs="Calibri"/>
          <w:lang w:val="en-GB"/>
        </w:rPr>
        <w:t xml:space="preserve">Frumkin, H. </w:t>
      </w:r>
      <w:r w:rsidRPr="009A4522">
        <w:rPr>
          <w:rFonts w:ascii="Calibri" w:hAnsi="Calibri" w:cs="Calibri"/>
          <w:i/>
          <w:iCs/>
          <w:lang w:val="en-GB"/>
        </w:rPr>
        <w:t>et al.</w:t>
      </w:r>
      <w:r w:rsidRPr="009A4522">
        <w:rPr>
          <w:rFonts w:ascii="Calibri" w:hAnsi="Calibri" w:cs="Calibri"/>
          <w:lang w:val="en-GB"/>
        </w:rPr>
        <w:t xml:space="preserve"> (2017) ‘Nature Contact and Human Health: A Research Agenda’, </w:t>
      </w:r>
      <w:r w:rsidRPr="009A4522">
        <w:rPr>
          <w:rFonts w:ascii="Calibri" w:hAnsi="Calibri" w:cs="Calibri"/>
          <w:i/>
          <w:iCs/>
          <w:lang w:val="en-GB"/>
        </w:rPr>
        <w:t>Environmental Health Perspectives (Online)</w:t>
      </w:r>
      <w:r w:rsidRPr="009A4522">
        <w:rPr>
          <w:rFonts w:ascii="Calibri" w:hAnsi="Calibri" w:cs="Calibri"/>
          <w:lang w:val="en-GB"/>
        </w:rPr>
        <w:t>, 125(7). Available at: https://doi.org/10.1289/EHP1663.</w:t>
      </w:r>
    </w:p>
    <w:p w14:paraId="2BE50D90" w14:textId="77777777" w:rsidR="0081508E" w:rsidRPr="009A4522" w:rsidRDefault="0081508E" w:rsidP="005D7515">
      <w:pPr>
        <w:pStyle w:val="Bibliography"/>
        <w:jc w:val="both"/>
        <w:rPr>
          <w:rFonts w:ascii="Calibri" w:hAnsi="Calibri" w:cs="Calibri"/>
          <w:lang w:val="en-GB"/>
        </w:rPr>
      </w:pPr>
      <w:r w:rsidRPr="009A4522">
        <w:rPr>
          <w:rFonts w:ascii="Calibri" w:hAnsi="Calibri" w:cs="Calibri"/>
          <w:lang w:val="en-GB"/>
        </w:rPr>
        <w:t xml:space="preserve">Fuller, R.A. </w:t>
      </w:r>
      <w:r w:rsidRPr="009A4522">
        <w:rPr>
          <w:rFonts w:ascii="Calibri" w:hAnsi="Calibri" w:cs="Calibri"/>
          <w:i/>
          <w:iCs/>
          <w:lang w:val="en-GB"/>
        </w:rPr>
        <w:t>et al.</w:t>
      </w:r>
      <w:r w:rsidRPr="009A4522">
        <w:rPr>
          <w:rFonts w:ascii="Calibri" w:hAnsi="Calibri" w:cs="Calibri"/>
          <w:lang w:val="en-GB"/>
        </w:rPr>
        <w:t xml:space="preserve"> (2007) ‘Psychological benefits of greenspace increase with biodiversity.’, </w:t>
      </w:r>
      <w:r w:rsidRPr="009A4522">
        <w:rPr>
          <w:rFonts w:ascii="Calibri" w:hAnsi="Calibri" w:cs="Calibri"/>
          <w:i/>
          <w:iCs/>
          <w:lang w:val="en-GB"/>
        </w:rPr>
        <w:t>Biology letters</w:t>
      </w:r>
      <w:r w:rsidRPr="009A4522">
        <w:rPr>
          <w:rFonts w:ascii="Calibri" w:hAnsi="Calibri" w:cs="Calibri"/>
          <w:lang w:val="en-GB"/>
        </w:rPr>
        <w:t>. Edited by R.A. Fuller, 3(4), pp. 390–394. Available at: https://doi.org/10.1098/rsbl.2007.0149.</w:t>
      </w:r>
    </w:p>
    <w:p w14:paraId="0D4622E2" w14:textId="77777777" w:rsidR="0081508E" w:rsidRPr="009A4522" w:rsidRDefault="0081508E" w:rsidP="005D7515">
      <w:pPr>
        <w:pStyle w:val="Bibliography"/>
        <w:jc w:val="both"/>
        <w:rPr>
          <w:rFonts w:ascii="Calibri" w:hAnsi="Calibri" w:cs="Calibri"/>
          <w:lang w:val="en-GB"/>
        </w:rPr>
      </w:pPr>
      <w:r w:rsidRPr="009A4522">
        <w:rPr>
          <w:rFonts w:ascii="Calibri" w:hAnsi="Calibri" w:cs="Calibri"/>
          <w:lang w:val="en-GB"/>
        </w:rPr>
        <w:t xml:space="preserve">Gentile, A. </w:t>
      </w:r>
      <w:r w:rsidRPr="009A4522">
        <w:rPr>
          <w:rFonts w:ascii="Calibri" w:hAnsi="Calibri" w:cs="Calibri"/>
          <w:i/>
          <w:iCs/>
          <w:lang w:val="en-GB"/>
        </w:rPr>
        <w:t>et al.</w:t>
      </w:r>
      <w:r w:rsidRPr="009A4522">
        <w:rPr>
          <w:rFonts w:ascii="Calibri" w:hAnsi="Calibri" w:cs="Calibri"/>
          <w:lang w:val="en-GB"/>
        </w:rPr>
        <w:t xml:space="preserve"> (2023) ‘Nature through virtual reality as a stress-reduction tool: A systematic review.’, </w:t>
      </w:r>
      <w:r w:rsidRPr="009A4522">
        <w:rPr>
          <w:rFonts w:ascii="Calibri" w:hAnsi="Calibri" w:cs="Calibri"/>
          <w:i/>
          <w:iCs/>
          <w:lang w:val="en-GB"/>
        </w:rPr>
        <w:t>International Journal of Stress Management</w:t>
      </w:r>
      <w:r w:rsidRPr="009A4522">
        <w:rPr>
          <w:rFonts w:ascii="Calibri" w:hAnsi="Calibri" w:cs="Calibri"/>
          <w:lang w:val="en-GB"/>
        </w:rPr>
        <w:t xml:space="preserve"> [Preprint]. Available at: https://doi.org/10.1037/str0000300.</w:t>
      </w:r>
    </w:p>
    <w:p w14:paraId="56B4FC36" w14:textId="77777777" w:rsidR="0081508E" w:rsidRPr="009A4522" w:rsidRDefault="0081508E" w:rsidP="005D7515">
      <w:pPr>
        <w:pStyle w:val="Bibliography"/>
        <w:jc w:val="both"/>
        <w:rPr>
          <w:rFonts w:ascii="Calibri" w:hAnsi="Calibri" w:cs="Calibri"/>
          <w:lang w:val="en-GB"/>
        </w:rPr>
      </w:pPr>
      <w:r w:rsidRPr="009A4522">
        <w:rPr>
          <w:rFonts w:ascii="Calibri" w:hAnsi="Calibri" w:cs="Calibri"/>
          <w:lang w:val="en-GB"/>
        </w:rPr>
        <w:t xml:space="preserve">Gilgen-Ammann, R., Schweizer, T. and Wyss, T. (2019) ‘RR interval signal quality of a heart rate monitor and an ECG Holter at rest and during exercise’, </w:t>
      </w:r>
      <w:r w:rsidRPr="009A4522">
        <w:rPr>
          <w:rFonts w:ascii="Calibri" w:hAnsi="Calibri" w:cs="Calibri"/>
          <w:i/>
          <w:iCs/>
          <w:lang w:val="en-GB"/>
        </w:rPr>
        <w:t>European journal of applied physiology</w:t>
      </w:r>
      <w:r w:rsidRPr="009A4522">
        <w:rPr>
          <w:rFonts w:ascii="Calibri" w:hAnsi="Calibri" w:cs="Calibri"/>
          <w:lang w:val="en-GB"/>
        </w:rPr>
        <w:t>, 119(7), pp. 1525–1532.</w:t>
      </w:r>
    </w:p>
    <w:p w14:paraId="783C81B9" w14:textId="77777777" w:rsidR="0081508E" w:rsidRPr="009A4522" w:rsidRDefault="0081508E" w:rsidP="005D7515">
      <w:pPr>
        <w:pStyle w:val="Bibliography"/>
        <w:jc w:val="both"/>
        <w:rPr>
          <w:rFonts w:ascii="Calibri" w:hAnsi="Calibri" w:cs="Calibri"/>
          <w:lang w:val="en-GB"/>
        </w:rPr>
      </w:pPr>
      <w:r w:rsidRPr="009A4522">
        <w:rPr>
          <w:rFonts w:ascii="Calibri" w:hAnsi="Calibri" w:cs="Calibri"/>
          <w:lang w:val="en-GB"/>
        </w:rPr>
        <w:t xml:space="preserve">Gonçalves, P. </w:t>
      </w:r>
      <w:r w:rsidRPr="009A4522">
        <w:rPr>
          <w:rFonts w:ascii="Calibri" w:hAnsi="Calibri" w:cs="Calibri"/>
          <w:i/>
          <w:iCs/>
          <w:lang w:val="en-GB"/>
        </w:rPr>
        <w:t>et al.</w:t>
      </w:r>
      <w:r w:rsidRPr="009A4522">
        <w:rPr>
          <w:rFonts w:ascii="Calibri" w:hAnsi="Calibri" w:cs="Calibri"/>
          <w:lang w:val="en-GB"/>
        </w:rPr>
        <w:t xml:space="preserve"> (2021) ‘What’s biodiversity got to do with it? Perceptions of biodiversity and restorativeness in urban parks’, </w:t>
      </w:r>
      <w:r w:rsidRPr="009A4522">
        <w:rPr>
          <w:rFonts w:ascii="Calibri" w:hAnsi="Calibri" w:cs="Calibri"/>
          <w:i/>
          <w:iCs/>
          <w:lang w:val="en-GB"/>
        </w:rPr>
        <w:t>Ecology and Society</w:t>
      </w:r>
      <w:r w:rsidRPr="009A4522">
        <w:rPr>
          <w:rFonts w:ascii="Calibri" w:hAnsi="Calibri" w:cs="Calibri"/>
          <w:lang w:val="en-GB"/>
        </w:rPr>
        <w:t>, 26(3). Available at: https://doi.org/10.5751/ES-12598-260325.</w:t>
      </w:r>
    </w:p>
    <w:p w14:paraId="44499BCE" w14:textId="77777777" w:rsidR="0081508E" w:rsidRPr="009A4522" w:rsidRDefault="0081508E" w:rsidP="005D7515">
      <w:pPr>
        <w:pStyle w:val="Bibliography"/>
        <w:jc w:val="both"/>
        <w:rPr>
          <w:rFonts w:ascii="Calibri" w:hAnsi="Calibri" w:cs="Calibri"/>
          <w:lang w:val="en-GB"/>
        </w:rPr>
      </w:pPr>
      <w:r w:rsidRPr="009A4522">
        <w:rPr>
          <w:rFonts w:ascii="Calibri" w:hAnsi="Calibri" w:cs="Calibri"/>
          <w:lang w:val="en-GB"/>
        </w:rPr>
        <w:t xml:space="preserve">Greenhouse, S.W. and Geisser, S. (1959) ‘On methods in the analysis of profile data’, </w:t>
      </w:r>
      <w:r w:rsidRPr="009A4522">
        <w:rPr>
          <w:rFonts w:ascii="Calibri" w:hAnsi="Calibri" w:cs="Calibri"/>
          <w:i/>
          <w:iCs/>
          <w:lang w:val="en-GB"/>
        </w:rPr>
        <w:t>Psychometrika</w:t>
      </w:r>
      <w:r w:rsidRPr="009A4522">
        <w:rPr>
          <w:rFonts w:ascii="Calibri" w:hAnsi="Calibri" w:cs="Calibri"/>
          <w:lang w:val="en-GB"/>
        </w:rPr>
        <w:t>, 24(2), pp. 95–112. Available at: https://doi.org/10.1007/BF02289823.</w:t>
      </w:r>
    </w:p>
    <w:p w14:paraId="56EB0294" w14:textId="77777777" w:rsidR="0081508E" w:rsidRPr="009A4522" w:rsidRDefault="0081508E" w:rsidP="005D7515">
      <w:pPr>
        <w:pStyle w:val="Bibliography"/>
        <w:jc w:val="both"/>
        <w:rPr>
          <w:rFonts w:ascii="Calibri" w:hAnsi="Calibri" w:cs="Calibri"/>
          <w:lang w:val="en-GB"/>
        </w:rPr>
      </w:pPr>
      <w:r w:rsidRPr="009A4522">
        <w:rPr>
          <w:rFonts w:ascii="Calibri" w:hAnsi="Calibri" w:cs="Calibri"/>
          <w:lang w:val="en-GB"/>
        </w:rPr>
        <w:t xml:space="preserve">Guyot, M. </w:t>
      </w:r>
      <w:r w:rsidRPr="009A4522">
        <w:rPr>
          <w:rFonts w:ascii="Calibri" w:hAnsi="Calibri" w:cs="Calibri"/>
          <w:i/>
          <w:iCs/>
          <w:lang w:val="en-GB"/>
        </w:rPr>
        <w:t>et al.</w:t>
      </w:r>
      <w:r w:rsidRPr="009A4522">
        <w:rPr>
          <w:rFonts w:ascii="Calibri" w:hAnsi="Calibri" w:cs="Calibri"/>
          <w:lang w:val="en-GB"/>
        </w:rPr>
        <w:t xml:space="preserve"> (2023) ‘Non-response bias in the analysis of the association between mental health and the urban environment: a cross-sectional study in Brussels, Belgium’, </w:t>
      </w:r>
      <w:r w:rsidRPr="009A4522">
        <w:rPr>
          <w:rFonts w:ascii="Calibri" w:hAnsi="Calibri" w:cs="Calibri"/>
          <w:i/>
          <w:iCs/>
          <w:lang w:val="en-GB"/>
        </w:rPr>
        <w:t>Archives of Public Health</w:t>
      </w:r>
      <w:r w:rsidRPr="009A4522">
        <w:rPr>
          <w:rFonts w:ascii="Calibri" w:hAnsi="Calibri" w:cs="Calibri"/>
          <w:lang w:val="en-GB"/>
        </w:rPr>
        <w:t>, 81(1), p. 129. Available at: https://doi.org/10.1186/s13690-023-01118-y.</w:t>
      </w:r>
    </w:p>
    <w:p w14:paraId="10CED251" w14:textId="77777777" w:rsidR="0081508E" w:rsidRPr="009A4522" w:rsidRDefault="0081508E" w:rsidP="005D7515">
      <w:pPr>
        <w:pStyle w:val="Bibliography"/>
        <w:jc w:val="both"/>
        <w:rPr>
          <w:rFonts w:ascii="Calibri" w:hAnsi="Calibri" w:cs="Calibri"/>
          <w:lang w:val="en-GB"/>
        </w:rPr>
      </w:pPr>
      <w:r w:rsidRPr="009A4522">
        <w:rPr>
          <w:rFonts w:ascii="Calibri" w:hAnsi="Calibri" w:cs="Calibri"/>
          <w:lang w:val="en-GB"/>
        </w:rPr>
        <w:t>Happonen, J. (2023) ‘Polar Sensor Logger’. Available at: https://play.google.com/store/apps/details?id=com.j_ware.polarsensorlogger&amp;hl=en_US (Accessed: 20 June 2023).</w:t>
      </w:r>
    </w:p>
    <w:p w14:paraId="69672C23" w14:textId="77777777" w:rsidR="0081508E" w:rsidRPr="009A4522" w:rsidRDefault="0081508E" w:rsidP="005D7515">
      <w:pPr>
        <w:pStyle w:val="Bibliography"/>
        <w:jc w:val="both"/>
        <w:rPr>
          <w:rFonts w:ascii="Calibri" w:hAnsi="Calibri" w:cs="Calibri"/>
          <w:lang w:val="en-GB"/>
        </w:rPr>
      </w:pPr>
      <w:r w:rsidRPr="009A4522">
        <w:rPr>
          <w:rFonts w:ascii="Calibri" w:hAnsi="Calibri" w:cs="Calibri"/>
          <w:lang w:val="en-GB"/>
        </w:rPr>
        <w:t xml:space="preserve">Ibrahim, R., Clayden, A. and Cameron, R. (2020) ‘Tropical urban parks in Kuala Lumpur, Malaysia: Challenging the attitudes of park management teams towards a more environmentally sustainable approach’, </w:t>
      </w:r>
      <w:r w:rsidRPr="009A4522">
        <w:rPr>
          <w:rFonts w:ascii="Calibri" w:hAnsi="Calibri" w:cs="Calibri"/>
          <w:i/>
          <w:iCs/>
          <w:lang w:val="en-GB"/>
        </w:rPr>
        <w:t>Urban Forestry &amp; Urban Greening</w:t>
      </w:r>
      <w:r w:rsidRPr="009A4522">
        <w:rPr>
          <w:rFonts w:ascii="Calibri" w:hAnsi="Calibri" w:cs="Calibri"/>
          <w:lang w:val="en-GB"/>
        </w:rPr>
        <w:t>, 49, p. 126605.</w:t>
      </w:r>
    </w:p>
    <w:p w14:paraId="36153C31" w14:textId="77777777" w:rsidR="0081508E" w:rsidRPr="009A4522" w:rsidRDefault="0081508E" w:rsidP="005D7515">
      <w:pPr>
        <w:pStyle w:val="Bibliography"/>
        <w:jc w:val="both"/>
        <w:rPr>
          <w:rFonts w:ascii="Calibri" w:hAnsi="Calibri" w:cs="Calibri"/>
          <w:lang w:val="en-GB"/>
        </w:rPr>
      </w:pPr>
      <w:r w:rsidRPr="009A4522">
        <w:rPr>
          <w:rFonts w:ascii="Calibri" w:hAnsi="Calibri" w:cs="Calibri"/>
          <w:lang w:val="en-GB"/>
        </w:rPr>
        <w:lastRenderedPageBreak/>
        <w:t xml:space="preserve">Irvine, K.N. </w:t>
      </w:r>
      <w:r w:rsidRPr="009A4522">
        <w:rPr>
          <w:rFonts w:ascii="Calibri" w:hAnsi="Calibri" w:cs="Calibri"/>
          <w:i/>
          <w:iCs/>
          <w:lang w:val="en-GB"/>
        </w:rPr>
        <w:t>et al.</w:t>
      </w:r>
      <w:r w:rsidRPr="009A4522">
        <w:rPr>
          <w:rFonts w:ascii="Calibri" w:hAnsi="Calibri" w:cs="Calibri"/>
          <w:lang w:val="en-GB"/>
        </w:rPr>
        <w:t xml:space="preserve"> (2023) ‘BIO-WELL: The development and validation of a human wellbeing scale that measures responses to biodiversity’, </w:t>
      </w:r>
      <w:r w:rsidRPr="009A4522">
        <w:rPr>
          <w:rFonts w:ascii="Calibri" w:hAnsi="Calibri" w:cs="Calibri"/>
          <w:i/>
          <w:iCs/>
          <w:lang w:val="en-GB"/>
        </w:rPr>
        <w:t>Journal of Environmental Psychology</w:t>
      </w:r>
      <w:r w:rsidRPr="009A4522">
        <w:rPr>
          <w:rFonts w:ascii="Calibri" w:hAnsi="Calibri" w:cs="Calibri"/>
          <w:lang w:val="en-GB"/>
        </w:rPr>
        <w:t>, 85, p. 101921. Available at: https://doi.org/10.1016/j.jenvp.2022.101921.</w:t>
      </w:r>
    </w:p>
    <w:p w14:paraId="67B2F8D8" w14:textId="77777777" w:rsidR="0081508E" w:rsidRPr="009A4522" w:rsidRDefault="0081508E" w:rsidP="005D7515">
      <w:pPr>
        <w:pStyle w:val="Bibliography"/>
        <w:jc w:val="both"/>
        <w:rPr>
          <w:rFonts w:ascii="Calibri" w:hAnsi="Calibri" w:cs="Calibri"/>
          <w:lang w:val="en-GB"/>
        </w:rPr>
      </w:pPr>
      <w:r w:rsidRPr="009A4522">
        <w:rPr>
          <w:rFonts w:ascii="Calibri" w:hAnsi="Calibri" w:cs="Calibri"/>
          <w:lang w:val="en-GB"/>
        </w:rPr>
        <w:t xml:space="preserve">Jo, H.I., Lee, K. and Jeon, J.Y. (2022) ‘Effect of noise sensitivity on psychophysiological response through monoscopic 360 video and stereoscopic sound environment experience: a randomized control trial’, </w:t>
      </w:r>
      <w:r w:rsidRPr="009A4522">
        <w:rPr>
          <w:rFonts w:ascii="Calibri" w:hAnsi="Calibri" w:cs="Calibri"/>
          <w:i/>
          <w:iCs/>
          <w:lang w:val="en-GB"/>
        </w:rPr>
        <w:t>Scientific Reports</w:t>
      </w:r>
      <w:r w:rsidRPr="009A4522">
        <w:rPr>
          <w:rFonts w:ascii="Calibri" w:hAnsi="Calibri" w:cs="Calibri"/>
          <w:lang w:val="en-GB"/>
        </w:rPr>
        <w:t>, 12(1). Available at: https://doi.org/10.1038/s41598-022-08374-y.</w:t>
      </w:r>
    </w:p>
    <w:p w14:paraId="58015687" w14:textId="77777777" w:rsidR="0081508E" w:rsidRPr="009A4522" w:rsidRDefault="0081508E" w:rsidP="005D7515">
      <w:pPr>
        <w:pStyle w:val="Bibliography"/>
        <w:jc w:val="both"/>
        <w:rPr>
          <w:rFonts w:ascii="Calibri" w:hAnsi="Calibri" w:cs="Calibri"/>
          <w:lang w:val="en-GB"/>
        </w:rPr>
      </w:pPr>
      <w:r w:rsidRPr="009A4522">
        <w:rPr>
          <w:rFonts w:ascii="Calibri" w:hAnsi="Calibri" w:cs="Calibri"/>
          <w:lang w:val="en-GB"/>
        </w:rPr>
        <w:t xml:space="preserve">Jo, S.-H., Park, J.-S. and Yeon, P.-S. (2021) ‘The Effect of Forest Video Using Virtual Reality on the Stress Reduction of University Students Focused on C University in Korea’, </w:t>
      </w:r>
      <w:r w:rsidRPr="009A4522">
        <w:rPr>
          <w:rFonts w:ascii="Calibri" w:hAnsi="Calibri" w:cs="Calibri"/>
          <w:i/>
          <w:iCs/>
          <w:lang w:val="en-GB"/>
        </w:rPr>
        <w:t>International Journal of Environmental Research and Public Health</w:t>
      </w:r>
      <w:r w:rsidRPr="009A4522">
        <w:rPr>
          <w:rFonts w:ascii="Calibri" w:hAnsi="Calibri" w:cs="Calibri"/>
          <w:lang w:val="en-GB"/>
        </w:rPr>
        <w:t>, 18(23). Available at: https://doi.org/10.3390/ijerph182312805.</w:t>
      </w:r>
    </w:p>
    <w:p w14:paraId="46614DA3" w14:textId="77777777" w:rsidR="0081508E" w:rsidRPr="009A4522" w:rsidRDefault="0081508E" w:rsidP="005D7515">
      <w:pPr>
        <w:pStyle w:val="Bibliography"/>
        <w:jc w:val="both"/>
        <w:rPr>
          <w:rFonts w:ascii="Calibri" w:hAnsi="Calibri" w:cs="Calibri"/>
          <w:lang w:val="en-GB"/>
        </w:rPr>
      </w:pPr>
      <w:r w:rsidRPr="009A4522">
        <w:rPr>
          <w:rFonts w:ascii="Calibri" w:hAnsi="Calibri" w:cs="Calibri"/>
          <w:lang w:val="en-GB"/>
        </w:rPr>
        <w:t xml:space="preserve">Johansson, M. </w:t>
      </w:r>
      <w:r w:rsidRPr="009A4522">
        <w:rPr>
          <w:rFonts w:ascii="Calibri" w:hAnsi="Calibri" w:cs="Calibri"/>
          <w:i/>
          <w:iCs/>
          <w:lang w:val="en-GB"/>
        </w:rPr>
        <w:t>et al.</w:t>
      </w:r>
      <w:r w:rsidRPr="009A4522">
        <w:rPr>
          <w:rFonts w:ascii="Calibri" w:hAnsi="Calibri" w:cs="Calibri"/>
          <w:lang w:val="en-GB"/>
        </w:rPr>
        <w:t xml:space="preserve"> (2014) ‘Does biological quality matter? Direct and reflected appraisal of biodiversity in temperate deciduous broad-leaf forest’, </w:t>
      </w:r>
      <w:r w:rsidRPr="009A4522">
        <w:rPr>
          <w:rFonts w:ascii="Calibri" w:hAnsi="Calibri" w:cs="Calibri"/>
          <w:i/>
          <w:iCs/>
          <w:lang w:val="en-GB"/>
        </w:rPr>
        <w:t>Urban Forestry &amp; Urban Greening</w:t>
      </w:r>
      <w:r w:rsidRPr="009A4522">
        <w:rPr>
          <w:rFonts w:ascii="Calibri" w:hAnsi="Calibri" w:cs="Calibri"/>
          <w:lang w:val="en-GB"/>
        </w:rPr>
        <w:t>, 13(1), pp. 28–37. Available at: https://doi.org/10.1016/j.ufug.2013.10.009.</w:t>
      </w:r>
    </w:p>
    <w:p w14:paraId="1DEC42D4" w14:textId="77777777" w:rsidR="0081508E" w:rsidRPr="009A4522" w:rsidRDefault="0081508E" w:rsidP="005D7515">
      <w:pPr>
        <w:pStyle w:val="Bibliography"/>
        <w:jc w:val="both"/>
        <w:rPr>
          <w:rFonts w:ascii="Calibri" w:hAnsi="Calibri" w:cs="Calibri"/>
          <w:lang w:val="en-GB"/>
        </w:rPr>
      </w:pPr>
      <w:r w:rsidRPr="009A4522">
        <w:rPr>
          <w:rFonts w:ascii="Calibri" w:hAnsi="Calibri" w:cs="Calibri"/>
          <w:lang w:val="en-GB"/>
        </w:rPr>
        <w:t xml:space="preserve">Jorgensen, A., Hitchmough, J. and Dunnett, N. (2007) ‘Woodland as a setting for housing-appreciation and fear and the contribution to residential satisfaction and place identity in Warrington New Town, UK’, </w:t>
      </w:r>
      <w:r w:rsidRPr="009A4522">
        <w:rPr>
          <w:rFonts w:ascii="Calibri" w:hAnsi="Calibri" w:cs="Calibri"/>
          <w:i/>
          <w:iCs/>
          <w:lang w:val="en-GB"/>
        </w:rPr>
        <w:t>Landscape and Urban Planning</w:t>
      </w:r>
      <w:r w:rsidRPr="009A4522">
        <w:rPr>
          <w:rFonts w:ascii="Calibri" w:hAnsi="Calibri" w:cs="Calibri"/>
          <w:lang w:val="en-GB"/>
        </w:rPr>
        <w:t>, 79(3–4), pp. 273–287. Available at: https://doi.org/10.1016/j.landurbplan.2006.02.015.</w:t>
      </w:r>
    </w:p>
    <w:p w14:paraId="0BCC85FA" w14:textId="77777777" w:rsidR="0081508E" w:rsidRPr="009A4522" w:rsidRDefault="0081508E" w:rsidP="005D7515">
      <w:pPr>
        <w:pStyle w:val="Bibliography"/>
        <w:jc w:val="both"/>
        <w:rPr>
          <w:rFonts w:ascii="Calibri" w:hAnsi="Calibri" w:cs="Calibri"/>
          <w:lang w:val="en-GB"/>
        </w:rPr>
      </w:pPr>
      <w:r w:rsidRPr="009A4522">
        <w:rPr>
          <w:rFonts w:ascii="Calibri" w:hAnsi="Calibri" w:cs="Calibri"/>
          <w:lang w:val="en-GB"/>
        </w:rPr>
        <w:t xml:space="preserve">Kaplan, S. (1995) ‘The restorative benefits of nature: Toward an integrative framework’, </w:t>
      </w:r>
      <w:r w:rsidRPr="009A4522">
        <w:rPr>
          <w:rFonts w:ascii="Calibri" w:hAnsi="Calibri" w:cs="Calibri"/>
          <w:i/>
          <w:iCs/>
          <w:lang w:val="en-GB"/>
        </w:rPr>
        <w:t>Journal of Environmental Psychology</w:t>
      </w:r>
      <w:r w:rsidRPr="009A4522">
        <w:rPr>
          <w:rFonts w:ascii="Calibri" w:hAnsi="Calibri" w:cs="Calibri"/>
          <w:lang w:val="en-GB"/>
        </w:rPr>
        <w:t>, 15(3), pp. 169–182. Available at: https://doi.org/10.1016/0272-4944(95)90001-2.</w:t>
      </w:r>
    </w:p>
    <w:p w14:paraId="403C7BD2" w14:textId="77777777" w:rsidR="0081508E" w:rsidRPr="009A4522" w:rsidRDefault="0081508E" w:rsidP="005D7515">
      <w:pPr>
        <w:pStyle w:val="Bibliography"/>
        <w:jc w:val="both"/>
        <w:rPr>
          <w:rFonts w:ascii="Calibri" w:hAnsi="Calibri" w:cs="Calibri"/>
          <w:lang w:val="en-GB"/>
        </w:rPr>
      </w:pPr>
      <w:r w:rsidRPr="009A4522">
        <w:rPr>
          <w:rFonts w:ascii="Calibri" w:hAnsi="Calibri" w:cs="Calibri"/>
          <w:lang w:val="en-GB"/>
        </w:rPr>
        <w:t xml:space="preserve">Kondo, M.C. </w:t>
      </w:r>
      <w:r w:rsidRPr="009A4522">
        <w:rPr>
          <w:rFonts w:ascii="Calibri" w:hAnsi="Calibri" w:cs="Calibri"/>
          <w:i/>
          <w:iCs/>
          <w:lang w:val="en-GB"/>
        </w:rPr>
        <w:t>et al.</w:t>
      </w:r>
      <w:r w:rsidRPr="009A4522">
        <w:rPr>
          <w:rFonts w:ascii="Calibri" w:hAnsi="Calibri" w:cs="Calibri"/>
          <w:lang w:val="en-GB"/>
        </w:rPr>
        <w:t xml:space="preserve"> (2018) ‘Urban green space and its impact on human health’, </w:t>
      </w:r>
      <w:r w:rsidRPr="009A4522">
        <w:rPr>
          <w:rFonts w:ascii="Calibri" w:hAnsi="Calibri" w:cs="Calibri"/>
          <w:i/>
          <w:iCs/>
          <w:lang w:val="en-GB"/>
        </w:rPr>
        <w:t>International journal of environmental research and public health</w:t>
      </w:r>
      <w:r w:rsidRPr="009A4522">
        <w:rPr>
          <w:rFonts w:ascii="Calibri" w:hAnsi="Calibri" w:cs="Calibri"/>
          <w:lang w:val="en-GB"/>
        </w:rPr>
        <w:t>. Edited by M.C. Kondo, 15(3). Available at: https://doi.org/10.3390/ijerph15030445.</w:t>
      </w:r>
    </w:p>
    <w:p w14:paraId="6B670360" w14:textId="77777777" w:rsidR="0081508E" w:rsidRPr="009A4522" w:rsidRDefault="0081508E" w:rsidP="005D7515">
      <w:pPr>
        <w:pStyle w:val="Bibliography"/>
        <w:jc w:val="both"/>
        <w:rPr>
          <w:rFonts w:ascii="Calibri" w:hAnsi="Calibri" w:cs="Calibri"/>
          <w:lang w:val="en-GB"/>
        </w:rPr>
      </w:pPr>
      <w:r w:rsidRPr="009A4522">
        <w:rPr>
          <w:rFonts w:ascii="Calibri" w:hAnsi="Calibri" w:cs="Calibri"/>
          <w:lang w:val="en-GB"/>
        </w:rPr>
        <w:t xml:space="preserve">Laborde, S., Mosley, E. and Thayer, J.F. (2017) ‘Heart rate variability and cardiac vagal tone in psychophysiological research–recommendations for experiment planning, data analysis, and data reporting’, </w:t>
      </w:r>
      <w:r w:rsidRPr="009A4522">
        <w:rPr>
          <w:rFonts w:ascii="Calibri" w:hAnsi="Calibri" w:cs="Calibri"/>
          <w:i/>
          <w:iCs/>
          <w:lang w:val="en-GB"/>
        </w:rPr>
        <w:t>Frontiers in psychology</w:t>
      </w:r>
      <w:r w:rsidRPr="009A4522">
        <w:rPr>
          <w:rFonts w:ascii="Calibri" w:hAnsi="Calibri" w:cs="Calibri"/>
          <w:lang w:val="en-GB"/>
        </w:rPr>
        <w:t>, 8, p. 213.</w:t>
      </w:r>
    </w:p>
    <w:p w14:paraId="69F95CC7" w14:textId="77777777" w:rsidR="0081508E" w:rsidRPr="009A4522" w:rsidRDefault="0081508E" w:rsidP="005D7515">
      <w:pPr>
        <w:pStyle w:val="Bibliography"/>
        <w:jc w:val="both"/>
        <w:rPr>
          <w:rFonts w:ascii="Calibri" w:hAnsi="Calibri" w:cs="Calibri"/>
          <w:lang w:val="en-GB"/>
        </w:rPr>
      </w:pPr>
      <w:r w:rsidRPr="009A4522">
        <w:rPr>
          <w:rFonts w:ascii="Calibri" w:hAnsi="Calibri" w:cs="Calibri"/>
          <w:lang w:val="en-GB"/>
        </w:rPr>
        <w:t xml:space="preserve">Largo-Wight, E., O’Hara, B.K. and Chen, W.W. (2016) ‘The Efficacy of a Brief Nature Sound Intervention on Muscle Tension, Pulse Rate, and Self-Reported Stress: Nature Contact Micro-Break in an Office or Waiting Room’, </w:t>
      </w:r>
      <w:r w:rsidRPr="009A4522">
        <w:rPr>
          <w:rFonts w:ascii="Calibri" w:hAnsi="Calibri" w:cs="Calibri"/>
          <w:i/>
          <w:iCs/>
          <w:lang w:val="en-GB"/>
        </w:rPr>
        <w:t>Health Environments Research &amp; Design Journal</w:t>
      </w:r>
      <w:r w:rsidRPr="009A4522">
        <w:rPr>
          <w:rFonts w:ascii="Calibri" w:hAnsi="Calibri" w:cs="Calibri"/>
          <w:lang w:val="en-GB"/>
        </w:rPr>
        <w:t>, 10(1), pp. 45–51. Available at: https://doi.org/10.1177/1937586715619741.</w:t>
      </w:r>
    </w:p>
    <w:p w14:paraId="1E693582" w14:textId="77777777" w:rsidR="0081508E" w:rsidRPr="009A4522" w:rsidRDefault="0081508E" w:rsidP="005D7515">
      <w:pPr>
        <w:pStyle w:val="Bibliography"/>
        <w:jc w:val="both"/>
        <w:rPr>
          <w:rFonts w:ascii="Calibri" w:hAnsi="Calibri" w:cs="Calibri"/>
          <w:lang w:val="en-GB"/>
        </w:rPr>
      </w:pPr>
      <w:r w:rsidRPr="009A4522">
        <w:rPr>
          <w:rFonts w:ascii="Calibri" w:hAnsi="Calibri" w:cs="Calibri"/>
          <w:lang w:val="en-GB"/>
        </w:rPr>
        <w:t xml:space="preserve">Lee, M. </w:t>
      </w:r>
      <w:r w:rsidRPr="009A4522">
        <w:rPr>
          <w:rFonts w:ascii="Calibri" w:hAnsi="Calibri" w:cs="Calibri"/>
          <w:i/>
          <w:iCs/>
          <w:lang w:val="en-GB"/>
        </w:rPr>
        <w:t>et al.</w:t>
      </w:r>
      <w:r w:rsidRPr="009A4522">
        <w:rPr>
          <w:rFonts w:ascii="Calibri" w:hAnsi="Calibri" w:cs="Calibri"/>
          <w:lang w:val="en-GB"/>
        </w:rPr>
        <w:t xml:space="preserve"> (2022) ‘Psychological Effects of Green Experiences in a Virtual Environment: A Systematic Review’, </w:t>
      </w:r>
      <w:r w:rsidRPr="009A4522">
        <w:rPr>
          <w:rFonts w:ascii="Calibri" w:hAnsi="Calibri" w:cs="Calibri"/>
          <w:i/>
          <w:iCs/>
          <w:lang w:val="en-GB"/>
        </w:rPr>
        <w:t>Forests</w:t>
      </w:r>
      <w:r w:rsidRPr="009A4522">
        <w:rPr>
          <w:rFonts w:ascii="Calibri" w:hAnsi="Calibri" w:cs="Calibri"/>
          <w:lang w:val="en-GB"/>
        </w:rPr>
        <w:t>, 13(10), p. 1625. Available at: https://doi.org/10.3390/f13101625.</w:t>
      </w:r>
    </w:p>
    <w:p w14:paraId="45366F54" w14:textId="77777777" w:rsidR="0081508E" w:rsidRPr="009A4522" w:rsidRDefault="0081508E" w:rsidP="005D7515">
      <w:pPr>
        <w:pStyle w:val="Bibliography"/>
        <w:jc w:val="both"/>
        <w:rPr>
          <w:rFonts w:ascii="Calibri" w:hAnsi="Calibri" w:cs="Calibri"/>
          <w:lang w:val="en-GB"/>
        </w:rPr>
      </w:pPr>
      <w:r w:rsidRPr="009A4522">
        <w:rPr>
          <w:rFonts w:ascii="Calibri" w:hAnsi="Calibri" w:cs="Calibri"/>
          <w:lang w:val="en-GB"/>
        </w:rPr>
        <w:t xml:space="preserve">Lindemann-Matthies, P. and Bose, E. (2008) ‘How Many Species Are There? Public Understanding and Awareness of Biodiversity in Switzerland’, </w:t>
      </w:r>
      <w:r w:rsidRPr="009A4522">
        <w:rPr>
          <w:rFonts w:ascii="Calibri" w:hAnsi="Calibri" w:cs="Calibri"/>
          <w:i/>
          <w:iCs/>
          <w:lang w:val="en-GB"/>
        </w:rPr>
        <w:t>Human Ecology</w:t>
      </w:r>
      <w:r w:rsidRPr="009A4522">
        <w:rPr>
          <w:rFonts w:ascii="Calibri" w:hAnsi="Calibri" w:cs="Calibri"/>
          <w:lang w:val="en-GB"/>
        </w:rPr>
        <w:t>, 36(5), pp. 731–742. Available at: https://doi.org/10.1007/s10745-008-9194-1.</w:t>
      </w:r>
    </w:p>
    <w:p w14:paraId="5459BEB5" w14:textId="77777777" w:rsidR="0081508E" w:rsidRPr="009A4522" w:rsidRDefault="0081508E" w:rsidP="005D7515">
      <w:pPr>
        <w:pStyle w:val="Bibliography"/>
        <w:jc w:val="both"/>
        <w:rPr>
          <w:rFonts w:ascii="Calibri" w:hAnsi="Calibri" w:cs="Calibri"/>
          <w:lang w:val="en-GB"/>
        </w:rPr>
      </w:pPr>
      <w:r w:rsidRPr="009A4522">
        <w:rPr>
          <w:rFonts w:ascii="Calibri" w:hAnsi="Calibri" w:cs="Calibri"/>
          <w:lang w:val="en-GB"/>
        </w:rPr>
        <w:lastRenderedPageBreak/>
        <w:t xml:space="preserve">Lindemann-Matthies, P. and Matthies, D. (2018) ‘The influence of plant species richness on stress recovery of humans’, </w:t>
      </w:r>
      <w:r w:rsidRPr="009A4522">
        <w:rPr>
          <w:rFonts w:ascii="Calibri" w:hAnsi="Calibri" w:cs="Calibri"/>
          <w:i/>
          <w:iCs/>
          <w:lang w:val="en-GB"/>
        </w:rPr>
        <w:t>Web Ecol.</w:t>
      </w:r>
      <w:r w:rsidRPr="009A4522">
        <w:rPr>
          <w:rFonts w:ascii="Calibri" w:hAnsi="Calibri" w:cs="Calibri"/>
          <w:lang w:val="en-GB"/>
        </w:rPr>
        <w:t>, 18(2), pp. 121–128. Available at: https://doi.org/10.5194/we-18-121-2018.</w:t>
      </w:r>
    </w:p>
    <w:p w14:paraId="11F613C0" w14:textId="77777777" w:rsidR="0081508E" w:rsidRPr="009A4522" w:rsidRDefault="0081508E" w:rsidP="005D7515">
      <w:pPr>
        <w:pStyle w:val="Bibliography"/>
        <w:jc w:val="both"/>
        <w:rPr>
          <w:rFonts w:ascii="Calibri" w:hAnsi="Calibri" w:cs="Calibri"/>
          <w:lang w:val="en-GB"/>
        </w:rPr>
      </w:pPr>
      <w:r w:rsidRPr="009A4522">
        <w:rPr>
          <w:rFonts w:ascii="Calibri" w:hAnsi="Calibri" w:cs="Calibri"/>
          <w:lang w:val="en-GB"/>
        </w:rPr>
        <w:t xml:space="preserve">McEwan, K. </w:t>
      </w:r>
      <w:r w:rsidRPr="009A4522">
        <w:rPr>
          <w:rFonts w:ascii="Calibri" w:hAnsi="Calibri" w:cs="Calibri"/>
          <w:i/>
          <w:iCs/>
          <w:lang w:val="en-GB"/>
        </w:rPr>
        <w:t>et al.</w:t>
      </w:r>
      <w:r w:rsidRPr="009A4522">
        <w:rPr>
          <w:rFonts w:ascii="Calibri" w:hAnsi="Calibri" w:cs="Calibri"/>
          <w:lang w:val="en-GB"/>
        </w:rPr>
        <w:t xml:space="preserve"> (2023) ‘Virtual Forest Bathing Programming as Experienced by Disabled Adults with Mobility Impairments and/or Low Energy: A Qualitative Study’, </w:t>
      </w:r>
      <w:r w:rsidRPr="009A4522">
        <w:rPr>
          <w:rFonts w:ascii="Calibri" w:hAnsi="Calibri" w:cs="Calibri"/>
          <w:i/>
          <w:iCs/>
          <w:lang w:val="en-GB"/>
        </w:rPr>
        <w:t>Forests</w:t>
      </w:r>
      <w:r w:rsidRPr="009A4522">
        <w:rPr>
          <w:rFonts w:ascii="Calibri" w:hAnsi="Calibri" w:cs="Calibri"/>
          <w:lang w:val="en-GB"/>
        </w:rPr>
        <w:t>, 14(5), p. 1033. Available at: https://doi.org/10.3390/f14051033.</w:t>
      </w:r>
    </w:p>
    <w:p w14:paraId="2860791B" w14:textId="77777777" w:rsidR="0081508E" w:rsidRPr="009A4522" w:rsidRDefault="0081508E" w:rsidP="005D7515">
      <w:pPr>
        <w:pStyle w:val="Bibliography"/>
        <w:jc w:val="both"/>
        <w:rPr>
          <w:rFonts w:ascii="Calibri" w:hAnsi="Calibri" w:cs="Calibri"/>
          <w:lang w:val="en-GB"/>
        </w:rPr>
      </w:pPr>
      <w:r w:rsidRPr="009A4522">
        <w:rPr>
          <w:rFonts w:ascii="Calibri" w:hAnsi="Calibri" w:cs="Calibri"/>
          <w:lang w:val="en-GB"/>
        </w:rPr>
        <w:t xml:space="preserve">McMahan, E.A. and Estes, D. (2015) ‘The effect of contact with natural environments on positive and negative affect: A meta-analysis’, </w:t>
      </w:r>
      <w:r w:rsidRPr="009A4522">
        <w:rPr>
          <w:rFonts w:ascii="Calibri" w:hAnsi="Calibri" w:cs="Calibri"/>
          <w:i/>
          <w:iCs/>
          <w:lang w:val="en-GB"/>
        </w:rPr>
        <w:t>The Journal of Positive Psychology</w:t>
      </w:r>
      <w:r w:rsidRPr="009A4522">
        <w:rPr>
          <w:rFonts w:ascii="Calibri" w:hAnsi="Calibri" w:cs="Calibri"/>
          <w:lang w:val="en-GB"/>
        </w:rPr>
        <w:t>, 10(6), pp. 507–519. Available at: https://doi.org/10.1080/17439760.2014.994224.</w:t>
      </w:r>
    </w:p>
    <w:p w14:paraId="1812B7CF" w14:textId="77777777" w:rsidR="0081508E" w:rsidRPr="009A4522" w:rsidRDefault="0081508E" w:rsidP="005D7515">
      <w:pPr>
        <w:pStyle w:val="Bibliography"/>
        <w:jc w:val="both"/>
        <w:rPr>
          <w:rFonts w:ascii="Calibri" w:hAnsi="Calibri" w:cs="Calibri"/>
          <w:lang w:val="en-GB"/>
        </w:rPr>
      </w:pPr>
      <w:r w:rsidRPr="009A4522">
        <w:rPr>
          <w:rFonts w:ascii="Calibri" w:hAnsi="Calibri" w:cs="Calibri"/>
          <w:lang w:val="en-GB"/>
        </w:rPr>
        <w:t xml:space="preserve">McManus, M.D., Siegel, J.T. and Nakamura, J. (2019) ‘The predictive power of low-arousal positive affect’, </w:t>
      </w:r>
      <w:r w:rsidRPr="009A4522">
        <w:rPr>
          <w:rFonts w:ascii="Calibri" w:hAnsi="Calibri" w:cs="Calibri"/>
          <w:i/>
          <w:iCs/>
          <w:lang w:val="en-GB"/>
        </w:rPr>
        <w:t>Motivation and Emotion</w:t>
      </w:r>
      <w:r w:rsidRPr="009A4522">
        <w:rPr>
          <w:rFonts w:ascii="Calibri" w:hAnsi="Calibri" w:cs="Calibri"/>
          <w:lang w:val="en-GB"/>
        </w:rPr>
        <w:t>, 43(1), pp. 130–144. Available at: https://doi.org/10.1007/s11031-018-9719-x.</w:t>
      </w:r>
    </w:p>
    <w:p w14:paraId="2122401E" w14:textId="77777777" w:rsidR="0081508E" w:rsidRPr="009A4522" w:rsidRDefault="0081508E" w:rsidP="005D7515">
      <w:pPr>
        <w:pStyle w:val="Bibliography"/>
        <w:jc w:val="both"/>
        <w:rPr>
          <w:rFonts w:ascii="Calibri" w:hAnsi="Calibri" w:cs="Calibri"/>
          <w:lang w:val="en-GB"/>
        </w:rPr>
      </w:pPr>
      <w:r w:rsidRPr="009A4522">
        <w:rPr>
          <w:rFonts w:ascii="Calibri" w:hAnsi="Calibri" w:cs="Calibri"/>
          <w:lang w:val="en-GB"/>
        </w:rPr>
        <w:t xml:space="preserve">Methorst, J. </w:t>
      </w:r>
      <w:r w:rsidRPr="009A4522">
        <w:rPr>
          <w:rFonts w:ascii="Calibri" w:hAnsi="Calibri" w:cs="Calibri"/>
          <w:i/>
          <w:iCs/>
          <w:lang w:val="en-GB"/>
        </w:rPr>
        <w:t>et al.</w:t>
      </w:r>
      <w:r w:rsidRPr="009A4522">
        <w:rPr>
          <w:rFonts w:ascii="Calibri" w:hAnsi="Calibri" w:cs="Calibri"/>
          <w:lang w:val="en-GB"/>
        </w:rPr>
        <w:t xml:space="preserve"> (2021) ‘The importance of species diversity for human well-being in Europe’, </w:t>
      </w:r>
      <w:r w:rsidRPr="009A4522">
        <w:rPr>
          <w:rFonts w:ascii="Calibri" w:hAnsi="Calibri" w:cs="Calibri"/>
          <w:i/>
          <w:iCs/>
          <w:lang w:val="en-GB"/>
        </w:rPr>
        <w:t>Ecological Economics</w:t>
      </w:r>
      <w:r w:rsidRPr="009A4522">
        <w:rPr>
          <w:rFonts w:ascii="Calibri" w:hAnsi="Calibri" w:cs="Calibri"/>
          <w:lang w:val="en-GB"/>
        </w:rPr>
        <w:t>, 181. Available at: https://doi.org/10.1016/j.ecolecon.2020.106917.</w:t>
      </w:r>
    </w:p>
    <w:p w14:paraId="3A02700D" w14:textId="77777777" w:rsidR="0081508E" w:rsidRPr="009A4522" w:rsidRDefault="0081508E" w:rsidP="005D7515">
      <w:pPr>
        <w:pStyle w:val="Bibliography"/>
        <w:jc w:val="both"/>
        <w:rPr>
          <w:rFonts w:ascii="Calibri" w:hAnsi="Calibri" w:cs="Calibri"/>
          <w:lang w:val="en-GB"/>
        </w:rPr>
      </w:pPr>
      <w:r w:rsidRPr="009A4522">
        <w:rPr>
          <w:rFonts w:ascii="Calibri" w:hAnsi="Calibri" w:cs="Calibri"/>
          <w:lang w:val="en-GB"/>
        </w:rPr>
        <w:t xml:space="preserve">Nukarinen, T. </w:t>
      </w:r>
      <w:r w:rsidRPr="009A4522">
        <w:rPr>
          <w:rFonts w:ascii="Calibri" w:hAnsi="Calibri" w:cs="Calibri"/>
          <w:i/>
          <w:iCs/>
          <w:lang w:val="en-GB"/>
        </w:rPr>
        <w:t>et al.</w:t>
      </w:r>
      <w:r w:rsidRPr="009A4522">
        <w:rPr>
          <w:rFonts w:ascii="Calibri" w:hAnsi="Calibri" w:cs="Calibri"/>
          <w:lang w:val="en-GB"/>
        </w:rPr>
        <w:t xml:space="preserve"> (2022) ‘Measures and modalities in restorative virtual natural environments: An integrative narrative review’, </w:t>
      </w:r>
      <w:r w:rsidRPr="009A4522">
        <w:rPr>
          <w:rFonts w:ascii="Calibri" w:hAnsi="Calibri" w:cs="Calibri"/>
          <w:i/>
          <w:iCs/>
          <w:lang w:val="en-GB"/>
        </w:rPr>
        <w:t>Computers in Human Behavior</w:t>
      </w:r>
      <w:r w:rsidRPr="009A4522">
        <w:rPr>
          <w:rFonts w:ascii="Calibri" w:hAnsi="Calibri" w:cs="Calibri"/>
          <w:lang w:val="en-GB"/>
        </w:rPr>
        <w:t>, 126, p. 107008. Available at: https://doi.org/10.1016/j.chb.2021.107008.</w:t>
      </w:r>
    </w:p>
    <w:p w14:paraId="0A91828F" w14:textId="77777777" w:rsidR="0081508E" w:rsidRPr="009A4522" w:rsidRDefault="0081508E" w:rsidP="005D7515">
      <w:pPr>
        <w:pStyle w:val="Bibliography"/>
        <w:jc w:val="both"/>
        <w:rPr>
          <w:rFonts w:ascii="Calibri" w:hAnsi="Calibri" w:cs="Calibri"/>
          <w:lang w:val="en-GB"/>
        </w:rPr>
      </w:pPr>
      <w:r w:rsidRPr="009A4522">
        <w:rPr>
          <w:rFonts w:ascii="Calibri" w:hAnsi="Calibri" w:cs="Calibri"/>
          <w:lang w:val="en-GB"/>
        </w:rPr>
        <w:t xml:space="preserve">Pett, T.J. </w:t>
      </w:r>
      <w:r w:rsidRPr="009A4522">
        <w:rPr>
          <w:rFonts w:ascii="Calibri" w:hAnsi="Calibri" w:cs="Calibri"/>
          <w:i/>
          <w:iCs/>
          <w:lang w:val="en-GB"/>
        </w:rPr>
        <w:t>et al.</w:t>
      </w:r>
      <w:r w:rsidRPr="009A4522">
        <w:rPr>
          <w:rFonts w:ascii="Calibri" w:hAnsi="Calibri" w:cs="Calibri"/>
          <w:lang w:val="en-GB"/>
        </w:rPr>
        <w:t xml:space="preserve"> (2016) ‘Unpacking the people-biodiversity paradox: A conceptual framework’, </w:t>
      </w:r>
      <w:r w:rsidRPr="009A4522">
        <w:rPr>
          <w:rFonts w:ascii="Calibri" w:hAnsi="Calibri" w:cs="Calibri"/>
          <w:i/>
          <w:iCs/>
          <w:lang w:val="en-GB"/>
        </w:rPr>
        <w:t>BioScience</w:t>
      </w:r>
      <w:r w:rsidRPr="009A4522">
        <w:rPr>
          <w:rFonts w:ascii="Calibri" w:hAnsi="Calibri" w:cs="Calibri"/>
          <w:lang w:val="en-GB"/>
        </w:rPr>
        <w:t>, 66(7), pp. 576–583. Available at: https://doi.org/10.1093/biosci/biw036.</w:t>
      </w:r>
    </w:p>
    <w:p w14:paraId="0B4A67A4" w14:textId="77777777" w:rsidR="0081508E" w:rsidRPr="009A4522" w:rsidRDefault="0081508E" w:rsidP="005D7515">
      <w:pPr>
        <w:pStyle w:val="Bibliography"/>
        <w:jc w:val="both"/>
        <w:rPr>
          <w:rFonts w:ascii="Calibri" w:hAnsi="Calibri" w:cs="Calibri"/>
          <w:lang w:val="en-GB"/>
        </w:rPr>
      </w:pPr>
      <w:r w:rsidRPr="009A4522">
        <w:rPr>
          <w:rFonts w:ascii="Calibri" w:hAnsi="Calibri" w:cs="Calibri"/>
          <w:lang w:val="en-GB"/>
        </w:rPr>
        <w:t xml:space="preserve">Pilotti, M. </w:t>
      </w:r>
      <w:r w:rsidRPr="009A4522">
        <w:rPr>
          <w:rFonts w:ascii="Calibri" w:hAnsi="Calibri" w:cs="Calibri"/>
          <w:i/>
          <w:iCs/>
          <w:lang w:val="en-GB"/>
        </w:rPr>
        <w:t>et al.</w:t>
      </w:r>
      <w:r w:rsidRPr="009A4522">
        <w:rPr>
          <w:rFonts w:ascii="Calibri" w:hAnsi="Calibri" w:cs="Calibri"/>
          <w:lang w:val="en-GB"/>
        </w:rPr>
        <w:t xml:space="preserve"> (2015) ‘Is Viewing a Nature Video After Work Restorative? Effects on Blood Pressure, Task Performance, and Long-Term Memory’, </w:t>
      </w:r>
      <w:r w:rsidRPr="009A4522">
        <w:rPr>
          <w:rFonts w:ascii="Calibri" w:hAnsi="Calibri" w:cs="Calibri"/>
          <w:i/>
          <w:iCs/>
          <w:lang w:val="en-GB"/>
        </w:rPr>
        <w:t>Environment and Behavior</w:t>
      </w:r>
      <w:r w:rsidRPr="009A4522">
        <w:rPr>
          <w:rFonts w:ascii="Calibri" w:hAnsi="Calibri" w:cs="Calibri"/>
          <w:lang w:val="en-GB"/>
        </w:rPr>
        <w:t>, 47(9), pp. 947–969. Available at: https://doi.org/10.1177/0013916514533187.</w:t>
      </w:r>
    </w:p>
    <w:p w14:paraId="4076C131" w14:textId="77777777" w:rsidR="0081508E" w:rsidRPr="009A4522" w:rsidRDefault="0081508E" w:rsidP="005D7515">
      <w:pPr>
        <w:pStyle w:val="Bibliography"/>
        <w:jc w:val="both"/>
        <w:rPr>
          <w:rFonts w:ascii="Calibri" w:hAnsi="Calibri" w:cs="Calibri"/>
          <w:lang w:val="en-GB"/>
        </w:rPr>
      </w:pPr>
      <w:r w:rsidRPr="009A4522">
        <w:rPr>
          <w:rFonts w:ascii="Calibri" w:hAnsi="Calibri" w:cs="Calibri"/>
          <w:lang w:val="en-GB"/>
        </w:rPr>
        <w:t xml:space="preserve">Qi, Y. </w:t>
      </w:r>
      <w:r w:rsidRPr="009A4522">
        <w:rPr>
          <w:rFonts w:ascii="Calibri" w:hAnsi="Calibri" w:cs="Calibri"/>
          <w:i/>
          <w:iCs/>
          <w:lang w:val="en-GB"/>
        </w:rPr>
        <w:t>et al.</w:t>
      </w:r>
      <w:r w:rsidRPr="009A4522">
        <w:rPr>
          <w:rFonts w:ascii="Calibri" w:hAnsi="Calibri" w:cs="Calibri"/>
          <w:lang w:val="en-GB"/>
        </w:rPr>
        <w:t xml:space="preserve"> (2022) ‘Comparative study on birdsong and its multi-sensory combinational effects on physio-psychological restoration’, </w:t>
      </w:r>
      <w:r w:rsidRPr="009A4522">
        <w:rPr>
          <w:rFonts w:ascii="Calibri" w:hAnsi="Calibri" w:cs="Calibri"/>
          <w:i/>
          <w:iCs/>
          <w:lang w:val="en-GB"/>
        </w:rPr>
        <w:t>Journal of Environmental Psychology</w:t>
      </w:r>
      <w:r w:rsidRPr="009A4522">
        <w:rPr>
          <w:rFonts w:ascii="Calibri" w:hAnsi="Calibri" w:cs="Calibri"/>
          <w:lang w:val="en-GB"/>
        </w:rPr>
        <w:t>, 83, p. 101879. Available at: https://doi.org/10.1016/j.jenvp.2022.101879.</w:t>
      </w:r>
    </w:p>
    <w:p w14:paraId="26DE3AA3" w14:textId="77777777" w:rsidR="0081508E" w:rsidRPr="009A4522" w:rsidRDefault="0081508E" w:rsidP="005D7515">
      <w:pPr>
        <w:pStyle w:val="Bibliography"/>
        <w:jc w:val="both"/>
        <w:rPr>
          <w:rFonts w:ascii="Calibri" w:hAnsi="Calibri" w:cs="Calibri"/>
          <w:lang w:val="en-GB"/>
        </w:rPr>
      </w:pPr>
      <w:r w:rsidRPr="009A4522">
        <w:rPr>
          <w:rFonts w:ascii="Calibri" w:hAnsi="Calibri" w:cs="Calibri"/>
          <w:lang w:val="en-GB"/>
        </w:rPr>
        <w:t xml:space="preserve">Reining, C.E., Lemieux, C.J. and Doherty, S.T. (2021) ‘Linking restorative human health outcomes to protected area ecosystem diversity and integrity’, </w:t>
      </w:r>
      <w:r w:rsidRPr="009A4522">
        <w:rPr>
          <w:rFonts w:ascii="Calibri" w:hAnsi="Calibri" w:cs="Calibri"/>
          <w:i/>
          <w:iCs/>
          <w:lang w:val="en-GB"/>
        </w:rPr>
        <w:t>Journal of Environmental Planning and Management</w:t>
      </w:r>
      <w:r w:rsidRPr="009A4522">
        <w:rPr>
          <w:rFonts w:ascii="Calibri" w:hAnsi="Calibri" w:cs="Calibri"/>
          <w:lang w:val="en-GB"/>
        </w:rPr>
        <w:t>, 64(13), pp. 2300–2325. Available at: https://doi.org/10.1080/09640568.2020.1857227.</w:t>
      </w:r>
    </w:p>
    <w:p w14:paraId="367C3DC8" w14:textId="77777777" w:rsidR="0081508E" w:rsidRPr="009A4522" w:rsidRDefault="0081508E" w:rsidP="005D7515">
      <w:pPr>
        <w:pStyle w:val="Bibliography"/>
        <w:jc w:val="both"/>
        <w:rPr>
          <w:rFonts w:ascii="Calibri" w:hAnsi="Calibri" w:cs="Calibri"/>
          <w:lang w:val="en-GB"/>
        </w:rPr>
      </w:pPr>
      <w:r w:rsidRPr="009A4522">
        <w:rPr>
          <w:rFonts w:ascii="Calibri" w:hAnsi="Calibri" w:cs="Calibri"/>
          <w:lang w:val="en-GB"/>
        </w:rPr>
        <w:t xml:space="preserve">Richardson, M. </w:t>
      </w:r>
      <w:r w:rsidRPr="009A4522">
        <w:rPr>
          <w:rFonts w:ascii="Calibri" w:hAnsi="Calibri" w:cs="Calibri"/>
          <w:i/>
          <w:iCs/>
          <w:lang w:val="en-GB"/>
        </w:rPr>
        <w:t>et al.</w:t>
      </w:r>
      <w:r w:rsidRPr="009A4522">
        <w:rPr>
          <w:rFonts w:ascii="Calibri" w:hAnsi="Calibri" w:cs="Calibri"/>
          <w:lang w:val="en-GB"/>
        </w:rPr>
        <w:t xml:space="preserve"> (2016) ‘Joy and Calm: How an Evolutionary Functional Model of Affect Regulation Informs Positive Emotions in Nature’, </w:t>
      </w:r>
      <w:r w:rsidRPr="009A4522">
        <w:rPr>
          <w:rFonts w:ascii="Calibri" w:hAnsi="Calibri" w:cs="Calibri"/>
          <w:i/>
          <w:iCs/>
          <w:lang w:val="en-GB"/>
        </w:rPr>
        <w:t>Evolutionary Psychological Science</w:t>
      </w:r>
      <w:r w:rsidRPr="009A4522">
        <w:rPr>
          <w:rFonts w:ascii="Calibri" w:hAnsi="Calibri" w:cs="Calibri"/>
          <w:lang w:val="en-GB"/>
        </w:rPr>
        <w:t>, 2(4), pp. 308–320. Available at: https://doi.org/10.1007/s40806-016-0065-5.</w:t>
      </w:r>
    </w:p>
    <w:p w14:paraId="575AEED5" w14:textId="77777777" w:rsidR="0081508E" w:rsidRPr="009A4522" w:rsidRDefault="0081508E" w:rsidP="005D7515">
      <w:pPr>
        <w:pStyle w:val="Bibliography"/>
        <w:jc w:val="both"/>
        <w:rPr>
          <w:rFonts w:ascii="Calibri" w:hAnsi="Calibri" w:cs="Calibri"/>
          <w:lang w:val="en-GB"/>
        </w:rPr>
      </w:pPr>
      <w:r w:rsidRPr="009A4522">
        <w:rPr>
          <w:rFonts w:ascii="Calibri" w:hAnsi="Calibri" w:cs="Calibri"/>
          <w:lang w:val="en-GB"/>
        </w:rPr>
        <w:t xml:space="preserve">San Juan, C., Subiza-Pérez, M. and Vozmediano, L. (2017) ‘Restoration and the City: The Role of Public Urban Squares’, </w:t>
      </w:r>
      <w:r w:rsidRPr="009A4522">
        <w:rPr>
          <w:rFonts w:ascii="Calibri" w:hAnsi="Calibri" w:cs="Calibri"/>
          <w:i/>
          <w:iCs/>
          <w:lang w:val="en-GB"/>
        </w:rPr>
        <w:t>Frontiers in Psychology</w:t>
      </w:r>
      <w:r w:rsidRPr="009A4522">
        <w:rPr>
          <w:rFonts w:ascii="Calibri" w:hAnsi="Calibri" w:cs="Calibri"/>
          <w:lang w:val="en-GB"/>
        </w:rPr>
        <w:t>, 8, p. 2093. Available at: https://doi.org/10.3389/fpsyg.2017.02093.</w:t>
      </w:r>
    </w:p>
    <w:p w14:paraId="56893EAA" w14:textId="77777777" w:rsidR="0081508E" w:rsidRPr="009A4522" w:rsidRDefault="0081508E" w:rsidP="005D7515">
      <w:pPr>
        <w:pStyle w:val="Bibliography"/>
        <w:jc w:val="both"/>
        <w:rPr>
          <w:rFonts w:ascii="Calibri" w:hAnsi="Calibri" w:cs="Calibri"/>
          <w:lang w:val="en-GB"/>
        </w:rPr>
      </w:pPr>
      <w:r w:rsidRPr="009A4522">
        <w:rPr>
          <w:rFonts w:ascii="Calibri" w:hAnsi="Calibri" w:cs="Calibri"/>
          <w:lang w:val="en-GB"/>
        </w:rPr>
        <w:lastRenderedPageBreak/>
        <w:t xml:space="preserve">Schebella, M.F. </w:t>
      </w:r>
      <w:r w:rsidRPr="009A4522">
        <w:rPr>
          <w:rFonts w:ascii="Calibri" w:hAnsi="Calibri" w:cs="Calibri"/>
          <w:i/>
          <w:iCs/>
          <w:lang w:val="en-GB"/>
        </w:rPr>
        <w:t>et al.</w:t>
      </w:r>
      <w:r w:rsidRPr="009A4522">
        <w:rPr>
          <w:rFonts w:ascii="Calibri" w:hAnsi="Calibri" w:cs="Calibri"/>
          <w:lang w:val="en-GB"/>
        </w:rPr>
        <w:t xml:space="preserve"> (2019) ‘In Pursuit of Urban Sustainability: Predicting Public Perceptions of Park Biodiversity Using Simple Assessment Tools’, </w:t>
      </w:r>
      <w:r w:rsidRPr="009A4522">
        <w:rPr>
          <w:rFonts w:ascii="Calibri" w:hAnsi="Calibri" w:cs="Calibri"/>
          <w:i/>
          <w:iCs/>
          <w:lang w:val="en-GB"/>
        </w:rPr>
        <w:t>International Journal of Environmental Research</w:t>
      </w:r>
      <w:r w:rsidRPr="009A4522">
        <w:rPr>
          <w:rFonts w:ascii="Calibri" w:hAnsi="Calibri" w:cs="Calibri"/>
          <w:lang w:val="en-GB"/>
        </w:rPr>
        <w:t>, 13(4), pp. 707–720. Available at: https://doi.org/10.1007/s41742-019-00200-0.</w:t>
      </w:r>
    </w:p>
    <w:p w14:paraId="6A35DF10" w14:textId="77777777" w:rsidR="0081508E" w:rsidRPr="009A4522" w:rsidRDefault="0081508E" w:rsidP="005D7515">
      <w:pPr>
        <w:pStyle w:val="Bibliography"/>
        <w:jc w:val="both"/>
        <w:rPr>
          <w:rFonts w:ascii="Calibri" w:hAnsi="Calibri" w:cs="Calibri"/>
          <w:lang w:val="en-GB"/>
        </w:rPr>
      </w:pPr>
      <w:r w:rsidRPr="009A4522">
        <w:rPr>
          <w:rFonts w:ascii="Calibri" w:hAnsi="Calibri" w:cs="Calibri"/>
          <w:lang w:val="en-GB"/>
        </w:rPr>
        <w:t xml:space="preserve">Schebella, M.F. </w:t>
      </w:r>
      <w:r w:rsidRPr="009A4522">
        <w:rPr>
          <w:rFonts w:ascii="Calibri" w:hAnsi="Calibri" w:cs="Calibri"/>
          <w:i/>
          <w:iCs/>
          <w:lang w:val="en-GB"/>
        </w:rPr>
        <w:t>et al.</w:t>
      </w:r>
      <w:r w:rsidRPr="009A4522">
        <w:rPr>
          <w:rFonts w:ascii="Calibri" w:hAnsi="Calibri" w:cs="Calibri"/>
          <w:lang w:val="en-GB"/>
        </w:rPr>
        <w:t xml:space="preserve"> (2020) ‘The Nature of Reality: Human Stress Recovery during Exposure to Biodiverse, Multisensory Virtual Environments’, </w:t>
      </w:r>
      <w:r w:rsidRPr="009A4522">
        <w:rPr>
          <w:rFonts w:ascii="Calibri" w:hAnsi="Calibri" w:cs="Calibri"/>
          <w:i/>
          <w:iCs/>
          <w:lang w:val="en-GB"/>
        </w:rPr>
        <w:t>International Journal of Environmental Research and Public Health</w:t>
      </w:r>
      <w:r w:rsidRPr="009A4522">
        <w:rPr>
          <w:rFonts w:ascii="Calibri" w:hAnsi="Calibri" w:cs="Calibri"/>
          <w:lang w:val="en-GB"/>
        </w:rPr>
        <w:t>, 17(1). Available at: https://doi.org/10.3390/ijerph17010056.</w:t>
      </w:r>
    </w:p>
    <w:p w14:paraId="2FBB6AD0" w14:textId="77777777" w:rsidR="0081508E" w:rsidRPr="009A4522" w:rsidRDefault="0081508E" w:rsidP="005D7515">
      <w:pPr>
        <w:pStyle w:val="Bibliography"/>
        <w:jc w:val="both"/>
        <w:rPr>
          <w:rFonts w:ascii="Calibri" w:hAnsi="Calibri" w:cs="Calibri"/>
          <w:lang w:val="en-GB"/>
        </w:rPr>
      </w:pPr>
      <w:r w:rsidRPr="009A4522">
        <w:rPr>
          <w:rFonts w:ascii="Calibri" w:hAnsi="Calibri" w:cs="Calibri"/>
          <w:lang w:val="en-GB"/>
        </w:rPr>
        <w:t xml:space="preserve">Schreuder, E. </w:t>
      </w:r>
      <w:r w:rsidRPr="009A4522">
        <w:rPr>
          <w:rFonts w:ascii="Calibri" w:hAnsi="Calibri" w:cs="Calibri"/>
          <w:i/>
          <w:iCs/>
          <w:lang w:val="en-GB"/>
        </w:rPr>
        <w:t>et al.</w:t>
      </w:r>
      <w:r w:rsidRPr="009A4522">
        <w:rPr>
          <w:rFonts w:ascii="Calibri" w:hAnsi="Calibri" w:cs="Calibri"/>
          <w:lang w:val="en-GB"/>
        </w:rPr>
        <w:t xml:space="preserve"> (2016) ‘Emotional Responses to Multisensory Environmental Stimuli: A Conceptual Framework and Literature Review’, </w:t>
      </w:r>
      <w:r w:rsidRPr="009A4522">
        <w:rPr>
          <w:rFonts w:ascii="Calibri" w:hAnsi="Calibri" w:cs="Calibri"/>
          <w:i/>
          <w:iCs/>
          <w:lang w:val="en-GB"/>
        </w:rPr>
        <w:t>SAGE Open</w:t>
      </w:r>
      <w:r w:rsidRPr="009A4522">
        <w:rPr>
          <w:rFonts w:ascii="Calibri" w:hAnsi="Calibri" w:cs="Calibri"/>
          <w:lang w:val="en-GB"/>
        </w:rPr>
        <w:t>, 6(1), p. 215824401663059. Available at: https://doi.org/10.1177/2158244016630591.</w:t>
      </w:r>
    </w:p>
    <w:p w14:paraId="43FD8D05" w14:textId="77777777" w:rsidR="0081508E" w:rsidRPr="009A4522" w:rsidRDefault="0081508E" w:rsidP="005D7515">
      <w:pPr>
        <w:pStyle w:val="Bibliography"/>
        <w:jc w:val="both"/>
        <w:rPr>
          <w:rFonts w:ascii="Calibri" w:hAnsi="Calibri" w:cs="Calibri"/>
          <w:lang w:val="en-GB"/>
        </w:rPr>
      </w:pPr>
      <w:r w:rsidRPr="009A4522">
        <w:rPr>
          <w:rFonts w:ascii="Calibri" w:hAnsi="Calibri" w:cs="Calibri"/>
          <w:lang w:val="en-GB"/>
        </w:rPr>
        <w:t xml:space="preserve">Schultz, P.W. (2002) ‘Inclusion with Nature: The Psychology Of Human-Nature Relations’, in P. Schmuck and W.P. Schultz (eds) </w:t>
      </w:r>
      <w:r w:rsidRPr="009A4522">
        <w:rPr>
          <w:rFonts w:ascii="Calibri" w:hAnsi="Calibri" w:cs="Calibri"/>
          <w:i/>
          <w:iCs/>
          <w:lang w:val="en-GB"/>
        </w:rPr>
        <w:t>Psychology of Sustainable Development</w:t>
      </w:r>
      <w:r w:rsidRPr="009A4522">
        <w:rPr>
          <w:rFonts w:ascii="Calibri" w:hAnsi="Calibri" w:cs="Calibri"/>
          <w:lang w:val="en-GB"/>
        </w:rPr>
        <w:t>. Boston, MA: Springer US, pp. 61–78. Available at: https://doi.org/10.1007/978-1-4615-0995-0_4.</w:t>
      </w:r>
    </w:p>
    <w:p w14:paraId="7117E263" w14:textId="77777777" w:rsidR="0081508E" w:rsidRPr="009A4522" w:rsidRDefault="0081508E" w:rsidP="005D7515">
      <w:pPr>
        <w:pStyle w:val="Bibliography"/>
        <w:jc w:val="both"/>
        <w:rPr>
          <w:rFonts w:ascii="Calibri" w:hAnsi="Calibri" w:cs="Calibri"/>
          <w:lang w:val="en-GB"/>
        </w:rPr>
      </w:pPr>
      <w:r w:rsidRPr="009A4522">
        <w:rPr>
          <w:rFonts w:ascii="Calibri" w:hAnsi="Calibri" w:cs="Calibri"/>
          <w:lang w:val="en-GB"/>
        </w:rPr>
        <w:t xml:space="preserve">Shanahan, D.F. </w:t>
      </w:r>
      <w:r w:rsidRPr="009A4522">
        <w:rPr>
          <w:rFonts w:ascii="Calibri" w:hAnsi="Calibri" w:cs="Calibri"/>
          <w:i/>
          <w:iCs/>
          <w:lang w:val="en-GB"/>
        </w:rPr>
        <w:t>et al.</w:t>
      </w:r>
      <w:r w:rsidRPr="009A4522">
        <w:rPr>
          <w:rFonts w:ascii="Calibri" w:hAnsi="Calibri" w:cs="Calibri"/>
          <w:lang w:val="en-GB"/>
        </w:rPr>
        <w:t xml:space="preserve"> (2016) ‘Health Benefits from Nature Experiences Depend on Dose’, </w:t>
      </w:r>
      <w:r w:rsidRPr="009A4522">
        <w:rPr>
          <w:rFonts w:ascii="Calibri" w:hAnsi="Calibri" w:cs="Calibri"/>
          <w:i/>
          <w:iCs/>
          <w:lang w:val="en-GB"/>
        </w:rPr>
        <w:t>Scientific Reports</w:t>
      </w:r>
      <w:r w:rsidRPr="009A4522">
        <w:rPr>
          <w:rFonts w:ascii="Calibri" w:hAnsi="Calibri" w:cs="Calibri"/>
          <w:lang w:val="en-GB"/>
        </w:rPr>
        <w:t>, 6. Available at: https://doi.org/10.1038/srep28551.</w:t>
      </w:r>
    </w:p>
    <w:p w14:paraId="3C54ED8C" w14:textId="77777777" w:rsidR="0081508E" w:rsidRPr="009A4522" w:rsidRDefault="0081508E" w:rsidP="005D7515">
      <w:pPr>
        <w:pStyle w:val="Bibliography"/>
        <w:jc w:val="both"/>
        <w:rPr>
          <w:rFonts w:ascii="Calibri" w:hAnsi="Calibri" w:cs="Calibri"/>
          <w:lang w:val="en-GB"/>
        </w:rPr>
      </w:pPr>
      <w:r w:rsidRPr="009A4522">
        <w:rPr>
          <w:rFonts w:ascii="Calibri" w:hAnsi="Calibri" w:cs="Calibri"/>
          <w:lang w:val="en-GB"/>
        </w:rPr>
        <w:t xml:space="preserve">Sheller, M. (2004) ‘Automotive Emotions: Feeling the Car’, </w:t>
      </w:r>
      <w:r w:rsidRPr="009A4522">
        <w:rPr>
          <w:rFonts w:ascii="Calibri" w:hAnsi="Calibri" w:cs="Calibri"/>
          <w:i/>
          <w:iCs/>
          <w:lang w:val="en-GB"/>
        </w:rPr>
        <w:t>Theory, Culture &amp; Society</w:t>
      </w:r>
      <w:r w:rsidRPr="009A4522">
        <w:rPr>
          <w:rFonts w:ascii="Calibri" w:hAnsi="Calibri" w:cs="Calibri"/>
          <w:lang w:val="en-GB"/>
        </w:rPr>
        <w:t>, 21(4–5), pp. 221–242. Available at: https://doi.org/10.1177/0263276404046068.</w:t>
      </w:r>
    </w:p>
    <w:p w14:paraId="2129D7D2" w14:textId="77777777" w:rsidR="0081508E" w:rsidRPr="009A4522" w:rsidRDefault="0081508E" w:rsidP="005D7515">
      <w:pPr>
        <w:pStyle w:val="Bibliography"/>
        <w:jc w:val="both"/>
        <w:rPr>
          <w:rFonts w:ascii="Calibri" w:hAnsi="Calibri" w:cs="Calibri"/>
          <w:lang w:val="en-GB"/>
        </w:rPr>
      </w:pPr>
      <w:r w:rsidRPr="009A4522">
        <w:rPr>
          <w:rFonts w:ascii="Calibri" w:hAnsi="Calibri" w:cs="Calibri"/>
          <w:lang w:val="en-GB"/>
        </w:rPr>
        <w:t xml:space="preserve">Shwartz, A. </w:t>
      </w:r>
      <w:r w:rsidRPr="009A4522">
        <w:rPr>
          <w:rFonts w:ascii="Calibri" w:hAnsi="Calibri" w:cs="Calibri"/>
          <w:i/>
          <w:iCs/>
          <w:lang w:val="en-GB"/>
        </w:rPr>
        <w:t>et al.</w:t>
      </w:r>
      <w:r w:rsidRPr="009A4522">
        <w:rPr>
          <w:rFonts w:ascii="Calibri" w:hAnsi="Calibri" w:cs="Calibri"/>
          <w:lang w:val="en-GB"/>
        </w:rPr>
        <w:t xml:space="preserve"> (2014) ‘Enhancing urban biodiversity and its influence on city-dwellers: An experiment’, </w:t>
      </w:r>
      <w:r w:rsidRPr="009A4522">
        <w:rPr>
          <w:rFonts w:ascii="Calibri" w:hAnsi="Calibri" w:cs="Calibri"/>
          <w:i/>
          <w:iCs/>
          <w:lang w:val="en-GB"/>
        </w:rPr>
        <w:t>Biological Conservation</w:t>
      </w:r>
      <w:r w:rsidRPr="009A4522">
        <w:rPr>
          <w:rFonts w:ascii="Calibri" w:hAnsi="Calibri" w:cs="Calibri"/>
          <w:lang w:val="en-GB"/>
        </w:rPr>
        <w:t>, 171, pp. 82–90. Available at: https://doi.org/10.1016/j.biocon.2014.01.009.</w:t>
      </w:r>
    </w:p>
    <w:p w14:paraId="5D496376" w14:textId="77777777" w:rsidR="0081508E" w:rsidRPr="009A4522" w:rsidRDefault="0081508E" w:rsidP="005D7515">
      <w:pPr>
        <w:pStyle w:val="Bibliography"/>
        <w:jc w:val="both"/>
        <w:rPr>
          <w:rFonts w:ascii="Calibri" w:hAnsi="Calibri" w:cs="Calibri"/>
          <w:lang w:val="en-GB"/>
        </w:rPr>
      </w:pPr>
      <w:r w:rsidRPr="009A4522">
        <w:rPr>
          <w:rFonts w:ascii="Calibri" w:hAnsi="Calibri" w:cs="Calibri"/>
          <w:lang w:val="en-GB"/>
        </w:rPr>
        <w:t xml:space="preserve">Staats, H. </w:t>
      </w:r>
      <w:r w:rsidRPr="009A4522">
        <w:rPr>
          <w:rFonts w:ascii="Calibri" w:hAnsi="Calibri" w:cs="Calibri"/>
          <w:i/>
          <w:iCs/>
          <w:lang w:val="en-GB"/>
        </w:rPr>
        <w:t>et al.</w:t>
      </w:r>
      <w:r w:rsidRPr="009A4522">
        <w:rPr>
          <w:rFonts w:ascii="Calibri" w:hAnsi="Calibri" w:cs="Calibri"/>
          <w:lang w:val="en-GB"/>
        </w:rPr>
        <w:t xml:space="preserve"> (2016) ‘Urban options for psychological restoration: Common strategies in everyday situations’, </w:t>
      </w:r>
      <w:r w:rsidRPr="009A4522">
        <w:rPr>
          <w:rFonts w:ascii="Calibri" w:hAnsi="Calibri" w:cs="Calibri"/>
          <w:i/>
          <w:iCs/>
          <w:lang w:val="en-GB"/>
        </w:rPr>
        <w:t>PLoS ONE</w:t>
      </w:r>
      <w:r w:rsidRPr="009A4522">
        <w:rPr>
          <w:rFonts w:ascii="Calibri" w:hAnsi="Calibri" w:cs="Calibri"/>
          <w:lang w:val="en-GB"/>
        </w:rPr>
        <w:t>, 11(1). Available at: https://doi.org/10.1371/journal.pone.0146213.</w:t>
      </w:r>
    </w:p>
    <w:p w14:paraId="63798D57" w14:textId="77777777" w:rsidR="0081508E" w:rsidRPr="009A4522" w:rsidRDefault="0081508E" w:rsidP="005D7515">
      <w:pPr>
        <w:pStyle w:val="Bibliography"/>
        <w:jc w:val="both"/>
        <w:rPr>
          <w:rFonts w:ascii="Calibri" w:hAnsi="Calibri" w:cs="Calibri"/>
          <w:lang w:val="en-GB"/>
        </w:rPr>
      </w:pPr>
      <w:r w:rsidRPr="009A4522">
        <w:rPr>
          <w:rFonts w:ascii="Calibri" w:hAnsi="Calibri" w:cs="Calibri"/>
          <w:lang w:val="en-GB"/>
        </w:rPr>
        <w:t xml:space="preserve">Stigsdotter, U.K. </w:t>
      </w:r>
      <w:r w:rsidRPr="009A4522">
        <w:rPr>
          <w:rFonts w:ascii="Calibri" w:hAnsi="Calibri" w:cs="Calibri"/>
          <w:i/>
          <w:iCs/>
          <w:lang w:val="en-GB"/>
        </w:rPr>
        <w:t>et al.</w:t>
      </w:r>
      <w:r w:rsidRPr="009A4522">
        <w:rPr>
          <w:rFonts w:ascii="Calibri" w:hAnsi="Calibri" w:cs="Calibri"/>
          <w:lang w:val="en-GB"/>
        </w:rPr>
        <w:t xml:space="preserve"> (2017) ‘It is not all bad for the grey city – A crossover study on physiological and psychological restoration in a forest and an urban environment’, </w:t>
      </w:r>
      <w:r w:rsidRPr="009A4522">
        <w:rPr>
          <w:rFonts w:ascii="Calibri" w:hAnsi="Calibri" w:cs="Calibri"/>
          <w:i/>
          <w:iCs/>
          <w:lang w:val="en-GB"/>
        </w:rPr>
        <w:t>Health and Place</w:t>
      </w:r>
      <w:r w:rsidRPr="009A4522">
        <w:rPr>
          <w:rFonts w:ascii="Calibri" w:hAnsi="Calibri" w:cs="Calibri"/>
          <w:lang w:val="en-GB"/>
        </w:rPr>
        <w:t>, 46, pp. 145–154. Available at: https://doi.org/10.1016/j.healthplace.2017.05.007.</w:t>
      </w:r>
    </w:p>
    <w:p w14:paraId="49303CE3" w14:textId="77777777" w:rsidR="0081508E" w:rsidRPr="009A4522" w:rsidRDefault="0081508E" w:rsidP="005D7515">
      <w:pPr>
        <w:pStyle w:val="Bibliography"/>
        <w:jc w:val="both"/>
        <w:rPr>
          <w:rFonts w:ascii="Calibri" w:hAnsi="Calibri" w:cs="Calibri"/>
          <w:lang w:val="en-GB"/>
        </w:rPr>
      </w:pPr>
      <w:r w:rsidRPr="009A4522">
        <w:rPr>
          <w:rFonts w:ascii="Calibri" w:hAnsi="Calibri" w:cs="Calibri"/>
          <w:lang w:val="en-GB"/>
        </w:rPr>
        <w:t xml:space="preserve">Subiza-Pérez, M., Vozmediano, L. and San Juan, C. (2019) ‘Pretest-posttest field studies on psychological restoration: a descriptive review and reflections for the future’, </w:t>
      </w:r>
      <w:r w:rsidRPr="009A4522">
        <w:rPr>
          <w:rFonts w:ascii="Calibri" w:hAnsi="Calibri" w:cs="Calibri"/>
          <w:i/>
          <w:iCs/>
          <w:lang w:val="en-GB"/>
        </w:rPr>
        <w:t>Landscape Research</w:t>
      </w:r>
      <w:r w:rsidRPr="009A4522">
        <w:rPr>
          <w:rFonts w:ascii="Calibri" w:hAnsi="Calibri" w:cs="Calibri"/>
          <w:lang w:val="en-GB"/>
        </w:rPr>
        <w:t>, 44(4), pp. 493–505. Available at: https://doi.org/10.1080/01426397.2018.1493443.</w:t>
      </w:r>
    </w:p>
    <w:p w14:paraId="5A9CBB16" w14:textId="77777777" w:rsidR="0081508E" w:rsidRPr="009A4522" w:rsidRDefault="0081508E" w:rsidP="005D7515">
      <w:pPr>
        <w:pStyle w:val="Bibliography"/>
        <w:jc w:val="both"/>
        <w:rPr>
          <w:rFonts w:ascii="Calibri" w:hAnsi="Calibri" w:cs="Calibri"/>
          <w:lang w:val="en-GB"/>
        </w:rPr>
      </w:pPr>
      <w:r w:rsidRPr="009A4522">
        <w:rPr>
          <w:rFonts w:ascii="Calibri" w:hAnsi="Calibri" w:cs="Calibri"/>
          <w:lang w:val="en-GB"/>
        </w:rPr>
        <w:t xml:space="preserve">Sun, Y. </w:t>
      </w:r>
      <w:r w:rsidRPr="009A4522">
        <w:rPr>
          <w:rFonts w:ascii="Calibri" w:hAnsi="Calibri" w:cs="Calibri"/>
          <w:i/>
          <w:iCs/>
          <w:lang w:val="en-GB"/>
        </w:rPr>
        <w:t>et al.</w:t>
      </w:r>
      <w:r w:rsidRPr="009A4522">
        <w:rPr>
          <w:rFonts w:ascii="Calibri" w:hAnsi="Calibri" w:cs="Calibri"/>
          <w:lang w:val="en-GB"/>
        </w:rPr>
        <w:t xml:space="preserve"> (2023) ‘Physiological and affective responses to green space virtual reality among pregnant women’, </w:t>
      </w:r>
      <w:r w:rsidRPr="009A4522">
        <w:rPr>
          <w:rFonts w:ascii="Calibri" w:hAnsi="Calibri" w:cs="Calibri"/>
          <w:i/>
          <w:iCs/>
          <w:lang w:val="en-GB"/>
        </w:rPr>
        <w:t>Environmental Research</w:t>
      </w:r>
      <w:r w:rsidRPr="009A4522">
        <w:rPr>
          <w:rFonts w:ascii="Calibri" w:hAnsi="Calibri" w:cs="Calibri"/>
          <w:lang w:val="en-GB"/>
        </w:rPr>
        <w:t>, 216, p. 114499. Available at: https://doi.org/10.1016/j.envres.2022.114499.</w:t>
      </w:r>
    </w:p>
    <w:p w14:paraId="49C2270A" w14:textId="77777777" w:rsidR="0081508E" w:rsidRPr="009A4522" w:rsidRDefault="0081508E" w:rsidP="005D7515">
      <w:pPr>
        <w:pStyle w:val="Bibliography"/>
        <w:jc w:val="both"/>
        <w:rPr>
          <w:rFonts w:ascii="Calibri" w:hAnsi="Calibri" w:cs="Calibri"/>
          <w:lang w:val="en-GB"/>
        </w:rPr>
      </w:pPr>
      <w:r w:rsidRPr="009A4522">
        <w:rPr>
          <w:rFonts w:ascii="Calibri" w:hAnsi="Calibri" w:cs="Calibri"/>
          <w:lang w:val="en-GB"/>
        </w:rPr>
        <w:t xml:space="preserve">Thompson, E.R. (2007) ‘Development and validation of an internationally reliable short-form of the Positive and Negative Affect Schedule (PANAS)’, </w:t>
      </w:r>
      <w:r w:rsidRPr="009A4522">
        <w:rPr>
          <w:rFonts w:ascii="Calibri" w:hAnsi="Calibri" w:cs="Calibri"/>
          <w:i/>
          <w:iCs/>
          <w:lang w:val="en-GB"/>
        </w:rPr>
        <w:t>Journal of Cross-Cultural Psychology</w:t>
      </w:r>
      <w:r w:rsidRPr="009A4522">
        <w:rPr>
          <w:rFonts w:ascii="Calibri" w:hAnsi="Calibri" w:cs="Calibri"/>
          <w:lang w:val="en-GB"/>
        </w:rPr>
        <w:t>, 38(2), pp. 227–242. Available at: https://doi.org/10.1177/0022022106297301.</w:t>
      </w:r>
    </w:p>
    <w:p w14:paraId="386081A0" w14:textId="77777777" w:rsidR="0081508E" w:rsidRPr="009A4522" w:rsidRDefault="0081508E" w:rsidP="005D7515">
      <w:pPr>
        <w:pStyle w:val="Bibliography"/>
        <w:jc w:val="both"/>
        <w:rPr>
          <w:rFonts w:ascii="Calibri" w:hAnsi="Calibri" w:cs="Calibri"/>
          <w:lang w:val="en-GB"/>
        </w:rPr>
      </w:pPr>
      <w:r w:rsidRPr="009A4522">
        <w:rPr>
          <w:rFonts w:ascii="Calibri" w:hAnsi="Calibri" w:cs="Calibri"/>
          <w:lang w:val="en-GB"/>
        </w:rPr>
        <w:lastRenderedPageBreak/>
        <w:t xml:space="preserve">Ulrich, R.S. (1983) ‘Aesthetic and affective response to natural environment’, in I. Altman and J. Wohlwill (eds) </w:t>
      </w:r>
      <w:r w:rsidRPr="009A4522">
        <w:rPr>
          <w:rFonts w:ascii="Calibri" w:hAnsi="Calibri" w:cs="Calibri"/>
          <w:i/>
          <w:iCs/>
          <w:lang w:val="en-GB"/>
        </w:rPr>
        <w:t>Behavior and the natural environment</w:t>
      </w:r>
      <w:r w:rsidRPr="009A4522">
        <w:rPr>
          <w:rFonts w:ascii="Calibri" w:hAnsi="Calibri" w:cs="Calibri"/>
          <w:lang w:val="en-GB"/>
        </w:rPr>
        <w:t>. New York: Springer, pp. 85–125.</w:t>
      </w:r>
    </w:p>
    <w:p w14:paraId="6959AC8B" w14:textId="77777777" w:rsidR="0081508E" w:rsidRPr="009A4522" w:rsidRDefault="0081508E" w:rsidP="005D7515">
      <w:pPr>
        <w:pStyle w:val="Bibliography"/>
        <w:jc w:val="both"/>
        <w:rPr>
          <w:rFonts w:ascii="Calibri" w:hAnsi="Calibri" w:cs="Calibri"/>
          <w:lang w:val="en-GB"/>
        </w:rPr>
      </w:pPr>
      <w:r w:rsidRPr="009A4522">
        <w:rPr>
          <w:rFonts w:ascii="Calibri" w:hAnsi="Calibri" w:cs="Calibri"/>
          <w:lang w:val="en-GB"/>
        </w:rPr>
        <w:t xml:space="preserve">Ulrich, R.S. </w:t>
      </w:r>
      <w:r w:rsidRPr="009A4522">
        <w:rPr>
          <w:rFonts w:ascii="Calibri" w:hAnsi="Calibri" w:cs="Calibri"/>
          <w:i/>
          <w:iCs/>
          <w:lang w:val="en-GB"/>
        </w:rPr>
        <w:t>et al.</w:t>
      </w:r>
      <w:r w:rsidRPr="009A4522">
        <w:rPr>
          <w:rFonts w:ascii="Calibri" w:hAnsi="Calibri" w:cs="Calibri"/>
          <w:lang w:val="en-GB"/>
        </w:rPr>
        <w:t xml:space="preserve"> (1991) ‘Stress recovery during exposure to natural and urban environments’, </w:t>
      </w:r>
      <w:r w:rsidRPr="009A4522">
        <w:rPr>
          <w:rFonts w:ascii="Calibri" w:hAnsi="Calibri" w:cs="Calibri"/>
          <w:i/>
          <w:iCs/>
          <w:lang w:val="en-GB"/>
        </w:rPr>
        <w:t>Journal of Environmental Psychology</w:t>
      </w:r>
      <w:r w:rsidRPr="009A4522">
        <w:rPr>
          <w:rFonts w:ascii="Calibri" w:hAnsi="Calibri" w:cs="Calibri"/>
          <w:lang w:val="en-GB"/>
        </w:rPr>
        <w:t>, 11(3), pp. 201–230. Available at: https://doi.org/10.1016/S0272-4944(05)80184-7.</w:t>
      </w:r>
    </w:p>
    <w:p w14:paraId="303D2D09" w14:textId="77777777" w:rsidR="0081508E" w:rsidRPr="009A4522" w:rsidRDefault="0081508E" w:rsidP="005D7515">
      <w:pPr>
        <w:pStyle w:val="Bibliography"/>
        <w:jc w:val="both"/>
        <w:rPr>
          <w:rFonts w:ascii="Calibri" w:hAnsi="Calibri" w:cs="Calibri"/>
          <w:lang w:val="en-GB"/>
        </w:rPr>
      </w:pPr>
      <w:r w:rsidRPr="009A4522">
        <w:rPr>
          <w:rFonts w:ascii="Calibri" w:hAnsi="Calibri" w:cs="Calibri"/>
          <w:lang w:val="en-GB"/>
        </w:rPr>
        <w:t>United Nations (1992) ‘Convention on Biological Diversity’. United Nations.</w:t>
      </w:r>
    </w:p>
    <w:p w14:paraId="35F57242" w14:textId="77777777" w:rsidR="0081508E" w:rsidRPr="009A4522" w:rsidRDefault="0081508E" w:rsidP="005D7515">
      <w:pPr>
        <w:pStyle w:val="Bibliography"/>
        <w:jc w:val="both"/>
        <w:rPr>
          <w:rFonts w:ascii="Calibri" w:hAnsi="Calibri" w:cs="Calibri"/>
          <w:lang w:val="en-GB"/>
        </w:rPr>
      </w:pPr>
      <w:r w:rsidRPr="009A4522">
        <w:rPr>
          <w:rFonts w:ascii="Calibri" w:hAnsi="Calibri" w:cs="Calibri"/>
          <w:lang w:val="en-GB"/>
        </w:rPr>
        <w:t xml:space="preserve">Van Den Berg, A.E., Jorgensen, A. and Wilson, E.R. (2014) ‘Evaluating restoration in urban green spaces: Does setting type make a difference?’, </w:t>
      </w:r>
      <w:r w:rsidRPr="009A4522">
        <w:rPr>
          <w:rFonts w:ascii="Calibri" w:hAnsi="Calibri" w:cs="Calibri"/>
          <w:i/>
          <w:iCs/>
          <w:lang w:val="en-GB"/>
        </w:rPr>
        <w:t>Landscape and Urban Planning</w:t>
      </w:r>
      <w:r w:rsidRPr="009A4522">
        <w:rPr>
          <w:rFonts w:ascii="Calibri" w:hAnsi="Calibri" w:cs="Calibri"/>
          <w:lang w:val="en-GB"/>
        </w:rPr>
        <w:t>, 127(C), pp. 173–181. Available at: https://doi.org/10.1016/j.landurbplan.2014.04.012.</w:t>
      </w:r>
    </w:p>
    <w:p w14:paraId="242D2C77" w14:textId="77777777" w:rsidR="0081508E" w:rsidRPr="009A4522" w:rsidRDefault="0081508E" w:rsidP="005D7515">
      <w:pPr>
        <w:pStyle w:val="Bibliography"/>
        <w:jc w:val="both"/>
        <w:rPr>
          <w:rFonts w:ascii="Calibri" w:hAnsi="Calibri" w:cs="Calibri"/>
          <w:lang w:val="en-GB"/>
        </w:rPr>
      </w:pPr>
      <w:r w:rsidRPr="009A4522">
        <w:rPr>
          <w:rFonts w:ascii="Calibri" w:hAnsi="Calibri" w:cs="Calibri"/>
          <w:lang w:val="en-GB"/>
        </w:rPr>
        <w:t xml:space="preserve">Van Den Bogerd, N. </w:t>
      </w:r>
      <w:r w:rsidRPr="009A4522">
        <w:rPr>
          <w:rFonts w:ascii="Calibri" w:hAnsi="Calibri" w:cs="Calibri"/>
          <w:i/>
          <w:iCs/>
          <w:lang w:val="en-GB"/>
        </w:rPr>
        <w:t>et al.</w:t>
      </w:r>
      <w:r w:rsidRPr="009A4522">
        <w:rPr>
          <w:rFonts w:ascii="Calibri" w:hAnsi="Calibri" w:cs="Calibri"/>
          <w:lang w:val="en-GB"/>
        </w:rPr>
        <w:t xml:space="preserve"> (2018) ‘Greenery in the university environment: Students’ preferences and perceived restoration likelihood’, </w:t>
      </w:r>
      <w:r w:rsidRPr="009A4522">
        <w:rPr>
          <w:rFonts w:ascii="Calibri" w:hAnsi="Calibri" w:cs="Calibri"/>
          <w:i/>
          <w:iCs/>
          <w:lang w:val="en-GB"/>
        </w:rPr>
        <w:t>PLoS ONE</w:t>
      </w:r>
      <w:r w:rsidRPr="009A4522">
        <w:rPr>
          <w:rFonts w:ascii="Calibri" w:hAnsi="Calibri" w:cs="Calibri"/>
          <w:lang w:val="en-GB"/>
        </w:rPr>
        <w:t>, 13(2). Available at: https://doi.org/10.1371/journal.pone.0192429.</w:t>
      </w:r>
    </w:p>
    <w:p w14:paraId="740F8694" w14:textId="77777777" w:rsidR="0081508E" w:rsidRPr="009A4522" w:rsidRDefault="0081508E" w:rsidP="005D7515">
      <w:pPr>
        <w:pStyle w:val="Bibliography"/>
        <w:jc w:val="both"/>
        <w:rPr>
          <w:rFonts w:ascii="Calibri" w:hAnsi="Calibri" w:cs="Calibri"/>
          <w:lang w:val="en-GB"/>
        </w:rPr>
      </w:pPr>
      <w:r w:rsidRPr="009A4522">
        <w:rPr>
          <w:rFonts w:ascii="Calibri" w:hAnsi="Calibri" w:cs="Calibri"/>
          <w:lang w:val="en-GB"/>
        </w:rPr>
        <w:t>Watson, D. and Clark, L.A. (1994) ‘The PANAS-X Manual for the Positive and Negative Affect Schedule - Expanded Form’.</w:t>
      </w:r>
    </w:p>
    <w:p w14:paraId="12AAC232" w14:textId="77777777" w:rsidR="0081508E" w:rsidRPr="009A4522" w:rsidRDefault="0081508E" w:rsidP="005D7515">
      <w:pPr>
        <w:pStyle w:val="Bibliography"/>
        <w:jc w:val="both"/>
        <w:rPr>
          <w:rFonts w:ascii="Calibri" w:hAnsi="Calibri" w:cs="Calibri"/>
          <w:lang w:val="en-GB"/>
        </w:rPr>
      </w:pPr>
      <w:r w:rsidRPr="009A4522">
        <w:rPr>
          <w:rFonts w:ascii="Calibri" w:hAnsi="Calibri" w:cs="Calibri"/>
          <w:lang w:val="en-GB"/>
        </w:rPr>
        <w:t xml:space="preserve">Wolf, L.J. </w:t>
      </w:r>
      <w:r w:rsidRPr="009A4522">
        <w:rPr>
          <w:rFonts w:ascii="Calibri" w:hAnsi="Calibri" w:cs="Calibri"/>
          <w:i/>
          <w:iCs/>
          <w:lang w:val="en-GB"/>
        </w:rPr>
        <w:t>et al.</w:t>
      </w:r>
      <w:r w:rsidRPr="009A4522">
        <w:rPr>
          <w:rFonts w:ascii="Calibri" w:hAnsi="Calibri" w:cs="Calibri"/>
          <w:lang w:val="en-GB"/>
        </w:rPr>
        <w:t xml:space="preserve"> (2017) ‘Is Variety the Spice of Life? An Experimental Investigation into the Effects of Species Richness on Self-Reported Mental Well-Being.’, </w:t>
      </w:r>
      <w:r w:rsidRPr="009A4522">
        <w:rPr>
          <w:rFonts w:ascii="Calibri" w:hAnsi="Calibri" w:cs="Calibri"/>
          <w:i/>
          <w:iCs/>
          <w:lang w:val="en-GB"/>
        </w:rPr>
        <w:t>PloS one</w:t>
      </w:r>
      <w:r w:rsidRPr="009A4522">
        <w:rPr>
          <w:rFonts w:ascii="Calibri" w:hAnsi="Calibri" w:cs="Calibri"/>
          <w:lang w:val="en-GB"/>
        </w:rPr>
        <w:t>. Edited by L.J. Wolf, 12(1), pp. e0170225–e0170225. Available at: https://doi.org/10.1371/journal.pone.0170225.</w:t>
      </w:r>
    </w:p>
    <w:p w14:paraId="3BE8B754" w14:textId="77777777" w:rsidR="0081508E" w:rsidRPr="009A4522" w:rsidRDefault="0081508E" w:rsidP="005D7515">
      <w:pPr>
        <w:pStyle w:val="Bibliography"/>
        <w:jc w:val="both"/>
        <w:rPr>
          <w:rFonts w:ascii="Calibri" w:hAnsi="Calibri" w:cs="Calibri"/>
          <w:lang w:val="en-GB"/>
        </w:rPr>
      </w:pPr>
      <w:r w:rsidRPr="009A4522">
        <w:rPr>
          <w:rFonts w:ascii="Calibri" w:hAnsi="Calibri" w:cs="Calibri"/>
          <w:lang w:val="en-GB"/>
        </w:rPr>
        <w:t xml:space="preserve">Wood, E. </w:t>
      </w:r>
      <w:r w:rsidRPr="009A4522">
        <w:rPr>
          <w:rFonts w:ascii="Calibri" w:hAnsi="Calibri" w:cs="Calibri"/>
          <w:i/>
          <w:iCs/>
          <w:lang w:val="en-GB"/>
        </w:rPr>
        <w:t>et al.</w:t>
      </w:r>
      <w:r w:rsidRPr="009A4522">
        <w:rPr>
          <w:rFonts w:ascii="Calibri" w:hAnsi="Calibri" w:cs="Calibri"/>
          <w:lang w:val="en-GB"/>
        </w:rPr>
        <w:t xml:space="preserve"> (2018) ‘Not all green space is created equal: Biodiversity predicts psychological restorative benefits from urban green space’, </w:t>
      </w:r>
      <w:r w:rsidRPr="009A4522">
        <w:rPr>
          <w:rFonts w:ascii="Calibri" w:hAnsi="Calibri" w:cs="Calibri"/>
          <w:i/>
          <w:iCs/>
          <w:lang w:val="en-GB"/>
        </w:rPr>
        <w:t>Frontiers in Psychology</w:t>
      </w:r>
      <w:r w:rsidRPr="009A4522">
        <w:rPr>
          <w:rFonts w:ascii="Calibri" w:hAnsi="Calibri" w:cs="Calibri"/>
          <w:lang w:val="en-GB"/>
        </w:rPr>
        <w:t>, 9(NOV). Available at: https://doi.org/10.3389/fpsyg.2018.02320.</w:t>
      </w:r>
    </w:p>
    <w:p w14:paraId="69CDF013" w14:textId="77777777" w:rsidR="0081508E" w:rsidRPr="009A4522" w:rsidRDefault="0081508E" w:rsidP="005D7515">
      <w:pPr>
        <w:pStyle w:val="Bibliography"/>
        <w:jc w:val="both"/>
        <w:rPr>
          <w:rFonts w:ascii="Calibri" w:hAnsi="Calibri" w:cs="Calibri"/>
          <w:lang w:val="en-GB"/>
        </w:rPr>
      </w:pPr>
      <w:r w:rsidRPr="009A4522">
        <w:rPr>
          <w:rFonts w:ascii="Calibri" w:hAnsi="Calibri" w:cs="Calibri"/>
          <w:lang w:val="en-GB"/>
        </w:rPr>
        <w:t xml:space="preserve">Yao, W., Zhang, X. and Gong, Q. (2021) ‘The effect of exposure to the natural environment on stress reduction: A meta-analysis’, </w:t>
      </w:r>
      <w:r w:rsidRPr="009A4522">
        <w:rPr>
          <w:rFonts w:ascii="Calibri" w:hAnsi="Calibri" w:cs="Calibri"/>
          <w:i/>
          <w:iCs/>
          <w:lang w:val="en-GB"/>
        </w:rPr>
        <w:t>Urban Forestry &amp; Urban Greening</w:t>
      </w:r>
      <w:r w:rsidRPr="009A4522">
        <w:rPr>
          <w:rFonts w:ascii="Calibri" w:hAnsi="Calibri" w:cs="Calibri"/>
          <w:lang w:val="en-GB"/>
        </w:rPr>
        <w:t>, 57, pp. 1–12. Available at: https://doi.org/10.1016/j.ufug.2020.126932.</w:t>
      </w:r>
    </w:p>
    <w:p w14:paraId="1C7FEB96" w14:textId="77777777" w:rsidR="0081508E" w:rsidRPr="009A4522" w:rsidRDefault="0081508E" w:rsidP="005D7515">
      <w:pPr>
        <w:pStyle w:val="Bibliography"/>
        <w:jc w:val="both"/>
        <w:rPr>
          <w:rFonts w:ascii="Calibri" w:hAnsi="Calibri" w:cs="Calibri"/>
          <w:lang w:val="en-GB"/>
        </w:rPr>
      </w:pPr>
      <w:r w:rsidRPr="009A4522">
        <w:rPr>
          <w:rFonts w:ascii="Calibri" w:hAnsi="Calibri" w:cs="Calibri"/>
          <w:lang w:val="en-GB"/>
        </w:rPr>
        <w:t xml:space="preserve">Zabini, F. </w:t>
      </w:r>
      <w:r w:rsidRPr="009A4522">
        <w:rPr>
          <w:rFonts w:ascii="Calibri" w:hAnsi="Calibri" w:cs="Calibri"/>
          <w:i/>
          <w:iCs/>
          <w:lang w:val="en-GB"/>
        </w:rPr>
        <w:t>et al.</w:t>
      </w:r>
      <w:r w:rsidRPr="009A4522">
        <w:rPr>
          <w:rFonts w:ascii="Calibri" w:hAnsi="Calibri" w:cs="Calibri"/>
          <w:lang w:val="en-GB"/>
        </w:rPr>
        <w:t xml:space="preserve"> (2020) ‘Comparative Study of the Restorative Effects of Forest and Urban Videos during COVID-19 Lockdown: Intrinsic and Benchmark Values’, </w:t>
      </w:r>
      <w:r w:rsidRPr="009A4522">
        <w:rPr>
          <w:rFonts w:ascii="Calibri" w:hAnsi="Calibri" w:cs="Calibri"/>
          <w:i/>
          <w:iCs/>
          <w:lang w:val="en-GB"/>
        </w:rPr>
        <w:t>International Journal of Environmental Research and Public Health</w:t>
      </w:r>
      <w:r w:rsidRPr="009A4522">
        <w:rPr>
          <w:rFonts w:ascii="Calibri" w:hAnsi="Calibri" w:cs="Calibri"/>
          <w:lang w:val="en-GB"/>
        </w:rPr>
        <w:t>, 17(21). Available at: https://doi.org/10.3390/ijerph17218011.</w:t>
      </w:r>
    </w:p>
    <w:p w14:paraId="727D956F" w14:textId="77777777" w:rsidR="0081508E" w:rsidRPr="009A4522" w:rsidRDefault="0081508E" w:rsidP="005D7515">
      <w:pPr>
        <w:pStyle w:val="Bibliography"/>
        <w:jc w:val="both"/>
        <w:rPr>
          <w:rFonts w:ascii="Calibri" w:hAnsi="Calibri" w:cs="Calibri"/>
          <w:lang w:val="en-GB"/>
        </w:rPr>
      </w:pPr>
      <w:r w:rsidRPr="009A4522">
        <w:rPr>
          <w:rFonts w:ascii="Calibri" w:hAnsi="Calibri" w:cs="Calibri"/>
          <w:lang w:val="en-GB"/>
        </w:rPr>
        <w:t xml:space="preserve">Zhang, L., Dempsey, N. and Cameron, R. (2023) ‘Flowers – Sunshine for the soul! How does floral colour influence preference, feelings of relaxation and positive up-lift?’, </w:t>
      </w:r>
      <w:r w:rsidRPr="009A4522">
        <w:rPr>
          <w:rFonts w:ascii="Calibri" w:hAnsi="Calibri" w:cs="Calibri"/>
          <w:i/>
          <w:iCs/>
          <w:lang w:val="en-GB"/>
        </w:rPr>
        <w:t>Urban Forestry &amp; Urban Greening</w:t>
      </w:r>
      <w:r w:rsidRPr="009A4522">
        <w:rPr>
          <w:rFonts w:ascii="Calibri" w:hAnsi="Calibri" w:cs="Calibri"/>
          <w:lang w:val="en-GB"/>
        </w:rPr>
        <w:t>, 79, p. 127795. Available at: https://doi.org/10.1016/j.ufug.2022.127795.</w:t>
      </w:r>
    </w:p>
    <w:p w14:paraId="5DD62B9B" w14:textId="4294AFC2" w:rsidR="00051048" w:rsidRPr="00C05886" w:rsidRDefault="0081508E" w:rsidP="0081508E">
      <w:pPr>
        <w:spacing w:line="276" w:lineRule="auto"/>
      </w:pPr>
      <w:r w:rsidRPr="009A4522">
        <w:fldChar w:fldCharType="end"/>
      </w:r>
    </w:p>
    <w:p w14:paraId="7231A662" w14:textId="77777777" w:rsidR="005F5299" w:rsidRPr="00C05886" w:rsidRDefault="005F5299" w:rsidP="009D36B5"/>
    <w:p w14:paraId="1AF0422F" w14:textId="77777777" w:rsidR="000E3C80" w:rsidRPr="00C05886" w:rsidRDefault="000E3C80" w:rsidP="000E3C80">
      <w:pPr>
        <w:spacing w:line="240" w:lineRule="auto"/>
      </w:pPr>
    </w:p>
    <w:p w14:paraId="0ACAF008" w14:textId="266711BD" w:rsidR="005F3C4C" w:rsidRPr="00C05886" w:rsidRDefault="005F5299" w:rsidP="005F5299">
      <w:pPr>
        <w:spacing w:line="259" w:lineRule="auto"/>
        <w:jc w:val="left"/>
      </w:pPr>
      <w:r w:rsidRPr="00C05886">
        <w:lastRenderedPageBreak/>
        <w:br w:type="page"/>
      </w:r>
    </w:p>
    <w:p w14:paraId="3DC22A5E" w14:textId="2242DC19" w:rsidR="00C12E53" w:rsidRDefault="00B71AD6" w:rsidP="00B71AD6">
      <w:pPr>
        <w:pStyle w:val="Heading1"/>
      </w:pPr>
      <w:bookmarkStart w:id="170" w:name="_Toc179962408"/>
      <w:r w:rsidRPr="00C05886">
        <w:lastRenderedPageBreak/>
        <w:t xml:space="preserve">Chapter </w:t>
      </w:r>
      <w:r w:rsidR="00561079" w:rsidRPr="00C05886">
        <w:t xml:space="preserve">8 </w:t>
      </w:r>
      <w:r w:rsidR="006B3E3B" w:rsidRPr="00C05886">
        <w:br/>
      </w:r>
      <w:r w:rsidR="00C12E53" w:rsidRPr="00C05886">
        <w:t>Summary and conclusion</w:t>
      </w:r>
      <w:bookmarkEnd w:id="170"/>
    </w:p>
    <w:p w14:paraId="5D9E8AEE" w14:textId="275F8AEF" w:rsidR="00C2710D" w:rsidRPr="00C2710D" w:rsidRDefault="00C2710D" w:rsidP="005D7515">
      <w:r w:rsidRPr="00C05886">
        <w:t xml:space="preserve">As with every research project, this PhD began with several research questions. These have been addressed by the paper chapters, some multiple times. Therefore, this summary </w:t>
      </w:r>
      <w:r>
        <w:t>attempts</w:t>
      </w:r>
      <w:r w:rsidRPr="00C05886">
        <w:t xml:space="preserve"> to bring the findings together </w:t>
      </w:r>
      <w:r>
        <w:t>and fit them into</w:t>
      </w:r>
      <w:r w:rsidRPr="00C05886">
        <w:t xml:space="preserve"> a broader perspective. After the summary, </w:t>
      </w:r>
      <w:r>
        <w:t>a critical reflection on chapters 4 to 6 is presented. These chapters were either submitted for publication or based on a published dataset</w:t>
      </w:r>
      <w:r w:rsidR="00E61848">
        <w:t> and</w:t>
      </w:r>
      <w:r>
        <w:t>, therefore</w:t>
      </w:r>
      <w:r w:rsidR="00E61848">
        <w:t>,</w:t>
      </w:r>
      <w:r>
        <w:t xml:space="preserve"> underwent an editing process which did not allow enough space to critically discuss their limitations. This section addresses such </w:t>
      </w:r>
      <w:r w:rsidR="00E61848">
        <w:t>a </w:t>
      </w:r>
      <w:r>
        <w:t xml:space="preserve">gap, providing further discussion and references. </w:t>
      </w:r>
      <w:r w:rsidRPr="00C05886">
        <w:t>Some further space will be given to strengths and limitations found across the four papers.</w:t>
      </w:r>
      <w:r>
        <w:t xml:space="preserve"> Following, </w:t>
      </w:r>
      <w:r w:rsidRPr="00C05886">
        <w:t xml:space="preserve">the chapter outlines the potential implications for well-being and biodiversity in the real world. Finally, recommendations for future research directions will be </w:t>
      </w:r>
      <w:r>
        <w:t>discussed</w:t>
      </w:r>
      <w:r w:rsidRPr="00C05886">
        <w:t>.</w:t>
      </w:r>
    </w:p>
    <w:p w14:paraId="5CE028EB" w14:textId="4BD633F6" w:rsidR="00C12E53" w:rsidRPr="00C05886" w:rsidRDefault="00C12E53" w:rsidP="00B71AD6">
      <w:pPr>
        <w:pStyle w:val="Heading2"/>
      </w:pPr>
      <w:bookmarkStart w:id="171" w:name="_Toc179962409"/>
      <w:r w:rsidRPr="00C05886">
        <w:t>Summary of the</w:t>
      </w:r>
      <w:r w:rsidR="00C2710D">
        <w:t xml:space="preserve"> findings</w:t>
      </w:r>
      <w:bookmarkEnd w:id="171"/>
    </w:p>
    <w:p w14:paraId="643E88BF" w14:textId="3ECBC2BB" w:rsidR="00C12E53" w:rsidRPr="00C05886" w:rsidRDefault="00C2710D" w:rsidP="00B71AD6">
      <w:pPr>
        <w:pStyle w:val="Heading3"/>
      </w:pPr>
      <w:bookmarkStart w:id="172" w:name="_Toc179962410"/>
      <w:r>
        <w:t>I</w:t>
      </w:r>
      <w:r w:rsidR="00C12E53" w:rsidRPr="00C05886">
        <w:t xml:space="preserve">ncreasing (plant) species richness of a green space </w:t>
      </w:r>
      <w:r>
        <w:t>d</w:t>
      </w:r>
      <w:r w:rsidR="001B29FC">
        <w:t>id</w:t>
      </w:r>
      <w:r>
        <w:t xml:space="preserve"> not seem to </w:t>
      </w:r>
      <w:r w:rsidR="00C12E53" w:rsidRPr="00C05886">
        <w:t>also increase the mental well-being it can provide</w:t>
      </w:r>
      <w:r>
        <w:t>.</w:t>
      </w:r>
      <w:bookmarkEnd w:id="172"/>
    </w:p>
    <w:p w14:paraId="4E10F502" w14:textId="55601551" w:rsidR="00C12E53" w:rsidRPr="00C05886" w:rsidRDefault="00C12E53" w:rsidP="003D50D7">
      <w:r w:rsidRPr="00C05886">
        <w:t xml:space="preserve">Chapters 4 and 7 showed that the presence or the absence of </w:t>
      </w:r>
      <w:r w:rsidR="00C2710D">
        <w:t>species can</w:t>
      </w:r>
      <w:r w:rsidR="00C2710D" w:rsidRPr="00C05886">
        <w:t xml:space="preserve"> </w:t>
      </w:r>
      <w:r w:rsidRPr="00C05886">
        <w:t xml:space="preserve">make a difference in the well-being reported by the participants. In Chapter 4, the subjective well-being </w:t>
      </w:r>
      <w:r w:rsidR="00C2710D">
        <w:t>was associated</w:t>
      </w:r>
      <w:r w:rsidRPr="00C05886">
        <w:t xml:space="preserve"> with the </w:t>
      </w:r>
      <w:r w:rsidR="00C2710D">
        <w:t>number of species</w:t>
      </w:r>
      <w:r w:rsidR="00C2710D" w:rsidRPr="00C05886">
        <w:t xml:space="preserve"> </w:t>
      </w:r>
      <w:r w:rsidRPr="00C05886">
        <w:t>found in each photo, while in Chapter 7 recove</w:t>
      </w:r>
      <w:r w:rsidR="000270A8" w:rsidRPr="00C05886">
        <w:t>ring</w:t>
      </w:r>
      <w:r w:rsidRPr="00C05886">
        <w:t xml:space="preserve"> from stress in the car park</w:t>
      </w:r>
      <w:r w:rsidR="000270A8" w:rsidRPr="00C05886">
        <w:t xml:space="preserve"> had a less pronounced effect than an equivalent recovery in a green park</w:t>
      </w:r>
      <w:r w:rsidRPr="00C05886">
        <w:t xml:space="preserve">. On the other hand, chapters 5 and 6 showed that there was a negligible difference between higher and lower </w:t>
      </w:r>
      <w:r w:rsidR="00EE0615">
        <w:t>species richness</w:t>
      </w:r>
      <w:r w:rsidR="00EE0615" w:rsidRPr="00C05886">
        <w:t xml:space="preserve"> </w:t>
      </w:r>
      <w:r w:rsidRPr="00C05886">
        <w:t>conditions, even when the number of species was doubled and when controlling for other factors linked to the emotional response (e.g. flower colours). Therefore, it could be said that biodiversity showed a great effect when comparing none to some, while after a certain increase in the number of species the effect was not observable anymore.</w:t>
      </w:r>
    </w:p>
    <w:p w14:paraId="7B941D99" w14:textId="46F87B83" w:rsidR="00C12E53" w:rsidRPr="00C05886" w:rsidRDefault="00C12E53" w:rsidP="00C45FA4">
      <w:r w:rsidRPr="00C05886">
        <w:t xml:space="preserve">The paper-chapters discussed several explanations for this, including the limitations of virtual exposure and the engagement of online participants. </w:t>
      </w:r>
      <w:r w:rsidRPr="00C05886">
        <w:fldChar w:fldCharType="begin"/>
      </w:r>
      <w:r w:rsidRPr="00C05886">
        <w:instrText xml:space="preserve"> ADDIN ZOTERO_ITEM CSL_CITATION {"citationID":"OdNbUjqt","properties":{"formattedCitation":"(Guyot {\\i{}et al.}, 2023)","plainCitation":"(Guyot et al., 2023)","dontUpdate":true,"noteIndex":0},"citationItems":[{"id":9991,"uris":["http://zotero.org/users/10951124/items/PUUXUMAR"],"itemData":{"id":9991,"type":"article-journal","abstract":"Abstract\n            \n              Background\n              This paper aims at analysing the impact of partial non-response in the association between urban environment and mental health in Brussels. The potential threats of the partial non-response are biases in survey estimates and statistics. The effect of non-response on statistical associations is often overlooked and evidence in the research literature is lacking.\n            \n            \n              Methods\n              Data from the Belgian Health Interview Survey 2008 and 2013 were used. The association between non-response and potential determinants was explored through logistic regressions.\n            \n            \n              Results\n              Participants with low income, low educational levels, lower or higher age or in households with children were less likely to respond. When adjusting for socio-economic variables, non-response was higher in areas which are less vegetated, more polluted or more urbanised. Because the determinants of non-response and depressive disorders were similar, it is reasonable to assume that there will be more people with mental health problems among the non-respondents. And because more non-responses were found in low vegetation areas, the protective association between green spaces and mental health may be underestimated.\n            \n            \n              Conclusion\n              Our capacity to measure the association between the urban environment and health is affected by non-response in surveys. The non-random spatial and socio-economic distribution of this bias affects the research findings.","container-title":"Archives of Public Health","DOI":"10.1186/s13690-023-01118-y","ISSN":"2049-3258","issue":"1","journalAbbreviation":"Arch Public Health","language":"en","page":"129","source":"DOI.org (Crossref)","title":"Non-response bias in the analysis of the association between mental health and the urban environment: a cross-sectional study in Brussels, Belgium","title-short":"Non-response bias in the analysis of the association between mental health and the urban environment","volume":"81","author":[{"family":"Guyot","given":"Madeleine"},{"family":"Pelgrims","given":"Ingrid"},{"family":"Aerts","given":"Raf"},{"family":"Keune","given":"Hans"},{"family":"Remmen","given":"Roy"},{"family":"De Clercq","given":"Eva M."},{"family":"Thomas","given":"Isabelle"},{"family":"Vanwambeke","given":"Sophie O."}],"issued":{"date-parts":[["2023",7,7]]}}}],"schema":"https://github.com/citation-style-language/schema/raw/master/csl-citation.json"} </w:instrText>
      </w:r>
      <w:r w:rsidRPr="00C05886">
        <w:fldChar w:fldCharType="separate"/>
      </w:r>
      <w:r w:rsidRPr="00C05886">
        <w:rPr>
          <w:rFonts w:ascii="Calibri" w:hAnsi="Calibri" w:cs="Calibri"/>
          <w:szCs w:val="24"/>
        </w:rPr>
        <w:t xml:space="preserve">Guyot </w:t>
      </w:r>
      <w:r w:rsidRPr="00C05886">
        <w:rPr>
          <w:rFonts w:ascii="Calibri" w:hAnsi="Calibri" w:cs="Calibri"/>
          <w:i/>
          <w:iCs/>
          <w:szCs w:val="24"/>
        </w:rPr>
        <w:t>et al.</w:t>
      </w:r>
      <w:r w:rsidRPr="00C05886">
        <w:rPr>
          <w:rFonts w:ascii="Calibri" w:hAnsi="Calibri" w:cs="Calibri"/>
          <w:szCs w:val="24"/>
        </w:rPr>
        <w:t xml:space="preserve"> (2023)</w:t>
      </w:r>
      <w:r w:rsidRPr="00C05886">
        <w:fldChar w:fldCharType="end"/>
      </w:r>
      <w:r w:rsidRPr="00C05886">
        <w:t xml:space="preserve">, having found a similar no-effect of urban green on mental health in their analysis of a large survey, suggested another explanation. They argued the survey represented those participants who already had a </w:t>
      </w:r>
      <w:r w:rsidR="00EE0615">
        <w:t>good level of</w:t>
      </w:r>
      <w:r w:rsidR="00EE0615" w:rsidRPr="00C05886">
        <w:t xml:space="preserve"> </w:t>
      </w:r>
      <w:r w:rsidRPr="00C05886">
        <w:t xml:space="preserve">well-being (e.g. inferred by the fact they </w:t>
      </w:r>
      <w:r w:rsidR="00E742A0" w:rsidRPr="00C05886">
        <w:t>could afford</w:t>
      </w:r>
      <w:r w:rsidRPr="00C05886">
        <w:t xml:space="preserve"> access to a computer and the internet) so </w:t>
      </w:r>
      <w:r w:rsidRPr="00C05886">
        <w:lastRenderedPageBreak/>
        <w:t xml:space="preserve">the response would be biased towards “no effect” because these individuals would benefit from green spaces only to a certain point. Vice-versa, </w:t>
      </w:r>
      <w:r w:rsidR="00AC5B06">
        <w:t>groups like</w:t>
      </w:r>
      <w:r w:rsidRPr="00C05886">
        <w:t xml:space="preserve"> the elderly and </w:t>
      </w:r>
      <w:r w:rsidR="00AC5B06">
        <w:t xml:space="preserve">those on </w:t>
      </w:r>
      <w:r w:rsidR="00E61848">
        <w:t>lower incomes</w:t>
      </w:r>
      <w:r w:rsidRPr="00C05886">
        <w:t xml:space="preserve"> </w:t>
      </w:r>
      <w:r w:rsidR="00E61848">
        <w:t>seem</w:t>
      </w:r>
      <w:r w:rsidRPr="00C05886">
        <w:t xml:space="preserve"> generally not well represented in survey studies, despite being those who would need the most access to green spaces and, theoretically, receive the most benefits from it. </w:t>
      </w:r>
      <w:r w:rsidR="00AC5B06">
        <w:t xml:space="preserve">Although this explanation </w:t>
      </w:r>
      <w:r w:rsidR="00AC5B06" w:rsidRPr="00C05886">
        <w:fldChar w:fldCharType="begin"/>
      </w:r>
      <w:r w:rsidR="00AC5B06">
        <w:instrText xml:space="preserve"> ADDIN ZOTERO_ITEM CSL_CITATION {"citationID":"f80YwCzV","properties":{"formattedCitation":"(Guyot {\\i{}et al.}, 2023)","plainCitation":"(Guyot et al., 2023)","dontUpdate":true,"noteIndex":0},"citationItems":[{"id":9991,"uris":["http://zotero.org/users/10951124/items/PUUXUMAR"],"itemData":{"id":9991,"type":"article-journal","abstract":"Abstract\n            \n              Background\n              This paper aims at analysing the impact of partial non-response in the association between urban environment and mental health in Brussels. The potential threats of the partial non-response are biases in survey estimates and statistics. The effect of non-response on statistical associations is often overlooked and evidence in the research literature is lacking.\n            \n            \n              Methods\n              Data from the Belgian Health Interview Survey 2008 and 2013 were used. The association between non-response and potential determinants was explored through logistic regressions.\n            \n            \n              Results\n              Participants with low income, low educational levels, lower or higher age or in households with children were less likely to respond. When adjusting for socio-economic variables, non-response was higher in areas which are less vegetated, more polluted or more urbanised. Because the determinants of non-response and depressive disorders were similar, it is reasonable to assume that there will be more people with mental health problems among the non-respondents. And because more non-responses were found in low vegetation areas, the protective association between green spaces and mental health may be underestimated.\n            \n            \n              Conclusion\n              Our capacity to measure the association between the urban environment and health is affected by non-response in surveys. The non-random spatial and socio-economic distribution of this bias affects the research findings.","container-title":"Archives of Public Health","DOI":"10.1186/s13690-023-01118-y","ISSN":"2049-3258","issue":"1","journalAbbreviation":"Arch Public Health","language":"en","page":"129","source":"DOI.org (Crossref)","title":"Non-response bias in the analysis of the association between mental health and the urban environment: a cross-sectional study in Brussels, Belgium","title-short":"Non-response bias in the analysis of the association between mental health and the urban environment","volume":"81","author":[{"family":"Guyot","given":"Madeleine"},{"family":"Pelgrims","given":"Ingrid"},{"family":"Aerts","given":"Raf"},{"family":"Keune","given":"Hans"},{"family":"Remmen","given":"Roy"},{"family":"De Clercq","given":"Eva M."},{"family":"Thomas","given":"Isabelle"},{"family":"Vanwambeke","given":"Sophie O."}],"issued":{"date-parts":[["2023",7,7]]}}}],"schema":"https://github.com/citation-style-language/schema/raw/master/csl-citation.json"} </w:instrText>
      </w:r>
      <w:r w:rsidR="00AC5B06" w:rsidRPr="00C05886">
        <w:fldChar w:fldCharType="separate"/>
      </w:r>
      <w:r w:rsidR="00AC5B06" w:rsidRPr="00C05886">
        <w:rPr>
          <w:rFonts w:ascii="Calibri" w:hAnsi="Calibri" w:cs="Calibri"/>
          <w:szCs w:val="24"/>
        </w:rPr>
        <w:t xml:space="preserve">Guyot </w:t>
      </w:r>
      <w:r w:rsidR="00AC5B06" w:rsidRPr="00C05886">
        <w:rPr>
          <w:rFonts w:ascii="Calibri" w:hAnsi="Calibri" w:cs="Calibri"/>
          <w:i/>
          <w:iCs/>
          <w:szCs w:val="24"/>
        </w:rPr>
        <w:t>et al.</w:t>
      </w:r>
      <w:r w:rsidR="00AC5B06" w:rsidRPr="00C05886">
        <w:rPr>
          <w:rFonts w:ascii="Calibri" w:hAnsi="Calibri" w:cs="Calibri"/>
          <w:szCs w:val="24"/>
        </w:rPr>
        <w:t xml:space="preserve"> (2023)</w:t>
      </w:r>
      <w:r w:rsidR="00AC5B06" w:rsidRPr="00C05886">
        <w:fldChar w:fldCharType="end"/>
      </w:r>
      <w:r w:rsidR="00AC5B06">
        <w:t xml:space="preserve"> is plausible, studies focused on participants aged sixty and over </w:t>
      </w:r>
      <w:r w:rsidR="00AC5B06">
        <w:fldChar w:fldCharType="begin"/>
      </w:r>
      <w:r w:rsidR="00C873DA">
        <w:instrText xml:space="preserve"> ADDIN ZOTERO_ITEM CSL_CITATION {"citationID":"LKJcUr4W","properties":{"formattedCitation":"(Lee and Lee, 2014; Roe {\\i{}et al.}, 2020)","plainCitation":"(Lee and Lee, 2014; Roe et al., 2020)","dontUpdate":true,"noteIndex":0},"citationItems":[{"id":11412,"uris":["http://zotero.org/users/10951124/items/VKYL7B79"],"itemData":{"id":11412,"type":"article-journal","container-title":"European Journal of Integrative Medicine","DOI":"10.1016/j.eujim.2013.10.006","ISSN":"18763820","issue":"1","journalAbbreviation":"European Journal of Integrative Medicine","language":"en","page":"5-11","source":"DOI.org (Crossref)","title":"Cardiac and pulmonary benefits of forest walking versus city walking in elderly women: A randomised, controlled, open-label trial","title-short":"Cardiac and pulmonary benefits of forest walking versus city walking in elderly women","volume":"6","author":[{"family":"Lee","given":"Jee-Yon"},{"family":"Lee","given":"Duk-Chul"}],"issued":{"date-parts":[["2014",2]]}}},{"id":11413,"uris":["http://zotero.org/users/10951124/items/GLKNX63L"],"itemData":{"id":11413,"type":"article-journal","container-title":"Frontiers in Public Health","DOI":"10.3389/fpubh.2020.575946","ISSN":"2296-2565","journalAbbreviation":"Front. Public Health","page":"575946","source":"DOI.org (Crossref)","title":"The Urban Built Environment, Walking and Mental Health Outcomes Among Older Adults: A Pilot Study","title-short":"The Urban Built Environment, Walking and Mental Health Outcomes Among Older Adults","volume":"8","author":[{"family":"Roe","given":"Jenny"},{"family":"Mondschein","given":"Andrew"},{"family":"Neale","given":"Chris"},{"family":"Barnes","given":"Laura"},{"family":"Boukhechba","given":"Medhi"},{"family":"Lopez","given":"Stephanie"}],"issued":{"date-parts":[["2020",9,23]]}}}],"schema":"https://github.com/citation-style-language/schema/raw/master/csl-citation.json"} </w:instrText>
      </w:r>
      <w:r w:rsidR="00AC5B06">
        <w:fldChar w:fldCharType="separate"/>
      </w:r>
      <w:r w:rsidR="00AC5B06" w:rsidRPr="00AC5B06">
        <w:rPr>
          <w:rFonts w:ascii="Calibri" w:hAnsi="Calibri" w:cs="Calibri"/>
          <w:szCs w:val="24"/>
        </w:rPr>
        <w:t>(</w:t>
      </w:r>
      <w:r w:rsidR="00AC5B06">
        <w:rPr>
          <w:rFonts w:ascii="Calibri" w:hAnsi="Calibri" w:cs="Calibri"/>
          <w:szCs w:val="24"/>
        </w:rPr>
        <w:t xml:space="preserve">e.g. </w:t>
      </w:r>
      <w:r w:rsidR="00AC5B06" w:rsidRPr="00AC5B06">
        <w:rPr>
          <w:rFonts w:ascii="Calibri" w:hAnsi="Calibri" w:cs="Calibri"/>
          <w:szCs w:val="24"/>
        </w:rPr>
        <w:t xml:space="preserve">Lee and Lee, 2014; Roe </w:t>
      </w:r>
      <w:r w:rsidR="00AC5B06" w:rsidRPr="00AC5B06">
        <w:rPr>
          <w:rFonts w:ascii="Calibri" w:hAnsi="Calibri" w:cs="Calibri"/>
          <w:i/>
          <w:iCs/>
          <w:szCs w:val="24"/>
        </w:rPr>
        <w:t>et al.</w:t>
      </w:r>
      <w:r w:rsidR="00AC5B06" w:rsidRPr="00AC5B06">
        <w:rPr>
          <w:rFonts w:ascii="Calibri" w:hAnsi="Calibri" w:cs="Calibri"/>
          <w:szCs w:val="24"/>
        </w:rPr>
        <w:t>, 2020)</w:t>
      </w:r>
      <w:r w:rsidR="00AC5B06">
        <w:fldChar w:fldCharType="end"/>
      </w:r>
      <w:r w:rsidR="00AC5B06">
        <w:t xml:space="preserve"> seem to confirm that an environment with at least some species (i.e. green space) provides more benefits than an environment with few to no species (</w:t>
      </w:r>
      <w:proofErr w:type="spellStart"/>
      <w:r w:rsidR="00AC5B06">
        <w:t>i.e</w:t>
      </w:r>
      <w:proofErr w:type="spellEnd"/>
      <w:r w:rsidR="00AC5B06">
        <w:t xml:space="preserve"> grey space)</w:t>
      </w:r>
      <w:r w:rsidR="00EC6BC6">
        <w:t xml:space="preserve">. However, these studies did not manipulate or </w:t>
      </w:r>
      <w:r w:rsidR="00E61848">
        <w:t>control</w:t>
      </w:r>
      <w:r w:rsidR="00EC6BC6">
        <w:t xml:space="preserve"> the species richness.</w:t>
      </w:r>
    </w:p>
    <w:p w14:paraId="7C40688B" w14:textId="1655A1D1" w:rsidR="00C12E53" w:rsidRPr="00C05886" w:rsidRDefault="00EC6BC6" w:rsidP="003D50D7">
      <w:r>
        <w:t>C</w:t>
      </w:r>
      <w:r w:rsidR="00C12E53" w:rsidRPr="00C05886">
        <w:t xml:space="preserve">onsidering </w:t>
      </w:r>
      <w:r>
        <w:t>the</w:t>
      </w:r>
      <w:r w:rsidRPr="00C05886">
        <w:t xml:space="preserve"> </w:t>
      </w:r>
      <w:r w:rsidR="00C12E53" w:rsidRPr="00C05886">
        <w:t>results</w:t>
      </w:r>
      <w:r>
        <w:t xml:space="preserve"> presented in this thesis</w:t>
      </w:r>
      <w:r w:rsidR="00C12E53" w:rsidRPr="00C05886">
        <w:t xml:space="preserve">, a linear effect of species richness on emotional well-being </w:t>
      </w:r>
      <w:r>
        <w:t>seems to</w:t>
      </w:r>
      <w:r w:rsidRPr="00C05886">
        <w:t xml:space="preserve"> </w:t>
      </w:r>
      <w:r w:rsidR="00C12E53" w:rsidRPr="00C05886">
        <w:t xml:space="preserve">be excluded. It is more probable that this relationship could be non-linear, as suggested by the experimental work of </w:t>
      </w:r>
      <w:r w:rsidR="00C12E53" w:rsidRPr="00C05886">
        <w:fldChar w:fldCharType="begin"/>
      </w:r>
      <w:r w:rsidR="000309A4" w:rsidRPr="00C05886">
        <w:instrText xml:space="preserve"> ADDIN ZOTERO_ITEM CSL_CITATION {"citationID":"Vf77fy8E","properties":{"formattedCitation":"(Johansson {\\i{}et al.}, 2014)","plainCitation":"(Johansson et al., 2014)","dontUpdate":true,"noteIndex":0},"citationItems":[{"id":8502,"uris":["http://zotero.org/users/local/pAEZdfSt/items/IMLZ568A","http://zotero.org/users/10951124/items/IMLZ568A"],"itemData":{"id":8502,"type":"article-journal","abstract":"Using a multilevel approach, this study investigates direct (perceptual, emotional, and physiological responses [qEEG]) and reflected (preference, attitude, and intention to accept conservation measures) appraisal of different levels of biodiversity in temperate deciduous broad-leaf forest biotopes. Thirty-five participants viewed three series of zoomed pictures from biotopes assessed according to biological criteria to be of High, Intermediate, and Low level of biodiversity. Participants’ appraisal differed between the biotopes, and partly between the conceptualisation of appraisal, but overall there was a consistency across direct and reflected levels of appraisal. The most prominent result of the analysis of qEEG was a higher brain activity in the Theta frequency for the Low biotope. The Theta frequency has amongst others been associated with on-set of sleep and in the present context probably indicating that the Low biotope was less stimulating. The Low biotope was perceived to have the lowest degree of biodiversity followed by the Intermediate and the High biotopes. The Intermediate biotope elicited the most positive emotional response, and was rated highest in preference and in importance to conserve, whereas the intention to accept conservation measures did not differ between the biotopes. Thus biodiversity related criteria presently favoured in forest conservation management schemes are not necessarily prioritised by the public. Emotional components are likely to be at stake tending to favour the conservation of biotopes of an intermediate level of biodiversity.","container-title":"Urban Forestry &amp; Urban Greening","DOI":"https://doi.org/10.1016/j.ufug.2013.10.009","ISSN":"1618-8667","issue":"1","page":"28-37","title":"Does biological quality matter? Direct and reflected appraisal of biodiversity in temperate deciduous broad-leaf forest","volume":"13","author":[{"family":"Johansson","given":"Maria"},{"family":"Gyllin","given":"Mats"},{"family":"Witzell","given":"Jesper"},{"family":"Küller","given":"Marianne"}],"issued":{"date-parts":[["2014"]]}}}],"schema":"https://github.com/citation-style-language/schema/raw/master/csl-citation.json"} </w:instrText>
      </w:r>
      <w:r w:rsidR="00C12E53" w:rsidRPr="00C05886">
        <w:fldChar w:fldCharType="separate"/>
      </w:r>
      <w:r w:rsidR="00C12E53" w:rsidRPr="00C05886">
        <w:rPr>
          <w:rFonts w:ascii="Calibri" w:hAnsi="Calibri" w:cs="Calibri"/>
          <w:szCs w:val="24"/>
        </w:rPr>
        <w:t xml:space="preserve">Johansson </w:t>
      </w:r>
      <w:r w:rsidR="00C12E53" w:rsidRPr="00C05886">
        <w:rPr>
          <w:rFonts w:ascii="Calibri" w:hAnsi="Calibri" w:cs="Calibri"/>
          <w:i/>
          <w:iCs/>
          <w:szCs w:val="24"/>
        </w:rPr>
        <w:t>et al.</w:t>
      </w:r>
      <w:r w:rsidR="00C12E53" w:rsidRPr="00C05886">
        <w:rPr>
          <w:rFonts w:ascii="Calibri" w:hAnsi="Calibri" w:cs="Calibri"/>
          <w:szCs w:val="24"/>
        </w:rPr>
        <w:t xml:space="preserve"> (2014)</w:t>
      </w:r>
      <w:r w:rsidR="00C12E53" w:rsidRPr="00C05886">
        <w:fldChar w:fldCharType="end"/>
      </w:r>
      <w:r w:rsidR="00C12E53" w:rsidRPr="00C05886">
        <w:t xml:space="preserve"> and </w:t>
      </w:r>
      <w:r w:rsidR="00C12E53" w:rsidRPr="00C05886">
        <w:fldChar w:fldCharType="begin"/>
      </w:r>
      <w:r w:rsidR="00DC0B4B" w:rsidRPr="00C05886">
        <w:instrText xml:space="preserve"> ADDIN ZOTERO_ITEM CSL_CITATION {"citationID":"OfRczJTt","properties":{"formattedCitation":"(Lindemann-Matthies and Matthies, 2018)","plainCitation":"(Lindemann-Matthies and Matthies, 2018)","dontUpdate":true,"noteIndex":0},"citationItems":[{"id":9126,"uris":["http://zotero.org/users/10951124/items/9ILWYPEK"],"itemData":{"id":9126,"type":"article-journal","container-title":"Web Ecol.","DOI":"10.5194/we-18-121-2018","ISSN":"1399-1183","issue":"2","note":"publisher: Copernicus Publications","page":"121-128","title":"The influence of plant species richness on stress recovery of humans","volume":"18","author":[{"family":"Lindemann-Matthies","given":"P"},{"family":"Matthies","given":"D"}],"issued":{"date-parts":[["2018",8,29]]}}}],"schema":"https://github.com/citation-style-language/schema/raw/master/csl-citation.json"} </w:instrText>
      </w:r>
      <w:r w:rsidR="00C12E53" w:rsidRPr="00C05886">
        <w:fldChar w:fldCharType="separate"/>
      </w:r>
      <w:r w:rsidR="00C12E53" w:rsidRPr="00C05886">
        <w:rPr>
          <w:rFonts w:ascii="Calibri" w:hAnsi="Calibri" w:cs="Calibri"/>
        </w:rPr>
        <w:t>Lindemann-Matthies and Matthies (2018)</w:t>
      </w:r>
      <w:r w:rsidR="00C12E53" w:rsidRPr="00C05886">
        <w:fldChar w:fldCharType="end"/>
      </w:r>
      <w:r w:rsidR="00C12E53" w:rsidRPr="00C05886">
        <w:t xml:space="preserve">. This would also align with </w:t>
      </w:r>
      <w:r w:rsidR="00C12E53" w:rsidRPr="00C05886">
        <w:fldChar w:fldCharType="begin"/>
      </w:r>
      <w:r w:rsidR="00DC0B4B" w:rsidRPr="00C05886">
        <w:instrText xml:space="preserve"> ADDIN ZOTERO_ITEM CSL_CITATION {"citationID":"9FqUrOer","properties":{"formattedCitation":"(Ulrich {\\i{}et al.}, 1991)","plainCitation":"(Ulrich et al., 1991)","dontUpdate":true,"noteIndex":0},"citationItems":[{"id":6345,"uris":["http://zotero.org/users/10951124/items/FZSVSHF3"],"itemData":{"id":6345,"type":"article-journal","abstract":"Different conceptual perspectives converge to predict that if individuals are stressed, an encounter with most unthreatening natural environments will have a stress reducing or restorative influence, whereas many urban environments will hamper recuperation. Hypotheses regarding emotional, attentional and physiological aspects of stress reducing influences of nature are derived from a psycho-evolutionary theory. To investigate these hypotheses, 120 subjects first viewed a stressful movie, and then were exposed to color/sound videotapes of one of six different natural and urban settings. Data concerning stress recovery during the environmental presentations were obtained from self-ratings of affective states and a battery of physiological measures: heart period, muscle tension, skin conductance and pulse transit time, a non-invasive measure that correlates with systolic blood pressure. Findings from the physiological and verbal measures converged to indicate that recovery was faster and more complete when subjects were exposed to natural rather than urban environments. The pattern of physiological findings raised the possibility that responses to nature had a salient parasympathetic nervous system component; however, there was no evidence of pronounced parasympathetic involvement in responses to the urban settings. There were directional differences in cardiac responses to the natural vs urban settings, suggesting that attention/intake was higher during the natural exposures. However, both the stressor film and the nature settings elicited high levels of involuntary or automatic attention, which contradicts the notion that restorative influences of nature stem from involuntary attention or fascination. Findings were consistent with the predictions of the psycho-evolutionary theory that restorative influences of nature involve a shift towards a more positively-toned emotional state, positive changes in physiological activity levels, and that these changes are accompanied by sustained attention/intake. Content differences in terms of natural vs human-made properties appeared decisive in accounting for the differences in recuperation and perceptual intake. © 1991 Academic Press Limited.","container-title":"Journal of Environmental Psychology","DOI":"10.1016/S0272-4944(05)80184-7","ISSN":"15229610","issue":"3","page":"201-230","title":"Stress recovery during exposure to natural and urban environments","volume":"11","author":[{"family":"Ulrich","given":"Roger S."},{"family":"Simons","given":"Robert F."},{"family":"Losito","given":"Barbara D."},{"family":"Fiorito","given":"Evelyn"},{"family":"Miles","given":"Mark A."},{"family":"Zelson","given":"Michael"}],"issued":{"date-parts":[["1991"]]}}}],"schema":"https://github.com/citation-style-language/schema/raw/master/csl-citation.json"} </w:instrText>
      </w:r>
      <w:r w:rsidR="00C12E53" w:rsidRPr="00C05886">
        <w:fldChar w:fldCharType="separate"/>
      </w:r>
      <w:r w:rsidR="00C12E53" w:rsidRPr="00C05886">
        <w:rPr>
          <w:rFonts w:ascii="Calibri" w:hAnsi="Calibri" w:cs="Calibri"/>
          <w:szCs w:val="24"/>
        </w:rPr>
        <w:t xml:space="preserve">Ulrich </w:t>
      </w:r>
      <w:r w:rsidR="00C12E53" w:rsidRPr="00C05886">
        <w:rPr>
          <w:rFonts w:ascii="Calibri" w:hAnsi="Calibri" w:cs="Calibri"/>
          <w:i/>
          <w:iCs/>
          <w:szCs w:val="24"/>
        </w:rPr>
        <w:t>et al.</w:t>
      </w:r>
      <w:r w:rsidR="00C12E53" w:rsidRPr="00C05886">
        <w:rPr>
          <w:rFonts w:ascii="Calibri" w:hAnsi="Calibri" w:cs="Calibri"/>
          <w:szCs w:val="24"/>
        </w:rPr>
        <w:t>, (1991)</w:t>
      </w:r>
      <w:r w:rsidR="00C12E53" w:rsidRPr="00C05886">
        <w:fldChar w:fldCharType="end"/>
      </w:r>
      <w:r w:rsidR="00C12E53" w:rsidRPr="00C05886">
        <w:t xml:space="preserve">, who proposed “moderate visual complexity” as the optimum for stress recovery. It remains unclear whether too much biodiversity could be detrimental to well-being, as suggested by </w:t>
      </w:r>
      <w:r w:rsidR="00C12E53" w:rsidRPr="00C05886">
        <w:fldChar w:fldCharType="begin"/>
      </w:r>
      <w:r w:rsidR="00DC0B4B" w:rsidRPr="00C05886">
        <w:instrText xml:space="preserve"> ADDIN ZOTERO_ITEM CSL_CITATION {"citationID":"NIn1Hnxs","properties":{"formattedCitation":"(Dallimer {\\i{}et al.}, 2012)","plainCitation":"(Dallimer et al., 2012)","dontUpdate":true,"noteIndex":0},"citationItems":[{"id":5841,"uris":["http://zotero.org/users/10951124/items/KQUVK8G6"],"itemData":{"id":5841,"type":"article-journal","abstract":"Over half of the world's human population lives in cities, and for many, urban greenspaces are the only places where they encounter biodiversity. This is of particular concern because there is growing evidence that human well-being is enhanced by exposure to nature. However, the specific qualities of greenspaces that offer the greatest benefits remain poorly understood. One possibility is that humans respond positively to increased levels of biodiversity. Here, we demonstrate the lack of a consistent relationship between actual plant, butterfly, and bird species richness and the psychological well-being of urban greenspace visitors. Instead, well-being shows a positive relationship with the richness that the greenspace users perceived to be present. One plausible explanation for this discrepancy, which we investigate, is that people generally have poor biodiversity-identification skills. The apparent importance of perceived species richness and the mismatch between reality and perception pose a serious challenge for aligning conservation and human well-being agendas.","container-title":"BioScience","DOI":"10.1525/bio.2012.62.1.9","ISSN":"00063568","issue":"1","page":"47-55","title":"Biodiversity and the Feel-Good Factor: Understanding Associations between Self-Reported Human Well-being and Species Richness","volume":"62","author":[{"family":"Dallimer","given":"Martin"},{"family":"Irvine","given":"Katherine N."},{"family":"Skinner","given":"Andrew M.J. J"},{"family":"Davies","given":"Zoe G."},{"family":"Rouquette","given":"James R."},{"family":"Maltby","given":"Lorraine L."},{"family":"Warren","given":"Philip H."},{"family":"Armsworth","given":"Paul R."},{"family":"Gaston","given":"Kevin J."}],"issued":{"date-parts":[["2012"]]}}}],"schema":"https://github.com/citation-style-language/schema/raw/master/csl-citation.json"} </w:instrText>
      </w:r>
      <w:r w:rsidR="00C12E53" w:rsidRPr="00C05886">
        <w:fldChar w:fldCharType="separate"/>
      </w:r>
      <w:r w:rsidR="00C12E53" w:rsidRPr="00C05886">
        <w:rPr>
          <w:rFonts w:ascii="Calibri" w:hAnsi="Calibri" w:cs="Calibri"/>
          <w:szCs w:val="24"/>
        </w:rPr>
        <w:t xml:space="preserve">Dallimer </w:t>
      </w:r>
      <w:r w:rsidR="00C12E53" w:rsidRPr="00C05886">
        <w:rPr>
          <w:rFonts w:ascii="Calibri" w:hAnsi="Calibri" w:cs="Calibri"/>
          <w:i/>
          <w:iCs/>
          <w:szCs w:val="24"/>
        </w:rPr>
        <w:t>et al.</w:t>
      </w:r>
      <w:r w:rsidR="00C12E53" w:rsidRPr="00C05886">
        <w:rPr>
          <w:rFonts w:ascii="Calibri" w:hAnsi="Calibri" w:cs="Calibri"/>
          <w:szCs w:val="24"/>
        </w:rPr>
        <w:t xml:space="preserve"> (2012)</w:t>
      </w:r>
      <w:r w:rsidR="00C12E53" w:rsidRPr="00C05886">
        <w:fldChar w:fldCharType="end"/>
      </w:r>
      <w:r w:rsidR="00C12E53" w:rsidRPr="00C05886">
        <w:t xml:space="preserve">. None of the experiments presented </w:t>
      </w:r>
      <w:r>
        <w:t>in chapters 5-7</w:t>
      </w:r>
      <w:r w:rsidRPr="00C05886">
        <w:t xml:space="preserve"> </w:t>
      </w:r>
      <w:r w:rsidR="00C12E53" w:rsidRPr="00C05886">
        <w:t xml:space="preserve">found evidence of </w:t>
      </w:r>
      <w:r w:rsidR="00E742A0" w:rsidRPr="00C05886">
        <w:t>worsened</w:t>
      </w:r>
      <w:r w:rsidR="00C12E53" w:rsidRPr="00C05886">
        <w:t xml:space="preserve"> affective states after exposure to any level of biodiversity.</w:t>
      </w:r>
    </w:p>
    <w:p w14:paraId="4DF7A756" w14:textId="0BC8FC61" w:rsidR="00C12E53" w:rsidRPr="00C05886" w:rsidRDefault="00EC6BC6" w:rsidP="00B71AD6">
      <w:pPr>
        <w:pStyle w:val="Heading3"/>
      </w:pPr>
      <w:bookmarkStart w:id="173" w:name="_Toc179962411"/>
      <w:r>
        <w:t>T</w:t>
      </w:r>
      <w:r w:rsidR="00C12E53" w:rsidRPr="00C05886">
        <w:t xml:space="preserve">he subjectively perceived species richness </w:t>
      </w:r>
      <w:r>
        <w:t xml:space="preserve">seems to </w:t>
      </w:r>
      <w:r w:rsidR="00C12E53" w:rsidRPr="00C05886">
        <w:t>have a positive effect on the psychological state, when the broader context is kept under contro</w:t>
      </w:r>
      <w:r>
        <w:t>l.</w:t>
      </w:r>
      <w:bookmarkEnd w:id="173"/>
    </w:p>
    <w:p w14:paraId="30DB7E69" w14:textId="31622AB1" w:rsidR="00C12E53" w:rsidRPr="00C05886" w:rsidRDefault="00EC6BC6" w:rsidP="00E7521D">
      <w:r>
        <w:t>Despite the limitations posed by how the perceived species richness was measured (see Critical Reflection), this was a consistent finding.</w:t>
      </w:r>
      <w:r w:rsidR="00C12E53" w:rsidRPr="00C05886">
        <w:t xml:space="preserve"> Chapter 4 showed that perceived </w:t>
      </w:r>
      <w:r>
        <w:t xml:space="preserve">species richness </w:t>
      </w:r>
      <w:r w:rsidR="00C12E53" w:rsidRPr="00C05886">
        <w:t xml:space="preserve">was a stronger predictor of well-being than actual </w:t>
      </w:r>
      <w:r>
        <w:t>species richness,</w:t>
      </w:r>
      <w:r w:rsidRPr="00C05886">
        <w:t xml:space="preserve"> </w:t>
      </w:r>
      <w:r>
        <w:t>even when accounting for the effect of other</w:t>
      </w:r>
      <w:r w:rsidR="00C12E53" w:rsidRPr="00C05886">
        <w:t xml:space="preserve"> demographic characteristic</w:t>
      </w:r>
      <w:r>
        <w:t>s</w:t>
      </w:r>
      <w:r w:rsidR="00C12E53" w:rsidRPr="00C05886">
        <w:t>. Chapters 5 to 7 con</w:t>
      </w:r>
      <w:r w:rsidR="00882E79">
        <w:t>sistently found that the perceived species richness was associated with improvement in the Positive Affect</w:t>
      </w:r>
      <w:r w:rsidR="00C12E53" w:rsidRPr="00C05886">
        <w:t xml:space="preserve"> </w:t>
      </w:r>
      <w:r w:rsidR="00882E79">
        <w:t>across</w:t>
      </w:r>
      <w:r w:rsidR="00882E79" w:rsidRPr="00C05886">
        <w:t xml:space="preserve"> </w:t>
      </w:r>
      <w:r w:rsidR="00C12E53" w:rsidRPr="00C05886">
        <w:t xml:space="preserve">different experimental settings and with different groups of participants. These findings, framed within the Stress Recovery Theory, confirm and expand previous research work which looked at the effect of perceived biodiversity through the lenses of the Attention Restoration Theory </w:t>
      </w:r>
      <w:r w:rsidR="00C12E53" w:rsidRPr="00C05886">
        <w:fldChar w:fldCharType="begin"/>
      </w:r>
      <w:r w:rsidR="00C12E53" w:rsidRPr="00C05886">
        <w:instrText xml:space="preserve"> ADDIN ZOTERO_ITEM CSL_CITATION {"citationID":"gScez2nq","properties":{"formattedCitation":"(Dallimer {\\i{}et al.}, 2012; Gon\\uc0\\u231{}alves {\\i{}et al.}, 2021; Reining, Lemieux and Doherty, 2021)","plainCitation":"(Dallimer et al., 2012; Gonçalves et al., 2021; Reining, Lemieux and Doherty, 2021)","noteIndex":0},"citationItems":[{"id":5841,"uris":["http://zotero.org/users/10951124/items/KQUVK8G6"],"itemData":{"id":5841,"type":"article-journal","abstract":"Over half of the world's human population lives in cities, and for many, urban greenspaces are the only places where they encounter biodiversity. This is of particular concern because there is growing evidence that human well-being is enhanced by exposure to nature. However, the specific qualities of greenspaces that offer the greatest benefits remain poorly understood. One possibility is that humans respond positively to increased levels of biodiversity. Here, we demonstrate the lack of a consistent relationship between actual plant, butterfly, and bird species richness and the psychological well-being of urban greenspace visitors. Instead, well-being shows a positive relationship with the richness that the greenspace users perceived to be present. One plausible explanation for this discrepancy, which we investigate, is that people generally have poor biodiversity-identification skills. The apparent importance of perceived species richness and the mismatch between reality and perception pose a serious challenge for aligning conservation and human well-being agendas.","container-title":"BioScience","DOI":"10.1525/bio.2012.62.1.9","ISSN":"00063568","issue":"1","page":"47-55","title":"Biodiversity and the Feel-Good Factor: Understanding Associations between Self-Reported Human Well-being and Species Richness","volume":"62","author":[{"family":"Dallimer","given":"Martin"},{"family":"Irvine","given":"Katherine N."},{"family":"Skinner","given":"Andrew M.J. J"},{"family":"Davies","given":"Zoe G."},{"family":"Rouquette","given":"James R."},{"family":"Maltby","given":"Lorraine L."},{"family":"Warren","given":"Philip H."},{"family":"Armsworth","given":"Paul R."},{"family":"Gaston","given":"Kevin J."}],"issued":{"date-parts":[["2012"]]}}},{"id":9234,"uris":["http://zotero.org/users/10951124/items/7WC2F9AD"],"itemData":{"id":9234,"type":"article-journal","abstract":"Understanding the mechanisms underlying the positive influence of urban biodiversity on dwellers’ well-being is critical to inform sustainable management of urban greenspaces, but studies published to date on the role of biodiversity in mental restoration have provided contradictory results. Both urban greenspace biophysical characteristics and the emotional connection with the place may play a role in mental restoration. Using urban greenspace landscape and biodiversity metrics, and on-site observations and questionnaires to assess site quality and visitors’ perceptions, we explore the influence of biodiversity (perceived and measured at different levels), urban greenspace characteristics, and visitors profiles in mental restoration. Our statistical analysis demonstrates that perception of biodiversity, along with satisfaction and connection to place, were the most important predictors of mental restoration. The proportion of broadleaf and evergreen tree species also had a positive influence on biodiversity perception and mental restoration. People perceive existing biodiversity through visual cues as the diversity of leaf forms in broadleaf species, with this process being almost completely mediated by the perception of tree diversity. These findings have direct translation into planning and management practices by acknowledging the importance of biodiversity and, above all, specific traits, namely of evergreen broadleaf species, in promoting restorativeness of urban parks for users. Our results highlight the importance of using standard ecological methods when assessing biodiversity in urban greenspaces and their influence on human well-being.","container-title":"Ecology and Society","DOI":"10.5751/ES-12598-260325","issue":"3","journalAbbreviation":"Ecology and Society","note":"publisher: The Resilience Alliance","title":"What’s biodiversity got to do with it? Perceptions of biodiversity and restorativeness in urban parks","URL":"https://www.ecologyandsociety.org/vol26/iss3/art25/","volume":"26","author":[{"family":"Gonçalves","given":"Paula"},{"family":"Grilo","given":"Filipa"},{"family":"Mendes","given":"Raquel C."},{"family":"Vierikko","given":"Kati"},{"family":"Elands","given":"Birgit"},{"family":"Marques","given":"Tiago A."},{"family":"Santos-Reis","given":"Margarida"}],"issued":{"date-parts":[["2021"]]}}},{"id":9663,"uris":["http://zotero.org/users/10951124/items/J9NXCZ7N"],"itemData":{"id":9663,"type":"article-journal","container-title":"Journal of Environmental Planning and Management","DOI":"10.1080/09640568.2020.1857227","ISSN":"0964-0568","issue":"13","journalAbbreviation":"Journal of Environmental Planning and Management","note":"publisher: Routledge","page":"2300-2325","title":"Linking restorative human health outcomes to protected area ecosystem diversity and integrity","volume":"64","author":[{"family":"Reining","given":"Catherine E."},{"family":"Lemieux","given":"Christopher J."},{"family":"Doherty","given":"Sean T."}],"issued":{"date-parts":[["2021",11,10]]}}}],"schema":"https://github.com/citation-style-language/schema/raw/master/csl-citation.json"} </w:instrText>
      </w:r>
      <w:r w:rsidR="00C12E53" w:rsidRPr="00C05886">
        <w:fldChar w:fldCharType="separate"/>
      </w:r>
      <w:r w:rsidR="00C12E53" w:rsidRPr="00C05886">
        <w:rPr>
          <w:rFonts w:ascii="Calibri" w:hAnsi="Calibri" w:cs="Calibri"/>
          <w:szCs w:val="24"/>
        </w:rPr>
        <w:t xml:space="preserve">(Dallimer </w:t>
      </w:r>
      <w:r w:rsidR="00C12E53" w:rsidRPr="00C05886">
        <w:rPr>
          <w:rFonts w:ascii="Calibri" w:hAnsi="Calibri" w:cs="Calibri"/>
          <w:i/>
          <w:iCs/>
          <w:szCs w:val="24"/>
        </w:rPr>
        <w:t>et al.</w:t>
      </w:r>
      <w:r w:rsidR="00C12E53" w:rsidRPr="00C05886">
        <w:rPr>
          <w:rFonts w:ascii="Calibri" w:hAnsi="Calibri" w:cs="Calibri"/>
          <w:szCs w:val="24"/>
        </w:rPr>
        <w:t xml:space="preserve">, 2012; Gonçalves </w:t>
      </w:r>
      <w:r w:rsidR="00C12E53" w:rsidRPr="00C05886">
        <w:rPr>
          <w:rFonts w:ascii="Calibri" w:hAnsi="Calibri" w:cs="Calibri"/>
          <w:i/>
          <w:iCs/>
          <w:szCs w:val="24"/>
        </w:rPr>
        <w:t>et al.</w:t>
      </w:r>
      <w:r w:rsidR="00C12E53" w:rsidRPr="00C05886">
        <w:rPr>
          <w:rFonts w:ascii="Calibri" w:hAnsi="Calibri" w:cs="Calibri"/>
          <w:szCs w:val="24"/>
        </w:rPr>
        <w:t>, 2021; Reining, Lemieux and Doherty, 2021)</w:t>
      </w:r>
      <w:r w:rsidR="00C12E53" w:rsidRPr="00C05886">
        <w:fldChar w:fldCharType="end"/>
      </w:r>
      <w:r w:rsidR="00C12E53" w:rsidRPr="00C05886">
        <w:t xml:space="preserve">. Interestingly, the perceived </w:t>
      </w:r>
      <w:r w:rsidR="00882E79">
        <w:t>species richness</w:t>
      </w:r>
      <w:r w:rsidR="00882E79" w:rsidRPr="00C05886">
        <w:t xml:space="preserve"> </w:t>
      </w:r>
      <w:r w:rsidR="00C12E53" w:rsidRPr="00C05886">
        <w:t xml:space="preserve">did not show a consistent relationship with </w:t>
      </w:r>
      <w:r w:rsidR="00882E79">
        <w:t>the N</w:t>
      </w:r>
      <w:r w:rsidR="00C12E53" w:rsidRPr="00C05886">
        <w:t xml:space="preserve">egative </w:t>
      </w:r>
      <w:r w:rsidR="00882E79">
        <w:t>A</w:t>
      </w:r>
      <w:r w:rsidR="00C12E53" w:rsidRPr="00C05886">
        <w:t xml:space="preserve">ffect. Overall, this supports the notion that biodiversity elicits feelings of joy and calm if perceived as abundant – i.e. indicating a favourable habitat with available resources </w:t>
      </w:r>
      <w:r w:rsidR="00C12E53" w:rsidRPr="00C05886">
        <w:fldChar w:fldCharType="begin"/>
      </w:r>
      <w:r w:rsidR="00C12E53" w:rsidRPr="00C05886">
        <w:instrText xml:space="preserve"> ADDIN ZOTERO_ITEM CSL_CITATION {"citationID":"lUxi9Bo3","properties":{"formattedCitation":"(McMahan and Estes, 2015)","plainCitation":"(McMahan and Estes, 2015)","noteIndex":0},"citationItems":[{"id":6296,"uris":["http://zotero.org/users/10951124/items/UFVUX6YA"],"itemData":{"id":6296,"type":"article-journal","abstract":"&lt;p&gt;A growing body of empirical research suggests that brief contact with natural environments improves emotional well-being. The current study synthesizes this body of research using meta-analytic techniques and assesses the mean effect size of exposure to natural environments on both positive and negative affect. Thirty-two studies with a total of 2356 participants were included. Across these studies, exposure to natural environments was associated with a moderate increase in positive affect and a smaller, yet consistent, decrease in negative affect relative to comparison conditions. Significant heterogeneity was found for the effect of nature on positive affect, and type of emotion assessment, type of exposure to nature, location of study, and mean age of sample were found to moderate this effect. The implications of these findings for existing theory and research are discussed, with particular emphasis placed on potential avenues for fruitful future research examining the effects of nature on well-being.&lt;/p&gt;","container-title":"The Journal of Positive Psychology","DOI":"10.1080/17439760.2014.994224","ISSN":"1743-9760","issue":"6","page":"507-519","title":"The effect of contact with natural environments on positive and negative affect: A meta-analysis","volume":"10","author":[{"family":"McMahan","given":"Ethan A"},{"family":"Estes","given":"David"}],"issued":{"date-parts":[["2015"]]}}}],"schema":"https://github.com/citation-style-language/schema/raw/master/csl-citation.json"} </w:instrText>
      </w:r>
      <w:r w:rsidR="00C12E53" w:rsidRPr="00C05886">
        <w:fldChar w:fldCharType="separate"/>
      </w:r>
      <w:r w:rsidR="00C12E53" w:rsidRPr="00C05886">
        <w:rPr>
          <w:rFonts w:ascii="Calibri" w:hAnsi="Calibri" w:cs="Calibri"/>
        </w:rPr>
        <w:t>(McMahan and Estes, 2015)</w:t>
      </w:r>
      <w:r w:rsidR="00C12E53" w:rsidRPr="00C05886">
        <w:fldChar w:fldCharType="end"/>
      </w:r>
      <w:r w:rsidR="00C12E53" w:rsidRPr="00C05886">
        <w:t xml:space="preserve">. </w:t>
      </w:r>
      <w:r w:rsidR="00E61848">
        <w:t>Contrary</w:t>
      </w:r>
      <w:r w:rsidR="00E61848" w:rsidRPr="00C05886">
        <w:t xml:space="preserve"> </w:t>
      </w:r>
      <w:r w:rsidR="00C12E53" w:rsidRPr="00C05886">
        <w:t xml:space="preserve">to actual </w:t>
      </w:r>
      <w:r w:rsidR="00882E79">
        <w:t>species richness</w:t>
      </w:r>
      <w:r w:rsidR="00C12E53" w:rsidRPr="00C05886">
        <w:t xml:space="preserve">, perceived </w:t>
      </w:r>
      <w:r w:rsidR="00C0306F">
        <w:t>species richness</w:t>
      </w:r>
      <w:r w:rsidR="00C0306F" w:rsidRPr="00C05886">
        <w:t xml:space="preserve"> </w:t>
      </w:r>
      <w:r w:rsidR="00C0306F">
        <w:t>hinted towards a</w:t>
      </w:r>
      <w:r w:rsidR="00C12E53" w:rsidRPr="00C05886">
        <w:t xml:space="preserve"> linear relationship with emotional well-being, which </w:t>
      </w:r>
      <w:r w:rsidR="00C0306F">
        <w:lastRenderedPageBreak/>
        <w:t xml:space="preserve">would </w:t>
      </w:r>
      <w:r w:rsidR="00C12E53" w:rsidRPr="00C05886">
        <w:t xml:space="preserve">confirm what was observed by </w:t>
      </w:r>
      <w:r w:rsidR="00C12E53" w:rsidRPr="00C05886">
        <w:fldChar w:fldCharType="begin"/>
      </w:r>
      <w:r w:rsidR="00DC0B4B" w:rsidRPr="00C05886">
        <w:instrText xml:space="preserve"> ADDIN ZOTERO_ITEM CSL_CITATION {"citationID":"o5ZFVrdY","properties":{"formattedCitation":"(Cameron {\\i{}et al.}, 2020)","plainCitation":"(Cameron et al., 2020)","dontUpdate":true,"noteIndex":0},"citationItems":[{"id":5002,"uris":["http://zotero.org/users/10951124/items/CAJX7VIQ"],"itemData":{"id":5002,"type":"article-journal","abstract":"Urban green space can help mitigate the negative impacts of urban living and provide positive effects on citizens’ mood, health and well-being. Questions remain, however, as to whether all types of green space are equally beneficial, and if not, what landscape forms or key features optimise the desired benefits. For example, it has been cited that urban landscapes rich in wildlife (high biodiversity) may promote more positive emotions and enhance well-being. This research utilised a mobile phone App, employed to assess people’s emotions when they entered any one of 945 green spaces within the city of Sheffield, UK. Emotional responses were correlated to key traits of the individual green spaces, including levels of biodiversity the participant perceived around them. For a subsample of these green spaces, actual levels of biodiversity were assessed through avian and habitat surveys. Results demonstrated strong correlations between levels of avian biodiversity within a green space and human emotional response to that space. Respondents reported being happier in sites with greater avian biodiversity (p &lt; 0.01, r = 0.78) and a greater variety of habitats (p &lt; 0.02, r = 0.72). Relationships were strengthened when emotions were linked to perceptions of overall biodiversity (p &lt; 0.001, r = 0.89). So, when participants thought the site was wildlife rich, they reported more positive emotions, even when actual avian biodiversity levels were not necessarily enhanced. The data strengthens the arguments that nature enhances well-being through positive affect, and that increased ‘engagement with nature’ may help support human health within urban environments. The results have strong implications for city planning with respect to the design, management and use of city green spaces.","container-title":"Urban Ecosystems","DOI":"10.1007/s11252-020-00929-z","ISSN":"15731642","note":"publisher: Urban Ecosystems","title":"Where the wild things are! Do urban green spaces with greater avian biodiversity promote more positive emotions in humans?","author":[{"family":"Cameron","given":"Ross W.F."},{"family":"Brindley","given":"Paul"},{"family":"Mears","given":"Meghann"},{"family":"McEwan","given":"Kirsten"},{"family":"Ferguson","given":"Fiona"},{"family":"Sheffield","given":"David"},{"family":"Jorgensen","given":"Anna"},{"family":"Riley","given":"Julie"},{"family":"Goodrick","given":"Jon"},{"family":"Ballard","given":"Liz"},{"family":"Richardson","given":"Miles"}],"issued":{"date-parts":[["2020"]]}}}],"schema":"https://github.com/citation-style-language/schema/raw/master/csl-citation.json"} </w:instrText>
      </w:r>
      <w:r w:rsidR="00C12E53" w:rsidRPr="00C05886">
        <w:fldChar w:fldCharType="separate"/>
      </w:r>
      <w:r w:rsidR="00C12E53" w:rsidRPr="00C05886">
        <w:rPr>
          <w:rFonts w:ascii="Calibri" w:hAnsi="Calibri" w:cs="Calibri"/>
          <w:szCs w:val="24"/>
        </w:rPr>
        <w:t xml:space="preserve">Cameron </w:t>
      </w:r>
      <w:r w:rsidR="00C12E53" w:rsidRPr="00C05886">
        <w:rPr>
          <w:rFonts w:ascii="Calibri" w:hAnsi="Calibri" w:cs="Calibri"/>
          <w:i/>
          <w:iCs/>
          <w:szCs w:val="24"/>
        </w:rPr>
        <w:t>et al.</w:t>
      </w:r>
      <w:r w:rsidR="00C12E53" w:rsidRPr="00C05886">
        <w:rPr>
          <w:rFonts w:ascii="Calibri" w:hAnsi="Calibri" w:cs="Calibri"/>
          <w:szCs w:val="24"/>
        </w:rPr>
        <w:t xml:space="preserve"> (2020)</w:t>
      </w:r>
      <w:r w:rsidR="00C12E53" w:rsidRPr="00C05886">
        <w:fldChar w:fldCharType="end"/>
      </w:r>
      <w:r w:rsidR="00C12E53" w:rsidRPr="00C05886">
        <w:t>.</w:t>
      </w:r>
      <w:r w:rsidR="00C0306F">
        <w:t xml:space="preserve"> However, this finding is limited by the broad categorization used to measure the perceived species richness.</w:t>
      </w:r>
    </w:p>
    <w:p w14:paraId="6F8D58C2" w14:textId="13127B78" w:rsidR="00C12E53" w:rsidRPr="00C05886" w:rsidRDefault="001B29FC" w:rsidP="00B71AD6">
      <w:pPr>
        <w:pStyle w:val="Heading3"/>
      </w:pPr>
      <w:bookmarkStart w:id="174" w:name="_Toc179962412"/>
      <w:r>
        <w:t>T</w:t>
      </w:r>
      <w:r w:rsidR="00C12E53" w:rsidRPr="00C05886">
        <w:t>he subjective estimations of the species richness</w:t>
      </w:r>
      <w:r>
        <w:t xml:space="preserve"> did not always</w:t>
      </w:r>
      <w:r w:rsidR="00C12E53" w:rsidRPr="00C05886">
        <w:t xml:space="preserve"> match the actual species richness</w:t>
      </w:r>
      <w:r>
        <w:t>.</w:t>
      </w:r>
      <w:bookmarkEnd w:id="174"/>
    </w:p>
    <w:p w14:paraId="1C9309C8" w14:textId="589C9346" w:rsidR="00C12E53" w:rsidRPr="00C05886" w:rsidRDefault="00C12E53" w:rsidP="00E7521D">
      <w:r w:rsidRPr="00C05886">
        <w:t xml:space="preserve">Although </w:t>
      </w:r>
      <w:r w:rsidR="00C0306F">
        <w:t xml:space="preserve">the </w:t>
      </w:r>
      <w:r w:rsidRPr="00C05886">
        <w:t xml:space="preserve">perceived </w:t>
      </w:r>
      <w:r w:rsidR="00C0306F">
        <w:t>species richness</w:t>
      </w:r>
      <w:r w:rsidR="00C0306F" w:rsidRPr="00C05886">
        <w:t xml:space="preserve"> </w:t>
      </w:r>
      <w:r w:rsidRPr="00C05886">
        <w:t xml:space="preserve">seems a powerful driver of well-being, </w:t>
      </w:r>
      <w:r w:rsidR="00C0306F">
        <w:t>it remains unclear how the actual species richness may have been perceived and what other factors may have influenced the measure</w:t>
      </w:r>
      <w:r w:rsidRPr="00C05886">
        <w:t xml:space="preserve">. Comparing the perceived and the actual </w:t>
      </w:r>
      <w:r w:rsidR="00C0306F">
        <w:t>species richness</w:t>
      </w:r>
      <w:r w:rsidRPr="00C05886">
        <w:t xml:space="preserve">, </w:t>
      </w:r>
      <w:r w:rsidR="00C0306F">
        <w:t>a significant share of the</w:t>
      </w:r>
      <w:r w:rsidRPr="00C05886">
        <w:t xml:space="preserve"> participants seemed to percei</w:t>
      </w:r>
      <w:r w:rsidR="00C0306F">
        <w:t>ve</w:t>
      </w:r>
      <w:r w:rsidRPr="00C05886">
        <w:t xml:space="preserve"> more species than </w:t>
      </w:r>
      <w:r w:rsidR="00B81E56" w:rsidRPr="00C05886">
        <w:t>were</w:t>
      </w:r>
      <w:r w:rsidRPr="00C05886">
        <w:t xml:space="preserve"> actually </w:t>
      </w:r>
      <w:r w:rsidR="00B81E56" w:rsidRPr="00C05886">
        <w:t>present</w:t>
      </w:r>
      <w:r w:rsidRPr="00C05886">
        <w:t xml:space="preserve">. For example, in Chapter 6, only 40% of the English-speaking participants made a </w:t>
      </w:r>
      <w:r w:rsidR="00C0306F">
        <w:t>matching</w:t>
      </w:r>
      <w:r w:rsidR="00C0306F" w:rsidRPr="00C05886">
        <w:t xml:space="preserve"> </w:t>
      </w:r>
      <w:r w:rsidRPr="00C05886">
        <w:t xml:space="preserve">estimation of the actual species richness. The estimation was a bit more accurate in Chapter 7 and this was probably due to two factors. First, the presence of the car park made a clear difference between a </w:t>
      </w:r>
      <w:r w:rsidR="00C0306F">
        <w:t>space without species</w:t>
      </w:r>
      <w:r w:rsidRPr="00C05886">
        <w:t xml:space="preserve"> and the vegetated parks. Second, the question was about </w:t>
      </w:r>
      <w:r w:rsidR="00B81E56" w:rsidRPr="00C05886">
        <w:t>observing biodiversity</w:t>
      </w:r>
      <w:r w:rsidRPr="00C05886">
        <w:t xml:space="preserve"> and not guessing as it was in Chapter 6</w:t>
      </w:r>
      <w:r w:rsidR="00C0306F">
        <w:t xml:space="preserve"> which</w:t>
      </w:r>
      <w:r w:rsidRPr="00C05886">
        <w:t xml:space="preserve"> may have increased the precision of the estimation.</w:t>
      </w:r>
    </w:p>
    <w:p w14:paraId="4FEB0882" w14:textId="733072AA" w:rsidR="00C12E53" w:rsidRPr="00C05886" w:rsidRDefault="001B29FC" w:rsidP="00BC2267">
      <w:r>
        <w:t>Other than the limitations of how the perceived species richness was measured (discussed in the Critical Reflection), t</w:t>
      </w:r>
      <w:r w:rsidR="00C12E53" w:rsidRPr="00C05886">
        <w:t xml:space="preserve">his finding could also be </w:t>
      </w:r>
      <w:r w:rsidR="00E742A0" w:rsidRPr="00C05886">
        <w:t>a byproduct</w:t>
      </w:r>
      <w:r w:rsidR="00C12E53" w:rsidRPr="00C05886">
        <w:t xml:space="preserve"> of the experimental design, as the participants could only estimate the biodiversity in one of the settings and never compared two environments side by side. When shown different levels of species richness side by side, both experts and non-experts seem capable of ranking them from low to high </w:t>
      </w:r>
      <w:r w:rsidR="00C12E53" w:rsidRPr="00C05886">
        <w:fldChar w:fldCharType="begin"/>
      </w:r>
      <w:r w:rsidR="00C12E53" w:rsidRPr="00C05886">
        <w:instrText xml:space="preserve"> ADDIN ZOTERO_ITEM CSL_CITATION {"citationID":"sYxPyV18","properties":{"formattedCitation":"(Breitschopf and Br\\uc0\\u229{}then, 2023)","plainCitation":"(Breitschopf and Bråthen, 2023)","noteIndex":0},"citationItems":[{"id":10901,"uris":["http://zotero.org/users/10951124/items/JM22JCAK"],"itemData":{"id":10901,"type":"article-journal","abstract":"Abstract\n            \n              \n                \n                  Plant biodiversity, which is fundamental for the delivery of ecosystem services, is in decline. Yet, knowledge about how plant biodiversity is perceived and appreciated is scarce.\n                \n                \n                  We studied biologists' and laypeople's perception and appreciation for plant communities that differ in plant biodiversity, using ranges of plant biodiversity known to affect ecosystem services. We investigate species richness, species turnover and species evenness. A questionnaire based on photographs displaying artificial plant communities was used.\n                \n                \n                  Perceived biodiversity was 12% more often congruent with actual biodiversity for biologists than for laypeople. Species richness was perceived congruently with actual species richness by 77% of all respondents, compared with 27% for species evenness and 29% for species turnover. Appreciation for the displayed communities correlated positively with their actual plant biodiversity, except for species turnover. Appreciation always correlated positively with perceived plant biodiversity and even stronger than with actual plant biodiversity. This was not the case for species richness, for which perceived and actual biodiversity were most often congruent.\n                \n                \n                  Our results suggest that plant biodiversity is perceived most accurately when changes in species richness are considered, while changes in species evenness and species turnover are perceived less accurately. The respondents' answers indicate that perceived higher plant biodiversity is appreciated more than perceived lower plant biodiversity, even when perceived and actual plant biodiversity are not congruent.\n                \n                \n                  \n                    We corroborate findings that people value plant biodiversity per se\n                    .\n                    But we also find that people largely perceive species evenness and turnover with low accuracy; and that people have low appreciation for these biodiversity dimensions that are lesser known but essential to ecosystem functioning. Our finding that biologists have higher accuracy in perceiving biodiversity suggests that biodiversity literacy is key to increasing people's awareness of changes in plant biodiversity.\n                  \n                \n              \n            \n            \n              Read the free\n              Plain Language Summary\n              for this article on the Journal blog.\n            \n          , \n            Sammendrag\n            \n              \n                \n                  Plantebiodiversitet er grunnleggende for økosystem tjenester. Likevel er det lite kunnskap om hvordan folk oppfatter endringer i biodiversitet (også kalt biologisk mangfold), og om folk oppfatter høy biodiversitet som visuelt vakkert.\n                \n                \n                  I dette studiet viste vi bilder av plantesamfunn med ulik biodiversitet til både biologer og lekfolk. Plantesamfunn er plantearter som vokser på samme sted til samme tid.\n                \n                \n                  Bildene omfattet tre sett av plantesamfunn. Det første settet viste samfunn med ulike artsrikhet, nærmere bestemt 16, 8, 4 og 2 arter. Det andre settet hadde samfunn på 8 arter, men der artene hadde ulik mengde i samfunnet. Ett samfunn hadde jevn fordeling av alle artene (dvs. 12,5% hver), mens de to andre samfunnene hadde én art som utgjorde 33% eller 66% av mengden alene. Det tredje settet viste tre samfunn samlet per bilde. Her var artene i hvert av samfunnene enten helt ulike, eller de hadde overlapp i artsinventaret på enten halvparten eller alle artene. Slik forskjell i artsrikhet, artsjevnhet og artsoverlapp er tre ulik vis endring i biodiversitet kan identifiseres på. Antall arter i samfunnene er også knyttet til økosystem tjenester. For eksempel har forskning vist at samfunn med 16 arter kan produsere mer enn 2,5 ganger så mye biomasse enn samfunn med 2 arter. For hvert sett av bilder ba vi deltagerne sortere samfunnene fra høy til lav biodiversitet. Nest ba vi dem å sortere samfunnene etter hvor godt de likte dem.\n                \n                \n                  Ved gjennomgang av svarene fant vi at endring i artsrikhet ble sortert rett av 77%, mens artsjevnhet og artsoverlapp ble sortert rett av henholdsvis 27% og 29% av deltagerne. Vi fant også at biologene sorterte samfunnene rett 12% oftere enn lekfolk. Videre fant vi at deltagerne likte samfunnene bedre jo mer artsrike de var. De likte også samfunn med jevn mengdefordeling mellom artene bedre enn at én art dominerte. Deltagerne likte best de samfunnene de selv trodde hadde størst biodiversitet.\n                \n                \n                  Fra studiet vårt konkluderer vi med at det er stor forskjell på hvor godt endring artsrikhet, artsjevnhet og artsoverlapp oppfattes. Studiet vårt indikerer også at de som har lært biologi bedre kan identifisere endringer i biodiversitet og at de liker høy biodiversitet best.\n                \n              \n            \n          , \n            Zusammenfassung\n            \n              \n                \n                  Pflanzliche Biodiversität ist grundlegend für Ökosystemleistungen. Dennoch ist Wissen darüber, wie Veränderungen der Biodiversität wahrgenommen werden, und darüber, ob hohe Biodiversität visuell gefällt, rar.\n                \n                \n                  In dieser Studie haben wir Biologen und Laien Bilder von Pflanzengemeinschaften (Pflanzenarten, die zusammenleben) gezeigt. Die Pflanzengemeinschaften unterschieden sich in ihrer Biodiversität in dreierlei Hinsicht. Die erste Bilderserie enthielt immer weniger Arten (16,8,4,2); ein Rückgang des Artenreichtums. In der zweiten Bilderserie nahm eine Art immer mehr Platz ein (12,5%, 33%,66%); eine Abnahme der Artenäquität. Die dritte Bilderserie bestand aus Kombinationen jeweils dreier Gemeinschaften, bestehend aus jeweils 8 Arten. Immer mehr dieser Arten (0, 4, 8) waren in allen drei Gemeinschaften vertreten; ein Rückgang des Artenwechsels. Alle drei Veränderungen stellen einen Biodiversitätsverlust dar, der Ökosystemleistungen verringern kann. Beispielsweise haben Untersuchungen gezeigt, dass Pflanzengemeinschaften bestehend aus 16 Arten mehr als 2,5‐mal so viel Biomasse produzieren können wie Gemeinschaften bestehend aus nur 2 Arten. Dies entspricht dem Bereich des Artenreichtums, den wir getestet haben.\n                \n                \n                  Wir haben unsere Befragten gebeten, die Bilder innerhalb einer Serie zu ordnen: erst von hoher zu geringer Diversität und dann ihrem eigenen Geschmack entsprechend.\n                \n                \n                  Wir stellten fest, dass Veränderungen im Artenreichtum von 77% der Befragten richtig sortiert wurden, im Vergleich zu 27% bei Artenäquität und 29% bei Artenwechsel. Biologen ordneten alle Kategorien 12% öfter deckungsgleich mit der tatsächlichen Biodiversität als Laien. Des Weiteren waren Pflanzengemeinschaften umso beliebter, je mehr Arten sie enthielten. Auch Pflanzengemeinschaften mit einer gleichmäßigen Verteilung (hohe Äquität) waren beliebter, als die bei denen eine Art dominierte. Wir fanden heraus, dass die Vorliebe für bestimmte Pflanzgemeinschaften am stärksten mit der wahrgenommenen Biodiversität zusammenhängt: den Befragten gefiel am besten, was ihrer Meinung nach am vielfältigsten war.\n                \n                \n                  Diese Ergebnisse weisen darauf hin, dass je mehr man über pflanzliche Biodiversität und ihre Vorteile weiß, desto besser können Veränderungen wahrgenommen werden und desto besser gefällt hohe Biodiversität.\n                \n              \n            \n          , \n            \n              Read the free\n              Plain Language Summary\n              for this article on the Journal blog.","container-title":"People and Nature","DOI":"10.1002/pan3.10455","ISSN":"2575-8314, 2575-8314","issue":"2","journalAbbreviation":"People and Nature","language":"en","page":"826-838","source":"DOI.org (Crossref)","title":"Perception and appreciation of plant biodiversity among experts and laypeople","volume":"5","author":[{"family":"Breitschopf","given":"Eva"},{"family":"Bråthen","given":"Kari Anne"}],"issued":{"date-parts":[["2023",4]]}}}],"schema":"https://github.com/citation-style-language/schema/raw/master/csl-citation.json"} </w:instrText>
      </w:r>
      <w:r w:rsidR="00C12E53" w:rsidRPr="00C05886">
        <w:fldChar w:fldCharType="separate"/>
      </w:r>
      <w:r w:rsidR="00C12E53" w:rsidRPr="00C05886">
        <w:rPr>
          <w:rFonts w:ascii="Calibri" w:hAnsi="Calibri" w:cs="Calibri"/>
          <w:szCs w:val="24"/>
        </w:rPr>
        <w:t>(Breitschopf and Bråthen, 2023)</w:t>
      </w:r>
      <w:r w:rsidR="00C12E53" w:rsidRPr="00C05886">
        <w:fldChar w:fldCharType="end"/>
      </w:r>
      <w:r w:rsidR="00C12E53" w:rsidRPr="00C05886">
        <w:t xml:space="preserve">. Perceptions are the results of a complex process, so there are limitations in trying to understand the mechanisms behind the overestimation. Those who took part in the experiments commonly rated both high and low biodiversity conditions at similar levels of perceived biodiversity. </w:t>
      </w:r>
      <w:r>
        <w:t>Overall</w:t>
      </w:r>
      <w:r w:rsidR="00C12E53" w:rsidRPr="00C05886">
        <w:t xml:space="preserve">, the findings from the four studies </w:t>
      </w:r>
      <w:r>
        <w:t>seem</w:t>
      </w:r>
      <w:r w:rsidRPr="00C05886">
        <w:t xml:space="preserve"> </w:t>
      </w:r>
      <w:r w:rsidR="00C12E53" w:rsidRPr="00C05886">
        <w:t xml:space="preserve">in line with the idea that the positive relationship between biodiversity and well-being is unconscious </w:t>
      </w:r>
      <w:r w:rsidR="00C12E53" w:rsidRPr="00C05886">
        <w:fldChar w:fldCharType="begin"/>
      </w:r>
      <w:r w:rsidR="00C12E53" w:rsidRPr="00C05886">
        <w:instrText xml:space="preserve"> ADDIN ZOTERO_ITEM CSL_CITATION {"citationID":"AWea4AVk","properties":{"formattedCitation":"(Hepburn {\\i{}et al.}, 2021)","plainCitation":"(Hepburn et al., 2021)","noteIndex":0},"citationItems":[{"id":10857,"uris":["http://zotero.org/users/10951124/items/RJZ4WJYV"],"itemData":{"id":10857,"type":"article-journal","abstract":"There is growing evidence that exposure to nature increases human well-being, including in urban areas. However, relatively few studies have linked subjective satisfaction to objective features of the environment. In this study we explore the links among objective environmental features (tree cover, water, and bird diversity) and subjective judgements of satisfaction. We surveyed residents of Ottawa, Canada (n = 1035) about their satisfaction with their local neighbourhoods. We then compared the survey responses to measures of nature near their homes, including bird diversity (number of bird species), tree canopy cover, and distance to water. After controlling for effects of income and subjective happiness, residents’ neighbourhood satisfaction was positively related to the number of bird species nearby, even before participants were prompted to consider nature. Residents’ appreciation of their local neigbourhood relative to others also increased with tree canopy cover and nearness to water. Unsolicited comments from participants following the survey indicated that while residents consciously appreciate trees and water, the relationship between bird diversity and neighbourhood satisfaction appears to be unconscious; very few of the participants mentioned birds. Based on these results, we speculate that a diverse local bird community may provoke feelings of satisfaction through their presence, activity, and songs. Our results create a compelling argument for city planners and individual residents to maintain bird-friendly spaces in urban areas.","container-title":"Land","DOI":"10.3390/land10020153","ISSN":"2073-445X","issue":"2","journalAbbreviation":"Land","language":"en","page":"153","source":"DOI.org (Crossref)","title":"Bird Diversity Unconsciously Increases People’s Satisfaction with Where They Live","volume":"10","author":[{"family":"Hepburn","given":"Lauren"},{"family":"Smith","given":"Adam C."},{"family":"Zelenski","given":"John"},{"family":"Fahrig","given":"Lenore"}],"issued":{"date-parts":[["2021",2,3]]}}}],"schema":"https://github.com/citation-style-language/schema/raw/master/csl-citation.json"} </w:instrText>
      </w:r>
      <w:r w:rsidR="00C12E53" w:rsidRPr="00C05886">
        <w:fldChar w:fldCharType="separate"/>
      </w:r>
      <w:r w:rsidR="00C12E53" w:rsidRPr="00C05886">
        <w:rPr>
          <w:rFonts w:ascii="Calibri" w:hAnsi="Calibri" w:cs="Calibri"/>
          <w:szCs w:val="24"/>
        </w:rPr>
        <w:t xml:space="preserve">(Hepburn </w:t>
      </w:r>
      <w:r w:rsidR="00C12E53" w:rsidRPr="00C05886">
        <w:rPr>
          <w:rFonts w:ascii="Calibri" w:hAnsi="Calibri" w:cs="Calibri"/>
          <w:i/>
          <w:iCs/>
          <w:szCs w:val="24"/>
        </w:rPr>
        <w:t>et al.</w:t>
      </w:r>
      <w:r w:rsidR="00C12E53" w:rsidRPr="00C05886">
        <w:rPr>
          <w:rFonts w:ascii="Calibri" w:hAnsi="Calibri" w:cs="Calibri"/>
          <w:szCs w:val="24"/>
        </w:rPr>
        <w:t>, 2021)</w:t>
      </w:r>
      <w:r w:rsidR="00C12E53" w:rsidRPr="00C05886">
        <w:fldChar w:fldCharType="end"/>
      </w:r>
      <w:r w:rsidR="00C12E53" w:rsidRPr="00C05886">
        <w:t xml:space="preserve">. </w:t>
      </w:r>
    </w:p>
    <w:p w14:paraId="06B24EAD" w14:textId="3D7EED5B" w:rsidR="00C12E53" w:rsidRPr="00C05886" w:rsidRDefault="001B29FC" w:rsidP="00B71AD6">
      <w:pPr>
        <w:pStyle w:val="Heading3"/>
      </w:pPr>
      <w:bookmarkStart w:id="175" w:name="_Toc179962413"/>
      <w:r>
        <w:t>N</w:t>
      </w:r>
      <w:r w:rsidR="00C12E53" w:rsidRPr="00C05886">
        <w:t xml:space="preserve">oticing </w:t>
      </w:r>
      <w:r w:rsidR="00E56B74">
        <w:t>elements of the species</w:t>
      </w:r>
      <w:r w:rsidR="00E56B74" w:rsidRPr="00C05886">
        <w:t xml:space="preserve"> </w:t>
      </w:r>
      <w:r w:rsidR="00E56B74">
        <w:t xml:space="preserve">richness </w:t>
      </w:r>
      <w:r>
        <w:t xml:space="preserve">could </w:t>
      </w:r>
      <w:r w:rsidR="00C12E53" w:rsidRPr="00C05886">
        <w:t>improve psychological well-being</w:t>
      </w:r>
      <w:bookmarkEnd w:id="175"/>
    </w:p>
    <w:p w14:paraId="4E2E4087" w14:textId="6DD5D404" w:rsidR="00C12E53" w:rsidRDefault="001B29FC" w:rsidP="001758F1">
      <w:r>
        <w:t>A</w:t>
      </w:r>
      <w:r w:rsidR="00C12E53" w:rsidRPr="00C05886">
        <w:t xml:space="preserve">lthough noticing </w:t>
      </w:r>
      <w:r w:rsidR="00E56B74">
        <w:t>the animals or the plants shown in the experiments</w:t>
      </w:r>
      <w:r w:rsidR="00E56B74" w:rsidRPr="00C05886">
        <w:t xml:space="preserve"> </w:t>
      </w:r>
      <w:r w:rsidR="00C12E53" w:rsidRPr="00C05886">
        <w:t>d</w:t>
      </w:r>
      <w:r>
        <w:t>id</w:t>
      </w:r>
      <w:r w:rsidR="00C12E53" w:rsidRPr="00C05886">
        <w:t xml:space="preserve"> not seem necessary to improve well-being, </w:t>
      </w:r>
      <w:r w:rsidR="00E56B74">
        <w:t xml:space="preserve">it was observed that </w:t>
      </w:r>
      <w:r w:rsidR="00C12E53" w:rsidRPr="00C05886">
        <w:t xml:space="preserve">those who were aware of some elements of </w:t>
      </w:r>
      <w:r w:rsidR="00E56B74">
        <w:t>the species richness</w:t>
      </w:r>
      <w:r w:rsidR="00E56B74" w:rsidRPr="00C05886">
        <w:t xml:space="preserve"> </w:t>
      </w:r>
      <w:r w:rsidR="00C12E53" w:rsidRPr="00C05886">
        <w:t xml:space="preserve">seemed to receive </w:t>
      </w:r>
      <w:r w:rsidR="00E56B74">
        <w:t>improved well-being</w:t>
      </w:r>
      <w:r w:rsidR="00C12E53" w:rsidRPr="00C05886">
        <w:t xml:space="preserve">. In Chapter 5, those who noticed the flowers used to increase the species richness showed high positive affect even when accounting for the perceived </w:t>
      </w:r>
      <w:r w:rsidR="00E56B74">
        <w:t>level of species richness</w:t>
      </w:r>
      <w:r w:rsidR="00C12E53" w:rsidRPr="00C05886">
        <w:t xml:space="preserve">. In Chapter 6, noticing the flowers, the birds and the trees was also associated with high positive affect. These </w:t>
      </w:r>
      <w:r w:rsidR="00E56B74">
        <w:t>results</w:t>
      </w:r>
      <w:r w:rsidR="00E56B74" w:rsidRPr="00C05886">
        <w:t xml:space="preserve"> </w:t>
      </w:r>
      <w:r w:rsidR="00C12E53" w:rsidRPr="00C05886">
        <w:t xml:space="preserve">are in line with the work of </w:t>
      </w:r>
      <w:r w:rsidR="00C12E53" w:rsidRPr="00C05886">
        <w:fldChar w:fldCharType="begin"/>
      </w:r>
      <w:r w:rsidR="00C12E53" w:rsidRPr="00C05886">
        <w:instrText xml:space="preserve"> ADDIN ZOTERO_ITEM CSL_CITATION {"citationID":"SU8paBu8","properties":{"formattedCitation":"(Passmore and Holder, 2017)","plainCitation":"(Passmore and Holder, 2017)","dontUpdate":true,"noteIndex":0},"citationItems":[{"id":9216,"uris":["http://zotero.org/users/10951124/items/EIDQ6DBB"],"itemData":{"id":9216,"type":"article-journal","container-title":"The Journal of Positive Psychology","DOI":"10.1080/17439760.2016.1221126","ISSN":"1743-9760","issue":"6","journalAbbreviation":"The Journal of Positive Psychology","note":"publisher: Routledge","page":"537-546","title":"Noticing nature: Individual and social benefits of a two-week intervention","volume":"12","author":[{"family":"Passmore","given":"Holli-Anne"},{"family":"Holder","given":"Mark D."}],"issued":{"date-parts":[["2017",11,2]]}}}],"schema":"https://github.com/citation-style-language/schema/raw/master/csl-citation.json"} </w:instrText>
      </w:r>
      <w:r w:rsidR="00C12E53" w:rsidRPr="00C05886">
        <w:fldChar w:fldCharType="separate"/>
      </w:r>
      <w:r w:rsidR="00C12E53" w:rsidRPr="00C05886">
        <w:rPr>
          <w:rFonts w:ascii="Calibri" w:hAnsi="Calibri" w:cs="Calibri"/>
        </w:rPr>
        <w:t>Passmore and Holder (2017)</w:t>
      </w:r>
      <w:r w:rsidR="00C12E53" w:rsidRPr="00C05886">
        <w:fldChar w:fldCharType="end"/>
      </w:r>
      <w:r w:rsidR="00C12E53" w:rsidRPr="00C05886">
        <w:t xml:space="preserve">, who showed that practising nature observation during normal activities improved both </w:t>
      </w:r>
      <w:r w:rsidR="00C12E53" w:rsidRPr="00C05886">
        <w:lastRenderedPageBreak/>
        <w:t xml:space="preserve">positive affect and connection to nature. However, Chapters 5 and 6 provide more precise evidence, directly linking noticing </w:t>
      </w:r>
      <w:r w:rsidR="00E56B74">
        <w:t>species</w:t>
      </w:r>
      <w:r w:rsidR="00C12E53" w:rsidRPr="00C05886">
        <w:t xml:space="preserve">, not just a broader collection of natural features, with the increase in positive affect. As reported by </w:t>
      </w:r>
      <w:r w:rsidR="00C12E53" w:rsidRPr="00C05886">
        <w:fldChar w:fldCharType="begin"/>
      </w:r>
      <w:r w:rsidR="00C12E53" w:rsidRPr="00C05886">
        <w:instrText xml:space="preserve"> ADDIN ZOTERO_ITEM CSL_CITATION {"citationID":"asXPIdRq","properties":{"formattedCitation":"(McEwan {\\i{}et al.}, 2019)","plainCitation":"(McEwan et al., 2019)","dontUpdate":true,"noteIndex":0},"citationItems":[{"id":7768,"uris":["http://zotero.org/users/10951124/items/U8DHWA8B"],"itemData":{"id":7768,"type":"article-journal","abstract":"In an increasingly urbanised world where mental health is currently in crisis, interventions to increase human engagement and connection with the natural environment are one of the fastest growing, most widely accessible, and cost-effective ways of improving human wellbeing. This study aimed to provide an evaluation of a smartphone app-based wellbeing intervention. In a randomised controlled trial study design, the app prompted 582 adults, including a subgroup of adults classified by baseline scores on the Recovering Quality of Life scale as having a common mental health problem (n = 148), to notice the good things about urban nature (intervention condition) or built spaces (active control). There were statistically significant and sustained improvements in wellbeing at one-month follow-up. Importantly, in the noticing urban nature condition, compared to a built space control, improvements in quality of life reached statistical significance for all adults and clinical significance for those classified as having a mental health difficulty. This improvement in wellbeing was partly explained by significant increases in nature connectedness and positive affect. This study provides the first controlled experimental evidence that noticing the good things about urban nature has strong clinical potential as a wellbeing intervention and social prescription.","container-title":"International Journal of Environmental Research and Public Health","DOI":"10.3390/ijerph16183373","ISSN":"16604601","issue":"18","note":"PMID: 31547286","page":"1-15","title":"A smartphone app for improving mental health through connecting with urban nature","volume":"16","author":[{"family":"McEwan","given":"Kirsten"},{"family":"Richardson","given":"Miles"},{"family":"Sheffield","given":"David"},{"family":"Ferguson","given":"Fiona J."},{"family":"Brindley","given":"Paul"}],"issued":{"date-parts":[["2019"]]}}}],"schema":"https://github.com/citation-style-language/schema/raw/master/csl-citation.json"} </w:instrText>
      </w:r>
      <w:r w:rsidR="00C12E53" w:rsidRPr="00C05886">
        <w:fldChar w:fldCharType="separate"/>
      </w:r>
      <w:r w:rsidR="00C12E53" w:rsidRPr="00C05886">
        <w:rPr>
          <w:rFonts w:ascii="Calibri" w:hAnsi="Calibri" w:cs="Calibri"/>
          <w:szCs w:val="24"/>
        </w:rPr>
        <w:t xml:space="preserve">McEwan </w:t>
      </w:r>
      <w:r w:rsidR="00C12E53" w:rsidRPr="00C05886">
        <w:rPr>
          <w:rFonts w:ascii="Calibri" w:hAnsi="Calibri" w:cs="Calibri"/>
          <w:i/>
          <w:iCs/>
          <w:szCs w:val="24"/>
        </w:rPr>
        <w:t>et al.</w:t>
      </w:r>
      <w:r w:rsidR="00C12E53" w:rsidRPr="00C05886">
        <w:rPr>
          <w:rFonts w:ascii="Calibri" w:hAnsi="Calibri" w:cs="Calibri"/>
          <w:szCs w:val="24"/>
        </w:rPr>
        <w:t xml:space="preserve"> (2019)</w:t>
      </w:r>
      <w:r w:rsidR="00C12E53" w:rsidRPr="00C05886">
        <w:fldChar w:fldCharType="end"/>
      </w:r>
      <w:r w:rsidR="00C12E53" w:rsidRPr="00C05886">
        <w:t xml:space="preserve">, the effects of noticing nature can lead to long-standing improvements in well-being. Noticing biodiversity could then lay the basis for new social prescriptions to improve well-being </w:t>
      </w:r>
      <w:r w:rsidR="00C12E53" w:rsidRPr="00C05886">
        <w:fldChar w:fldCharType="begin"/>
      </w:r>
      <w:r w:rsidR="00C12E53" w:rsidRPr="00C05886">
        <w:instrText xml:space="preserve"> ADDIN ZOTERO_ITEM CSL_CITATION {"citationID":"zOC5v4UY","properties":{"formattedCitation":"(McEwan {\\i{}et al.}, 2021)","plainCitation":"(McEwan et al., 2021)","noteIndex":0},"citationItems":[{"id":7790,"uris":["http://zotero.org/users/10951124/items/8Q6RUEAT"],"itemData":{"id":7790,"type":"article-journal","abstract":"Forest Bathing, where individuals use mindfulness to engage with nature, has been reported to increase heart rate variability and benefit wellbeing. To date, most Forest Bathing studies have been conducted in Asia. Accordingly, this paper reports the first pragmatic controlled trial of Forest Bathing in the United Kingdom, comparing Forest Bathing with a control comprising an established wellbeing intervention also known to increase heart rate variability called Compassionate Mind Training. Sixty-one university staff and students (50 females, 11 males) were allocated to (i) Forest Bathing, (ii) Compassionate Mind Training or (iii) Forest Bathing combined with Compassionate Mind Training. Wellbeing and heart rate variability were measured at baseline, post-inter-vention and three-months follow-up. There were improvements in positive emotions, mood dis-turbance, rumination, nature connection and compassion and 57% of participants showed an increase in heart rate variability. There were no significant differences between conditions, showing that Forest Bathing had equivalence with an established wellbeing intervention. The findings will help healthcare providers and policy makers to understand the effects of Forest Bathing and implement it as a feasible social prescription to improve wellbeing. Future research needs to involve clinical populations and to assess the effects of Forest Bathing in a fully powered randomised controlled trial.","container-title":"Sustainability (Switzerland)","DOI":"10.3390/su13031380","ISSN":"20711050","issue":"3","page":"1-20","title":"A pragmatic controlled trial of forest bathing compared with compassionate mind training in the UK: Impacts on self-reported wellbeing and heart rate variability","volume":"13","author":[{"family":"McEwan","given":"Kirsten"},{"family":"Giles","given":"David"},{"family":"Clarke","given":"Fiona J."},{"family":"Kotera","given":"Yasu"},{"family":"Evans","given":"Gary"},{"family":"Terebenina","given":"Olga"},{"family":"Minou","given":"Lina"},{"family":"Teeling","given":"Claire"},{"family":"Basran","given":"Jaskaran"},{"family":"Wood","given":"Wendy"},{"family":"Weil","given":"Dominic"}],"issued":{"date-parts":[["2021"]]}}}],"schema":"https://github.com/citation-style-language/schema/raw/master/csl-citation.json"} </w:instrText>
      </w:r>
      <w:r w:rsidR="00C12E53" w:rsidRPr="00C05886">
        <w:fldChar w:fldCharType="separate"/>
      </w:r>
      <w:r w:rsidR="00C12E53" w:rsidRPr="00C05886">
        <w:rPr>
          <w:rFonts w:ascii="Calibri" w:hAnsi="Calibri" w:cs="Calibri"/>
          <w:szCs w:val="24"/>
        </w:rPr>
        <w:t xml:space="preserve">(McEwan </w:t>
      </w:r>
      <w:r w:rsidR="00C12E53" w:rsidRPr="00C05886">
        <w:rPr>
          <w:rFonts w:ascii="Calibri" w:hAnsi="Calibri" w:cs="Calibri"/>
          <w:i/>
          <w:iCs/>
          <w:szCs w:val="24"/>
        </w:rPr>
        <w:t>et al.</w:t>
      </w:r>
      <w:r w:rsidR="00C12E53" w:rsidRPr="00C05886">
        <w:rPr>
          <w:rFonts w:ascii="Calibri" w:hAnsi="Calibri" w:cs="Calibri"/>
          <w:szCs w:val="24"/>
        </w:rPr>
        <w:t>, 2021)</w:t>
      </w:r>
      <w:r w:rsidR="00C12E53" w:rsidRPr="00C05886">
        <w:fldChar w:fldCharType="end"/>
      </w:r>
      <w:r w:rsidR="00C12E53" w:rsidRPr="00C05886">
        <w:t>.</w:t>
      </w:r>
    </w:p>
    <w:p w14:paraId="14EED82D" w14:textId="0EBA7753" w:rsidR="00F1058E" w:rsidRDefault="00D55FCA" w:rsidP="005D7515">
      <w:pPr>
        <w:pStyle w:val="Heading2"/>
      </w:pPr>
      <w:bookmarkStart w:id="176" w:name="_Toc179962414"/>
      <w:r>
        <w:t>A critical reflection on the results chapters</w:t>
      </w:r>
      <w:bookmarkEnd w:id="176"/>
    </w:p>
    <w:p w14:paraId="37476491" w14:textId="003807D0" w:rsidR="009C262F" w:rsidRDefault="009C262F" w:rsidP="005D7515">
      <w:pPr>
        <w:pStyle w:val="Heading3"/>
      </w:pPr>
      <w:bookmarkStart w:id="177" w:name="_Toc179962415"/>
      <w:r>
        <w:t>Critical reflection on chapter 4</w:t>
      </w:r>
      <w:bookmarkEnd w:id="177"/>
    </w:p>
    <w:p w14:paraId="48E9E4FE" w14:textId="1FA19DD3" w:rsidR="009C262F" w:rsidRDefault="009C262F" w:rsidP="009C262F">
      <w:r>
        <w:t>Being based on a pre-existent data</w:t>
      </w:r>
      <w:r w:rsidR="00DB6167">
        <w:t>set</w:t>
      </w:r>
      <w:r>
        <w:t xml:space="preserve">, this chapter shares several limitations of the original data collection. In a publication detailing the development of the app </w:t>
      </w:r>
      <w:r>
        <w:fldChar w:fldCharType="begin"/>
      </w:r>
      <w:r w:rsidR="00A35208">
        <w:instrText xml:space="preserve"> ADDIN ZOTERO_ITEM CSL_CITATION {"citationID":"llywHycM","properties":{"formattedCitation":"(McEwan, Richardson, {\\i{}et al.}, 2020)","plainCitation":"(McEwan, Richardson, et al., 2020)","noteIndex":0},"citationItems":[{"id":"6pP8vKpK/aRS9nm8P","uris":["http://www.mendeley.com/documents/?uuid=b9a1039b-d222-4fb4-9097-3612f3496dc2"],"itemData":{"DOI":"10.1093/tbm/ibz027","ISSN":"1869-6716","abstract":"The majority of research to date on the links between well-being and green spaces comes from cross-sectional studies. Shmapped is an app that allows for the collection of well-being and location data live in the field and acts as a novel dual data collection tool and well-being intervention, which prompts users to notice the good things about their surroundings. We describe the process of developing Shmapped from storyboarding, budgeting, and timescales; selecting a developer; drawing up data protection plans; and collaborating with developers and end-user testers to ultimately publishing Shmapped. The development process and end-user testing resulted in a highly functional app. Limitations and future uses of such novel dual data collection and intervention apps are discussed and recommendations are made for prospective developers and researchers.","author":[{"dropping-particle":"","family":"McEwan","given":"Kirsten","non-dropping-particle":"","parse-names":false,"suffix":""},{"dropping-particle":"","family":"Richardson","given":"Miles","non-dropping-particle":"","parse-names":false,"suffix":""},{"dropping-particle":"","family":"Brindley","given":"Paul","non-dropping-particle":"","parse-names":false,"suffix":""},{"dropping-particle":"","family":"Sheffield","given":"David","non-dropping-particle":"","parse-names":false,"suffix":""},{"dropping-particle":"","family":"Tait","given":"Crawford","non-dropping-particle":"","parse-names":false,"suffix":""},{"dropping-particle":"","family":"Johnson","given":"Steve","non-dropping-particle":"","parse-names":false,"suffix":""},{"dropping-particle":"","family":"Sutch","given":"Hana","non-dropping-particle":"","parse-names":false,"suffix":""},{"dropping-particle":"","family":"Ferguson","given":"Fiona J","non-dropping-particle":"","parse-names":false,"suffix":""}],"container-title":"Translational Behavioral Medicine","id":"BtZzhtFa/aWGTgLMy","issue":"3","issued":{"date-parts":[["2020","8","7"]]},"page":"723-733","title":"Shmapped: development of an app to record and promote the well-being benefits of noticing urban nature","type":"article-journal","volume":"10"}}],"schema":"https://github.com/citation-style-language/schema/raw/master/csl-citation.json"} </w:instrText>
      </w:r>
      <w:r>
        <w:fldChar w:fldCharType="separate"/>
      </w:r>
      <w:r w:rsidRPr="006A3F49">
        <w:rPr>
          <w:rFonts w:ascii="Calibri" w:hAnsi="Calibri" w:cs="Calibri"/>
          <w:szCs w:val="24"/>
        </w:rPr>
        <w:t xml:space="preserve">(McEwan, Richardson, </w:t>
      </w:r>
      <w:r w:rsidRPr="006A3F49">
        <w:rPr>
          <w:rFonts w:ascii="Calibri" w:hAnsi="Calibri" w:cs="Calibri"/>
          <w:i/>
          <w:iCs/>
          <w:szCs w:val="24"/>
        </w:rPr>
        <w:t>et al.</w:t>
      </w:r>
      <w:r w:rsidRPr="006A3F49">
        <w:rPr>
          <w:rFonts w:ascii="Calibri" w:hAnsi="Calibri" w:cs="Calibri"/>
          <w:szCs w:val="24"/>
        </w:rPr>
        <w:t>, 2020)</w:t>
      </w:r>
      <w:r>
        <w:fldChar w:fldCharType="end"/>
      </w:r>
      <w:r>
        <w:t xml:space="preserve">, the researchers reported that the wording </w:t>
      </w:r>
      <w:r w:rsidR="00DB6167">
        <w:t>chosen for</w:t>
      </w:r>
      <w:r>
        <w:t xml:space="preserve"> the</w:t>
      </w:r>
      <w:r w:rsidR="00DB6167">
        <w:t xml:space="preserve"> </w:t>
      </w:r>
      <w:proofErr w:type="spellStart"/>
      <w:r w:rsidR="00DB6167">
        <w:t>Shmapped</w:t>
      </w:r>
      <w:proofErr w:type="spellEnd"/>
      <w:r>
        <w:t xml:space="preserve"> prompts was developed</w:t>
      </w:r>
      <w:r w:rsidR="00DB6167">
        <w:t xml:space="preserve"> based on the feedback received by</w:t>
      </w:r>
      <w:r>
        <w:t xml:space="preserve"> Sheffield residents. Overall, it seems the intention was to keep the intrusiveness of the prompts to a minimum, allowing the participants to continue with their activities relatively undisturbed. However, only technical feedback was reported in the aforementioned publication (e.g. desired number of prompts per day) while little is said about the choices made to measure perceived species richness, recent exposure to green spaces and exposure to green spaces during childhood. The review of the dataset and its supplementary materials </w:t>
      </w:r>
      <w:r>
        <w:fldChar w:fldCharType="begin"/>
      </w:r>
      <w:r>
        <w:instrText xml:space="preserve"> ADDIN ZOTERO_ITEM CSL_CITATION {"citationID":"iDVpDJXd","properties":{"formattedCitation":"(Richardson {\\i{}et al.}, 2020)","plainCitation":"(Richardson et al., 2020)","noteIndex":0},"citationItems":[{"id":10927,"uris":["http://zotero.org/users/10951124/items/NZYTTAUY"],"itemData":{"id":10927,"type":"dataset","DOI":"10.5255/UKDA-SN-854203","publisher":"UK Data Service","source":"DOI.org (Datacite)","title":"Data from a smartphone app for improving mental health through urban nature 2016-2019","URL":"http://reshare.ukdataservice.ac.uk/id/eprint/854203","author":[{"family":"Richardson","given":"Miles"},{"family":"McEwan","given":"Kirsten"},{"family":"Sheffield","given":"David"},{"family":"Ferguson","given":"Fiona J."},{"family":"Brindley","given":"Paul"}],"accessed":{"date-parts":[["2024",1,18]]},"issued":{"date-parts":[["2020"]]}}}],"schema":"https://github.com/citation-style-language/schema/raw/master/csl-citation.json"} </w:instrText>
      </w:r>
      <w:r>
        <w:fldChar w:fldCharType="separate"/>
      </w:r>
      <w:r w:rsidRPr="00735810">
        <w:rPr>
          <w:rFonts w:ascii="Calibri" w:hAnsi="Calibri" w:cs="Calibri"/>
          <w:szCs w:val="24"/>
        </w:rPr>
        <w:t xml:space="preserve">(Richardson </w:t>
      </w:r>
      <w:r w:rsidRPr="00735810">
        <w:rPr>
          <w:rFonts w:ascii="Calibri" w:hAnsi="Calibri" w:cs="Calibri"/>
          <w:i/>
          <w:iCs/>
          <w:szCs w:val="24"/>
        </w:rPr>
        <w:t>et al.</w:t>
      </w:r>
      <w:r w:rsidRPr="00735810">
        <w:rPr>
          <w:rFonts w:ascii="Calibri" w:hAnsi="Calibri" w:cs="Calibri"/>
          <w:szCs w:val="24"/>
        </w:rPr>
        <w:t>, 2020)</w:t>
      </w:r>
      <w:r>
        <w:fldChar w:fldCharType="end"/>
      </w:r>
      <w:r>
        <w:t xml:space="preserve"> revealed the following:</w:t>
      </w:r>
    </w:p>
    <w:p w14:paraId="5002C7B4" w14:textId="2AFBDF99" w:rsidR="009C262F" w:rsidRDefault="009C262F" w:rsidP="009C262F">
      <w:pPr>
        <w:pStyle w:val="ListParagraph"/>
        <w:numPr>
          <w:ilvl w:val="0"/>
          <w:numId w:val="37"/>
        </w:numPr>
      </w:pPr>
      <w:r>
        <w:t xml:space="preserve">The testers expressed feelings of being “pressured to count species” when asked to rate the environment in which they received the prompt. Therefore, the use of the wording “How many types of […] would you guess were there” and the four categories </w:t>
      </w:r>
      <w:r w:rsidR="00E61848">
        <w:t>were</w:t>
      </w:r>
      <w:r>
        <w:t xml:space="preserve"> adopted.</w:t>
      </w:r>
    </w:p>
    <w:p w14:paraId="15B41FA8" w14:textId="2BD14DCF" w:rsidR="009C262F" w:rsidRDefault="009C262F" w:rsidP="009C262F">
      <w:pPr>
        <w:pStyle w:val="ListParagraph"/>
        <w:numPr>
          <w:ilvl w:val="0"/>
          <w:numId w:val="37"/>
        </w:numPr>
      </w:pPr>
      <w:r>
        <w:t xml:space="preserve">Similarly, testers suggested that the categorisation of species should have been broad and limited to easily identified groups such as “plants, trees, animals”, to avoid negative </w:t>
      </w:r>
      <w:r w:rsidR="00E61848">
        <w:t>reactions</w:t>
      </w:r>
      <w:r>
        <w:t xml:space="preserve"> (e.g. feelings of judgement) towards more technical words.</w:t>
      </w:r>
    </w:p>
    <w:p w14:paraId="3A2F2CA6" w14:textId="7A24FC2E" w:rsidR="009C262F" w:rsidRDefault="009C262F" w:rsidP="009C262F">
      <w:r>
        <w:t xml:space="preserve">This approach may have reduced the intrusiveness of the prompt and </w:t>
      </w:r>
      <w:r w:rsidR="00FC15CB">
        <w:t>limited</w:t>
      </w:r>
      <w:r>
        <w:t xml:space="preserve"> the questionnaire</w:t>
      </w:r>
      <w:r w:rsidR="00FC15CB">
        <w:t>’s</w:t>
      </w:r>
      <w:r>
        <w:t xml:space="preserve"> </w:t>
      </w:r>
      <w:r w:rsidR="00FC15CB">
        <w:t>completion time</w:t>
      </w:r>
      <w:r>
        <w:t>. However, the loosely defined Likert scale (</w:t>
      </w:r>
      <w:r w:rsidR="00E61848">
        <w:t>i.e.</w:t>
      </w:r>
      <w:r>
        <w:t xml:space="preserve"> </w:t>
      </w:r>
      <w:r w:rsidR="00FC15CB">
        <w:t>from “</w:t>
      </w:r>
      <w:r>
        <w:t>none</w:t>
      </w:r>
      <w:r w:rsidR="00FC15CB">
        <w:t>”</w:t>
      </w:r>
      <w:r>
        <w:t xml:space="preserve"> to </w:t>
      </w:r>
      <w:r w:rsidR="00FC15CB">
        <w:t>“</w:t>
      </w:r>
      <w:r>
        <w:t>lots</w:t>
      </w:r>
      <w:r w:rsidR="00FC15CB">
        <w:t>”</w:t>
      </w:r>
      <w:r>
        <w:t>) remains subjective and prevents further quantification of the perceived number of species, as each participant may have had a different interpretation of the word “Lots” or “</w:t>
      </w:r>
      <w:r w:rsidR="00FC15CB">
        <w:t>A</w:t>
      </w:r>
      <w:r>
        <w:t xml:space="preserve"> few”. A similar wording, and a similar Likert scale, were used by Fuller et al. (2007), although they asked separate questions for plants, butterflies and birds and provided sample numbers to each category of the Likert scale to help the participants in their estimation. However, doing this would have gone against the </w:t>
      </w:r>
      <w:r>
        <w:lastRenderedPageBreak/>
        <w:t>feedback received during the app development and</w:t>
      </w:r>
      <w:r w:rsidR="00FC15CB">
        <w:t xml:space="preserve"> measuring</w:t>
      </w:r>
      <w:r>
        <w:t xml:space="preserve"> </w:t>
      </w:r>
      <w:r w:rsidR="00FC15CB">
        <w:t>species richness</w:t>
      </w:r>
      <w:r>
        <w:t xml:space="preserve"> was not the main focus of the study </w:t>
      </w:r>
      <w:r>
        <w:fldChar w:fldCharType="begin"/>
      </w:r>
      <w:r w:rsidR="00A35208">
        <w:instrText xml:space="preserve"> ADDIN ZOTERO_ITEM CSL_CITATION {"citationID":"Zru3R7W3","properties":{"formattedCitation":"(McEwan, Richardson, {\\i{}et al.}, 2020)","plainCitation":"(McEwan, Richardson, et al., 2020)","noteIndex":0},"citationItems":[{"id":"6pP8vKpK/aRS9nm8P","uris":["http://www.mendeley.com/documents/?uuid=b9a1039b-d222-4fb4-9097-3612f3496dc2"],"itemData":{"DOI":"10.1093/tbm/ibz027","ISSN":"1869-6716","abstract":"The majority of research to date on the links between well-being and green spaces comes from cross-sectional studies. Shmapped is an app that allows for the collection of well-being and location data live in the field and acts as a novel dual data collection tool and well-being intervention, which prompts users to notice the good things about their surroundings. We describe the process of developing Shmapped from storyboarding, budgeting, and timescales; selecting a developer; drawing up data protection plans; and collaborating with developers and end-user testers to ultimately publishing Shmapped. The development process and end-user testing resulted in a highly functional app. Limitations and future uses of such novel dual data collection and intervention apps are discussed and recommendations are made for prospective developers and researchers.","author":[{"dropping-particle":"","family":"McEwan","given":"Kirsten","non-dropping-particle":"","parse-names":false,"suffix":""},{"dropping-particle":"","family":"Richardson","given":"Miles","non-dropping-particle":"","parse-names":false,"suffix":""},{"dropping-particle":"","family":"Brindley","given":"Paul","non-dropping-particle":"","parse-names":false,"suffix":""},{"dropping-particle":"","family":"Sheffield","given":"David","non-dropping-particle":"","parse-names":false,"suffix":""},{"dropping-particle":"","family":"Tait","given":"Crawford","non-dropping-particle":"","parse-names":false,"suffix":""},{"dropping-particle":"","family":"Johnson","given":"Steve","non-dropping-particle":"","parse-names":false,"suffix":""},{"dropping-particle":"","family":"Sutch","given":"Hana","non-dropping-particle":"","parse-names":false,"suffix":""},{"dropping-particle":"","family":"Ferguson","given":"Fiona J","non-dropping-particle":"","parse-names":false,"suffix":""}],"container-title":"Translational Behavioral Medicine","id":"BtZzhtFa/aWGTgLMy","issue":"3","issued":{"date-parts":[["2020","8","7"]]},"page":"723-733","title":"Shmapped: development of an app to record and promote the well-being benefits of noticing urban nature","type":"article-journal","volume":"10"}}],"schema":"https://github.com/citation-style-language/schema/raw/master/csl-citation.json"} </w:instrText>
      </w:r>
      <w:r>
        <w:fldChar w:fldCharType="separate"/>
      </w:r>
      <w:r w:rsidRPr="006A3F49">
        <w:rPr>
          <w:rFonts w:ascii="Calibri" w:hAnsi="Calibri" w:cs="Calibri"/>
          <w:szCs w:val="24"/>
        </w:rPr>
        <w:t xml:space="preserve">(McEwan, Richardson, </w:t>
      </w:r>
      <w:r w:rsidRPr="006A3F49">
        <w:rPr>
          <w:rFonts w:ascii="Calibri" w:hAnsi="Calibri" w:cs="Calibri"/>
          <w:i/>
          <w:iCs/>
          <w:szCs w:val="24"/>
        </w:rPr>
        <w:t>et al.</w:t>
      </w:r>
      <w:r w:rsidRPr="006A3F49">
        <w:rPr>
          <w:rFonts w:ascii="Calibri" w:hAnsi="Calibri" w:cs="Calibri"/>
          <w:szCs w:val="24"/>
        </w:rPr>
        <w:t>, 2020)</w:t>
      </w:r>
      <w:r>
        <w:fldChar w:fldCharType="end"/>
      </w:r>
      <w:r>
        <w:t>.</w:t>
      </w:r>
    </w:p>
    <w:p w14:paraId="3ED0B41F" w14:textId="0E1F159B" w:rsidR="009C262F" w:rsidRDefault="009C262F" w:rsidP="009C262F">
      <w:r>
        <w:t xml:space="preserve">Other measures in the original study were gauged without showing extra information to the participants, including self-reported well-being, nature connectedness and recent/childhood exposure to outdoor environments. Single-item scales such as these tend to be less reliable measures than multi-item equivalents </w:t>
      </w:r>
      <w:r>
        <w:fldChar w:fldCharType="begin"/>
      </w:r>
      <w:r>
        <w:instrText xml:space="preserve"> ADDIN ZOTERO_ITEM CSL_CITATION {"citationID":"Nv9jriWq","properties":{"formattedCitation":"(Diamantopoulos {\\i{}et al.}, 2012)","plainCitation":"(Diamantopoulos et al., 2012)","noteIndex":0},"citationItems":[{"id":11315,"uris":["http://zotero.org/users/10951124/items/IVTBY53W"],"itemData":{"id":11315,"type":"article-journal","container-title":"Journal of the Academy of Marketing Science","DOI":"10.1007/s11747-011-0300-3","ISSN":"0092-0703, 1552-7824","issue":"3","journalAbbreviation":"J. of the Acad. Mark. Sci.","language":"en","note":"publisher: Springer Science and Business Media LLC","page":"434-449","source":"Crossref","title":"Guidelines for choosing between multi-item and single-item scales for construct measurement: a predictive validity perspective","title-short":"Guidelines for choosing between multi-item and single-item scales for construct measurement","volume":"40","author":[{"family":"Diamantopoulos","given":"Adamantios"},{"family":"Sarstedt","given":"Marko"},{"family":"Fuchs","given":"Christoph"},{"family":"Wilczynski","given":"Petra"},{"family":"Kaiser","given":"Sebastian"}],"issued":{"date-parts":[["2012",5]]}}}],"schema":"https://github.com/citation-style-language/schema/raw/master/csl-citation.json"} </w:instrText>
      </w:r>
      <w:r>
        <w:fldChar w:fldCharType="separate"/>
      </w:r>
      <w:r w:rsidRPr="001D3BA9">
        <w:rPr>
          <w:rFonts w:ascii="Calibri" w:hAnsi="Calibri" w:cs="Calibri"/>
          <w:szCs w:val="24"/>
        </w:rPr>
        <w:t xml:space="preserve">(Diamantopoulos </w:t>
      </w:r>
      <w:r w:rsidRPr="001D3BA9">
        <w:rPr>
          <w:rFonts w:ascii="Calibri" w:hAnsi="Calibri" w:cs="Calibri"/>
          <w:i/>
          <w:iCs/>
          <w:szCs w:val="24"/>
        </w:rPr>
        <w:t>et al.</w:t>
      </w:r>
      <w:r w:rsidRPr="001D3BA9">
        <w:rPr>
          <w:rFonts w:ascii="Calibri" w:hAnsi="Calibri" w:cs="Calibri"/>
          <w:szCs w:val="24"/>
        </w:rPr>
        <w:t>, 2012)</w:t>
      </w:r>
      <w:r>
        <w:fldChar w:fldCharType="end"/>
      </w:r>
      <w:r>
        <w:t xml:space="preserve">, although there are circumstances that would make the use of single-item scales more reliable (e.g. small sample size, frequent measurements, semantic redundancy of items). Single-item scales have been shown to be strongly associated (i.e. good alternatives) </w:t>
      </w:r>
      <w:r w:rsidR="00E61848">
        <w:t>with</w:t>
      </w:r>
      <w:r>
        <w:t xml:space="preserve"> multi-item scales for certain constructs such as pain </w:t>
      </w:r>
      <w:r>
        <w:fldChar w:fldCharType="begin"/>
      </w:r>
      <w:r>
        <w:instrText xml:space="preserve"> ADDIN ZOTERO_ITEM CSL_CITATION {"citationID":"cPzEIsCi","properties":{"formattedCitation":"(Jensen {\\i{}et al.}, 2003)","plainCitation":"(Jensen et al., 2003)","noteIndex":0},"citationItems":[{"id":11317,"uris":["http://zotero.org/users/10951124/items/P64ZSGPG"],"itemData":{"id":11317,"type":"article-journal","container-title":"Pain","DOI":"10.1016/s0304-3959(03)00076-9","ISSN":"0304-3959","issue":"3","language":"en","note":"publisher: Ovid Technologies (Wolters Kluwer Health)","page":"453-469","source":"Crossref","title":"One- and two-item measures of pain beliefs and coping strategies","volume":"104","author":[{"family":"Jensen","given":"Mark P"},{"family":"Keefe","given":"Francis J"},{"family":"Lefebvre","given":"John C"},{"family":"Romano","given":"Joan M"},{"family":"Turner","given":"Judith A"}],"issued":{"date-parts":[["2003",8]]}}}],"schema":"https://github.com/citation-style-language/schema/raw/master/csl-citation.json"} </w:instrText>
      </w:r>
      <w:r>
        <w:fldChar w:fldCharType="separate"/>
      </w:r>
      <w:r w:rsidRPr="001D3BA9">
        <w:rPr>
          <w:rFonts w:ascii="Calibri" w:hAnsi="Calibri" w:cs="Calibri"/>
          <w:szCs w:val="24"/>
        </w:rPr>
        <w:t xml:space="preserve">(Jensen </w:t>
      </w:r>
      <w:r w:rsidRPr="001D3BA9">
        <w:rPr>
          <w:rFonts w:ascii="Calibri" w:hAnsi="Calibri" w:cs="Calibri"/>
          <w:i/>
          <w:iCs/>
          <w:szCs w:val="24"/>
        </w:rPr>
        <w:t>et al.</w:t>
      </w:r>
      <w:r w:rsidRPr="001D3BA9">
        <w:rPr>
          <w:rFonts w:ascii="Calibri" w:hAnsi="Calibri" w:cs="Calibri"/>
          <w:szCs w:val="24"/>
        </w:rPr>
        <w:t>, 2003)</w:t>
      </w:r>
      <w:r>
        <w:fldChar w:fldCharType="end"/>
      </w:r>
      <w:r>
        <w:t xml:space="preserve"> or happiness </w:t>
      </w:r>
      <w:r>
        <w:fldChar w:fldCharType="begin"/>
      </w:r>
      <w:r>
        <w:instrText xml:space="preserve"> ADDIN ZOTERO_ITEM CSL_CITATION {"citationID":"5769cmJF","properties":{"formattedCitation":"(Abdel-Khalek, 2006)","plainCitation":"(Abdel-Khalek, 2006)","noteIndex":0},"citationItems":[{"id":11314,"uris":["http://zotero.org/users/10951124/items/ISDB27XK"],"itemData":{"id":11314,"type":"article-journal","abstract":"This study examined the accuracy of measuring happiness by a single item (Do you feel happy in general?) answered on an 11-point scale (0–10). Its temporal stability was 0.86. The correlations between the single item and both the Oxford Happiness Inventory (OHI; Argyle, Martin, &amp; Lu, 1995; Hills &amp; Argyle, 1998) and the Satisfaction with Life Scale (Diener, Emmons, Larsen, &amp; Griffin, 1985; Pavot &amp; Diener, 1993) were highly significant and positive, denoting good concurrent validity. Moreover, the single item had a good convergent validity because it was highly and positively correlated with optimism, hope, self-esteem, positive affect, extraversion, and self-ratings of both physical and mental health. Furthermore, the divergent validity of the single item has been adequately demonstrated through its significant and negative correlations with anxiety, pessimism, negative affect, and insomnia. It was concluded that measuring happiness by a single item is reliable, valid, and viable in community surveys as well as in cross-cultural comparisons.","container-title":"Social Behavior and Personality: an international journal","DOI":"10.2224/sbp.2006.34.2.139","ISSN":"0301-2212","issue":"2","journalAbbreviation":"soc behav pers","language":"en","note":"publisher: Scientific Journal Publishers Ltd","page":"139-150","source":"Crossref","title":"Measuring happiness by a single-item scale","volume":"34","author":[{"family":"Abdel-Khalek","given":"Ahmed M."}],"issued":{"date-parts":[["2006",1,1]]}}}],"schema":"https://github.com/citation-style-language/schema/raw/master/csl-citation.json"} </w:instrText>
      </w:r>
      <w:r>
        <w:fldChar w:fldCharType="separate"/>
      </w:r>
      <w:r w:rsidRPr="001D3BA9">
        <w:rPr>
          <w:rFonts w:ascii="Calibri" w:hAnsi="Calibri" w:cs="Calibri"/>
        </w:rPr>
        <w:t>(Abdel-Khalek, 2006)</w:t>
      </w:r>
      <w:r>
        <w:fldChar w:fldCharType="end"/>
      </w:r>
      <w:r>
        <w:t xml:space="preserve">. Subjective well-being has also been measured with a single-item scale with good reliability without disrupting normal working activities </w:t>
      </w:r>
      <w:r>
        <w:fldChar w:fldCharType="begin"/>
      </w:r>
      <w:r>
        <w:instrText xml:space="preserve"> ADDIN ZOTERO_ITEM CSL_CITATION {"citationID":"jFyiTzkX","properties":{"formattedCitation":"(Williams and Smith, 2016)","plainCitation":"(Williams and Smith, 2016)","dontUpdate":true,"noteIndex":0},"citationItems":[{"id":11318,"uris":["http://zotero.org/users/10951124/items/DCZ9EJV7"],"itemData":{"id":11318,"type":"article-journal","container-title":"Psychology","DOI":"10.4236/psych.2016.76078","ISSN":"2152-7180, 2152-7199","issue":"06","journalAbbreviation":"PSYCH","license":"http://creativecommons.org/licenses/by/4.0/","note":"publisher: Scientific Research Publishing, Inc.","page":"753-767","source":"Crossref","title":"Using Single-Item Measures to Examine the Relationships between Work, Personality, and Well-Being in the Workplace","volume":"07","author":[{"family":"Williams","given":"Gary M."},{"family":"Smith","given":"Andrew P."}],"issued":{"date-parts":[["2016"]]}}}],"schema":"https://github.com/citation-style-language/schema/raw/master/csl-citation.json"} </w:instrText>
      </w:r>
      <w:r>
        <w:fldChar w:fldCharType="separate"/>
      </w:r>
      <w:r w:rsidRPr="001D3BA9">
        <w:rPr>
          <w:rFonts w:ascii="Calibri" w:hAnsi="Calibri" w:cs="Calibri"/>
        </w:rPr>
        <w:t>(</w:t>
      </w:r>
      <w:r>
        <w:rPr>
          <w:rFonts w:ascii="Calibri" w:hAnsi="Calibri" w:cs="Calibri"/>
        </w:rPr>
        <w:t xml:space="preserve">e.g. </w:t>
      </w:r>
      <w:r w:rsidRPr="001D3BA9">
        <w:rPr>
          <w:rFonts w:ascii="Calibri" w:hAnsi="Calibri" w:cs="Calibri"/>
        </w:rPr>
        <w:t>Williams and Smith, 2016)</w:t>
      </w:r>
      <w:r>
        <w:fldChar w:fldCharType="end"/>
      </w:r>
      <w:r>
        <w:t>, provided that enough explanation or examples were provided to make the labels clear.</w:t>
      </w:r>
    </w:p>
    <w:p w14:paraId="679ADE9A" w14:textId="2B2391A1" w:rsidR="009C262F" w:rsidRDefault="009C262F" w:rsidP="009C262F">
      <w:r>
        <w:t>In th</w:t>
      </w:r>
      <w:r w:rsidR="00A35465">
        <w:t>is sense</w:t>
      </w:r>
      <w:r>
        <w:t xml:space="preserve">, the lack of further definition of the categories is probably the main limitation of the two measures of exposure to the outdoors and prevents further analysis of what is, theoretically, an important predictor in the nature/well-being relationship – i.e. it has been proposed that being exposed to nature during childhood would foster an affective relationship with it </w:t>
      </w:r>
      <w:r>
        <w:fldChar w:fldCharType="begin"/>
      </w:r>
      <w:r>
        <w:instrText xml:space="preserve"> ADDIN ZOTERO_ITEM CSL_CITATION {"citationID":"Ask2azFy","properties":{"formattedCitation":"(Hinds and Sparks, 2008)","plainCitation":"(Hinds and Sparks, 2008)","dontUpdate":true,"noteIndex":0},"citationItems":[{"id":11320,"uris":["http://zotero.org/users/10951124/items/56NA5KDV"],"itemData":{"id":11320,"type":"article-journal","container-title":"Journal of Environmental Psychology","DOI":"10.1016/j.jenvp.2007.11.001","ISSN":"0272-4944","issue":"2","language":"en","license":"https://www.elsevier.com/tdm/userlicense/1.0/","note":"publisher: Elsevier BV","page":"109-120","source":"Crossref","title":"Engaging with the natural environment: The role of affective connection and identity","title-short":"Engaging with the natural environment","volume":"28","author":[{"family":"Hinds","given":"Joe"},{"family":"Sparks","given":"Paul"}],"issued":{"date-parts":[["2008",6]]}}}],"schema":"https://github.com/citation-style-language/schema/raw/master/csl-citation.json"} </w:instrText>
      </w:r>
      <w:r>
        <w:fldChar w:fldCharType="separate"/>
      </w:r>
      <w:r w:rsidRPr="00365AB1">
        <w:rPr>
          <w:rFonts w:ascii="Calibri" w:hAnsi="Calibri" w:cs="Calibri"/>
        </w:rPr>
        <w:t>(</w:t>
      </w:r>
      <w:r>
        <w:rPr>
          <w:rFonts w:ascii="Calibri" w:hAnsi="Calibri" w:cs="Calibri"/>
        </w:rPr>
        <w:t xml:space="preserve">e.g. </w:t>
      </w:r>
      <w:r w:rsidRPr="00365AB1">
        <w:rPr>
          <w:rFonts w:ascii="Calibri" w:hAnsi="Calibri" w:cs="Calibri"/>
        </w:rPr>
        <w:t>Hinds and Sparks, 2008)</w:t>
      </w:r>
      <w:r>
        <w:fldChar w:fldCharType="end"/>
      </w:r>
      <w:r>
        <w:t xml:space="preserve">. Further, the wording used in both these questions (“time spent outside”) remains ambiguous, for the meaning of outside is not restricted to green spaces or natural environments. Although the measures of momentary well-being and nature connectedness share some limitations, these constructs were also assessed at the beginning and at the end of the study using validated multi-item scales – e.g. the Nature Relatedness scale </w:t>
      </w:r>
      <w:r>
        <w:fldChar w:fldCharType="begin"/>
      </w:r>
      <w:r w:rsidR="00A35208">
        <w:instrText xml:space="preserve"> ADDIN ZOTERO_ITEM CSL_CITATION {"citationID":"sKTWizRI","properties":{"formattedCitation":"(Nisbet and Zelenski, 2013)","plainCitation":"(Nisbet and Zelenski, 2013)","noteIndex":0},"citationItems":[{"id":"6pP8vKpK/X4DK8FY3","uris":["http://www.mendeley.com/documents/?uuid=dd661f57-cfb0-464c-913b-ab982aeebe27"],"itemData":{"ISBN":"1664-1078","abstract":"The construct of (dis)connection with nature or “nature relatedness” has become increasingly useful in the study of environmental behavior as well as psychological health and well-being. Strong nature relatedness is associated with greater happiness and ecologically sustainable behavior. A number of scales reliably assess individual differences in nature relatedness, but some circumstances may necessitate a brief measure. We developed a short-form version of the nature relatedness scale (NR-6), comprised of 6 items from the “self” and “experience” dimensions, and tested the new scale's predictive ability across multiple samples and with longitudinal data in students, community members, and business people. The new NR-6 scale demonstrated good internal consistency, temporal stability, and predicted happiness, environmental concern, and nature contact. This new brief measure of connectedness may have advantages where time and space are limited and the research context requires an assessment of connectedness elements rather than environmental attitudes.","author":[{"dropping-particle":"","family":"Nisbet","given":"Elizabeth","non-dropping-particle":"","parse-names":false,"suffix":""},{"dropping-particle":"","family":"Zelenski","given":"John","non-dropping-particle":"","parse-names":false,"suffix":""}],"container-title":"Frontiers in Psychology  ","id":"f99Kzfc3/LKiPzpug","issued":{"date-parts":[["2013"]]},"page":"813","title":"The NR-6: a new brief measure of nature relatedness   ","type":"article","volume":"4      "}}],"schema":"https://github.com/citation-style-language/schema/raw/master/csl-citation.json"} </w:instrText>
      </w:r>
      <w:r>
        <w:fldChar w:fldCharType="separate"/>
      </w:r>
      <w:r w:rsidRPr="00DE027D">
        <w:rPr>
          <w:rFonts w:ascii="Calibri" w:hAnsi="Calibri" w:cs="Calibri"/>
        </w:rPr>
        <w:t>(Nisbet and Zelenski, 2013)</w:t>
      </w:r>
      <w:r>
        <w:fldChar w:fldCharType="end"/>
      </w:r>
      <w:r>
        <w:t>. This allowed the researchers to use simpler measures to gauge the in-the-moment feelings while collecting more reliable indicators of well-being.</w:t>
      </w:r>
    </w:p>
    <w:p w14:paraId="3B5AB5E1" w14:textId="73DDFA4C" w:rsidR="009C262F" w:rsidRDefault="009C262F" w:rsidP="009C262F">
      <w:r>
        <w:t xml:space="preserve">The coding process used in </w:t>
      </w:r>
      <w:r w:rsidR="00A35465">
        <w:t>Chapter 4</w:t>
      </w:r>
      <w:r>
        <w:t xml:space="preserve"> is also vulnerable to criticism. The </w:t>
      </w:r>
      <w:r w:rsidR="00A35465">
        <w:t>initial</w:t>
      </w:r>
      <w:r>
        <w:t xml:space="preserve"> aim was to explore the content shown in each photograph and see if the presence of a given natural or artificial element could be related to self-reported well-being. Although several iterations of the codebook were developed to reach a consensus – i.e. mediating between a more analytical approach (SF) and a more holistic approach (KM) – some of the codes remain arguably ambiguous. For instance, photos showing a view from the window were grouped together while the intention of the participant to share such an image could have been different. A more rigorous approach to the coding could have </w:t>
      </w:r>
      <w:r>
        <w:lastRenderedPageBreak/>
        <w:t xml:space="preserve">included the analysis of the comments associated </w:t>
      </w:r>
      <w:r w:rsidR="00E61848">
        <w:t>with</w:t>
      </w:r>
      <w:r>
        <w:t xml:space="preserve"> some of the photographs </w:t>
      </w:r>
      <w:r>
        <w:fldChar w:fldCharType="begin"/>
      </w:r>
      <w:r>
        <w:instrText xml:space="preserve"> ADDIN ZOTERO_ITEM CSL_CITATION {"citationID":"mqQQ4Xjs","properties":{"formattedCitation":"(Qiu, Lindberg and Nielsen, 2013; Rathmann {\\i{}et al.}, 2020)","plainCitation":"(Qiu, Lindberg and Nielsen, 2013; Rathmann et al., 2020)","noteIndex":0},"citationItems":[{"id":6262,"uris":["http://zotero.org/users/10951124/items/6KYUJUHC"],"itemData":{"id":6262,"type":"article-journal","abstract":"This study investigated whether preferences and biodiversity are compatible in an urban green space setting and whether people actually recognise and appreciate ecologically rich environments when exposed to these as part of a recreational visit. Data were collected through an on-site visitor-employed photography (VEP) study employing both lay people and ecology experts. Photos were taken by the participants during a walk along a 1.6 km trail through a recreational park with clear habitat variation. Half of the lay people and half of the experts each took five photos of features reflecting high preference and five reflecting low preference. The remaining half each took five photos of features they perceived to represent high species richness and five representing low species richness. Photos and written comments were then compared against an assessment of biodiversity values of the different habitats experienced along the trail. The results indicated that people can correctly perceive differences in biodiversity between urban green space habitat types. High biodiversity did not, however, relate positively to preference as half-open park areas were preferred to areas of more complex vegetation. Nevertheless, negative preferences for these richer habitat types were mostly related to the presence or execution of human interventions. The VEP method revealed on-site perception and preference to be highly context-specific, mainly triggered by specific features rather than the overall scenery and character of the setting. Differences in attitude between experts and lay people suggested that ecological knowledge could have a positive influence on preference for certain aspects of biodiversity.","container-title":"Landscape and Urban Planning","DOI":"10.1016/j.landurbplan.2013.07.007","ISSN":"0169-2046","page":"136-146","title":"Is biodiversity attractive?—On-site perception of recreational and biodiversity values in urban green space","volume":"119","author":[{"family":"Qiu","given":"Ling"},{"family":"Lindberg","given":"Stefan"},{"family":"Nielsen","given":"Anders Busse"}],"issued":{"date-parts":[["2013"]]}}},{"id":11329,"uris":["http://zotero.org/users/10951124/items/E2WGYLRT"],"itemData":{"id":11329,"type":"article-journal","abstract":"Abstract\n            This study investigates visitors’ perceptions and preferences regarding the characteristics of deadwood in the Bavarian Forest National Park (SE-Germany). Visitor-employed photography has been used to collect information about visitors’ preferences. Deadwood is the second most photographed forest element which underlines its important role in forest perception. Even though deadwood photographs are evaluated significantly worse than most other forest elements, most visitors nevertheless associate deadwood photographs with a positively rated forest image. Based on the relationship between aesthetics and recreation revealed in the interviews, it can be concluded that the forest path during the hike was both pleasant and restful. This is confirmed by the post-trip interviews, showing that a higher proportion of deadwood is associated with more aesthetics or recreational value. Regarding deadwood structure results show that deadwood fragments and debris are perceived negatively, while root stocks were assessed more positively. We also found a gradient with positive evaluations increasing with progressing decomposition.","container-title":"European Journal of Forest Research","DOI":"10.1007/s10342-020-01260-0","ISSN":"1612-4669, 1612-4677","issue":"3","journalAbbreviation":"Eur J Forest Res","language":"en","page":"431-442","source":"DOI.org (Crossref)","title":"Using the visitor-employed photography method to analyse deadwood perceptions of forest visitors: a case study from Bavarian Forest National Park, Germany","title-short":"Using the visitor-employed photography method to analyse deadwood perceptions of forest visitors","volume":"139","author":[{"family":"Rathmann","given":"Joachim"},{"family":"Sacher","given":"Philipp"},{"family":"Volkmann","given":"Norman"},{"family":"Mayer","given":"Marius"}],"issued":{"date-parts":[["2020",6]]}}}],"schema":"https://github.com/citation-style-language/schema/raw/master/csl-citation.json"} </w:instrText>
      </w:r>
      <w:r>
        <w:fldChar w:fldCharType="separate"/>
      </w:r>
      <w:r w:rsidRPr="00FC06A4">
        <w:rPr>
          <w:rFonts w:ascii="Calibri" w:hAnsi="Calibri" w:cs="Calibri"/>
          <w:szCs w:val="24"/>
        </w:rPr>
        <w:t xml:space="preserve">(Qiu, Lindberg and Nielsen, 2013; Rathmann </w:t>
      </w:r>
      <w:r w:rsidRPr="00FC06A4">
        <w:rPr>
          <w:rFonts w:ascii="Calibri" w:hAnsi="Calibri" w:cs="Calibri"/>
          <w:i/>
          <w:iCs/>
          <w:szCs w:val="24"/>
        </w:rPr>
        <w:t>et al.</w:t>
      </w:r>
      <w:r w:rsidRPr="00FC06A4">
        <w:rPr>
          <w:rFonts w:ascii="Calibri" w:hAnsi="Calibri" w:cs="Calibri"/>
          <w:szCs w:val="24"/>
        </w:rPr>
        <w:t>, 2020)</w:t>
      </w:r>
      <w:r>
        <w:fldChar w:fldCharType="end"/>
      </w:r>
      <w:r>
        <w:t xml:space="preserve">. This could have shed some light in interpreting some </w:t>
      </w:r>
      <w:r w:rsidR="00E61848">
        <w:t>of </w:t>
      </w:r>
      <w:r>
        <w:t xml:space="preserve">the content and </w:t>
      </w:r>
      <w:r w:rsidR="00E61848">
        <w:t>improved</w:t>
      </w:r>
      <w:r>
        <w:t xml:space="preserve"> its categorisation, but it was unpractical due to time constraints. </w:t>
      </w:r>
    </w:p>
    <w:p w14:paraId="22003CDA" w14:textId="714B06E7" w:rsidR="009C262F" w:rsidRPr="009A7DAA" w:rsidRDefault="009C262F" w:rsidP="009C262F">
      <w:r>
        <w:t xml:space="preserve">Finally, overcoming these limitations could provide new opportunities for future research. Several brief scales of well-being can be </w:t>
      </w:r>
      <w:r w:rsidR="00E61848">
        <w:t>completed</w:t>
      </w:r>
      <w:r>
        <w:t xml:space="preserve"> in about a minute </w:t>
      </w:r>
      <w:r>
        <w:fldChar w:fldCharType="begin"/>
      </w:r>
      <w:r>
        <w:instrText xml:space="preserve"> ADDIN ZOTERO_ITEM CSL_CITATION {"citationID":"hp4Rjs8R","properties":{"formattedCitation":"(Thompson, 2007)","plainCitation":"(Thompson, 2007)","dontUpdate":true,"noteIndex":0},"citationItems":[{"id":7693,"uris":["http://zotero.org/users/10951124/items/9NT7C9ZU"],"itemData":{"id":7693,"type":"article-journal","abstract":"This article reports the development and validation of a 10-item international Positive and Negative Affect Schedule (PANAS) Short Form (I-PANAS-SF) in English. A qualitative study (N = 18) and then an exploratory quantitative study (N = 407), each using informants from a range of cultural backgrounds, were used to identify systematically which 10 of the original 20 PANAS items to retain or remove. A same-sample retest study (N = 163) was used in an initial examination of the new 10-item international PANAS's psychometric properties and to assess its correlation with the full, 20-item, original PANAS. In a series of further validation studies (N = 1,789), the cross-sample stability, internal reliability, temporal stability, cross-cultural factorial invariance, and convergent and criterion-related validities of the I-PANAS-SF were examined and found to be psychometrically acceptable. © 2007 Sage Publications.","container-title":"Journal of Cross-Cultural Psychology","DOI":"10.1177/0022022106297301","ISSN":"00220221","issue":"2","page":"227-242","title":"Development and validation of an internationally reliable short-form of the Positive and Negative Affect Schedule (PANAS)","volume":"38","author":[{"family":"Thompson","given":"Edmund R."}],"issued":{"date-parts":[["2007"]]}}}],"schema":"https://github.com/citation-style-language/schema/raw/master/csl-citation.json"} </w:instrText>
      </w:r>
      <w:r>
        <w:fldChar w:fldCharType="separate"/>
      </w:r>
      <w:r w:rsidRPr="00C577A0">
        <w:rPr>
          <w:rFonts w:ascii="Calibri" w:hAnsi="Calibri" w:cs="Calibri"/>
        </w:rPr>
        <w:t>(</w:t>
      </w:r>
      <w:r>
        <w:rPr>
          <w:rFonts w:ascii="Calibri" w:hAnsi="Calibri" w:cs="Calibri"/>
        </w:rPr>
        <w:t xml:space="preserve">e.g. </w:t>
      </w:r>
      <w:r w:rsidRPr="00C577A0">
        <w:rPr>
          <w:rFonts w:ascii="Calibri" w:hAnsi="Calibri" w:cs="Calibri"/>
        </w:rPr>
        <w:t>Thompson, 2007)</w:t>
      </w:r>
      <w:r>
        <w:fldChar w:fldCharType="end"/>
      </w:r>
      <w:r>
        <w:t xml:space="preserve"> allowing for a more reliable measure of an emotional state elicited by urban nature.  The perceived number of species could be reasonably estimated as suggested by Fuller and colleagues (2007), by asking separate short questions about simple groups of species (e.g. how many </w:t>
      </w:r>
      <w:r w:rsidR="00E61848">
        <w:t>types</w:t>
      </w:r>
      <w:r>
        <w:t xml:space="preserve"> of trees, how many types of birds) and providing some guidance to the participant in selecting a category (e.g. “less than five”). The word “guess” could also be retained to relieve some of the </w:t>
      </w:r>
      <w:r w:rsidR="00A35465">
        <w:t xml:space="preserve">semantic </w:t>
      </w:r>
      <w:r>
        <w:t xml:space="preserve">pressure that a counting task may generate. To better understand whether the relationship between well-being and actual or perceived species richness differs, the research could focus on only one or a few areas, which could be surveyed for species richness (as done by Cameron and colleagues, 2020), asking then visitors for their perceptions and well-being. This would </w:t>
      </w:r>
      <w:r w:rsidR="00E61848">
        <w:t>be </w:t>
      </w:r>
      <w:r>
        <w:t xml:space="preserve">more interesting in a “built-up” area, as one of the main hints of the analysis presented here is that </w:t>
      </w:r>
      <w:r w:rsidR="00E61848">
        <w:t>natural</w:t>
      </w:r>
      <w:r>
        <w:t xml:space="preserve"> elements and species seem to be noticed even outside conventional green spaces.</w:t>
      </w:r>
    </w:p>
    <w:p w14:paraId="70E97BA8" w14:textId="77777777" w:rsidR="009C262F" w:rsidRDefault="009C262F" w:rsidP="009C262F">
      <w:pPr>
        <w:pStyle w:val="Heading3"/>
      </w:pPr>
      <w:bookmarkStart w:id="178" w:name="_Toc179962416"/>
      <w:r w:rsidRPr="00C05886">
        <w:t>C</w:t>
      </w:r>
      <w:r>
        <w:t>ritical reflection on Chapter 5</w:t>
      </w:r>
      <w:bookmarkEnd w:id="178"/>
    </w:p>
    <w:p w14:paraId="4839E274" w14:textId="49C84E4A" w:rsidR="009C262F" w:rsidRDefault="009C262F" w:rsidP="009C262F">
      <w:r>
        <w:t xml:space="preserve">In the introduction to this paper, some concepts could have been better defined. For instance, the Biophilia hypothesis was only mentioned but not summarised, although it was not the focus or the main framework for this research design. Further, examples of manipulation of species richness through audio were not mentioned in the introduction and not detailed in the methodology. As discussed in Chapter 2, birdsong has been used in combination with other </w:t>
      </w:r>
      <w:r w:rsidR="00E61848">
        <w:t>natural</w:t>
      </w:r>
      <w:r>
        <w:t xml:space="preserve"> sounds to induce recovery from stress </w:t>
      </w:r>
      <w:r>
        <w:fldChar w:fldCharType="begin"/>
      </w:r>
      <w:r>
        <w:instrText xml:space="preserve"> ADDIN ZOTERO_ITEM CSL_CITATION {"citationID":"Z7bkuxIq","properties":{"formattedCitation":"(Alvarsson, Wiens and Nilsson, 2010; Annerstedt {\\i{}et al.}, 2013; Suko {\\i{}et al.}, 2022)","plainCitation":"(Alvarsson, Wiens and Nilsson, 2010; Annerstedt et al., 2013; Suko et al., 2022)","noteIndex":0},"citationItems":[{"id":9491,"uris":["http://zotero.org/users/10951124/items/V82A9G7R"],"itemData":{"id":9491,"type":"article-journal","abstract":"Research suggests that visual impressions of natural compared with urban environments facilitate recovery after psychological stress. To test whether auditory stimulation has similar effects, 40 subjects were exposed to sounds from nature or noisy environments after a stressful mental arithmetic task. Skin conductance level (SCL) was used to index sympathetic activation, and high frequency heart rate variability (HF HRV) was used to index parasympathetic activation. Although HF HRV showed no effects, SCL recovery tended to be faster during natural sound than noisy environments. These results suggest that nature sounds facilitate recovery from sympathetic activation after a psychological stressor.","container-title":"International Journal of Environmental Research and Public Health","DOI":"10.3390/ijerph7031036","ISSN":"1660-4601","issue":"3","page":"1036-1046","title":"Stress Recovery during Exposure to Nature Sound and Environmental Noise","volume":"7","author":[{"family":"Alvarsson","given":"Jesper J."},{"family":"Wiens","given":"Stefan"},{"family":"Nilsson","given":"Mats E."}],"issued":{"date-parts":[["2010"]]}}},{"id":9492,"uris":["http://zotero.org/users/10951124/items/4SAG2MEC"],"itemData":{"id":9492,"type":"article-journal","abstract":"Experimental research on stress recovery in natural environments is limited, as is study of the effect of sounds of nature. After inducing stress by means of a virtual stress test, we explored physiological recovery in two different virtual natural environments (with and without exposure to sounds of nature) and in one control condition. Cardiovascular data and saliva cortisol were collected. Repeated ANOVA measurements indicated parasympathetic activation in the group subjected to sounds of nature in a virtual natural environment, suggesting enhanced stress recovery may occur in such surroundings. The group that recovered in virtual nature without sound and the control group displayed no particular autonomic activation or deactivation. The results demonstrate a potential mechanistic link between nature, the sounds of nature, and stress recovery, and suggest the potential importance of virtual reality as a tool in this research field.","container-title":"Physiology &amp; Behavior","DOI":"10.1016/j.physbeh.2013.05.023","ISSN":"0031-9384","journalAbbreviation":"Physiology &amp; Behavior","page":"240-250","title":"Inducing physiological stress recovery with sounds of nature in a virtual reality forest — Results from a pilot study","volume":"118","author":[{"family":"Annerstedt","given":"Matilda"},{"family":"Jönsson","given":"Peter"},{"family":"Wallergård","given":"Mattias"},{"family":"Johansson","given":"Gerd"},{"family":"Karlson","given":"Björn"},{"family":"Grahn","given":"Patrik"},{"family":"Hansen","given":"Åse Marie"},{"family":"Währborg","given":"Peter"}],"issued":{"date-parts":[["2013",6,13]]}}},{"id":10510,"uris":["http://zotero.org/users/10951124/items/G4SC2KVN"],"itemData":{"id":10510,"type":"article-journal","abstract":"Background: Natural sounds are reportedly restorative, but most research has used one-off experiments conducted in artificial conditions. Research based on field experiments is still in its infancy. This study aimed to generate hypotheses on the restorative effects of listening to natural sounds on surgeons, representing professionals working in stressful conditions. Methods: Each of four surgeons (two experts and two residents) participated six times in an experiment where they took a 10-min break listening to natural sounds (four times) or without natural sounds (twice) after a surgical operation. We measured their skin conductance level, an indicator of sympathetic arousal, continuously during the break (measurement occasions N = 2520) and assessed their mood using two questionnaires before and after the break (N = 69 and N = 42). We also interviewed them after the break. Results: Based on statistical Linear Mixed-Effects modeling, we developed two hypotheses for further, more detailed studies: (H1) Listening to natural sounds after an operation improves surgeons’ mood. (H2) Inexperienced surgeons’ tension persists so long that the effect of natural sounds on their sympathetic arousal is negligible. Conclusions: This risk-free, easy-to-use means of stress alleviation through natural sounds could benefit highly-stressed people working indoors.","container-title":"International Journal of Environmental Research and Public Health","DOI":"10.3390/ijerph191912736","ISSN":"1660-4601","issue":"19","journalAbbreviation":"IJERPH","language":"en","page":"12736","source":"DOI.org (Crossref)","title":"Alleviating Surgeons’ Stress through Listening to Natural Sounds in a Half-Encapsulated Rest Space after an Operation: A Pilot, Longitudinal Field Study","title-short":"Alleviating Surgeons’ Stress through Listening to Natural Sounds in a Half-Encapsulated Rest Space after an Operation","volume":"19","author":[{"family":"Suko","given":"Yasushi"},{"family":"Shindo","given":"Tomoharu"},{"family":"Saito","given":"Kaoru"},{"family":"Takayama","given":"Norimasa"},{"family":"Warisawa","given":"Shin’ichi"},{"family":"Sakuma","given":"Tetsuya"},{"family":"Ito","given":"Masaaki"},{"family":"Kytölä","given":"Pasi"},{"family":"Nummi","given":"Tapio"},{"family":"Korpela","given":"Kalevi"}],"issued":{"date-parts":[["2022",10,5]]}}}],"schema":"https://github.com/citation-style-language/schema/raw/master/csl-citation.json"} </w:instrText>
      </w:r>
      <w:r>
        <w:fldChar w:fldCharType="separate"/>
      </w:r>
      <w:r w:rsidRPr="009908B5">
        <w:rPr>
          <w:rFonts w:ascii="Calibri" w:hAnsi="Calibri" w:cs="Calibri"/>
          <w:szCs w:val="24"/>
        </w:rPr>
        <w:t xml:space="preserve">(Alvarsson, Wiens and Nilsson, 2010; Annerstedt </w:t>
      </w:r>
      <w:r w:rsidRPr="009908B5">
        <w:rPr>
          <w:rFonts w:ascii="Calibri" w:hAnsi="Calibri" w:cs="Calibri"/>
          <w:i/>
          <w:iCs/>
          <w:szCs w:val="24"/>
        </w:rPr>
        <w:t>et al.</w:t>
      </w:r>
      <w:r w:rsidRPr="009908B5">
        <w:rPr>
          <w:rFonts w:ascii="Calibri" w:hAnsi="Calibri" w:cs="Calibri"/>
          <w:szCs w:val="24"/>
        </w:rPr>
        <w:t xml:space="preserve">, 2013; Suko </w:t>
      </w:r>
      <w:r w:rsidRPr="009908B5">
        <w:rPr>
          <w:rFonts w:ascii="Calibri" w:hAnsi="Calibri" w:cs="Calibri"/>
          <w:i/>
          <w:iCs/>
          <w:szCs w:val="24"/>
        </w:rPr>
        <w:t>et al.</w:t>
      </w:r>
      <w:r w:rsidRPr="009908B5">
        <w:rPr>
          <w:rFonts w:ascii="Calibri" w:hAnsi="Calibri" w:cs="Calibri"/>
          <w:szCs w:val="24"/>
        </w:rPr>
        <w:t>, 2022)</w:t>
      </w:r>
      <w:r>
        <w:fldChar w:fldCharType="end"/>
      </w:r>
      <w:r>
        <w:t xml:space="preserve"> but standalone birdsong on its own was not found to be more stress-reducing than other sounds </w:t>
      </w:r>
      <w:r>
        <w:fldChar w:fldCharType="begin"/>
      </w:r>
      <w:r>
        <w:instrText xml:space="preserve"> ADDIN ZOTERO_ITEM CSL_CITATION {"citationID":"tX6RHRBh","properties":{"formattedCitation":"(Hedblom, Gunnarsson, Schaefer, {\\i{}et al.}, 2019)","plainCitation":"(Hedblom, Gunnarsson, Schaefer, et al., 2019)","noteIndex":0},"citationItems":[{"id":9500,"uris":["http://zotero.org/users/10951124/items/LRURK8RT"],"itemData":{"id":9500,"type":"article-journal","abstract":"Noise from city traffic is one of the most significant environmental stressors. Natural soundscapes, such as bird songs, have been suggested to potentially mitigate or mask noise. All previous studies on masking noise use self-evaluation data rather than physiological data. In this study, while respondents (n = 117) watched a 360&amp;deg; virtual reality (VR) photograph of a park, they were exposed to different soundscapes and mild electrical shocks. The soundscapes&amp;mdash;&amp;ldquo;bird song&amp;rdquo;, &amp;ldquo;bird song and traffic noise&amp;rdquo;, and &amp;ldquo;traffic noise&amp;rdquo;&amp;mdash;were played during a 10 min recovery period while their skin conductance levels were assessed as a measure of arousal/stress. No significant difference in stress recovery was found between the soundscapes although a tendency for less stress in &amp;ldquo;bird song&amp;rdquo; and more stress in &amp;ldquo;traffic noise&amp;rdquo; was noted. All three soundscapes, however, significantly reduced stress. This result could be attributed to the stress-reducing effect of the visual VR environment, to the noise levels being higher than 47 dBA (a level known to make masking ineffective), or to the respondents finding bird songs stressful. Reduction of stress in cities using masking with natural sounds requires further studies with not only larger samples but also sufficient methods to detect potential sex differences.","container-title":"International Journal of Environmental Research and Public Health","DOI":"10.3390/ijerph16081390","ISSN":"1660-4601","issue":"8","title":"Sounds of Nature in the City: No Evidence of Bird Song Improving Stress Recovery","volume":"16","author":[{"family":"Hedblom","given":"Marcus"},{"family":"Gunnarsson","given":"Bengt"},{"family":"Schaefer","given":"Martin"},{"family":"Knez","given":"Igor"},{"family":"Thorsson","given":"Pontus"},{"family":"Lundström","given":"Johan N."}],"issued":{"date-parts":[["2019"]]}}}],"schema":"https://github.com/citation-style-language/schema/raw/master/csl-citation.json"} </w:instrText>
      </w:r>
      <w:r>
        <w:fldChar w:fldCharType="separate"/>
      </w:r>
      <w:r w:rsidRPr="009908B5">
        <w:rPr>
          <w:rFonts w:ascii="Calibri" w:hAnsi="Calibri" w:cs="Calibri"/>
          <w:szCs w:val="24"/>
        </w:rPr>
        <w:t xml:space="preserve">(Hedblom, Gunnarsson, Schaefer, </w:t>
      </w:r>
      <w:r w:rsidRPr="009908B5">
        <w:rPr>
          <w:rFonts w:ascii="Calibri" w:hAnsi="Calibri" w:cs="Calibri"/>
          <w:i/>
          <w:iCs/>
          <w:szCs w:val="24"/>
        </w:rPr>
        <w:t>et al.</w:t>
      </w:r>
      <w:r w:rsidRPr="009908B5">
        <w:rPr>
          <w:rFonts w:ascii="Calibri" w:hAnsi="Calibri" w:cs="Calibri"/>
          <w:szCs w:val="24"/>
        </w:rPr>
        <w:t>, 2019)</w:t>
      </w:r>
      <w:r>
        <w:fldChar w:fldCharType="end"/>
      </w:r>
      <w:r>
        <w:t xml:space="preserve">. A study that would have been worth mentioning in the introduction was </w:t>
      </w:r>
      <w:r w:rsidR="00F11F0F">
        <w:t>an</w:t>
      </w:r>
      <w:r>
        <w:t xml:space="preserve"> experiment by </w:t>
      </w:r>
      <w:r>
        <w:fldChar w:fldCharType="begin"/>
      </w:r>
      <w:r>
        <w:instrText xml:space="preserve"> ADDIN ZOTERO_ITEM CSL_CITATION {"citationID":"oQx0D83I","properties":{"formattedCitation":"(Douglas and Evans, 2022)","plainCitation":"(Douglas and Evans, 2022)","dontUpdate":true,"noteIndex":0},"citationItems":[{"id":9921,"uris":["http://zotero.org/users/10951124/items/BHP82I45"],"itemData":{"id":9921,"type":"article-journal","container-title":"People and Nature","DOI":"10.1002/pan3.10279","ISSN":"2575-8314, 2575-8314","issue":"1","journalAbbreviation":"People and Nature","language":"en","page":"243-259","source":"DOI.org (Crossref)","title":"An experimental test of the impact of avian diversity on attentional benefits and enjoyment of people experiencing urban green‐space","volume":"4","author":[{"family":"Douglas","given":"Joseph W. A."},{"family":"Evans","given":"Karl L."}],"issued":{"date-parts":[["2022",2]]}}}],"schema":"https://github.com/citation-style-language/schema/raw/master/csl-citation.json"} </w:instrText>
      </w:r>
      <w:r>
        <w:fldChar w:fldCharType="separate"/>
      </w:r>
      <w:r w:rsidRPr="009908B5">
        <w:rPr>
          <w:rFonts w:ascii="Calibri" w:hAnsi="Calibri" w:cs="Calibri"/>
        </w:rPr>
        <w:t xml:space="preserve">Douglas and Evans </w:t>
      </w:r>
      <w:r>
        <w:rPr>
          <w:rFonts w:ascii="Calibri" w:hAnsi="Calibri" w:cs="Calibri"/>
        </w:rPr>
        <w:t>(</w:t>
      </w:r>
      <w:r w:rsidRPr="009908B5">
        <w:rPr>
          <w:rFonts w:ascii="Calibri" w:hAnsi="Calibri" w:cs="Calibri"/>
        </w:rPr>
        <w:t>2022)</w:t>
      </w:r>
      <w:r>
        <w:fldChar w:fldCharType="end"/>
      </w:r>
      <w:r>
        <w:t xml:space="preserve"> </w:t>
      </w:r>
      <w:r w:rsidR="00F11F0F">
        <w:t xml:space="preserve">who </w:t>
      </w:r>
      <w:r>
        <w:t>compar</w:t>
      </w:r>
      <w:r w:rsidR="00F11F0F">
        <w:t>ed</w:t>
      </w:r>
      <w:r>
        <w:t xml:space="preserve"> the effect of birdsong from one species or eight species on attention restoration</w:t>
      </w:r>
      <w:r w:rsidR="00F11F0F">
        <w:t xml:space="preserve"> but</w:t>
      </w:r>
      <w:r>
        <w:t xml:space="preserve"> did not </w:t>
      </w:r>
      <w:r w:rsidR="00F11F0F">
        <w:t>observe</w:t>
      </w:r>
      <w:r>
        <w:t xml:space="preserve"> a significant difference between the treatment</w:t>
      </w:r>
      <w:r w:rsidR="00F11F0F">
        <w:t>s</w:t>
      </w:r>
      <w:r>
        <w:t xml:space="preserve">. The reason </w:t>
      </w:r>
      <w:r w:rsidR="00E61848">
        <w:t>for using</w:t>
      </w:r>
      <w:r>
        <w:t xml:space="preserve"> birdsong in the experiment presented in this chapter was to increase the species count further than what </w:t>
      </w:r>
      <w:r w:rsidR="00E61848">
        <w:t>was </w:t>
      </w:r>
      <w:r>
        <w:t xml:space="preserve">done visually with the plants. This also allowed the opportunity to compare the effect of the soundscape in the two videos with the highest plant species count. In </w:t>
      </w:r>
      <w:r w:rsidR="00E61848">
        <w:t>retrospect</w:t>
      </w:r>
      <w:r>
        <w:t xml:space="preserve">, the same audio could have been used to create </w:t>
      </w:r>
      <w:r>
        <w:lastRenderedPageBreak/>
        <w:t>another two treatments, control + birdsong and lower plant richness + birdsong, better controlling for the potential effect of the birdsong. However, this would have had practical implications on the data collection (e.g. requiring the recruitment of 200 more participants).</w:t>
      </w:r>
    </w:p>
    <w:p w14:paraId="5D3C3F84" w14:textId="18ECC674" w:rsidR="00F11F0F" w:rsidRDefault="009C262F" w:rsidP="009C262F">
      <w:r>
        <w:t xml:space="preserve">This paper should have done better in clarifying the concept of species richness, which would have been more fitting to the research questions (i.e. understanding whether the species number has an effect on well-being) than the broader concept of biodiversity. Throughout the introduction, especially in the review of previous experimental studies, it was indeed the species richness being considered. In all the six studies cited, the species richness was the variable subject to experimental manipulation, although not necessarily directly. For instance, in the study from </w:t>
      </w:r>
      <w:r>
        <w:fldChar w:fldCharType="begin"/>
      </w:r>
      <w:r>
        <w:instrText xml:space="preserve"> ADDIN ZOTERO_ITEM CSL_CITATION {"citationID":"JNW1dfDL","properties":{"formattedCitation":"(Simkin, Ojala and Tyrv\\uc0\\u228{}inen, 2020)","plainCitation":"(Simkin, Ojala and Tyrväinen, 2020)","dontUpdate":true,"noteIndex":0},"citationItems":[{"id":10099,"uris":["http://zotero.org/users/10951124/items/L3HMKQ4W"],"itemData":{"id":10099,"type":"article-journal","container-title":"Urban Forestry &amp; Urban Greening","DOI":"10.1016/j.ufug.2019.126567","ISSN":"16188667","journalAbbreviation":"Urban Forestry &amp; Urban Greening","language":"en","page":"126567","source":"DOI.org (Crossref)","title":"Restorative effects of mature and young commercial forests, pristine old-growth forest and urban recreation forest - A field experiment","volume":"48","author":[{"family":"Simkin","given":"Jenni"},{"family":"Ojala","given":"Ann"},{"family":"Tyrväinen","given":"Liisa"}],"issued":{"date-parts":[["2020",2]]}}}],"schema":"https://github.com/citation-style-language/schema/raw/master/csl-citation.json"} </w:instrText>
      </w:r>
      <w:r>
        <w:fldChar w:fldCharType="separate"/>
      </w:r>
      <w:r w:rsidRPr="009908B5">
        <w:rPr>
          <w:rFonts w:ascii="Calibri" w:hAnsi="Calibri" w:cs="Calibri"/>
          <w:szCs w:val="24"/>
        </w:rPr>
        <w:t>Simkin, Ojala and Tyrväinen, 2020</w:t>
      </w:r>
      <w:r>
        <w:fldChar w:fldCharType="end"/>
      </w:r>
      <w:r>
        <w:t xml:space="preserve">, the four forests used as treatments differed in their species composition due to age and management. All shared the dominant tree species (i.e. </w:t>
      </w:r>
      <w:r w:rsidRPr="00E05015">
        <w:rPr>
          <w:i/>
          <w:iCs/>
        </w:rPr>
        <w:t>Picea abies</w:t>
      </w:r>
      <w:r>
        <w:t>) but differed in the associated tree species, which were three in the younger forest (</w:t>
      </w:r>
      <w:r w:rsidRPr="005D7515">
        <w:rPr>
          <w:i/>
          <w:iCs/>
        </w:rPr>
        <w:t>Betula sp</w:t>
      </w:r>
      <w:r>
        <w:t xml:space="preserve">., </w:t>
      </w:r>
      <w:r w:rsidRPr="005D7515">
        <w:rPr>
          <w:i/>
          <w:iCs/>
        </w:rPr>
        <w:t>Pinus sp</w:t>
      </w:r>
      <w:r>
        <w:t xml:space="preserve">., </w:t>
      </w:r>
      <w:r w:rsidRPr="005D7515">
        <w:rPr>
          <w:i/>
          <w:iCs/>
        </w:rPr>
        <w:t xml:space="preserve">Populus </w:t>
      </w:r>
      <w:proofErr w:type="spellStart"/>
      <w:r w:rsidRPr="005D7515">
        <w:rPr>
          <w:i/>
          <w:iCs/>
        </w:rPr>
        <w:t>tremula</w:t>
      </w:r>
      <w:proofErr w:type="spellEnd"/>
      <w:r>
        <w:t>) and four in the mature forest (</w:t>
      </w:r>
      <w:r w:rsidRPr="005D7515">
        <w:rPr>
          <w:i/>
          <w:iCs/>
        </w:rPr>
        <w:t>Betula sp</w:t>
      </w:r>
      <w:r>
        <w:t xml:space="preserve">., </w:t>
      </w:r>
      <w:r w:rsidRPr="005D7515">
        <w:rPr>
          <w:i/>
          <w:iCs/>
        </w:rPr>
        <w:t>Pinus sp</w:t>
      </w:r>
      <w:r>
        <w:t xml:space="preserve">., </w:t>
      </w:r>
      <w:r w:rsidRPr="005D7515">
        <w:rPr>
          <w:i/>
          <w:iCs/>
        </w:rPr>
        <w:t xml:space="preserve">P. </w:t>
      </w:r>
      <w:proofErr w:type="spellStart"/>
      <w:r w:rsidRPr="005D7515">
        <w:rPr>
          <w:i/>
          <w:iCs/>
        </w:rPr>
        <w:t>tremula</w:t>
      </w:r>
      <w:proofErr w:type="spellEnd"/>
      <w:r>
        <w:t xml:space="preserve">, </w:t>
      </w:r>
      <w:r w:rsidRPr="005D7515">
        <w:rPr>
          <w:i/>
          <w:iCs/>
        </w:rPr>
        <w:t>Sorbus aucuparia</w:t>
      </w:r>
      <w:r>
        <w:t>). Although not detailed, the mature forest was also reportedly richer in species from other taxonomic groups (e.g. beetles living in deadwood). Moreover, defining the species richness better would have made the paper’s measure of “perceived biodiversity” less ambiguous. The challenge was to avoid asking a question mentioning the words “biodiversity”, “species” or “species richness” to avoid biasing the follow-up open responses (see the survey text and flow in the Appendix – Chapter 5). The wording used in this study was “</w:t>
      </w:r>
      <w:r w:rsidRPr="00A96B5C">
        <w:t>In your opinion, how good was the video's environment for wildlife and plants?</w:t>
      </w:r>
      <w:r>
        <w:t xml:space="preserve">”. This question was derived </w:t>
      </w:r>
      <w:r w:rsidR="00E61848">
        <w:t>from</w:t>
      </w:r>
      <w:r>
        <w:t xml:space="preserve"> two previous survey studies investigating the perceived social values of forests </w:t>
      </w:r>
      <w:r>
        <w:fldChar w:fldCharType="begin"/>
      </w:r>
      <w:r>
        <w:instrText xml:space="preserve"> ADDIN ZOTERO_ITEM CSL_CITATION {"citationID":"200Z7RLc","properties":{"formattedCitation":"(Brown and Reed, 2000)","plainCitation":"(Brown and Reed, 2000)","noteIndex":0},"citationItems":[{"id":9622,"uris":["http://zotero.org/users/10951124/items/TKAH6647"],"itemData":{"id":9622,"type":"article-journal","abstract":"Public values for national forestlands are assumed to underlie preferences for actual forest use and define the context for forest planning and decision making, but the relationship between preferences and attitudes toward forest management activities and public forest values (both use and nonuse values) is not well understood. Using data from a survey of Alaskan residents in the Chugach National Forest plan revision process, the relationship between attitudes toward forest management actions and forest values is examined using a variety of statistical procedures. Key findings indicate that: (1) survey respondents were able to identify with 13 distinct forest values based on a modified forest value typology developed by Rolston and Coufal (1991), (2) no obvious latent structure of variables or constructs emerged from factor analysis of the 13 forest values indicating that the forest value typology may not be easily simplified without compromising the exclusiveness of measured forest values, (3) small, but statistically significant correlations were found between attitudes toward specific forest management practices such as logging and mining and held forest values, and (4) forest values are modestly predictive of respondent preferences for specific forest planning decisions. For. Sci. 46(2):240-247.","container-title":"Forest Science","DOI":"10.1093/forestscience/46.2.240","ISSN":"0015-749X","issue":"2","journalAbbreviation":"Forest Science","page":"240-247","title":"Validation of a Forest Values Typology for Use in National Forest Planning","volume":"46","author":[{"family":"Brown","given":"Gregory"},{"family":"Reed","given":"Patrick"}],"issued":{"date-parts":[["2000",5,1]]}}}],"schema":"https://github.com/citation-style-language/schema/raw/master/csl-citation.json"} </w:instrText>
      </w:r>
      <w:r>
        <w:fldChar w:fldCharType="separate"/>
      </w:r>
      <w:r w:rsidRPr="00004472">
        <w:rPr>
          <w:rFonts w:ascii="Calibri" w:hAnsi="Calibri" w:cs="Calibri"/>
        </w:rPr>
        <w:t>(Brown and Reed, 2000)</w:t>
      </w:r>
      <w:r>
        <w:fldChar w:fldCharType="end"/>
      </w:r>
      <w:r>
        <w:t xml:space="preserve"> and of a national park </w:t>
      </w:r>
      <w:r>
        <w:fldChar w:fldCharType="begin"/>
      </w:r>
      <w:r>
        <w:instrText xml:space="preserve"> ADDIN ZOTERO_ITEM CSL_CITATION {"citationID":"HpheUBmk","properties":{"formattedCitation":"(van Riper {\\i{}et al.}, 2017)","plainCitation":"(van Riper et al., 2017)","noteIndex":0},"citationItems":[{"id":9621,"uris":["http://zotero.org/users/10951124/items/DDGJ6ZN3"],"itemData":{"id":9621,"type":"article-journal","abstract":"In spatial planning and management of protected areas, increased priority is being given to research that integrates social and ecological data. However, public viewpoints of the benefits provided by ecosystems are not easily quantified and often implicitly folded into natural resource management decisions. Drawing on a spatially explicit participatory mapping exercise and a Social Values for Ecosystem Services (SolVES) analysis tool, the present study empirically examined and integrated social values for ecosystem services and environmental conditions within Channel Islands National Park, California. Specifically, a social value indicator of perceived biodiversity was examined using on-site survey data collected from a sample of people who visited the park. This information was modeled alongside eight environmental conditions including faunal species richness for six taxa, vegetation density, categories of marine and terrestrial land cover, and distance to features relevant for decision-makers. Results showed that biodiversity value points assigned to places by the pooled sample of respondents were widely and unevenly mapped, which reflected the belief that biodiversity was embodied to varying degrees by multiple locations in the park. Models generated for two survey subgroups defined by their self-reported knowledge of the Channels Islands revealed distinct spatial patterns of these perceived values. Specifically, respondents with high knowledge valued large spaces that were publicly inaccessible and unlikely to contain on-ground biodiversity, whereas respondents with low knowledge valued places that were experienced first-hand. Accessibility and infrastructure were also important considerations for anticipating how and where people valued the protected land and seascapes of Channel Islands National Park.","container-title":"Ecological Indicators","DOI":"10.1016/j.ecolind.2016.07.029","ISSN":"1470-160X","journalAbbreviation":"Ecological Indicators","page":"278-287","title":"Toward an integrated understanding of perceived biodiversity values and environmental conditions in a national park","volume":"72","author":[{"family":"Riper","given":"Carena J.","non-dropping-particle":"van"},{"family":"Kyle","given":"Gerard T."},{"family":"Sherrouse","given":"Benson C."},{"family":"Bagstad","given":"Kenneth J."},{"family":"Sutton","given":"Stephen G."}],"issued":{"date-parts":[["2017",1,1]]}}}],"schema":"https://github.com/citation-style-language/schema/raw/master/csl-citation.json"} </w:instrText>
      </w:r>
      <w:r>
        <w:fldChar w:fldCharType="separate"/>
      </w:r>
      <w:r w:rsidRPr="00004472">
        <w:rPr>
          <w:rFonts w:ascii="Calibri" w:hAnsi="Calibri" w:cs="Calibri"/>
          <w:szCs w:val="24"/>
        </w:rPr>
        <w:t xml:space="preserve">(van Riper </w:t>
      </w:r>
      <w:r w:rsidRPr="00004472">
        <w:rPr>
          <w:rFonts w:ascii="Calibri" w:hAnsi="Calibri" w:cs="Calibri"/>
          <w:i/>
          <w:iCs/>
          <w:szCs w:val="24"/>
        </w:rPr>
        <w:t>et al.</w:t>
      </w:r>
      <w:r w:rsidRPr="00004472">
        <w:rPr>
          <w:rFonts w:ascii="Calibri" w:hAnsi="Calibri" w:cs="Calibri"/>
          <w:szCs w:val="24"/>
        </w:rPr>
        <w:t>, 2017)</w:t>
      </w:r>
      <w:r>
        <w:fldChar w:fldCharType="end"/>
      </w:r>
      <w:r>
        <w:t xml:space="preserve">. </w:t>
      </w:r>
      <w:r w:rsidR="00F11F0F">
        <w:t>B</w:t>
      </w:r>
      <w:r>
        <w:t xml:space="preserve">oth studies </w:t>
      </w:r>
      <w:r w:rsidR="00F11F0F">
        <w:t xml:space="preserve">used </w:t>
      </w:r>
      <w:r>
        <w:t>the wording “I value the [forest/national park] because it provides for a variety of plants, wildlife, marine life, and other living organisms” and labelled</w:t>
      </w:r>
      <w:r w:rsidR="00F11F0F">
        <w:t xml:space="preserve"> this question as</w:t>
      </w:r>
      <w:r>
        <w:t xml:space="preserve"> “Perceived biodiversity”. In Chapter 5, the main limitation imposed by using such wording is that is impossible to draw a side-by-side comparison between the (non) effect of the species richness introduced and the effect of the perceived biodiversity defined as such. The latter concerned more the value of the environment/habitat for the species rather than the perceived number of species. Th</w:t>
      </w:r>
      <w:r w:rsidR="00F11F0F">
        <w:t>is</w:t>
      </w:r>
      <w:r>
        <w:t xml:space="preserve"> limitation concerning the perceptions of biodiversity could have been better signposted in the paper. </w:t>
      </w:r>
    </w:p>
    <w:p w14:paraId="0078D8A7" w14:textId="267A6C10" w:rsidR="009C262F" w:rsidRDefault="009C262F" w:rsidP="009C262F">
      <w:r>
        <w:t xml:space="preserve">Another limitation </w:t>
      </w:r>
      <w:r w:rsidR="00F11F0F">
        <w:t xml:space="preserve">that was </w:t>
      </w:r>
      <w:r>
        <w:t xml:space="preserve">not mentioned concerned the </w:t>
      </w:r>
      <w:r w:rsidR="00E61848">
        <w:t>skewness</w:t>
      </w:r>
      <w:r>
        <w:t xml:space="preserve"> of the age of the participants towards the 18-34 age group. This age group accounted for 77% of the responses and is probably due to the websites and social networks where the survey was advertised. During the summer </w:t>
      </w:r>
      <w:r>
        <w:lastRenderedPageBreak/>
        <w:t xml:space="preserve">period, the two </w:t>
      </w:r>
      <w:r w:rsidR="00E61848">
        <w:t>survey exchange</w:t>
      </w:r>
      <w:r>
        <w:t xml:space="preserve"> platforms are primarily used by students recruiting participants for their dissertations. As discussed in </w:t>
      </w:r>
      <w:r w:rsidR="00E61848">
        <w:t>Chapter</w:t>
      </w:r>
      <w:r>
        <w:t xml:space="preserve"> 3, this limited generalisability is one of the main drawbacks of convenience sampling.</w:t>
      </w:r>
    </w:p>
    <w:p w14:paraId="371C3D89" w14:textId="3147E2E1" w:rsidR="009C262F" w:rsidRPr="0051780C" w:rsidRDefault="009C262F" w:rsidP="009C262F">
      <w:r>
        <w:t xml:space="preserve">Finally, the discussion about the (non) effect of the species richness levels could have considered other possible explanations. It was mentioned that the participants may have not noticed the additional plants or birdsong and all </w:t>
      </w:r>
      <w:r w:rsidR="00E61848">
        <w:t>treatments</w:t>
      </w:r>
      <w:r>
        <w:t xml:space="preserve"> remained similar in being simply a woodland. This could be a case of “Global Precedence Effect”. Briefly, a series of cognitive experiments demonstrated that visual perception is hierarchically organised and global features (i.e. the whole) are detected more easily than local features (i.e. the elements constituting the whole) </w:t>
      </w:r>
      <w:r>
        <w:fldChar w:fldCharType="begin"/>
      </w:r>
      <w:r>
        <w:instrText xml:space="preserve"> ADDIN ZOTERO_ITEM CSL_CITATION {"citationID":"f80nwIWF","properties":{"formattedCitation":"(Navon, 1977)","plainCitation":"(Navon, 1977)","noteIndex":0},"citationItems":[{"id":11349,"uris":["http://zotero.org/users/10951124/items/DSYTCVLM"],"itemData":{"id":11349,"type":"article-journal","container-title":"Cognitive Psychology","DOI":"10.1016/0010-0285(77)90012-3","ISSN":"00100285","issue":"3","journalAbbreviation":"Cognitive Psychology","language":"en","license":"https://www.elsevier.com/tdm/userlicense/1.0/","page":"353-383","source":"DOI.org (Crossref)","title":"Forest before trees: The precedence of global features in visual perception","title-short":"Forest before trees","volume":"9","author":[{"family":"Navon","given":"David"}],"issued":{"date-parts":[["1977",7]]}}}],"schema":"https://github.com/citation-style-language/schema/raw/master/csl-citation.json"} </w:instrText>
      </w:r>
      <w:r>
        <w:fldChar w:fldCharType="separate"/>
      </w:r>
      <w:r w:rsidRPr="00961FDA">
        <w:rPr>
          <w:rFonts w:ascii="Calibri" w:hAnsi="Calibri" w:cs="Calibri"/>
        </w:rPr>
        <w:t>(Navon, 1977)</w:t>
      </w:r>
      <w:r>
        <w:fldChar w:fldCharType="end"/>
      </w:r>
      <w:r>
        <w:t xml:space="preserve">. The density of items in view – i.e. crowding </w:t>
      </w:r>
      <w:r>
        <w:fldChar w:fldCharType="begin"/>
      </w:r>
      <w:r>
        <w:instrText xml:space="preserve"> ADDIN ZOTERO_ITEM CSL_CITATION {"citationID":"C8itiBm1","properties":{"formattedCitation":"(Cavanagh, 2001)","plainCitation":"(Cavanagh, 2001)","noteIndex":0},"citationItems":[{"id":11346,"uris":["http://zotero.org/users/10951124/items/483JK4DD"],"itemData":{"id":11346,"type":"article-journal","container-title":"Nature Neuroscience","DOI":"10.1038/89436","ISSN":"1097-6256, 1546-1726","issue":"7","journalAbbreviation":"Nat Neurosci","language":"en","license":"http://www.springer.com/tdm","page":"673-674","source":"DOI.org (Crossref)","title":"Seeing the forest but not the trees","volume":"4","author":[{"family":"Cavanagh","given":"Patrick"}],"issued":{"date-parts":[["2001",7]]}}}],"schema":"https://github.com/citation-style-language/schema/raw/master/csl-citation.json"} </w:instrText>
      </w:r>
      <w:r>
        <w:fldChar w:fldCharType="separate"/>
      </w:r>
      <w:r w:rsidRPr="00961FDA">
        <w:rPr>
          <w:rFonts w:ascii="Calibri" w:hAnsi="Calibri" w:cs="Calibri"/>
        </w:rPr>
        <w:t>(Cavanagh, 2001)</w:t>
      </w:r>
      <w:r>
        <w:fldChar w:fldCharType="end"/>
      </w:r>
      <w:r>
        <w:t xml:space="preserve"> – seems to impose a limitation to cognition, where the individual elements are perceived but </w:t>
      </w:r>
      <w:r w:rsidR="00E61848">
        <w:t>do </w:t>
      </w:r>
      <w:r>
        <w:t xml:space="preserve">not reach the awareness level </w:t>
      </w:r>
      <w:r>
        <w:fldChar w:fldCharType="begin"/>
      </w:r>
      <w:r>
        <w:instrText xml:space="preserve"> ADDIN ZOTERO_ITEM CSL_CITATION {"citationID":"o9fOT4AL","properties":{"formattedCitation":"(He, Cavanagh and Intriligator, 1996)","plainCitation":"(He, Cavanagh and Intriligator, 1996)","noteIndex":0},"citationItems":[{"id":11350,"uris":["http://zotero.org/users/10951124/items/T7EWXPDU"],"itemData":{"id":11350,"type":"article-journal","container-title":"Nature","DOI":"10.1038/383334a0","ISSN":"0028-0836, 1476-4687","issue":"6598","journalAbbreviation":"Nature","language":"en","license":"http://www.springer.com/tdm","page":"334-337","source":"DOI.org (Crossref)","title":"Attentional resolution and the locus of visual awareness","volume":"383","author":[{"family":"He","given":"Sheng"},{"family":"Cavanagh","given":"Patrick"},{"family":"Intriligator","given":"James"}],"issued":{"date-parts":[["1996",9]]}}}],"schema":"https://github.com/citation-style-language/schema/raw/master/csl-citation.json"} </w:instrText>
      </w:r>
      <w:r>
        <w:fldChar w:fldCharType="separate"/>
      </w:r>
      <w:r w:rsidRPr="00961FDA">
        <w:rPr>
          <w:rFonts w:ascii="Calibri" w:hAnsi="Calibri" w:cs="Calibri"/>
        </w:rPr>
        <w:t>(He, Cavanagh and Intriligator, 1996)</w:t>
      </w:r>
      <w:r>
        <w:fldChar w:fldCharType="end"/>
      </w:r>
      <w:r>
        <w:t xml:space="preserve">. However, at least part of the information provided by the single elements seems retained, informing the assessment of the global feature as an average of the local features </w:t>
      </w:r>
      <w:r>
        <w:fldChar w:fldCharType="begin"/>
      </w:r>
      <w:r>
        <w:instrText xml:space="preserve"> ADDIN ZOTERO_ITEM CSL_CITATION {"citationID":"IZcer0nu","properties":{"formattedCitation":"(Parkes {\\i{}et al.}, 2001)","plainCitation":"(Parkes et al., 2001)","noteIndex":0},"citationItems":[{"id":11351,"uris":["http://zotero.org/users/10951124/items/SWDWEYML"],"itemData":{"id":11351,"type":"article-journal","container-title":"Nature Neuroscience","DOI":"10.1038/89532","ISSN":"1097-6256, 1546-1726","issue":"7","journalAbbreviation":"Nat Neurosci","language":"en","license":"http://www.springer.com/tdm","page":"739-744","source":"DOI.org (Crossref)","title":"Compulsory averaging of crowded orientation signals in human vision","volume":"4","author":[{"family":"Parkes","given":"Laura"},{"family":"Lund","given":"Jennifer"},{"family":"Angelucci","given":"Alessandra"},{"family":"Solomon","given":"Joshua A."},{"family":"Morgan","given":"Michael"}],"issued":{"date-parts":[["2001",7]]}}}],"schema":"https://github.com/citation-style-language/schema/raw/master/csl-citation.json"} </w:instrText>
      </w:r>
      <w:r>
        <w:fldChar w:fldCharType="separate"/>
      </w:r>
      <w:r w:rsidRPr="00961FDA">
        <w:rPr>
          <w:rFonts w:ascii="Calibri" w:hAnsi="Calibri" w:cs="Calibri"/>
          <w:szCs w:val="24"/>
        </w:rPr>
        <w:t xml:space="preserve">(Parkes </w:t>
      </w:r>
      <w:r w:rsidRPr="00961FDA">
        <w:rPr>
          <w:rFonts w:ascii="Calibri" w:hAnsi="Calibri" w:cs="Calibri"/>
          <w:i/>
          <w:iCs/>
          <w:szCs w:val="24"/>
        </w:rPr>
        <w:t>et al.</w:t>
      </w:r>
      <w:r w:rsidRPr="00961FDA">
        <w:rPr>
          <w:rFonts w:ascii="Calibri" w:hAnsi="Calibri" w:cs="Calibri"/>
          <w:szCs w:val="24"/>
        </w:rPr>
        <w:t>, 2001)</w:t>
      </w:r>
      <w:r>
        <w:fldChar w:fldCharType="end"/>
      </w:r>
      <w:r>
        <w:t xml:space="preserve">. It is also possible that the species count did not differ enough from video to video. Although the number of added species varied (i.e. 0, 4 and 21), when considering the background species, the plant species count would be 14 (control), 18 (lower species richness) and 35 (higher species richness). Still, a difference between the control and the richer plant treatments should have been noticeable, as in </w:t>
      </w:r>
      <w:r>
        <w:fldChar w:fldCharType="begin"/>
      </w:r>
      <w:r>
        <w:instrText xml:space="preserve"> ADDIN ZOTERO_ITEM CSL_CITATION {"citationID":"A2DYkL90","properties":{"formattedCitation":"(Lindemann-Matthies and Matthies, 2018)","plainCitation":"(Lindemann-Matthies and Matthies, 2018)","dontUpdate":true,"noteIndex":0},"citationItems":[{"id":9126,"uris":["http://zotero.org/users/10951124/items/9ILWYPEK"],"itemData":{"id":9126,"type":"article-journal","container-title":"Web Ecol.","DOI":"10.5194/we-18-121-2018","ISSN":"1399-1183","issue":"2","note":"publisher: Copernicus Publications","page":"121-128","title":"The influence of plant species richness on stress recovery of humans","volume":"18","author":[{"family":"Lindemann-Matthies","given":"P"},{"family":"Matthies","given":"D"}],"issued":{"date-parts":[["2018",8,29]]}}}],"schema":"https://github.com/citation-style-language/schema/raw/master/csl-citation.json"} </w:instrText>
      </w:r>
      <w:r>
        <w:fldChar w:fldCharType="separate"/>
      </w:r>
      <w:r w:rsidRPr="00AF56A7">
        <w:rPr>
          <w:rFonts w:ascii="Calibri" w:hAnsi="Calibri" w:cs="Calibri"/>
        </w:rPr>
        <w:t xml:space="preserve">Lindemann-Matthies and Matthies </w:t>
      </w:r>
      <w:r>
        <w:rPr>
          <w:rFonts w:ascii="Calibri" w:hAnsi="Calibri" w:cs="Calibri"/>
        </w:rPr>
        <w:t>(</w:t>
      </w:r>
      <w:r w:rsidRPr="00AF56A7">
        <w:rPr>
          <w:rFonts w:ascii="Calibri" w:hAnsi="Calibri" w:cs="Calibri"/>
        </w:rPr>
        <w:t>2018)</w:t>
      </w:r>
      <w:r>
        <w:fldChar w:fldCharType="end"/>
      </w:r>
      <w:r>
        <w:t xml:space="preserve">, who observed the highest stress recovery in the group that was exposed to 32 plant species compared with 64 species and 16 species or less. However, </w:t>
      </w:r>
      <w:r w:rsidRPr="00AF56A7">
        <w:rPr>
          <w:rFonts w:ascii="Calibri" w:hAnsi="Calibri" w:cs="Calibri"/>
        </w:rPr>
        <w:t>Lindemann-Matthies and Matthies</w:t>
      </w:r>
      <w:r>
        <w:rPr>
          <w:rFonts w:ascii="Calibri" w:hAnsi="Calibri" w:cs="Calibri"/>
        </w:rPr>
        <w:t xml:space="preserve"> did not use trees in their treatments. Considering the added level of birdsong, it is possible that this had little effect, as previously reported by </w:t>
      </w:r>
      <w:r>
        <w:fldChar w:fldCharType="begin"/>
      </w:r>
      <w:r>
        <w:instrText xml:space="preserve"> ADDIN ZOTERO_ITEM CSL_CITATION {"citationID":"XVdnGEKG","properties":{"formattedCitation":"(Hedblom, Gunnarsson, Schaefer, {\\i{}et al.}, 2019)","plainCitation":"(Hedblom, Gunnarsson, Schaefer, et al., 2019)","dontUpdate":true,"noteIndex":0},"citationItems":[{"id":9500,"uris":["http://zotero.org/users/10951124/items/LRURK8RT"],"itemData":{"id":9500,"type":"article-journal","abstract":"Noise from city traffic is one of the most significant environmental stressors. Natural soundscapes, such as bird songs, have been suggested to potentially mitigate or mask noise. All previous studies on masking noise use self-evaluation data rather than physiological data. In this study, while respondents (n = 117) watched a 360&amp;deg; virtual reality (VR) photograph of a park, they were exposed to different soundscapes and mild electrical shocks. The soundscapes&amp;mdash;&amp;ldquo;bird song&amp;rdquo;, &amp;ldquo;bird song and traffic noise&amp;rdquo;, and &amp;ldquo;traffic noise&amp;rdquo;&amp;mdash;were played during a 10 min recovery period while their skin conductance levels were assessed as a measure of arousal/stress. No significant difference in stress recovery was found between the soundscapes although a tendency for less stress in &amp;ldquo;bird song&amp;rdquo; and more stress in &amp;ldquo;traffic noise&amp;rdquo; was noted. All three soundscapes, however, significantly reduced stress. This result could be attributed to the stress-reducing effect of the visual VR environment, to the noise levels being higher than 47 dBA (a level known to make masking ineffective), or to the respondents finding bird songs stressful. Reduction of stress in cities using masking with natural sounds requires further studies with not only larger samples but also sufficient methods to detect potential sex differences.","container-title":"International Journal of Environmental Research and Public Health","DOI":"10.3390/ijerph16081390","ISSN":"1660-4601","issue":"8","title":"Sounds of Nature in the City: No Evidence of Bird Song Improving Stress Recovery","volume":"16","author":[{"family":"Hedblom","given":"Marcus"},{"family":"Gunnarsson","given":"Bengt"},{"family":"Schaefer","given":"Martin"},{"family":"Knez","given":"Igor"},{"family":"Thorsson","given":"Pontus"},{"family":"Lundström","given":"Johan N."}],"issued":{"date-parts":[["2019"]]}}}],"schema":"https://github.com/citation-style-language/schema/raw/master/csl-citation.json"} </w:instrText>
      </w:r>
      <w:r>
        <w:fldChar w:fldCharType="separate"/>
      </w:r>
      <w:r w:rsidRPr="009908B5">
        <w:rPr>
          <w:rFonts w:ascii="Calibri" w:hAnsi="Calibri" w:cs="Calibri"/>
          <w:szCs w:val="24"/>
        </w:rPr>
        <w:t xml:space="preserve">Hedblom, Gunnarsson, Schaefer, </w:t>
      </w:r>
      <w:r w:rsidRPr="009908B5">
        <w:rPr>
          <w:rFonts w:ascii="Calibri" w:hAnsi="Calibri" w:cs="Calibri"/>
          <w:i/>
          <w:iCs/>
          <w:szCs w:val="24"/>
        </w:rPr>
        <w:t>et al.</w:t>
      </w:r>
      <w:r w:rsidRPr="009908B5">
        <w:rPr>
          <w:rFonts w:ascii="Calibri" w:hAnsi="Calibri" w:cs="Calibri"/>
          <w:szCs w:val="24"/>
        </w:rPr>
        <w:t xml:space="preserve"> </w:t>
      </w:r>
      <w:r>
        <w:rPr>
          <w:rFonts w:ascii="Calibri" w:hAnsi="Calibri" w:cs="Calibri"/>
          <w:szCs w:val="24"/>
        </w:rPr>
        <w:t>(</w:t>
      </w:r>
      <w:r w:rsidRPr="009908B5">
        <w:rPr>
          <w:rFonts w:ascii="Calibri" w:hAnsi="Calibri" w:cs="Calibri"/>
          <w:szCs w:val="24"/>
        </w:rPr>
        <w:t>2019)</w:t>
      </w:r>
      <w:r>
        <w:fldChar w:fldCharType="end"/>
      </w:r>
      <w:r>
        <w:t xml:space="preserve"> and </w:t>
      </w:r>
      <w:r>
        <w:fldChar w:fldCharType="begin"/>
      </w:r>
      <w:r>
        <w:instrText xml:space="preserve"> ADDIN ZOTERO_ITEM CSL_CITATION {"citationID":"TY36jLfE","properties":{"formattedCitation":"(Douglas and Evans, 2022)","plainCitation":"(Douglas and Evans, 2022)","dontUpdate":true,"noteIndex":0},"citationItems":[{"id":9921,"uris":["http://zotero.org/users/10951124/items/BHP82I45"],"itemData":{"id":9921,"type":"article-journal","container-title":"People and Nature","DOI":"10.1002/pan3.10279","ISSN":"2575-8314, 2575-8314","issue":"1","journalAbbreviation":"People and Nature","language":"en","page":"243-259","source":"DOI.org (Crossref)","title":"An experimental test of the impact of avian diversity on attentional benefits and enjoyment of people experiencing urban green‐space","volume":"4","author":[{"family":"Douglas","given":"Joseph W. A."},{"family":"Evans","given":"Karl L."}],"issued":{"date-parts":[["2022",2]]}}}],"schema":"https://github.com/citation-style-language/schema/raw/master/csl-citation.json"} </w:instrText>
      </w:r>
      <w:r>
        <w:fldChar w:fldCharType="separate"/>
      </w:r>
      <w:r w:rsidRPr="009908B5">
        <w:rPr>
          <w:rFonts w:ascii="Calibri" w:hAnsi="Calibri" w:cs="Calibri"/>
        </w:rPr>
        <w:t xml:space="preserve">Douglas and Evans </w:t>
      </w:r>
      <w:r>
        <w:rPr>
          <w:rFonts w:ascii="Calibri" w:hAnsi="Calibri" w:cs="Calibri"/>
        </w:rPr>
        <w:t>(</w:t>
      </w:r>
      <w:r w:rsidRPr="009908B5">
        <w:rPr>
          <w:rFonts w:ascii="Calibri" w:hAnsi="Calibri" w:cs="Calibri"/>
        </w:rPr>
        <w:t>2022)</w:t>
      </w:r>
      <w:r>
        <w:fldChar w:fldCharType="end"/>
      </w:r>
    </w:p>
    <w:p w14:paraId="1C93E912" w14:textId="510C91E9" w:rsidR="009C262F" w:rsidRDefault="009C262F" w:rsidP="005D7515">
      <w:pPr>
        <w:pStyle w:val="Heading3"/>
      </w:pPr>
      <w:bookmarkStart w:id="179" w:name="_Toc179962417"/>
      <w:r>
        <w:t>Critical reflection</w:t>
      </w:r>
      <w:r w:rsidR="00F1058E">
        <w:t xml:space="preserve"> on chapter 6</w:t>
      </w:r>
      <w:bookmarkEnd w:id="179"/>
    </w:p>
    <w:p w14:paraId="71612709" w14:textId="61ED1B55" w:rsidR="009C262F" w:rsidRDefault="009C262F" w:rsidP="009C262F">
      <w:r>
        <w:t xml:space="preserve">Since the thesis submission, the chapter has been </w:t>
      </w:r>
      <w:r w:rsidR="00E61848">
        <w:t>peer-reviewed</w:t>
      </w:r>
      <w:r>
        <w:t xml:space="preserve">, revised and published </w:t>
      </w:r>
      <w:r>
        <w:fldChar w:fldCharType="begin"/>
      </w:r>
      <w:r>
        <w:instrText xml:space="preserve"> ADDIN ZOTERO_ITEM CSL_CITATION {"citationID":"vnB5WHxx","properties":{"formattedCitation":"(Farris, Zhang, {\\i{}et al.}, 2024)","plainCitation":"(Farris, Zhang, et al., 2024)","noteIndex":0},"citationItems":[{"id":11353,"uris":["http://zotero.org/users/10951124/items/VIKQ9A6L"],"itemData":{"id":11353,"type":"article-journal","container-title":"Cities &amp; Health","DOI":"10.1080/23748834.2024.2383825","ISSN":"2374-8834, 2374-8842","journalAbbreviation":"Cities &amp; Health","language":"en","page":"1-16","source":"DOI.org (Crossref)","title":"‘The Elephant in the Room’ – does actual or perceived biodiversity elicit restorative responses in a virtual park?","author":[{"family":"Farris","given":"Simone"},{"family":"Zhang","given":"Liwen"},{"family":"Dempsey","given":"Nicola"},{"family":"McEwan","given":"Kirsten"},{"family":"Hoyle","given":"Helen"},{"family":"Cameron","given":"Ross"}],"issued":{"date-parts":[["2024",8,15]]}}}],"schema":"https://github.com/citation-style-language/schema/raw/master/csl-citation.json"} </w:instrText>
      </w:r>
      <w:r>
        <w:fldChar w:fldCharType="separate"/>
      </w:r>
      <w:r w:rsidRPr="00D16C1B">
        <w:rPr>
          <w:rFonts w:ascii="Calibri" w:hAnsi="Calibri" w:cs="Calibri"/>
          <w:szCs w:val="24"/>
        </w:rPr>
        <w:t xml:space="preserve">(Farris, Zhang, </w:t>
      </w:r>
      <w:r w:rsidRPr="00D16C1B">
        <w:rPr>
          <w:rFonts w:ascii="Calibri" w:hAnsi="Calibri" w:cs="Calibri"/>
          <w:i/>
          <w:iCs/>
          <w:szCs w:val="24"/>
        </w:rPr>
        <w:t>et al.</w:t>
      </w:r>
      <w:r w:rsidRPr="00D16C1B">
        <w:rPr>
          <w:rFonts w:ascii="Calibri" w:hAnsi="Calibri" w:cs="Calibri"/>
          <w:szCs w:val="24"/>
        </w:rPr>
        <w:t>, 2024)</w:t>
      </w:r>
      <w:r>
        <w:fldChar w:fldCharType="end"/>
      </w:r>
      <w:r>
        <w:t>. This reflection aims to illustrate and discuss the main revisions and elaborate further on the paper’s limitations.</w:t>
      </w:r>
    </w:p>
    <w:p w14:paraId="0A59C45A" w14:textId="68006014" w:rsidR="009B4CD9" w:rsidRDefault="009B4CD9" w:rsidP="009C262F">
      <w:r>
        <w:t>Th</w:t>
      </w:r>
      <w:r w:rsidR="00B6534F">
        <w:t>ese</w:t>
      </w:r>
      <w:r>
        <w:t xml:space="preserve"> experiment</w:t>
      </w:r>
      <w:r w:rsidR="00B6534F">
        <w:t>s</w:t>
      </w:r>
      <w:r>
        <w:t xml:space="preserve"> </w:t>
      </w:r>
      <w:r w:rsidR="00B6534F">
        <w:t>were</w:t>
      </w:r>
      <w:r>
        <w:t xml:space="preserve"> conceived as a collaboration between two researchers looking at different angles of the green space/well-being relationship: species richness (SF) and flower colours (LZ). The design was exceedingly complex to be reported in a single paper, involving three points in time by three affective dimensions by two stress conditions and four treatments (higher/lower </w:t>
      </w:r>
      <w:r>
        <w:lastRenderedPageBreak/>
        <w:t xml:space="preserve">species/colours). </w:t>
      </w:r>
      <w:r w:rsidR="00B6534F">
        <w:t>This is why, i</w:t>
      </w:r>
      <w:r>
        <w:t xml:space="preserve">n this paper, the elements concerning colours remained </w:t>
      </w:r>
      <w:r w:rsidR="00B6534F">
        <w:t>focused on controlling the effect of the colours to better tease out the effects of the species</w:t>
      </w:r>
      <w:r w:rsidR="00DF7702">
        <w:t xml:space="preserve"> richness</w:t>
      </w:r>
      <w:r w:rsidR="00B6534F">
        <w:t>.</w:t>
      </w:r>
    </w:p>
    <w:p w14:paraId="372379C2" w14:textId="3B6F80F7" w:rsidR="009C262F" w:rsidRDefault="009C262F" w:rsidP="009C262F">
      <w:r>
        <w:t xml:space="preserve">As in </w:t>
      </w:r>
      <w:r w:rsidR="00E61848">
        <w:t>Chapter</w:t>
      </w:r>
      <w:r w:rsidR="001320E9">
        <w:t xml:space="preserve"> 5</w:t>
      </w:r>
      <w:r>
        <w:t xml:space="preserve">, the word biodiversity was used, whereas species richness would have been more appropriate </w:t>
      </w:r>
      <w:r w:rsidR="001320E9">
        <w:t>for</w:t>
      </w:r>
      <w:r>
        <w:t xml:space="preserve"> the title and </w:t>
      </w:r>
      <w:r w:rsidR="001320E9">
        <w:t xml:space="preserve">it </w:t>
      </w:r>
      <w:r>
        <w:t>indeed was the focus of the experiment as the manipulated variable. The use of the term macro-biodiversity in the abstract could have been misleading as well. The intention was to indicate species of conspicuous size, as listed in the parenthesis. This was partially due to the strict word limit imposed by the journal to the abstract (maximum 200 words), which limited the use of a longer, more precise explanation.</w:t>
      </w:r>
    </w:p>
    <w:p w14:paraId="6702DA1F" w14:textId="2A94FBB2" w:rsidR="009C262F" w:rsidRDefault="009C262F" w:rsidP="009C262F">
      <w:r>
        <w:t xml:space="preserve">Addressing the potential advantages of the urban environment for many species, the introduction should have been more balanced, acknowledging urbanisation as one important driver of biodiversity loss, both directly (e.g. loss of habitat due to change of landscape use) or indirectly (e.g. pollution, heat island effect) at a global level </w:t>
      </w:r>
      <w:r>
        <w:fldChar w:fldCharType="begin"/>
      </w:r>
      <w:r>
        <w:instrText xml:space="preserve"> ADDIN ZOTERO_ITEM CSL_CITATION {"citationID":"P9eN5z0p","properties":{"formattedCitation":"(McDonald {\\i{}et al.}, 2019)","plainCitation":"(McDonald et al., 2019)","noteIndex":0},"citationItems":[{"id":11375,"uris":["http://zotero.org/users/10951124/items/7WYIP3F3"],"itemData":{"id":11375,"type":"article-journal","container-title":"Nature Sustainability","DOI":"10.1038/s41893-019-0436-6","ISSN":"2398-9629","issue":"1","journalAbbreviation":"Nat Sustain","language":"en","page":"16-24","source":"DOI.org (Crossref)","title":"Research gaps in knowledge of the impact of urban growth on biodiversity","volume":"3","author":[{"family":"McDonald","given":"Robert I."},{"family":"Mansur","given":"Andressa V."},{"family":"Ascensão","given":"Fernando"},{"family":"Colbert","given":"M’lisa"},{"family":"Crossman","given":"Katie"},{"family":"Elmqvist","given":"Thomas"},{"family":"Gonzalez","given":"Andrew"},{"family":"Güneralp","given":"Burak"},{"family":"Haase","given":"Dagmar"},{"family":"Hamann","given":"Maike"},{"family":"Hillel","given":"Oliver"},{"family":"Huang","given":"Kangning"},{"family":"Kahnt","given":"Belinda"},{"family":"Maddox","given":"David"},{"family":"Pacheco","given":"Andrea"},{"family":"Pereira","given":"Henrique M."},{"family":"Seto","given":"Karen C."},{"family":"Simkin","given":"Rohan"},{"family":"Walsh","given":"Brenna"},{"family":"Werner","given":"Alexandra S."},{"family":"Ziter","given":"Carly"}],"issued":{"date-parts":[["2019",12,9]]}}}],"schema":"https://github.com/citation-style-language/schema/raw/master/csl-citation.json"} </w:instrText>
      </w:r>
      <w:r>
        <w:fldChar w:fldCharType="separate"/>
      </w:r>
      <w:r w:rsidRPr="00A73553">
        <w:rPr>
          <w:rFonts w:ascii="Calibri" w:hAnsi="Calibri" w:cs="Calibri"/>
          <w:szCs w:val="24"/>
        </w:rPr>
        <w:t xml:space="preserve">(McDonald </w:t>
      </w:r>
      <w:r w:rsidRPr="00A73553">
        <w:rPr>
          <w:rFonts w:ascii="Calibri" w:hAnsi="Calibri" w:cs="Calibri"/>
          <w:i/>
          <w:iCs/>
          <w:szCs w:val="24"/>
        </w:rPr>
        <w:t>et al.</w:t>
      </w:r>
      <w:r w:rsidRPr="00A73553">
        <w:rPr>
          <w:rFonts w:ascii="Calibri" w:hAnsi="Calibri" w:cs="Calibri"/>
          <w:szCs w:val="24"/>
        </w:rPr>
        <w:t>, 2019)</w:t>
      </w:r>
      <w:r>
        <w:fldChar w:fldCharType="end"/>
      </w:r>
      <w:r>
        <w:t>. For instance</w:t>
      </w:r>
      <w:r w:rsidR="001320E9">
        <w:t>,</w:t>
      </w:r>
      <w:r>
        <w:t xml:space="preserve"> reviews of the literature that have collated species richness and abundance data at the global scale showed that bird species loss is due to a lack of adaptation to resources and risks of urban environments </w:t>
      </w:r>
      <w:r>
        <w:fldChar w:fldCharType="begin"/>
      </w:r>
      <w:r>
        <w:instrText xml:space="preserve"> ADDIN ZOTERO_ITEM CSL_CITATION {"citationID":"N3bw3fzQ","properties":{"formattedCitation":"(Sol {\\i{}et al.}, 2014)","plainCitation":"(Sol et al., 2014)","noteIndex":0},"citationItems":[{"id":11374,"uris":["http://zotero.org/users/10951124/items/HHXN966J"],"itemData":{"id":11374,"type":"article-journal","abstract":"Abstract\n            Urbanisation is considered an important driver of current biodiversity loss, but the underlying causes are not fully understood. It is generally assumed that this loss reflects the fact that most organisms do not tolerate well the environmental alterations associated with urbanisation. Nevertheless, current evidence is inconclusive and the alternative that the biodiversity loss is the result of random mechanisms has never been evaluated. Analysing changes in abundance between urbanised environments and their non‐urbanised surroundings of &gt; 800 avian species from five continents, we show here that although random processes account for part of the species loss associated with urbanisation, much of the loss is associated with a lack of appropriate adaptations of most species for exploiting resources and avoiding risks of the urban environments. These findings have important conservation implications because the extinction of species with particular features should have higher impact on biodiversity and ecosystem function than a random loss.","container-title":"Ecology Letters","DOI":"10.1111/ele.12297","ISSN":"1461-023X, 1461-0248","issue":"8","journalAbbreviation":"Ecology Letters","language":"en","page":"942-950","source":"DOI.org (Crossref)","title":"Urbanisation tolerance and the loss of avian diversity","volume":"17","author":[{"family":"Sol","given":"Daniel"},{"family":"González‐Lagos","given":"Cesar"},{"family":"Moreira","given":"Darío"},{"family":"Maspons","given":"Joan"},{"family":"Lapiedra","given":"Oriol"}],"editor":[{"family":"Mouillot","given":"David"}],"issued":{"date-parts":[["2014",8]]}}}],"schema":"https://github.com/citation-style-language/schema/raw/master/csl-citation.json"} </w:instrText>
      </w:r>
      <w:r>
        <w:fldChar w:fldCharType="separate"/>
      </w:r>
      <w:r w:rsidRPr="005256A1">
        <w:rPr>
          <w:rFonts w:ascii="Calibri" w:hAnsi="Calibri" w:cs="Calibri"/>
          <w:szCs w:val="24"/>
        </w:rPr>
        <w:t xml:space="preserve">(Sol </w:t>
      </w:r>
      <w:r w:rsidRPr="005256A1">
        <w:rPr>
          <w:rFonts w:ascii="Calibri" w:hAnsi="Calibri" w:cs="Calibri"/>
          <w:i/>
          <w:iCs/>
          <w:szCs w:val="24"/>
        </w:rPr>
        <w:t>et al.</w:t>
      </w:r>
      <w:r w:rsidRPr="005256A1">
        <w:rPr>
          <w:rFonts w:ascii="Calibri" w:hAnsi="Calibri" w:cs="Calibri"/>
          <w:szCs w:val="24"/>
        </w:rPr>
        <w:t>, 2014)</w:t>
      </w:r>
      <w:r>
        <w:fldChar w:fldCharType="end"/>
      </w:r>
      <w:r>
        <w:t xml:space="preserve">, while </w:t>
      </w:r>
      <w:r w:rsidR="00E61848">
        <w:t>insect</w:t>
      </w:r>
      <w:r>
        <w:t xml:space="preserve"> species loss is associated, inter alia, with impermeable surfaces and increased </w:t>
      </w:r>
      <w:r w:rsidR="001320E9">
        <w:t xml:space="preserve">air </w:t>
      </w:r>
      <w:r>
        <w:t xml:space="preserve">temperature </w:t>
      </w:r>
      <w:r>
        <w:fldChar w:fldCharType="begin"/>
      </w:r>
      <w:r>
        <w:instrText xml:space="preserve"> ADDIN ZOTERO_ITEM CSL_CITATION {"citationID":"1kZRobi0","properties":{"formattedCitation":"(Fenoglio {\\i{}et al.}, 2021)","plainCitation":"(Fenoglio et al., 2021)","noteIndex":0},"citationItems":[{"id":11373,"uris":["http://zotero.org/users/10951124/items/A9736QR6"],"itemData":{"id":11373,"type":"article-journal","abstract":"1. Urbanisation is one of the main land‐use changes behind global insect collapse. Despite that previous studies have described the negative effects of urbanisation on insect communities, so far there is no synthesis that considers multiple urban drivers, their combined effects, and the role of species traits altogether.\n            2. Here we developed an integrative framework of the underlying mechanisms behind terrestrial insect species loss in cities by exploring five leading drivers: impervious surfaces, habitat fragmentation, urban heat island, pollution, and exotic plants. For each driver, we identified the main direct and indirect (mediated through species interactions or changes in resources) effects on insect populations and communities, emphasising the role of species traits as moderators of such effects.\n            3. Body size, mobility, and oviposition/nesting requirements were the traits that frequently defined insect vulnerability to urban drivers. Urban heat island and pollution deserve further research from a community‐level approach. Direct effects of drivers dominated the literature, while most indirect paths were mediated by changes in resources rather than species interactions.\n            4. In conclusion, our review showed the challenges of recognising particular effects and mechanisms for each urban driver and their combined effects. By doing so, we intended to encourage researchers to address some of the gaps we noticed in order to fully understand how urbanisation is affecting insect communities. Finally, we outlined the main recent urban planning strategies and future challenges in order to successfully conserve urban insect biodiversity.","container-title":"Ecological Entomology","DOI":"10.1111/een.13041","ISSN":"0307-6946, 1365-2311","issue":"4","journalAbbreviation":"Ecological Entomology","language":"en","page":"757-771","source":"DOI.org (Crossref)","title":"Urbanisation drivers and underlying mechanisms of terrestrial insect diversity loss in cities","volume":"46","author":[{"family":"Fenoglio","given":"María Silvina"},{"family":"Calviño","given":"Ana"},{"family":"González","given":"Ezequiel"},{"family":"Salvo","given":"Adriana"},{"family":"Videla","given":"Martin"}],"issued":{"date-parts":[["2021",8]]}}}],"schema":"https://github.com/citation-style-language/schema/raw/master/csl-citation.json"} </w:instrText>
      </w:r>
      <w:r>
        <w:fldChar w:fldCharType="separate"/>
      </w:r>
      <w:r w:rsidRPr="006628C2">
        <w:rPr>
          <w:rFonts w:ascii="Calibri" w:hAnsi="Calibri" w:cs="Calibri"/>
          <w:szCs w:val="24"/>
        </w:rPr>
        <w:t xml:space="preserve">(Fenoglio </w:t>
      </w:r>
      <w:r w:rsidRPr="006628C2">
        <w:rPr>
          <w:rFonts w:ascii="Calibri" w:hAnsi="Calibri" w:cs="Calibri"/>
          <w:i/>
          <w:iCs/>
          <w:szCs w:val="24"/>
        </w:rPr>
        <w:t>et al.</w:t>
      </w:r>
      <w:r w:rsidRPr="006628C2">
        <w:rPr>
          <w:rFonts w:ascii="Calibri" w:hAnsi="Calibri" w:cs="Calibri"/>
          <w:szCs w:val="24"/>
        </w:rPr>
        <w:t>, 2021)</w:t>
      </w:r>
      <w:r>
        <w:fldChar w:fldCharType="end"/>
      </w:r>
      <w:r>
        <w:t>.</w:t>
      </w:r>
    </w:p>
    <w:p w14:paraId="7376BE83" w14:textId="7570854A" w:rsidR="009C262F" w:rsidRDefault="009C262F" w:rsidP="009C262F">
      <w:r>
        <w:t xml:space="preserve">In the published version of the paper, a succinct justification of the reasons for having a sample from another cultural context was provided. The review of the literature on </w:t>
      </w:r>
      <w:r w:rsidR="001320E9">
        <w:t xml:space="preserve">how </w:t>
      </w:r>
      <w:r>
        <w:t xml:space="preserve">biodiversity </w:t>
      </w:r>
      <w:r w:rsidR="001320E9">
        <w:t>improves</w:t>
      </w:r>
      <w:r>
        <w:t xml:space="preserve"> well-being </w:t>
      </w:r>
      <w:r w:rsidR="00E61848">
        <w:t>is </w:t>
      </w:r>
      <w:r>
        <w:t xml:space="preserve">presented by </w:t>
      </w:r>
      <w:r>
        <w:fldChar w:fldCharType="begin"/>
      </w:r>
      <w:r>
        <w:instrText xml:space="preserve"> ADDIN ZOTERO_ITEM CSL_CITATION {"citationID":"txgEW94G","properties":{"formattedCitation":"(Marselle {\\i{}et al.}, 2019)","plainCitation":"(Marselle et al., 2019)","dontUpdate":true,"noteIndex":0},"citationItems":[{"id":9665,"uris":["http://zotero.org/users/10951124/items/USFUHYF5"],"itemData":{"id":9665,"type":"chapter","abstract":"Little is known about the contribution that biodiversity has on mental health and well-being. To date, only one systematic review has investigated the health and well-being benefits from contact with biodiversity (Lovell et al. J Toxicol Environ Health B Crit Rev 17(1):1–20, 2014). The number of research studies investigating the health and well-being effects of biodiversity has increased since this publication. Here, we provide an update, focusing on the impact of biodiversity on mental health and well-being. Our objectives are to: (i) identify and describe the literature published after 2012; and (ii) synthesise all results from Lovell et al. (J Toxicol Environ Health B Crit Rev 17(1):1–20, 2014) and the more recently published literature to assess whether biodiversity influences mental health and well-being. Sixteen recently published studies met the inclusion criteria. The literature is varied with different study designs, measures of biodiversity, mental health and well-being. The synthesis of results was drawn from 24 studies: nine from Lovell et al. (J Toxicol Environ Health B Crit Rev 17(1):1–20, 2014) and 15 identified by this chapter. There is some evidence to suggest that biodiversity promotes better mental health and well-being. However, more studies reported non-significant results. The evidence is not yet of the extent necessary to characterise the role of biodiversity in relation to mental health or well-being. Future interdisciplinary research directions are discussed.","container-title":"Biodiversity and Health in the Face of Climate Change","event-place":"Cham","ISBN":"978-3-030-02318-8","note":"DOI: 10.1007/978-3-030-02318-8_9","page":"175-211","publisher":"Springer International Publishing","publisher-place":"Cham","title":"Review of the Mental Health and Well-being Benefits of Biodiversity","URL":"https://doi.org/10.1007/978-3-030-02318-8_9","author":[{"family":"Marselle","given":"Melissa R."},{"family":"Martens","given":"Dörte"},{"family":"Dallimer","given":"Martin"},{"family":"Irvine","given":"Katherine N."}],"editor":[{"family":"Marselle","given":"Melissa R."},{"family":"Stadler","given":"Jutta"},{"family":"Korn","given":"Horst"},{"family":"Irvine","given":"Katherine N."},{"family":"Bonn","given":"Aletta"}],"issued":{"date-parts":[["2019"]]}}}],"schema":"https://github.com/citation-style-language/schema/raw/master/csl-citation.json"} </w:instrText>
      </w:r>
      <w:r>
        <w:fldChar w:fldCharType="separate"/>
      </w:r>
      <w:r w:rsidRPr="0078737E">
        <w:rPr>
          <w:rFonts w:ascii="Calibri" w:hAnsi="Calibri" w:cs="Calibri"/>
          <w:szCs w:val="24"/>
        </w:rPr>
        <w:t xml:space="preserve">Marselle </w:t>
      </w:r>
      <w:r w:rsidRPr="0078737E">
        <w:rPr>
          <w:rFonts w:ascii="Calibri" w:hAnsi="Calibri" w:cs="Calibri"/>
          <w:i/>
          <w:iCs/>
          <w:szCs w:val="24"/>
        </w:rPr>
        <w:t>et al.</w:t>
      </w:r>
      <w:r w:rsidRPr="0078737E">
        <w:rPr>
          <w:rFonts w:ascii="Calibri" w:hAnsi="Calibri" w:cs="Calibri"/>
          <w:szCs w:val="24"/>
        </w:rPr>
        <w:t xml:space="preserve"> </w:t>
      </w:r>
      <w:r>
        <w:rPr>
          <w:rFonts w:ascii="Calibri" w:hAnsi="Calibri" w:cs="Calibri"/>
          <w:szCs w:val="24"/>
        </w:rPr>
        <w:t>(</w:t>
      </w:r>
      <w:r w:rsidRPr="0078737E">
        <w:rPr>
          <w:rFonts w:ascii="Calibri" w:hAnsi="Calibri" w:cs="Calibri"/>
          <w:szCs w:val="24"/>
        </w:rPr>
        <w:t>2019)</w:t>
      </w:r>
      <w:r>
        <w:fldChar w:fldCharType="end"/>
      </w:r>
      <w:r>
        <w:t xml:space="preserve"> indicated that only two studies (out of 16) were not based on European or North </w:t>
      </w:r>
      <w:r w:rsidR="00E61848">
        <w:t>American</w:t>
      </w:r>
      <w:r>
        <w:t xml:space="preserve"> populations. The review was expanded a few years later by </w:t>
      </w:r>
      <w:r>
        <w:fldChar w:fldCharType="begin"/>
      </w:r>
      <w:r>
        <w:instrText xml:space="preserve"> ADDIN ZOTERO_ITEM CSL_CITATION {"citationID":"BB5Xzst6","properties":{"formattedCitation":"(Hedin {\\i{}et al.}, 2022)","plainCitation":"(Hedin et al., 2022)","dontUpdate":true,"noteIndex":0},"citationItems":[{"id":9662,"uris":["http://zotero.org/users/10951124/items/4ZUAJGA3"],"itemData":{"id":9662,"type":"article-journal","abstract":"Biodiversity conservation and mental health and wellbeing are of increasing global concern, with growing relevance to planning and policy. A growing body of literature exploring the relationships between biodiversity and mental health and wellbeing—based on early research conducted largely from social science perspectives—suggests that particular qualities within natural environments confer particular benefits. Results so far have been inconclusive and inconsistent, contributing to an incohesive body of evidence. While past reviews have focused on reporting variations in results, the present study builds on early reviews by exploring variations from the perspective of author disciplines and the use of different guiding theories, and variables used to measure biodiversity, mental health and wellbeing. This aims to address a research gap in understanding whether research in this topic has become more interdisciplinary or has employed more consistent study designs, which were highlighted as priorities in past reviews, but the progress of which has not yet been explored in depth. We found that research connecting biodiversity and mental health and wellbeing has become only marginally more interdisciplinary in recent years, and there is still a large inconsistency in the use of guiding theories, variables and overall study designs. The variation in disciplinary perspectives and methods reflects a growing interest in this field and the variety of ways researchers are trying to understand and test the complex relationships between biodiversity and mental health and wellbeing. Our study shows that there are unique perspectives that different disciplines can contribute to this body of research and continuing to increase collaboration between disciplines with the use of consistent mixed methods approaches in future may contribute to a more cohesive body of evidence. We provide a framework to conceptualize recommendations for future research, highlighting the importance of interdisciplinary collaboration at multiple scales, and importantly focusing on more specific, mechanistic studies to inform decision-making that provides co-benefits for biodiversity and mental health and wellbeing.","container-title":"Frontiers in Ecology and Evolution","ISSN":"2296-701X","journalAbbreviation":"Frontiers in Ecology and Evolution","title":"Connecting Biodiversity With Mental Health and Wellbeing — A Review of Methods and Disciplinary Perspectives","URL":"https://www.frontiersin.org/articles/10.3389/fevo.2022.865727","volume":"10","author":[{"family":"Hedin","given":"Madeleine"},{"family":"Hahs","given":"Amy K."},{"family":"Mata","given":"Luis"},{"family":"Lee","given":"Kate"}],"issued":{"date-parts":[["2022"]]}}}],"schema":"https://github.com/citation-style-language/schema/raw/master/csl-citation.json"} </w:instrText>
      </w:r>
      <w:r>
        <w:fldChar w:fldCharType="separate"/>
      </w:r>
      <w:r w:rsidRPr="00CD27D0">
        <w:rPr>
          <w:rFonts w:ascii="Calibri" w:hAnsi="Calibri" w:cs="Calibri"/>
          <w:szCs w:val="24"/>
        </w:rPr>
        <w:t xml:space="preserve">Hedin </w:t>
      </w:r>
      <w:r w:rsidRPr="00CD27D0">
        <w:rPr>
          <w:rFonts w:ascii="Calibri" w:hAnsi="Calibri" w:cs="Calibri"/>
          <w:i/>
          <w:iCs/>
          <w:szCs w:val="24"/>
        </w:rPr>
        <w:t>et al.</w:t>
      </w:r>
      <w:r w:rsidRPr="00CD27D0">
        <w:rPr>
          <w:rFonts w:ascii="Calibri" w:hAnsi="Calibri" w:cs="Calibri"/>
          <w:szCs w:val="24"/>
        </w:rPr>
        <w:t xml:space="preserve"> </w:t>
      </w:r>
      <w:r>
        <w:rPr>
          <w:rFonts w:ascii="Calibri" w:hAnsi="Calibri" w:cs="Calibri"/>
          <w:szCs w:val="24"/>
        </w:rPr>
        <w:t>(</w:t>
      </w:r>
      <w:r w:rsidRPr="00CD27D0">
        <w:rPr>
          <w:rFonts w:ascii="Calibri" w:hAnsi="Calibri" w:cs="Calibri"/>
          <w:szCs w:val="24"/>
        </w:rPr>
        <w:t>2022)</w:t>
      </w:r>
      <w:r>
        <w:fldChar w:fldCharType="end"/>
      </w:r>
      <w:r>
        <w:t xml:space="preserve"> and the number of non-western studies increased to six (out of 52). Although both reviews acknowledged that this scarcity was</w:t>
      </w:r>
      <w:r w:rsidR="001320E9">
        <w:t>,</w:t>
      </w:r>
      <w:r>
        <w:t xml:space="preserve"> in part</w:t>
      </w:r>
      <w:r w:rsidR="001320E9">
        <w:t>,</w:t>
      </w:r>
      <w:r>
        <w:t xml:space="preserve"> due to the language barrier (i.e. only studies published in English were included), this </w:t>
      </w:r>
      <w:r w:rsidR="001320E9">
        <w:t>justified the decision</w:t>
      </w:r>
      <w:r>
        <w:t xml:space="preserve"> to </w:t>
      </w:r>
      <w:r w:rsidR="001320E9">
        <w:t>include a</w:t>
      </w:r>
      <w:r>
        <w:t xml:space="preserve"> sample from China</w:t>
      </w:r>
      <w:r w:rsidR="001320E9">
        <w:t xml:space="preserve"> </w:t>
      </w:r>
      <w:r w:rsidR="00E61848">
        <w:t>in</w:t>
      </w:r>
      <w:r w:rsidR="001320E9">
        <w:t xml:space="preserve"> the experiment presented in </w:t>
      </w:r>
      <w:r w:rsidR="00E61848">
        <w:t>Chapter</w:t>
      </w:r>
      <w:r w:rsidR="001320E9">
        <w:t xml:space="preserve"> 6</w:t>
      </w:r>
      <w:r>
        <w:t xml:space="preserve">. A thorough cultural comparison was not the aim of the </w:t>
      </w:r>
      <w:r w:rsidR="001320E9">
        <w:t>chapter</w:t>
      </w:r>
      <w:r>
        <w:t xml:space="preserve"> and it was also limited by the online data collection. Although the provenance of the responses was inferred via the mapping of the IP addresses, there was uncertainty in terms of nationality and the culture of the two sample groups, since only ethnicity was collected. This is why the chapter defines the two groups as “English-speaking” and “Chinese-speaking” instead of “</w:t>
      </w:r>
      <w:r w:rsidR="001320E9">
        <w:t>British</w:t>
      </w:r>
      <w:r>
        <w:t>” and “Chin</w:t>
      </w:r>
      <w:r w:rsidR="001320E9">
        <w:t>ese</w:t>
      </w:r>
      <w:r>
        <w:t>”.</w:t>
      </w:r>
    </w:p>
    <w:p w14:paraId="2D778CF8" w14:textId="5230E717" w:rsidR="009C262F" w:rsidRDefault="009C262F" w:rsidP="009C262F">
      <w:r>
        <w:t>The inclusion of a Chine</w:t>
      </w:r>
      <w:r w:rsidR="001320E9">
        <w:t>se</w:t>
      </w:r>
      <w:r>
        <w:t xml:space="preserve">-speaking sample meant the survey had to be translated into Mandarin. The first validated Chinese translation of the PANAS questionnaire was published by </w:t>
      </w:r>
      <w:r>
        <w:fldChar w:fldCharType="begin"/>
      </w:r>
      <w:r>
        <w:instrText xml:space="preserve"> ADDIN ZOTERO_ITEM CSL_CITATION {"citationID":"qXwJQXYi","properties":{"formattedCitation":"(Huang, Yang and Li, 2003)","plainCitation":"(Huang, Yang and Li, 2003)","dontUpdate":true,"noteIndex":0},"citationItems":[{"id":11364,"uris":["http://zotero.org/users/10951124/items/MEMBUJXV"],"itemData":{"id":11364,"type":"article-journal","abstract":"Studied the applicability of the Positive and Negative Affect Scale (PANAS) in Chinese populations. 358 residents selected from 371 residents (aged 18 yrs and over) from 3 cities of Zhejiang province, China, were assessed with the PANAS and the Symptom Checklist (SCL-90). The results show that the Cronbach α of all item scores of the PANAS was 0.82; the Cronbach α of the positive affect and the Cronbach α of the negative affect were 0.85 and 0.83 respectively. The test-retest reliability of both of the positive and negative affect was 0.47. The correlation between the PANAS and the general index scores of the SCL-90 was 0.65. The results of this study prove that the PANAS can be used in Chinese people. (PsycINFO Database Record (c) 2016 APA, all rights reserved)","container-title":"Chinese Mental Health Journal","ISSN":"1000-6729(Print)","issue":"1","note":"publisher-place: China\npublisher: Chinese Mental Health","page":"54-56","title":"Applicability of the Positive and Negative Affect Scale in Chinese.","volume":"17","author":[{"family":"Huang","given":"Li"},{"family":"Yang","given":"Tingzhong"},{"family":"Li","given":"Zhongmin"}],"issued":{"date-parts":[["2003"]]}}}],"schema":"https://github.com/citation-style-language/schema/raw/master/csl-citation.json"} </w:instrText>
      </w:r>
      <w:r>
        <w:fldChar w:fldCharType="separate"/>
      </w:r>
      <w:r w:rsidRPr="006264CD">
        <w:rPr>
          <w:rFonts w:ascii="Calibri" w:hAnsi="Calibri" w:cs="Calibri"/>
        </w:rPr>
        <w:t xml:space="preserve">Huang, Yang </w:t>
      </w:r>
      <w:r w:rsidRPr="006264CD">
        <w:rPr>
          <w:rFonts w:ascii="Calibri" w:hAnsi="Calibri" w:cs="Calibri"/>
        </w:rPr>
        <w:lastRenderedPageBreak/>
        <w:t xml:space="preserve">and Li, </w:t>
      </w:r>
      <w:r>
        <w:rPr>
          <w:rFonts w:ascii="Calibri" w:hAnsi="Calibri" w:cs="Calibri"/>
        </w:rPr>
        <w:t>(</w:t>
      </w:r>
      <w:r w:rsidRPr="006264CD">
        <w:rPr>
          <w:rFonts w:ascii="Calibri" w:hAnsi="Calibri" w:cs="Calibri"/>
        </w:rPr>
        <w:t>2003)</w:t>
      </w:r>
      <w:r>
        <w:fldChar w:fldCharType="end"/>
      </w:r>
      <w:r>
        <w:t xml:space="preserve"> and a more recent study has reiterated the validity of the Chinese version of the PANAS-X in a sample of Chinese-speaking adolescents </w:t>
      </w:r>
      <w:r>
        <w:fldChar w:fldCharType="begin"/>
      </w:r>
      <w:r>
        <w:instrText xml:space="preserve"> ADDIN ZOTERO_ITEM CSL_CITATION {"citationID":"LzQ0zpE9","properties":{"formattedCitation":"(Guo and Gan, 2010)","plainCitation":"(Guo and Gan, 2010)","noteIndex":0},"citationItems":[{"id":11365,"uris":["http://zotero.org/users/10951124/items/UCI8ZA8Z"],"itemData":{"id":11365,"type":"article-journal","container-title":"Chinese Mental Health Journal","issue":"7","journalAbbreviation":"Chinese Mental Health Journal","page":"524-528","title":"Reliability and validity of the Chinese version of positive and negative affect schedule-expanded in 660 college students","volume":"24","author":[{"family":"Guo","given":"MZ"},{"family":"Gan","given":"YQ"}],"issued":{"date-parts":[["2010"]]}}}],"schema":"https://github.com/citation-style-language/schema/raw/master/csl-citation.json"} </w:instrText>
      </w:r>
      <w:r>
        <w:fldChar w:fldCharType="separate"/>
      </w:r>
      <w:r w:rsidRPr="00E80B27">
        <w:rPr>
          <w:rFonts w:ascii="Calibri" w:hAnsi="Calibri" w:cs="Calibri"/>
        </w:rPr>
        <w:t>(Guo and Gan, 2010)</w:t>
      </w:r>
      <w:r>
        <w:fldChar w:fldCharType="end"/>
      </w:r>
      <w:r>
        <w:t>. However, in both these publications the exact translations of the scale items were unavailable. An attempt was made to contact the authors of th</w:t>
      </w:r>
      <w:r w:rsidR="00E61848">
        <w:t>ese</w:t>
      </w:r>
      <w:r>
        <w:t xml:space="preserve"> studies but without success. Another version, the international short form of the PANAS used in </w:t>
      </w:r>
      <w:r w:rsidR="00E61848">
        <w:t>Chapter</w:t>
      </w:r>
      <w:r>
        <w:t xml:space="preserve"> 5, was available in Chinese </w:t>
      </w:r>
      <w:r>
        <w:fldChar w:fldCharType="begin"/>
      </w:r>
      <w:r>
        <w:instrText xml:space="preserve"> ADDIN ZOTERO_ITEM CSL_CITATION {"citationID":"EoCevUHB","properties":{"formattedCitation":"(Liu {\\i{}et al.}, 2020)","plainCitation":"(Liu et al., 2020)","noteIndex":0},"citationItems":[{"id":11362,"uris":["http://zotero.org/users/10951124/items/5DWPS396"],"itemData":{"id":11362,"type":"article-journal","abstract":"Abstract\n            \n              Background\n              This study translated the International Positive and Negative Affect Schedule Short Form (I-PANAS-SF) into Chinese and examined its factor structure and measurement invariance in Chinese adolescents in Hong Kong.\n            \n            \n              Methods\n              A sample of 4136 Chinese adolescents in Hong Kong was invited to complete a set of questionnaires. The factor structure of the I-PANA-SF was examined using confirmatory factor analysis (CFA) and exploratory structural equational modeling (ESEM). Internal consistency reliability was evaluated using Cronbach’s alpha coefficients, and nomological validity was assessed using bivariate correlations between positive affect (PA) and negative affect (NA) subscales with effort, worry and lack of concentration. Finally, measurement invariance across genders and grades was examined to evaluate the invariance of the I-PANAS-SF.\n            \n            \n              Results\n              Factor structure analysis suggested that the ESEM model outperformed the CFA model. The results of ESEM analysis indicated that one item (“alert”) was problematic and a 9-item two-factor measurement model with that item removed was a better fit for the data. The Cronbach’s alpha values were above 0.70 (0.81 and 0.83), revealing excellent internal consistency reliability. The PA subscale was positively associated with effort and negatively associated with worry and lack of concentration. The NA subscale was negatively associated effort and positively associated with lack of concentration and worry, indicating nomological validity. Finally, measurement invariance analysis revealed strict invariance across genders and grades.\n            \n            \n              Conclusions\n              The results of the study provide preliminary support for validity and reliability of the 9-item Chinese version of the I-PANAS-SF and suggest that it is suitable for use among Chinese adolescents in Hong Kong.","container-title":"Health and Quality of Life Outcomes","DOI":"10.1186/s12955-020-01526-6","ISSN":"1477-7525","issue":"1","journalAbbreviation":"Health Qual Life Outcomes","language":"en","page":"285","source":"DOI.org (Crossref)","title":"Chinese version of the international positive and negative affect schedule short form: factor structure and measurement invariance","title-short":"Chinese version of the international positive and negative affect schedule short form","volume":"18","author":[{"family":"Liu","given":"Jing-Dong"},{"family":"You","given":"Ri-Hong"},{"family":"Liu","given":"Hao"},{"family":"Chung","given":"Pak-Kwong"}],"issued":{"date-parts":[["2020",12]]}}}],"schema":"https://github.com/citation-style-language/schema/raw/master/csl-citation.json"} </w:instrText>
      </w:r>
      <w:r>
        <w:fldChar w:fldCharType="separate"/>
      </w:r>
      <w:r w:rsidRPr="00E80B27">
        <w:rPr>
          <w:rFonts w:ascii="Calibri" w:hAnsi="Calibri" w:cs="Calibri"/>
          <w:szCs w:val="24"/>
        </w:rPr>
        <w:t xml:space="preserve">(Liu </w:t>
      </w:r>
      <w:r w:rsidRPr="00E80B27">
        <w:rPr>
          <w:rFonts w:ascii="Calibri" w:hAnsi="Calibri" w:cs="Calibri"/>
          <w:i/>
          <w:iCs/>
          <w:szCs w:val="24"/>
        </w:rPr>
        <w:t>et al.</w:t>
      </w:r>
      <w:r w:rsidRPr="00E80B27">
        <w:rPr>
          <w:rFonts w:ascii="Calibri" w:hAnsi="Calibri" w:cs="Calibri"/>
          <w:szCs w:val="24"/>
        </w:rPr>
        <w:t>, 2020)</w:t>
      </w:r>
      <w:r>
        <w:fldChar w:fldCharType="end"/>
      </w:r>
      <w:r>
        <w:t xml:space="preserve"> but lacked the items needed to distinguish Joviality and Serenity. Therefore, the translation and </w:t>
      </w:r>
      <w:r w:rsidR="00E61848">
        <w:t>back translation</w:t>
      </w:r>
      <w:r>
        <w:t xml:space="preserve"> described in the methods was attempted. Following </w:t>
      </w:r>
      <w:r>
        <w:fldChar w:fldCharType="begin"/>
      </w:r>
      <w:r>
        <w:instrText xml:space="preserve"> ADDIN ZOTERO_ITEM CSL_CITATION {"citationID":"amF7LQf3","properties":{"formattedCitation":"(Brislin, 1970)","plainCitation":"(Brislin, 1970)","dontUpdate":true,"noteIndex":0},"citationItems":[{"id":11368,"uris":["http://zotero.org/users/10951124/items/IP8QUFG7"],"itemData":{"id":11368,"type":"article-journal","abstract":"Two aspects of translation were investigated: (1) factors that affect translation quality, and (2) how equivalence between source and target versions can be evaluated. The variables of language, content, and difficulty were studied through an analysis of variance design. Ninety-four bilinguals from the University of Guam, representing ten languages, translated or back-translated six essays incorporating three content areas and two levels of difficulty. The five criteria for equivalence were based on comparisons of meaning or predictions of similar responses to original or translated versions. The factors of content, difficulty, language and content-language interaction were significant, and the five equivalence criteria proved workable. Conclusions are that translation quality can be predicted, and that a functionally equivalent translation can be demonstrated when responses to the original and target versions are studied.","container-title":"Journal of Cross-Cultural Psychology","DOI":"10.1177/135910457000100301","ISSN":"0022-0221, 1552-5422","issue":"3","journalAbbreviation":"Journal of Cross-Cultural Psychology","language":"en","license":"https://journals.sagepub.com/page/policies/text-and-data-mining-license","page":"185-216","source":"DOI.org (Crossref)","title":"Back-Translation for Cross-Cultural Research","volume":"1","author":[{"family":"Brislin","given":"Richard W."}],"issued":{"date-parts":[["1970",9]]}}}],"schema":"https://github.com/citation-style-language/schema/raw/master/csl-citation.json"} </w:instrText>
      </w:r>
      <w:r>
        <w:fldChar w:fldCharType="separate"/>
      </w:r>
      <w:r w:rsidRPr="00130440">
        <w:rPr>
          <w:rFonts w:ascii="Calibri" w:hAnsi="Calibri" w:cs="Calibri"/>
        </w:rPr>
        <w:t xml:space="preserve">Brislin </w:t>
      </w:r>
      <w:r>
        <w:rPr>
          <w:rFonts w:ascii="Calibri" w:hAnsi="Calibri" w:cs="Calibri"/>
        </w:rPr>
        <w:t>(</w:t>
      </w:r>
      <w:r w:rsidRPr="00130440">
        <w:rPr>
          <w:rFonts w:ascii="Calibri" w:hAnsi="Calibri" w:cs="Calibri"/>
        </w:rPr>
        <w:t>1970)</w:t>
      </w:r>
      <w:r>
        <w:fldChar w:fldCharType="end"/>
      </w:r>
      <w:r>
        <w:t xml:space="preserve">, co-author LZ translated the items of the Joviality, Serenity and Negative Affect scales into Mandarin, which were then translated back to English by an independent academic, resident in China. This approach remains limited as it was not possible </w:t>
      </w:r>
      <w:r w:rsidR="00905586">
        <w:t>at the time</w:t>
      </w:r>
      <w:r>
        <w:t xml:space="preserve"> of this research to formally test the validity and reliability of this translation.</w:t>
      </w:r>
    </w:p>
    <w:p w14:paraId="5E67D6CA" w14:textId="61843F2D" w:rsidR="009C262F" w:rsidRDefault="009C262F" w:rsidP="009C262F">
      <w:r>
        <w:t xml:space="preserve">Another point that was left unexplained in the method section was the introduction of small mammals (i.e. 3D models of cats and rabbits), which in the published version of the paper were more precisely renamed “domestic mammals”. As mentioned in the chapter, the main reason to introduce such species in the virtual tour was to make the park’s species richness as noticeable as possible. Although not common, it is credible that an urban park may be a place where is possible to encounter cats and rabbits. Cats are common and abundant residents in UK cities </w:t>
      </w:r>
      <w:r>
        <w:fldChar w:fldCharType="begin"/>
      </w:r>
      <w:r>
        <w:instrText xml:space="preserve"> ADDIN ZOTERO_ITEM CSL_CITATION {"citationID":"xLYEYL7P","properties":{"formattedCitation":"(Sims {\\i{}et al.}, 2008)","plainCitation":"(Sims et al., 2008)","noteIndex":0},"citationItems":[{"id":11369,"uris":["http://zotero.org/users/10951124/items/89XECNZC"],"itemData":{"id":11369,"type":"article-journal","abstract":"ABSTRACT\n            While there is intense debate regarding the impact of domestic cat populations on wildlife, its resolution is hindered by the lack of quite basic information. Domestic cats are generalist and obligate predators that receive supplementary food, and their population density reflects that of humans more than the density of their prey. In such a predator–prey system there is the potential for cat populations to have negative impacts on avian assemblages, which may be indicated by negative correlations between cat density and avian species richness and density. Here we report on the nature of such correlations across urban areas in Britain both for groups of species classified regarding their vulnerability to cat predation and individual species. Taking the availability of green space into account, we find negative relationships between cat densities and the number of bird species breeding in urban 1 km × 1 km squares. These relationships are particularly strong among groups of species that are vulnerable to cat predation. We find positive correlations between cat and avian densities; these have low explanatory power and shallow slopes among the species groups that are particularly vulnerable to cat predation. Evidence that the densities of individual species that are vulnerable to cat predation are negatively correlated with cat densities is equivocal, with at least half the species showing no marked pattern, and the remainder exhibiting contrasting patterns. Our results appear not to be confounded by the density of nest‐predating corvids (carrion crow, magpie, and jay), as the density of these species was not strongly negatively correlated with avian species richness or density. The general lack of marked negative correlations between cat and avian densities at our focal spatial scale may be a consequence of consistently high cat densities in our study areas (minimum density is 132 cats per square kilometre), and thus uniformly high impacts of cat populations on urban avian assemblages.","container-title":"Diversity and Distributions","DOI":"10.1111/j.1472-4642.2007.00444.x","ISSN":"1366-9516, 1472-4642","issue":"2","journalAbbreviation":"Diversity and Distributions","language":"en","license":"http://onlinelibrary.wiley.com/termsAndConditions#vor","page":"387-399","source":"DOI.org (Crossref)","title":"Avian assemblage structure and domestic cat densities in urban environments","volume":"14","author":[{"family":"Sims","given":"Victoria"},{"family":"Evans","given":"Karl L."},{"family":"Newson","given":"Stuart E."},{"family":"Tratalos","given":"Jamie A."},{"family":"Gaston","given":"Kevin J."}],"issued":{"date-parts":[["2008",3]]}}}],"schema":"https://github.com/citation-style-language/schema/raw/master/csl-citation.json"} </w:instrText>
      </w:r>
      <w:r>
        <w:fldChar w:fldCharType="separate"/>
      </w:r>
      <w:r w:rsidRPr="002F3257">
        <w:rPr>
          <w:rFonts w:ascii="Calibri" w:hAnsi="Calibri" w:cs="Calibri"/>
          <w:szCs w:val="24"/>
        </w:rPr>
        <w:t xml:space="preserve">(Sims </w:t>
      </w:r>
      <w:r w:rsidRPr="002F3257">
        <w:rPr>
          <w:rFonts w:ascii="Calibri" w:hAnsi="Calibri" w:cs="Calibri"/>
          <w:i/>
          <w:iCs/>
          <w:szCs w:val="24"/>
        </w:rPr>
        <w:t>et al.</w:t>
      </w:r>
      <w:r w:rsidRPr="002F3257">
        <w:rPr>
          <w:rFonts w:ascii="Calibri" w:hAnsi="Calibri" w:cs="Calibri"/>
          <w:szCs w:val="24"/>
        </w:rPr>
        <w:t>, 2008)</w:t>
      </w:r>
      <w:r>
        <w:fldChar w:fldCharType="end"/>
      </w:r>
      <w:r>
        <w:t xml:space="preserve"> and their density was found to be strongly correlated with house density </w:t>
      </w:r>
      <w:r>
        <w:fldChar w:fldCharType="begin"/>
      </w:r>
      <w:r>
        <w:instrText xml:space="preserve"> ADDIN ZOTERO_ITEM CSL_CITATION {"citationID":"ImBnMtRa","properties":{"formattedCitation":"(Thomas, Fellowes and Baker, 2012)","plainCitation":"(Thomas, Fellowes and Baker, 2012)","noteIndex":0},"citationItems":[{"id":11371,"uris":["http://zotero.org/users/10951124/items/IJTEEB8J"],"itemData":{"id":11371,"type":"article-journal","container-title":"PLoS ONE","DOI":"10.1371/journal.pone.0049369","ISSN":"1932-6203","issue":"11","journalAbbreviation":"PLoS ONE","language":"en","page":"e49369","source":"DOI.org (Crossref)","title":"Spatio-Temporal Variation in Predation by Urban Domestic Cats (Felis catus) and the Acceptability of Possible Management Actions in the UK","volume":"7","author":[{"family":"Thomas","given":"Rebecca L."},{"family":"Fellowes","given":"Mark D. E."},{"family":"Baker","given":"Philip J."}],"editor":[{"family":"Hayward","given":"Matt"}],"issued":{"date-parts":[["2012",11,16]]}}}],"schema":"https://github.com/citation-style-language/schema/raw/master/csl-citation.json"} </w:instrText>
      </w:r>
      <w:r>
        <w:fldChar w:fldCharType="separate"/>
      </w:r>
      <w:r w:rsidRPr="002F3257">
        <w:rPr>
          <w:rFonts w:ascii="Calibri" w:hAnsi="Calibri" w:cs="Calibri"/>
        </w:rPr>
        <w:t>(Thomas, Fellowes and Baker, 2012)</w:t>
      </w:r>
      <w:r>
        <w:fldChar w:fldCharType="end"/>
      </w:r>
      <w:r>
        <w:t xml:space="preserve">. A study examining the ranging of domestic cats in Reading (UK) observed, using GPS trackers, that cats roamed daily over about 2 hectares area, preferring gardens and other green spaces </w:t>
      </w:r>
      <w:r>
        <w:fldChar w:fldCharType="begin"/>
      </w:r>
      <w:r>
        <w:instrText xml:space="preserve"> ADDIN ZOTERO_ITEM CSL_CITATION {"citationID":"ThhvN84C","properties":{"formattedCitation":"(Thomas, Baker and Fellowes, 2014)","plainCitation":"(Thomas, Baker and Fellowes, 2014)","noteIndex":0},"citationItems":[{"id":11359,"uris":["http://zotero.org/users/10951124/items/54K6P3BB"],"itemData":{"id":11359,"type":"article-journal","container-title":"Urban Ecosystems","DOI":"10.1007/s11252-014-0360-5","ISSN":"1083-8155, 1573-1642","issue":"4","journalAbbreviation":"Urban Ecosyst","language":"en","page":"911-921","source":"DOI.org (Crossref)","title":"Ranging characteristics of the domestic cat (Felis catus) in an urban environment","volume":"17","author":[{"family":"Thomas","given":"Rebecca L."},{"family":"Baker","given":"Philip J."},{"family":"Fellowes","given":"Mark D. E."}],"issued":{"date-parts":[["2014",12]]}}}],"schema":"https://github.com/citation-style-language/schema/raw/master/csl-citation.json"} </w:instrText>
      </w:r>
      <w:r>
        <w:fldChar w:fldCharType="separate"/>
      </w:r>
      <w:r w:rsidRPr="00D52A2C">
        <w:rPr>
          <w:rFonts w:ascii="Calibri" w:hAnsi="Calibri" w:cs="Calibri"/>
        </w:rPr>
        <w:t>(Thomas, Baker and Fellowes, 2014)</w:t>
      </w:r>
      <w:r>
        <w:fldChar w:fldCharType="end"/>
      </w:r>
      <w:r>
        <w:t xml:space="preserve">. Although it is difficult to say if the same may happen in China, a recent study from </w:t>
      </w:r>
      <w:r>
        <w:fldChar w:fldCharType="begin"/>
      </w:r>
      <w:r>
        <w:instrText xml:space="preserve"> ADDIN ZOTERO_ITEM CSL_CITATION {"citationID":"TKweo2c8","properties":{"formattedCitation":"(Ye {\\i{}et al.}, 2024)","plainCitation":"(Ye et al., 2024)","dontUpdate":true,"noteIndex":0},"citationItems":[{"id":11361,"uris":["http://zotero.org/users/10951124/items/67WP4UAY"],"itemData":{"id":11361,"type":"article-journal","container-title":"Journal of Ornithology","DOI":"10.1007/s10336-024-02194-9","ISSN":"2193-7192, 2193-7206","journalAbbreviation":"J Ornithol","language":"en","source":"DOI.org (Crossref)","title":"Similar tolerance of urban birds towards both benign human and lethal cat predators","URL":"https://link.springer.com/10.1007/s10336-024-02194-9","author":[{"family":"Ye","given":"Hong-Yan"},{"family":"Yu","given":"Jing"},{"family":"Hong","given":"Kang"},{"family":"Li","given":"Ya-Lian"},{"family":"Zhao","given":"Jin-Ming"}],"accessed":{"date-parts":[["2024",9,25]]},"issued":{"date-parts":[["2024",7,2]]}}}],"schema":"https://github.com/citation-style-language/schema/raw/master/csl-citation.json"} </w:instrText>
      </w:r>
      <w:r>
        <w:fldChar w:fldCharType="separate"/>
      </w:r>
      <w:r w:rsidRPr="00D52A2C">
        <w:rPr>
          <w:rFonts w:ascii="Calibri" w:hAnsi="Calibri" w:cs="Calibri"/>
          <w:szCs w:val="24"/>
        </w:rPr>
        <w:t xml:space="preserve">Ye </w:t>
      </w:r>
      <w:r w:rsidRPr="00D52A2C">
        <w:rPr>
          <w:rFonts w:ascii="Calibri" w:hAnsi="Calibri" w:cs="Calibri"/>
          <w:i/>
          <w:iCs/>
          <w:szCs w:val="24"/>
        </w:rPr>
        <w:t>et al.</w:t>
      </w:r>
      <w:r w:rsidRPr="00D52A2C">
        <w:rPr>
          <w:rFonts w:ascii="Calibri" w:hAnsi="Calibri" w:cs="Calibri"/>
          <w:szCs w:val="24"/>
        </w:rPr>
        <w:t xml:space="preserve"> </w:t>
      </w:r>
      <w:r>
        <w:rPr>
          <w:rFonts w:ascii="Calibri" w:hAnsi="Calibri" w:cs="Calibri"/>
          <w:szCs w:val="24"/>
        </w:rPr>
        <w:t>(</w:t>
      </w:r>
      <w:r w:rsidRPr="00D52A2C">
        <w:rPr>
          <w:rFonts w:ascii="Calibri" w:hAnsi="Calibri" w:cs="Calibri"/>
          <w:szCs w:val="24"/>
        </w:rPr>
        <w:t>2024)</w:t>
      </w:r>
      <w:r>
        <w:fldChar w:fldCharType="end"/>
      </w:r>
      <w:r>
        <w:t xml:space="preserve"> show</w:t>
      </w:r>
      <w:r w:rsidR="007349E9">
        <w:t>ed</w:t>
      </w:r>
      <w:r>
        <w:t xml:space="preserve"> that three species of urban birds were used to the presence of cats in parks (i.e. </w:t>
      </w:r>
      <w:r w:rsidR="00905586">
        <w:t>compared with rural birds, urban birds</w:t>
      </w:r>
      <w:r>
        <w:t xml:space="preserve"> allowed the feline to approach them </w:t>
      </w:r>
      <w:r w:rsidR="00905586">
        <w:t xml:space="preserve">at a </w:t>
      </w:r>
      <w:r>
        <w:t>closer</w:t>
      </w:r>
      <w:r w:rsidR="00905586">
        <w:t xml:space="preserve"> distance</w:t>
      </w:r>
      <w:r>
        <w:t xml:space="preserve"> before flying away). Rabbits in urban parks were also the subjects of studies in the US </w:t>
      </w:r>
      <w:r>
        <w:fldChar w:fldCharType="begin"/>
      </w:r>
      <w:r>
        <w:instrText xml:space="preserve"> ADDIN ZOTERO_ITEM CSL_CITATION {"citationID":"IMCTqJMv","properties":{"formattedCitation":"(Hunt {\\i{}et al.}, 2014)","plainCitation":"(Hunt et al., 2014)","noteIndex":0},"citationItems":[{"id":11357,"uris":["http://zotero.org/users/10951124/items/5KIMKJYD"],"itemData":{"id":11357,"type":"article-journal","container-title":"Urban Ecosystems","DOI":"10.1007/s11252-013-0334-z","ISSN":"1083-8155, 1573-1642","issue":"2","journalAbbreviation":"Urban Ecosyst","language":"en","license":"http://www.springer.com/tdm","page":"547-560","source":"DOI.org (Crossref)","title":"Survival, abundance, and capture rate of eastern cottontail rabbits in an urban park","volume":"17","author":[{"family":"Hunt","given":"Victoria M."},{"family":"Magle","given":"Seth B."},{"family":"Vargas","given":"Chino"},{"family":"Brown","given":"Alison W."},{"family":"Lonsdorf","given":"Eric V."},{"family":"Sacerdote","given":"Allison B."},{"family":"Sorley","given":"Evan J."},{"family":"Santymire","given":"Rachel M."}],"issued":{"date-parts":[["2014",6]]}}}],"schema":"https://github.com/citation-style-language/schema/raw/master/csl-citation.json"} </w:instrText>
      </w:r>
      <w:r>
        <w:fldChar w:fldCharType="separate"/>
      </w:r>
      <w:r w:rsidRPr="00D52A2C">
        <w:rPr>
          <w:rFonts w:ascii="Calibri" w:hAnsi="Calibri" w:cs="Calibri"/>
          <w:szCs w:val="24"/>
        </w:rPr>
        <w:t xml:space="preserve">(Hunt </w:t>
      </w:r>
      <w:r w:rsidRPr="00D52A2C">
        <w:rPr>
          <w:rFonts w:ascii="Calibri" w:hAnsi="Calibri" w:cs="Calibri"/>
          <w:i/>
          <w:iCs/>
          <w:szCs w:val="24"/>
        </w:rPr>
        <w:t>et al.</w:t>
      </w:r>
      <w:r w:rsidRPr="00D52A2C">
        <w:rPr>
          <w:rFonts w:ascii="Calibri" w:hAnsi="Calibri" w:cs="Calibri"/>
          <w:szCs w:val="24"/>
        </w:rPr>
        <w:t>, 2014)</w:t>
      </w:r>
      <w:r>
        <w:fldChar w:fldCharType="end"/>
      </w:r>
      <w:r>
        <w:t xml:space="preserve">, in Germany </w:t>
      </w:r>
      <w:r>
        <w:fldChar w:fldCharType="begin"/>
      </w:r>
      <w:r>
        <w:instrText xml:space="preserve"> ADDIN ZOTERO_ITEM CSL_CITATION {"citationID":"28zgS3JE","properties":{"formattedCitation":"(Ziege {\\i{}et al.}, 2020)","plainCitation":"(Ziege et al., 2020)","noteIndex":0},"citationItems":[{"id":11358,"uris":["http://zotero.org/users/10951124/items/MQ542DWB"],"itemData":{"id":11358,"type":"article-journal","container-title":"Mammal Research","DOI":"10.1007/s13364-020-00490-2","ISSN":"2199-2401, 2199-241X","issue":"3","journalAbbreviation":"Mamm Res","language":"en","page":"607-614","source":"DOI.org (Crossref)","title":"Ranging behavior of European rabbits (Oryctolagus cuniculus) in urban and suburban landscapes","volume":"65","author":[{"family":"Ziege","given":"Madlen"},{"family":"Hermann","given":"Bernd Timo"},{"family":"Kriesten","given":"Stefanie"},{"family":"Merker","given":"Stefan"},{"family":"Ullmann","given":"Wiebke"},{"family":"Streit","given":"Bruno"},{"family":"Wenninger","given":"Sandra"},{"family":"Plath","given":"Martin"}],"issued":{"date-parts":[["2020",7]]}}}],"schema":"https://github.com/citation-style-language/schema/raw/master/csl-citation.json"} </w:instrText>
      </w:r>
      <w:r>
        <w:fldChar w:fldCharType="separate"/>
      </w:r>
      <w:r w:rsidRPr="00D52A2C">
        <w:rPr>
          <w:rFonts w:ascii="Calibri" w:hAnsi="Calibri" w:cs="Calibri"/>
          <w:szCs w:val="24"/>
        </w:rPr>
        <w:t xml:space="preserve">(Ziege </w:t>
      </w:r>
      <w:r w:rsidRPr="00D52A2C">
        <w:rPr>
          <w:rFonts w:ascii="Calibri" w:hAnsi="Calibri" w:cs="Calibri"/>
          <w:i/>
          <w:iCs/>
          <w:szCs w:val="24"/>
        </w:rPr>
        <w:t>et al.</w:t>
      </w:r>
      <w:r w:rsidRPr="00D52A2C">
        <w:rPr>
          <w:rFonts w:ascii="Calibri" w:hAnsi="Calibri" w:cs="Calibri"/>
          <w:szCs w:val="24"/>
        </w:rPr>
        <w:t>, 2020)</w:t>
      </w:r>
      <w:r>
        <w:fldChar w:fldCharType="end"/>
      </w:r>
      <w:r>
        <w:t xml:space="preserve"> and also in the UK </w:t>
      </w:r>
      <w:r>
        <w:fldChar w:fldCharType="begin"/>
      </w:r>
      <w:r>
        <w:instrText xml:space="preserve"> ADDIN ZOTERO_ITEM CSL_CITATION {"citationID":"gDTD7FP8","properties":{"formattedCitation":"(Boakes {\\i{}et al.}, 2024)","plainCitation":"(Boakes et al., 2024)","dontUpdate":true,"noteIndex":0},"citationItems":[{"id":11355,"uris":["http://zotero.org/users/10951124/items/N4IW47A9"],"itemData":{"id":11355,"type":"article-journal","abstract":"Abstract\n            \n              The fragmentation of habitats associated with urbanisation poses a significant threat to already vulnerable and endangered mammal species. While the county of Dorset has been identified as one of the UK’s biodiversity hotspots, it is characterised by large-scale urbanisation and intensive agriculture. Focusing on the largest urban area of Dorset—the conurbation of Bournemouth, Christchurch, and Poole—this study aims to investigate the importance of urban areas in supporting vulnerable and endangered mammals by comparing it to four other major land cover categories in the county: arable &amp; horticulture, grassland, woodland, and heathland. The study utilises data collected by the county’s environmental records department through mainly volunteer-contributed\n              ad-hoc\n              sighting data of 10 872 georeferenced mammal records collected between 2000 and 2018. Our findings reveal that, despite having significantly different mammal communities to all other land covers, urban land cover was shown to host four out of five of the vulnerable and endangered species recorded in this study. These included the European rabbit (vulnerable on the IUCN red list), hazel dormouse (vulnerable on the UK red list), West European hedgehog (vulnerable on the UK red list) and European water vole (endangered on the UK red list). Our findings highlight the significance of urban areas as important habitats for mammal biodiversity, presenting an opportunity for the conservation of specific vulnerable and endangered species. Despite limitations in ad-hoc sighting data, our analysis indicates an overrepresentation of certain 'charismatic' species, like foxes and hedgehogs, in urban samples, likely due to their high intrinsic value to the population. While the recognition of urban habitats for 'red list' species is growing, it is also important to acknowledge the relative importance of charismatic species to urban human communities in conservation and management strategies.","container-title":"Urban Ecosystems","DOI":"10.1007/s11252-023-01492-z","ISSN":"1083-8155, 1573-1642","issue":"3","journalAbbreviation":"Urban Ecosyst","language":"en","page":"883-894","source":"DOI.org (Crossref)","title":"The importance of urban areas in supporting vulnerable and endangered mammals","volume":"27","author":[{"family":"Boakes","given":"Zach"},{"family":"Stafford","given":"Richard"},{"family":"Bramer","given":"Isobel"},{"family":"Cvitanović","given":"Marin"},{"family":"Hardouin","given":"Emilie A."}],"issued":{"date-parts":[["2024",6]]}}}],"schema":"https://github.com/citation-style-language/schema/raw/master/csl-citation.json"} </w:instrText>
      </w:r>
      <w:r>
        <w:fldChar w:fldCharType="separate"/>
      </w:r>
      <w:r w:rsidRPr="00645182">
        <w:rPr>
          <w:rFonts w:ascii="Calibri" w:hAnsi="Calibri" w:cs="Calibri"/>
          <w:szCs w:val="24"/>
        </w:rPr>
        <w:t>(</w:t>
      </w:r>
      <w:r>
        <w:rPr>
          <w:rFonts w:ascii="Calibri" w:hAnsi="Calibri" w:cs="Calibri"/>
          <w:szCs w:val="24"/>
        </w:rPr>
        <w:t xml:space="preserve">e.g. </w:t>
      </w:r>
      <w:r w:rsidRPr="00645182">
        <w:rPr>
          <w:rFonts w:ascii="Calibri" w:hAnsi="Calibri" w:cs="Calibri"/>
          <w:szCs w:val="24"/>
        </w:rPr>
        <w:t xml:space="preserve">Boakes </w:t>
      </w:r>
      <w:r w:rsidRPr="00645182">
        <w:rPr>
          <w:rFonts w:ascii="Calibri" w:hAnsi="Calibri" w:cs="Calibri"/>
          <w:i/>
          <w:iCs/>
          <w:szCs w:val="24"/>
        </w:rPr>
        <w:t>et al.</w:t>
      </w:r>
      <w:r w:rsidRPr="00645182">
        <w:rPr>
          <w:rFonts w:ascii="Calibri" w:hAnsi="Calibri" w:cs="Calibri"/>
          <w:szCs w:val="24"/>
        </w:rPr>
        <w:t>, 2024)</w:t>
      </w:r>
      <w:r>
        <w:fldChar w:fldCharType="end"/>
      </w:r>
      <w:r>
        <w:t xml:space="preserve">. Other reasons to include rabbits and cats were more practical, such as the availability of good quality 3D models (i.e. correct in size and pose) and the lower chance </w:t>
      </w:r>
      <w:r w:rsidR="00905586">
        <w:t>of being</w:t>
      </w:r>
      <w:r>
        <w:t xml:space="preserve"> perceived as threatening </w:t>
      </w:r>
      <w:r>
        <w:fldChar w:fldCharType="begin"/>
      </w:r>
      <w:r>
        <w:instrText xml:space="preserve"> ADDIN ZOTERO_ITEM CSL_CITATION {"citationID":"NZYKDsW6","properties":{"formattedCitation":"(Ulrich {\\i{}et al.}, 1991)","plainCitation":"(Ulrich et al., 1991)","noteIndex":0},"citationItems":[{"id":6345,"uris":["http://zotero.org/users/10951124/items/FZSVSHF3"],"itemData":{"id":6345,"type":"article-journal","abstract":"Different conceptual perspectives converge to predict that if individuals are stressed, an encounter with most unthreatening natural environments will have a stress reducing or restorative influence, whereas many urban environments will hamper recuperation. Hypotheses regarding emotional, attentional and physiological aspects of stress reducing influences of nature are derived from a psycho-evolutionary theory. To investigate these hypotheses, 120 subjects first viewed a stressful movie, and then were exposed to color/sound videotapes of one of six different natural and urban settings. Data concerning stress recovery during the environmental presentations were obtained from self-ratings of affective states and a battery of physiological measures: heart period, muscle tension, skin conductance and pulse transit time, a non-invasive measure that correlates with systolic blood pressure. Findings from the physiological and verbal measures converged to indicate that recovery was faster and more complete when subjects were exposed to natural rather than urban environments. The pattern of physiological findings raised the possibility that responses to nature had a salient parasympathetic nervous system component; however, there was no evidence of pronounced parasympathetic involvement in responses to the urban settings. There were directional differences in cardiac responses to the natural vs urban settings, suggesting that attention/intake was higher during the natural exposures. However, both the stressor film and the nature settings elicited high levels of involuntary or automatic attention, which contradicts the notion that restorative influences of nature stem from involuntary attention or fascination. Findings were consistent with the predictions of the psycho-evolutionary theory that restorative influences of nature involve a shift towards a more positively-toned emotional state, positive changes in physiological activity levels, and that these changes are accompanied by sustained attention/intake. Content differences in terms of natural vs human-made properties appeared decisive in accounting for the differences in recuperation and perceptual intake. © 1991 Academic Press Limited.","container-title":"Journal of Environmental Psychology","DOI":"10.1016/S0272-4944(05)80184-7","ISSN":"15229610","issue":"3","page":"201-230","title":"Stress recovery during exposure to natural and urban environments","volume":"11","author":[{"family":"Ulrich","given":"Roger S."},{"family":"Simons","given":"Robert F."},{"family":"Losito","given":"Barbara D."},{"family":"Fiorito","given":"Evelyn"},{"family":"Miles","given":"Mark A."},{"family":"Zelson","given":"Michael"}],"issued":{"date-parts":[["1991"]]}}}],"schema":"https://github.com/citation-style-language/schema/raw/master/csl-citation.json"} </w:instrText>
      </w:r>
      <w:r>
        <w:fldChar w:fldCharType="separate"/>
      </w:r>
      <w:r w:rsidRPr="00645182">
        <w:rPr>
          <w:rFonts w:ascii="Calibri" w:hAnsi="Calibri" w:cs="Calibri"/>
          <w:szCs w:val="24"/>
        </w:rPr>
        <w:t xml:space="preserve">(Ulrich </w:t>
      </w:r>
      <w:r w:rsidRPr="00645182">
        <w:rPr>
          <w:rFonts w:ascii="Calibri" w:hAnsi="Calibri" w:cs="Calibri"/>
          <w:i/>
          <w:iCs/>
          <w:szCs w:val="24"/>
        </w:rPr>
        <w:t>et al.</w:t>
      </w:r>
      <w:r w:rsidRPr="00645182">
        <w:rPr>
          <w:rFonts w:ascii="Calibri" w:hAnsi="Calibri" w:cs="Calibri"/>
          <w:szCs w:val="24"/>
        </w:rPr>
        <w:t>, 1991)</w:t>
      </w:r>
      <w:r>
        <w:fldChar w:fldCharType="end"/>
      </w:r>
      <w:r>
        <w:t xml:space="preserve">. For these reasons, other common mammals seen in parks (e.g. squirrels, rats, dogs) were not selected. It is worth mentioning that no suggestion was made to practitioners other than to “provide for biodiversity”. This could have been more explicit, cautioning against the introduction of species, such as cats and rabbits, which could also cause ecosystem disservices, in the form of excessive bird predation </w:t>
      </w:r>
      <w:r>
        <w:fldChar w:fldCharType="begin"/>
      </w:r>
      <w:r>
        <w:instrText xml:space="preserve"> ADDIN ZOTERO_ITEM CSL_CITATION {"citationID":"biWQxC5K","properties":{"formattedCitation":"(Thomas, Fellowes and Baker, 2012)","plainCitation":"(Thomas, Fellowes and Baker, 2012)","dontUpdate":true,"noteIndex":0},"citationItems":[{"id":11371,"uris":["http://zotero.org/users/10951124/items/IJTEEB8J"],"itemData":{"id":11371,"type":"article-journal","container-title":"PLoS ONE","DOI":"10.1371/journal.pone.0049369","ISSN":"1932-6203","issue":"11","journalAbbreviation":"PLoS ONE","language":"en","page":"e49369","source":"DOI.org (Crossref)","title":"Spatio-Temporal Variation in Predation by Urban Domestic Cats (Felis catus) and the Acceptability of Possible Management Actions in the UK","volume":"7","author":[{"family":"Thomas","given":"Rebecca L."},{"family":"Fellowes","given":"Mark D. E."},{"family":"Baker","given":"Philip J."}],"editor":[{"family":"Hayward","given":"Matt"}],"issued":{"date-parts":[["2012",11,16]]}}}],"schema":"https://github.com/citation-style-language/schema/raw/master/csl-citation.json"} </w:instrText>
      </w:r>
      <w:r>
        <w:fldChar w:fldCharType="separate"/>
      </w:r>
      <w:r w:rsidRPr="002E7DB3">
        <w:rPr>
          <w:rFonts w:ascii="Calibri" w:hAnsi="Calibri" w:cs="Calibri"/>
        </w:rPr>
        <w:t>(</w:t>
      </w:r>
      <w:r>
        <w:rPr>
          <w:rFonts w:ascii="Calibri" w:hAnsi="Calibri" w:cs="Calibri"/>
        </w:rPr>
        <w:t xml:space="preserve">e.g. </w:t>
      </w:r>
      <w:r w:rsidRPr="002E7DB3">
        <w:rPr>
          <w:rFonts w:ascii="Calibri" w:hAnsi="Calibri" w:cs="Calibri"/>
        </w:rPr>
        <w:t>Thomas, Fellowes and Baker, 2012)</w:t>
      </w:r>
      <w:r>
        <w:fldChar w:fldCharType="end"/>
      </w:r>
      <w:r>
        <w:t xml:space="preserve"> and damage to the planting </w:t>
      </w:r>
      <w:r>
        <w:fldChar w:fldCharType="begin"/>
      </w:r>
      <w:r>
        <w:instrText xml:space="preserve"> ADDIN ZOTERO_ITEM CSL_CITATION {"citationID":"l6G9YF9Z","properties":{"formattedCitation":"(Hunt {\\i{}et al.}, 2014)","plainCitation":"(Hunt et al., 2014)","noteIndex":0},"citationItems":[{"id":11357,"uris":["http://zotero.org/users/10951124/items/5KIMKJYD"],"itemData":{"id":11357,"type":"article-journal","container-title":"Urban Ecosystems","DOI":"10.1007/s11252-013-0334-z","ISSN":"1083-8155, 1573-1642","issue":"2","journalAbbreviation":"Urban Ecosyst","language":"en","license":"http://www.springer.com/tdm","page":"547-560","source":"DOI.org (Crossref)","title":"Survival, abundance, and capture rate of eastern cottontail rabbits in an urban park","volume":"17","author":[{"family":"Hunt","given":"Victoria M."},{"family":"Magle","given":"Seth B."},{"family":"Vargas","given":"Chino"},{"family":"Brown","given":"Alison W."},{"family":"Lonsdorf","given":"Eric V."},{"family":"Sacerdote","given":"Allison B."},{"family":"Sorley","given":"Evan J."},{"family":"Santymire","given":"Rachel M."}],"issued":{"date-parts":[["2014",6]]}}}],"schema":"https://github.com/citation-style-language/schema/raw/master/csl-citation.json"} </w:instrText>
      </w:r>
      <w:r>
        <w:fldChar w:fldCharType="separate"/>
      </w:r>
      <w:r w:rsidRPr="002E7DB3">
        <w:rPr>
          <w:rFonts w:ascii="Calibri" w:hAnsi="Calibri" w:cs="Calibri"/>
          <w:szCs w:val="24"/>
        </w:rPr>
        <w:t xml:space="preserve">(Hunt </w:t>
      </w:r>
      <w:r w:rsidRPr="002E7DB3">
        <w:rPr>
          <w:rFonts w:ascii="Calibri" w:hAnsi="Calibri" w:cs="Calibri"/>
          <w:i/>
          <w:iCs/>
          <w:szCs w:val="24"/>
        </w:rPr>
        <w:t>et al.</w:t>
      </w:r>
      <w:r w:rsidRPr="002E7DB3">
        <w:rPr>
          <w:rFonts w:ascii="Calibri" w:hAnsi="Calibri" w:cs="Calibri"/>
          <w:szCs w:val="24"/>
        </w:rPr>
        <w:t>, 2014)</w:t>
      </w:r>
      <w:r>
        <w:fldChar w:fldCharType="end"/>
      </w:r>
      <w:r>
        <w:t>.</w:t>
      </w:r>
    </w:p>
    <w:p w14:paraId="50A7F546" w14:textId="0A3F0A68" w:rsidR="009C262F" w:rsidRPr="00C05886" w:rsidRDefault="009C262F" w:rsidP="009C262F">
      <w:r>
        <w:lastRenderedPageBreak/>
        <w:t xml:space="preserve">Finally, reflecting on the environment shown in the virtual tour, the intention was to make the virtual park credible, at least visually, for to make it realistic would have required a different approach. For example, as done in </w:t>
      </w:r>
      <w:r w:rsidR="005F27AF">
        <w:t>Chapter</w:t>
      </w:r>
      <w:r>
        <w:t xml:space="preserve"> 5, </w:t>
      </w:r>
      <w:r w:rsidR="00905586">
        <w:t>it could have used</w:t>
      </w:r>
      <w:r>
        <w:t xml:space="preserve"> a 360-degree camera in an existing park, although this would have made the introduction of species in the frame challenging and would have had no control </w:t>
      </w:r>
      <w:r w:rsidR="005F27AF">
        <w:t>over</w:t>
      </w:r>
      <w:r>
        <w:t xml:space="preserve"> the</w:t>
      </w:r>
      <w:r w:rsidR="00905586">
        <w:t xml:space="preserve"> natural</w:t>
      </w:r>
      <w:r>
        <w:t xml:space="preserve"> lighting conditions. The absence of a soundscape is in contrast with what </w:t>
      </w:r>
      <w:r w:rsidR="005F27AF">
        <w:t xml:space="preserve">was </w:t>
      </w:r>
      <w:r>
        <w:t xml:space="preserve">done in </w:t>
      </w:r>
      <w:r w:rsidR="005F27AF">
        <w:t>Chapter</w:t>
      </w:r>
      <w:r>
        <w:t xml:space="preserve"> 5, though justified by the different medium. In a virtual tour, it is possible to “move” from one picture to the other, so the soundscape should have been equally dynamic. To be credible, the soundscape should have reproduced the sound of passing vehicles when walking near the edge of the park, or maybe the rustle of leaves when passing under a tree. However, this would have been in contrast with the static pictures. As discussed in </w:t>
      </w:r>
      <w:r w:rsidR="005F27AF">
        <w:t>Chapter</w:t>
      </w:r>
      <w:r>
        <w:t xml:space="preserve"> 2, </w:t>
      </w:r>
      <w:r w:rsidR="005F27AF">
        <w:t>the </w:t>
      </w:r>
      <w:r>
        <w:t xml:space="preserve">congruence of multisensorial stimuli is important </w:t>
      </w:r>
      <w:r>
        <w:fldChar w:fldCharType="begin"/>
      </w:r>
      <w:r>
        <w:instrText xml:space="preserve"> ADDIN ZOTERO_ITEM CSL_CITATION {"citationID":"8tv2ZZ4w","properties":{"formattedCitation":"(Schreuder {\\i{}et al.}, 2016; Qi {\\i{}et al.}, 2022)","plainCitation":"(Schreuder et al., 2016; Qi et al., 2022)","noteIndex":0},"citationItems":[{"id":10680,"uris":["http://zotero.org/users/10951124/items/ERCR44IY"],"itemData":{"id":10680,"type":"article-journal","abstract":"How we perceive our environment affects the way we feel and behave. The impressions of our ambient environment are influenced by its entire spectrum of physical characteristics (e.g., luminosity, sound, scents, temperature) in a dynamic and interactive way. The ability to manipulate the sensory aspects of an environment such that people feel comfortable or exhibit a desired behavior is gaining interest and social relevance. Although much is known about the sensory effects of individual environmental characteristics, their combined effects are not a priori evident due to a wide range of non-linear interactions in the processing of sensory cues. As a result, it is currently not known how different environmental characteristics should be combined to effectively induce desired emotional and behavioral effects. To gain more insight into this matter, we performed a literature review on the emotional effects of multisensory stimulation. Although we found some interesting mechanisms, the outcome also reveals that empirical evidence is still scarce and haphazard. To stimulate further discussion and research, we propose a conceptual framework that describes how environmental interventions are likely to affect human emotional responses. This framework leads to some critical research questions that suggest opportunities for further investigation.","container-title":"SAGE Open","DOI":"10.1177/2158244016630591","ISSN":"2158-2440, 2158-2440","issue":"1","journalAbbreviation":"SAGE Open","language":"en","page":"215824401663059","source":"DOI.org (Crossref)","title":"Emotional Responses to Multisensory Environmental Stimuli: A Conceptual Framework and Literature Review","title-short":"Emotional Responses to Multisensory Environmental Stimuli","volume":"6","author":[{"family":"Schreuder","given":"Eliane"},{"family":"Van Erp","given":"Jan"},{"family":"Toet","given":"Alexander"},{"family":"Kallen","given":"Victor L."}],"issued":{"date-parts":[["2016",1,1]]}}},{"id":10513,"uris":["http://zotero.org/users/10951124/items/P2RHWWUJ"],"itemData":{"id":10513,"type":"article-journal","container-title":"Journal of Environmental Psychology","DOI":"10.1016/j.jenvp.2022.101879","ISSN":"02724944","journalAbbreviation":"Journal of Environmental Psychology","language":"en","page":"101879","source":"DOI.org (Crossref)","title":"Comparative study on birdsong and its multi-sensory combinational effects on physio-psychological restoration","volume":"83","author":[{"family":"Qi","given":"Ying"},{"family":"Chen","given":"Qujing"},{"family":"Lin","given":"Feng"},{"family":"Liu","given":"Qi"},{"family":"Zhang","given":"Xiaowan"},{"family":"Guo","given":"Jiayu"},{"family":"Qiu","given":"Ling"},{"family":"Gao","given":"Tian"}],"issued":{"date-parts":[["2022",10]]}}}],"schema":"https://github.com/citation-style-language/schema/raw/master/csl-citation.json"} </w:instrText>
      </w:r>
      <w:r>
        <w:fldChar w:fldCharType="separate"/>
      </w:r>
      <w:r w:rsidRPr="006674F4">
        <w:rPr>
          <w:rFonts w:ascii="Calibri" w:hAnsi="Calibri" w:cs="Calibri"/>
          <w:szCs w:val="24"/>
        </w:rPr>
        <w:t xml:space="preserve">(Schreuder </w:t>
      </w:r>
      <w:r w:rsidRPr="006674F4">
        <w:rPr>
          <w:rFonts w:ascii="Calibri" w:hAnsi="Calibri" w:cs="Calibri"/>
          <w:i/>
          <w:iCs/>
          <w:szCs w:val="24"/>
        </w:rPr>
        <w:t>et al.</w:t>
      </w:r>
      <w:r w:rsidRPr="006674F4">
        <w:rPr>
          <w:rFonts w:ascii="Calibri" w:hAnsi="Calibri" w:cs="Calibri"/>
          <w:szCs w:val="24"/>
        </w:rPr>
        <w:t xml:space="preserve">, 2016; Qi </w:t>
      </w:r>
      <w:r w:rsidRPr="006674F4">
        <w:rPr>
          <w:rFonts w:ascii="Calibri" w:hAnsi="Calibri" w:cs="Calibri"/>
          <w:i/>
          <w:iCs/>
          <w:szCs w:val="24"/>
        </w:rPr>
        <w:t>et al.</w:t>
      </w:r>
      <w:r w:rsidRPr="006674F4">
        <w:rPr>
          <w:rFonts w:ascii="Calibri" w:hAnsi="Calibri" w:cs="Calibri"/>
          <w:szCs w:val="24"/>
        </w:rPr>
        <w:t>, 2022)</w:t>
      </w:r>
      <w:r>
        <w:fldChar w:fldCharType="end"/>
      </w:r>
      <w:r>
        <w:t xml:space="preserve"> but could not be achieved in this virtual tour. Therefore, the stimulus remained only visual.</w:t>
      </w:r>
    </w:p>
    <w:p w14:paraId="1EDE36D8" w14:textId="77777777" w:rsidR="009C262F" w:rsidRPr="00C05886" w:rsidRDefault="009C262F" w:rsidP="009C262F">
      <w:pPr>
        <w:pStyle w:val="Heading2"/>
      </w:pPr>
      <w:bookmarkStart w:id="180" w:name="_Toc179962418"/>
      <w:r w:rsidRPr="00C05886">
        <w:t>Strengths and Limitations</w:t>
      </w:r>
      <w:bookmarkEnd w:id="180"/>
    </w:p>
    <w:p w14:paraId="4DEAD02A" w14:textId="54BB27B2" w:rsidR="009C262F" w:rsidRPr="00C05886" w:rsidRDefault="00FD144F" w:rsidP="009C262F">
      <w:r>
        <w:t>Other than</w:t>
      </w:r>
      <w:r w:rsidR="009C262F" w:rsidRPr="00C05886">
        <w:t xml:space="preserve"> </w:t>
      </w:r>
      <w:r>
        <w:t xml:space="preserve">what </w:t>
      </w:r>
      <w:r w:rsidR="005F27AF">
        <w:t>was </w:t>
      </w:r>
      <w:r>
        <w:t>highlighted in the critical reflection, another</w:t>
      </w:r>
      <w:r w:rsidR="009C262F" w:rsidRPr="00C05886">
        <w:t xml:space="preserve"> limitation of this thesis </w:t>
      </w:r>
      <w:r w:rsidR="005F27AF">
        <w:t>is </w:t>
      </w:r>
      <w:r>
        <w:t>that</w:t>
      </w:r>
      <w:r w:rsidR="009C262F" w:rsidRPr="00C05886">
        <w:t xml:space="preserve"> none of the </w:t>
      </w:r>
      <w:r>
        <w:t>experiments</w:t>
      </w:r>
      <w:r w:rsidR="009C262F" w:rsidRPr="00C05886">
        <w:t xml:space="preserve"> </w:t>
      </w:r>
      <w:r>
        <w:t xml:space="preserve">was set </w:t>
      </w:r>
      <w:r w:rsidR="005F27AF">
        <w:t>in</w:t>
      </w:r>
      <w:r w:rsidR="009C262F" w:rsidRPr="00C05886">
        <w:t xml:space="preserve"> a physical green space. This restricts the generalisation of the findings on </w:t>
      </w:r>
      <w:r>
        <w:t xml:space="preserve">to the </w:t>
      </w:r>
      <w:r w:rsidR="009C262F" w:rsidRPr="00C05886">
        <w:t>virtual exposure</w:t>
      </w:r>
      <w:r>
        <w:t xml:space="preserve"> to species richness</w:t>
      </w:r>
      <w:r w:rsidR="009C262F" w:rsidRPr="00C05886">
        <w:t>.</w:t>
      </w:r>
      <w:r w:rsidR="00B92D9B">
        <w:t xml:space="preserve"> However,</w:t>
      </w:r>
      <w:r w:rsidR="009C262F" w:rsidRPr="00C05886">
        <w:t xml:space="preserve"> </w:t>
      </w:r>
      <w:r w:rsidR="00B92D9B">
        <w:t>i</w:t>
      </w:r>
      <w:r w:rsidR="009C262F" w:rsidRPr="00C05886">
        <w:t xml:space="preserve">n Chapter 4, the participants reported their well-being when they were experiencing a real green space, providing in-the-moment, yet experimentally uncontrolled, ratings of their feelings. In Chapter 5, the participants experienced a real green space through a video, which filmed real plants and recorded the songs of real birds. As argued frequently in the papers, virtual exposure could have hidden the true effect of actual </w:t>
      </w:r>
      <w:r w:rsidR="00B92D9B">
        <w:t>species richness</w:t>
      </w:r>
      <w:r w:rsidR="009C262F" w:rsidRPr="00C05886">
        <w:t xml:space="preserve"> on well-being. </w:t>
      </w:r>
      <w:r w:rsidR="001761CB">
        <w:t xml:space="preserve">As mentioned in Chapters 6 and 7, the use of 3D digital models allowed for more control of the conditions, but potentially reduced the realism of the stimuli and </w:t>
      </w:r>
      <w:r w:rsidR="00741FCF">
        <w:t xml:space="preserve">therefore the affective response. </w:t>
      </w:r>
      <w:r w:rsidR="009C262F" w:rsidRPr="00C05886">
        <w:t>Despite these limit</w:t>
      </w:r>
      <w:r w:rsidR="00B92D9B">
        <w:t>ing points</w:t>
      </w:r>
      <w:r w:rsidR="009C262F" w:rsidRPr="00C05886">
        <w:t xml:space="preserve">, it is encouraging that all studies showed similar </w:t>
      </w:r>
      <w:r w:rsidR="00741FCF">
        <w:t>trends</w:t>
      </w:r>
      <w:r w:rsidR="009C262F" w:rsidRPr="00C05886">
        <w:t xml:space="preserve"> from different </w:t>
      </w:r>
      <w:r w:rsidR="00741FCF">
        <w:t>perspectives</w:t>
      </w:r>
      <w:r w:rsidR="009C262F" w:rsidRPr="00C05886">
        <w:t xml:space="preserve"> – </w:t>
      </w:r>
      <w:r w:rsidR="00741FCF">
        <w:t>e.g.</w:t>
      </w:r>
      <w:r w:rsidR="009C262F" w:rsidRPr="00C05886">
        <w:t xml:space="preserve"> the perceived </w:t>
      </w:r>
      <w:r w:rsidR="00B92D9B">
        <w:t>species richness</w:t>
      </w:r>
      <w:r w:rsidR="00741FCF">
        <w:t xml:space="preserve"> (though roughly measured)</w:t>
      </w:r>
      <w:r w:rsidR="009C262F" w:rsidRPr="00C05886">
        <w:t xml:space="preserve"> was </w:t>
      </w:r>
      <w:r w:rsidR="00B92D9B">
        <w:t>consistently</w:t>
      </w:r>
      <w:r w:rsidR="009C262F" w:rsidRPr="00C05886">
        <w:t xml:space="preserve"> a better predictor of well-being than actual </w:t>
      </w:r>
      <w:r w:rsidR="00B92D9B">
        <w:t>species richness</w:t>
      </w:r>
      <w:r w:rsidR="009C262F" w:rsidRPr="00C05886">
        <w:t xml:space="preserve">. Particularly relevant was the case of Chapter 6, where </w:t>
      </w:r>
      <w:r w:rsidR="00B92D9B">
        <w:t>this was</w:t>
      </w:r>
      <w:r w:rsidR="009C262F" w:rsidRPr="00C05886">
        <w:t xml:space="preserve"> observed in </w:t>
      </w:r>
      <w:r w:rsidR="00CE68EE">
        <w:t xml:space="preserve">both </w:t>
      </w:r>
      <w:r w:rsidR="009C262F" w:rsidRPr="00C05886">
        <w:t>the English-speaking and Chinese-speaking groups despite the differences in demographics and device used.</w:t>
      </w:r>
    </w:p>
    <w:p w14:paraId="4440B0FA" w14:textId="12F60946" w:rsidR="009C262F" w:rsidRPr="00C05886" w:rsidRDefault="00CE68EE" w:rsidP="009C262F">
      <w:r>
        <w:t>The o</w:t>
      </w:r>
      <w:r w:rsidR="009C262F" w:rsidRPr="00C05886">
        <w:t xml:space="preserve">nline </w:t>
      </w:r>
      <w:r>
        <w:t>sampling</w:t>
      </w:r>
      <w:r w:rsidR="009C262F" w:rsidRPr="00C05886">
        <w:t xml:space="preserve"> was both a strength and a limitation. The strength lies in the large sample sizes (over 2500 participants</w:t>
      </w:r>
      <w:r>
        <w:t xml:space="preserve"> were recruited</w:t>
      </w:r>
      <w:r w:rsidR="009C262F" w:rsidRPr="00C05886">
        <w:t xml:space="preserve"> in total) and the international population (beyond Europe) that it reached. </w:t>
      </w:r>
      <w:r>
        <w:t xml:space="preserve">However, this was limited by the </w:t>
      </w:r>
      <w:r w:rsidR="009C262F" w:rsidRPr="00C05886">
        <w:t xml:space="preserve">heavy skew of the demographics toward the younger age groups and highly educated. The online recruitment also meant that it was not possible </w:t>
      </w:r>
      <w:r w:rsidR="009C262F" w:rsidRPr="00C05886">
        <w:lastRenderedPageBreak/>
        <w:t xml:space="preserve">to infer a general understanding of the </w:t>
      </w:r>
      <w:r>
        <w:t>species richness</w:t>
      </w:r>
      <w:r w:rsidR="009C262F" w:rsidRPr="00C05886">
        <w:t xml:space="preserve">/well-being relationship that would be specific to the UK or any other country. However, this was partially covered by Chapter 7, which analysed a sample from the UK and </w:t>
      </w:r>
      <w:r>
        <w:t>observed similar trends to</w:t>
      </w:r>
      <w:r w:rsidR="009C262F" w:rsidRPr="00C05886">
        <w:t xml:space="preserve"> the previous experiments. </w:t>
      </w:r>
    </w:p>
    <w:p w14:paraId="00D238DF" w14:textId="791383E6" w:rsidR="009C262F" w:rsidRPr="00C05886" w:rsidRDefault="00CE68EE" w:rsidP="009C262F">
      <w:r>
        <w:t>As discussed above, t</w:t>
      </w:r>
      <w:r w:rsidR="009C262F" w:rsidRPr="00C05886">
        <w:t xml:space="preserve">here are limitations in how perceived </w:t>
      </w:r>
      <w:r>
        <w:t>species richness</w:t>
      </w:r>
      <w:r w:rsidR="009C262F" w:rsidRPr="00C05886">
        <w:t xml:space="preserve"> was measured. </w:t>
      </w:r>
      <w:r>
        <w:t>By c</w:t>
      </w:r>
      <w:r w:rsidR="009C262F" w:rsidRPr="00C05886">
        <w:t xml:space="preserve">hoosing to prioritise the survey duration, perceived </w:t>
      </w:r>
      <w:r>
        <w:t>species richness</w:t>
      </w:r>
      <w:r w:rsidR="009C262F" w:rsidRPr="00C05886">
        <w:t xml:space="preserve"> was measured as a simple rating. Given </w:t>
      </w:r>
      <w:r>
        <w:t>that the results consistently highlighted a potential role for the perceived species richness</w:t>
      </w:r>
      <w:r w:rsidR="009C262F" w:rsidRPr="00C05886">
        <w:t>, the use of</w:t>
      </w:r>
      <w:r>
        <w:t xml:space="preserve"> a short but more precise measure, such as</w:t>
      </w:r>
      <w:r w:rsidR="009C262F" w:rsidRPr="00C05886">
        <w:t xml:space="preserve"> the Biodiversity Experience Index </w:t>
      </w:r>
      <w:r w:rsidR="009C262F" w:rsidRPr="00C05886">
        <w:fldChar w:fldCharType="begin"/>
      </w:r>
      <w:r w:rsidR="009C262F" w:rsidRPr="00C05886">
        <w:instrText xml:space="preserve"> ADDIN ZOTERO_ITEM CSL_CITATION {"citationID":"aJFGCKm9","properties":{"formattedCitation":"(Gyllin and Grahn, 2005)","plainCitation":"(Gyllin and Grahn, 2005)","noteIndex":0},"citationItems":[{"id":9629,"uris":["http://zotero.org/users/10951124/items/S8LZIJHI"],"itemData":{"id":9629,"type":"article-journal","abstract":"Biodiversity is a significant element of our everyday experience of urban environments, though it is generally only perceived subconsciously. Thus, there is a need to develop a method for defining and measuring experienced biodiversity. As a first step towards such a method, a semantic test was presented to a group of 102 participants. The test consisted of a form containing words/expressions selected as possible components of biodiversity. The participants rated the words on a five-grade scale, and the form was completed at six different study sites. Statistical analyses indicated that words with biological content were strongly correlated with biodiversity, as were words associated with wilderness and variation. Correlations with words of preference were less strong. Following factor analysis, a biodiversity experience index was calculated based on the factor loadings of words strongly correlated with biological diversity. The index was then calculated for all six sites. It was suggested that the index, by measuring words/expressions with higher linguistic codability, offers a valuable tool for assessing experienced biodiversity. It was further concluded that areas containing spontaneous vegetation and water obtained higher biodiversity index scores than did areas characterized by a short-cut lawn and more uniform vegetation.","container-title":"Urban Forestry &amp; Urban Greening","DOI":"10.1016/j.ufug.2005.04.004","ISSN":"1618-8667","issue":"3","journalAbbreviation":"Urban Forestry &amp; Urban Greening","page":"149-161","title":"A semantic model for assessing the experience of urban biodiversity","volume":"3","author":[{"family":"Gyllin","given":"Mats"},{"family":"Grahn","given":"Patrik"}],"issued":{"date-parts":[["2005",6,23]]}}}],"schema":"https://github.com/citation-style-language/schema/raw/master/csl-citation.json"} </w:instrText>
      </w:r>
      <w:r w:rsidR="009C262F" w:rsidRPr="00C05886">
        <w:fldChar w:fldCharType="separate"/>
      </w:r>
      <w:r w:rsidR="009C262F" w:rsidRPr="00C05886">
        <w:rPr>
          <w:rFonts w:ascii="Calibri" w:hAnsi="Calibri" w:cs="Calibri"/>
        </w:rPr>
        <w:t>(Gyllin and Grahn, 2005)</w:t>
      </w:r>
      <w:r w:rsidR="009C262F" w:rsidRPr="00C05886">
        <w:fldChar w:fldCharType="end"/>
      </w:r>
      <w:r>
        <w:t>,</w:t>
      </w:r>
      <w:r w:rsidR="009C262F" w:rsidRPr="00C05886">
        <w:t xml:space="preserve"> would have provided a more </w:t>
      </w:r>
      <w:r>
        <w:t>quantifiable</w:t>
      </w:r>
      <w:r w:rsidR="009C262F" w:rsidRPr="00C05886">
        <w:t xml:space="preserve"> measurement of the participants' perceptions.</w:t>
      </w:r>
    </w:p>
    <w:p w14:paraId="1BDC7285" w14:textId="7CB7F607" w:rsidR="009C262F" w:rsidRPr="00C05886" w:rsidRDefault="009C262F" w:rsidP="009C262F">
      <w:r w:rsidRPr="00C05886">
        <w:t xml:space="preserve">The study of the physiological angle of the </w:t>
      </w:r>
      <w:r w:rsidR="00437183">
        <w:t>species richness</w:t>
      </w:r>
      <w:r w:rsidRPr="00C05886">
        <w:t>/well-being relationship was hindered by real-world practicalities. Due to COVID</w:t>
      </w:r>
      <w:r w:rsidR="00437183">
        <w:t>-19</w:t>
      </w:r>
      <w:r w:rsidRPr="00C05886">
        <w:t>, it was not until 2022, that conceiving a new experiment indoors was advisable and ethical. The electroencephalography had to be excluded due to excessive complexity of data processing, equipment reliability and uncertain interpretation of the results. Measuring the heart rate variability was less complicated but recruiting participants during working hours proved difficult, even when offering compensation.</w:t>
      </w:r>
    </w:p>
    <w:p w14:paraId="61CEEE9D" w14:textId="77777777" w:rsidR="009C262F" w:rsidRPr="00C05886" w:rsidRDefault="009C262F" w:rsidP="001758F1"/>
    <w:p w14:paraId="5F6E5495" w14:textId="77777777" w:rsidR="00C12E53" w:rsidRPr="00C05886" w:rsidRDefault="00C12E53" w:rsidP="00B71AD6">
      <w:pPr>
        <w:pStyle w:val="Heading2"/>
      </w:pPr>
      <w:bookmarkStart w:id="181" w:name="_Toc179962419"/>
      <w:r w:rsidRPr="00C05886">
        <w:t>Implications</w:t>
      </w:r>
      <w:bookmarkEnd w:id="181"/>
    </w:p>
    <w:p w14:paraId="26AFBFC2" w14:textId="5795281E" w:rsidR="00C12E53" w:rsidRPr="00C05886" w:rsidRDefault="00741FCF" w:rsidP="005923F1">
      <w:r>
        <w:t xml:space="preserve">Using a scientific approach, this thesis attempted to understand how the species richness may contribute to mental well-being, in the context of </w:t>
      </w:r>
      <w:r w:rsidR="00475A7E">
        <w:t xml:space="preserve">an urban green space. </w:t>
      </w:r>
      <w:r w:rsidR="00437183">
        <w:t xml:space="preserve">Although, overall, </w:t>
      </w:r>
      <w:r w:rsidR="00C12E53" w:rsidRPr="00C05886">
        <w:t xml:space="preserve">the findings </w:t>
      </w:r>
      <w:r w:rsidR="00437183">
        <w:t xml:space="preserve">presented </w:t>
      </w:r>
      <w:r w:rsidR="00475A7E">
        <w:t>above</w:t>
      </w:r>
      <w:r w:rsidR="00437183">
        <w:t xml:space="preserve"> suggest a limited role of species richness in providing mental well-being it </w:t>
      </w:r>
      <w:r w:rsidR="00475A7E">
        <w:t>could still provide useful insights</w:t>
      </w:r>
      <w:r w:rsidR="00E966B1">
        <w:t xml:space="preserve"> for future research</w:t>
      </w:r>
      <w:r w:rsidR="00E63AC7">
        <w:t xml:space="preserve">, </w:t>
      </w:r>
      <w:r w:rsidR="00475A7E">
        <w:t>provided that these</w:t>
      </w:r>
      <w:r w:rsidR="00437183">
        <w:t xml:space="preserve"> </w:t>
      </w:r>
      <w:r w:rsidR="00475A7E">
        <w:t>are</w:t>
      </w:r>
      <w:r w:rsidR="00437183">
        <w:t xml:space="preserve"> consider</w:t>
      </w:r>
      <w:r w:rsidR="00475A7E">
        <w:t>ed</w:t>
      </w:r>
      <w:r w:rsidR="00437183">
        <w:t xml:space="preserve"> </w:t>
      </w:r>
      <w:r w:rsidR="005F27AF">
        <w:t>in</w:t>
      </w:r>
      <w:r w:rsidR="00437183">
        <w:t xml:space="preserve"> a broader context</w:t>
      </w:r>
      <w:r w:rsidR="00C65558">
        <w:t>.</w:t>
      </w:r>
    </w:p>
    <w:p w14:paraId="3F5C30F8" w14:textId="199F044A" w:rsidR="00C12E53" w:rsidRPr="00C05886" w:rsidRDefault="00C12E53" w:rsidP="002D7C0A">
      <w:r w:rsidRPr="00C05886">
        <w:t>First</w:t>
      </w:r>
      <w:r w:rsidR="00EF1910" w:rsidRPr="00C05886">
        <w:t>ly</w:t>
      </w:r>
      <w:r w:rsidRPr="00C05886">
        <w:t xml:space="preserve">, as shown by </w:t>
      </w:r>
      <w:r w:rsidR="00437183">
        <w:t xml:space="preserve">over </w:t>
      </w:r>
      <w:r w:rsidRPr="00C05886">
        <w:t xml:space="preserve">four decades of research, a minimum of </w:t>
      </w:r>
      <w:r w:rsidR="00437183">
        <w:t>species richness</w:t>
      </w:r>
      <w:r w:rsidR="00437183" w:rsidRPr="00C05886">
        <w:t xml:space="preserve"> </w:t>
      </w:r>
      <w:r w:rsidRPr="00C05886">
        <w:t>is needed to promote well-being</w:t>
      </w:r>
      <w:r w:rsidR="00EF1910" w:rsidRPr="00C05886">
        <w:t xml:space="preserve"> – i.e. there is no green space without </w:t>
      </w:r>
      <w:r w:rsidR="00437183">
        <w:t>at least a few species of plants</w:t>
      </w:r>
      <w:r w:rsidRPr="00C05886">
        <w:t xml:space="preserve">. Colours and other sensory aspects of biodiversity can </w:t>
      </w:r>
      <w:r w:rsidR="00437183">
        <w:t>foster mental health</w:t>
      </w:r>
      <w:r w:rsidR="00437183" w:rsidRPr="00C05886">
        <w:t xml:space="preserve"> </w:t>
      </w:r>
      <w:r w:rsidRPr="00C05886">
        <w:t xml:space="preserve">as long they are perceived in tandem with the biodiversity they come from </w:t>
      </w:r>
      <w:r w:rsidRPr="00C05886">
        <w:fldChar w:fldCharType="begin"/>
      </w:r>
      <w:r w:rsidRPr="00C05886">
        <w:instrText xml:space="preserve"> ADDIN ZOTERO_ITEM CSL_CITATION {"citationID":"5Qsui1sp","properties":{"formattedCitation":"(Fisher {\\i{}et al.}, 2023)","plainCitation":"(Fisher et al., 2023)","noteIndex":0},"citationItems":[{"id":9979,"uris":["http://zotero.org/users/10951124/items/S7HV6RJN"],"itemData":{"id":9979,"type":"article-journal","abstract":"Abstract\n            People rely on well-functioning ecosystems to provide critical services that underpin human health and well-being. Consequently, biodiversity loss has profound negative implications for humanity. Human–biodiversity interactions can deliver individual-level well-being gains, equating to substantial healthcare cost savings when scaled up across populations. However, critical questions remain about which species and/or traits (for example, colours, sounds and smells) elicit well-being responses. The traits that influence well-being can be considered ‘effect’ traits. Using techniques from community ecology, we have analysed a database of species’ effect traits articulated by people to identify those that generate different types of well-being (physical, emotional, cognitive, social, spiritual and ‘global’ well-being, the latter being akin to ‘whole-person health’). Effect traits have a predominately positive impact on well-being, influenced by the identity and taxonomic kingdom of each species. Different sets of effect traits deliver different types of well-being. However, traits cannot be considered independently of species because multiple traits can be supported by a single species. Indeed, we have found that numerous effect traits from across the ecological community can elicit multiple types of well-being, illustrating the complexity of biodiversity experiences. Our empirical approach can help to implement interdisciplinary thinking for biodiversity conservation and nature-based public health interventions designed to support human well-being.","container-title":"Nature Sustainability","DOI":"10.1038/s41893-023-01151-3","ISSN":"2398-9629","journalAbbreviation":"Nat Sustain","language":"en","source":"DOI.org (Crossref)","title":"Human well-being responses to species’ traits","URL":"https://www.nature.com/articles/s41893-023-01151-3","author":[{"family":"Fisher","given":"J. C."},{"family":"Dallimer","given":"M."},{"family":"Irvine","given":"K. N."},{"family":"Aizlewood","given":"S. G."},{"family":"Austen","given":"G. E."},{"family":"Fish","given":"R. D."},{"family":"King","given":"P. M."},{"family":"Davies","given":"Z. G."}],"accessed":{"date-parts":[["2023",8,9]]},"issued":{"date-parts":[["2023",6,19]]}}}],"schema":"https://github.com/citation-style-language/schema/raw/master/csl-citation.json"} </w:instrText>
      </w:r>
      <w:r w:rsidRPr="00C05886">
        <w:fldChar w:fldCharType="separate"/>
      </w:r>
      <w:r w:rsidRPr="00C05886">
        <w:rPr>
          <w:rFonts w:ascii="Calibri" w:hAnsi="Calibri" w:cs="Calibri"/>
          <w:szCs w:val="24"/>
        </w:rPr>
        <w:t xml:space="preserve">(Fisher </w:t>
      </w:r>
      <w:r w:rsidRPr="00C05886">
        <w:rPr>
          <w:rFonts w:ascii="Calibri" w:hAnsi="Calibri" w:cs="Calibri"/>
          <w:i/>
          <w:iCs/>
          <w:szCs w:val="24"/>
        </w:rPr>
        <w:t>et al.</w:t>
      </w:r>
      <w:r w:rsidRPr="00C05886">
        <w:rPr>
          <w:rFonts w:ascii="Calibri" w:hAnsi="Calibri" w:cs="Calibri"/>
          <w:szCs w:val="24"/>
        </w:rPr>
        <w:t>, 2023)</w:t>
      </w:r>
      <w:r w:rsidRPr="00C05886">
        <w:fldChar w:fldCharType="end"/>
      </w:r>
      <w:r w:rsidRPr="00C05886">
        <w:t>. The human brain seems to react more favourably when recognising other living species, even when these may be out of the natural context (e.g. house plants) or indirectly experienced through the media. Built spaces can</w:t>
      </w:r>
      <w:r w:rsidR="00C44661">
        <w:t xml:space="preserve"> also</w:t>
      </w:r>
      <w:r w:rsidRPr="00C05886">
        <w:t xml:space="preserve"> be restorative </w:t>
      </w:r>
      <w:r w:rsidRPr="00C05886">
        <w:fldChar w:fldCharType="begin"/>
      </w:r>
      <w:r w:rsidR="00C873DA">
        <w:instrText xml:space="preserve"> ADDIN ZOTERO_ITEM CSL_CITATION {"citationID":"Ypcv6e27","properties":{"formattedCitation":"(San Juan, Subiza-P\\uc0\\u233{}rez and Vozmediano, 2017; Stigsdotter {\\i{}et al.}, 2017)","plainCitation":"(San Juan, Subiza-Pérez and Vozmediano, 2017; Stigsdotter et al., 2017)","dontUpdate":true,"noteIndex":0},"citationItems":[{"id":11405,"uris":["http://zotero.org/users/10951124/items/F5HA4NSJ"],"itemData":{"id":11405,"type":"article-journal","container-title":"Frontiers in Psychology","DOI":"10.3389/fpsyg.2017.02093","ISSN":"1664-1078","journalAbbreviation":"Front. Psychol.","page":"2093","source":"DOI.org (Crossref)","title":"Restoration and the City: The Role of Public Urban Squares","title-short":"Restoration and the City","volume":"8","author":[{"family":"San Juan","given":"César"},{"family":"Subiza-Pérez","given":"Mikel"},{"family":"Vozmediano","given":"Laura"}],"issued":{"date-parts":[["2017",12,7]]}}},{"id":6373,"uris":["http://zotero.org/users/10951124/items/3HXF94D8"],"itemData":{"id":6373,"type":"article-journal","abstract":"Today, urbanization presents a challenge to urban planning with regard to creating healthy living environments. The aim of this research is to gain further knowledge of the restorativeness of a best case urban and natural environment: that is a historic down town urban environment and forest environment located in an arboretum. The study has a cross-over design where 51 (N) female university students are exposed to the two environments through both seated viewing and walking. A mixed method approach is used with both physiological measurements of blood pressure (BP) and heart rate variability (HRV) and psychological measurements of mood change and perceived restorativeness. The HRV results show no significant differences between the two environments, and both environments are found to be more physiologically restorative than being at the office or on the minibus. The results of the psychological measures indicate that the forest walk has a positive effect on mood, while the walk in the urban environment has no effect. The forest environment is also rated more highly with regard to perceived restorativeness than the urban environment. The results support the current research that shows natural environments as more restorative than urban environments. The study also adds to the ongoing debate on healthy urban planning by indicating that architectural and historical qualities may be associated with the physiological well-being of citizens.","container-title":"Health and Place","DOI":"10.1016/j.healthplace.2017.05.007","ISSN":"18732054","page":"145-154","title":"It is not all bad for the grey city – A crossover study on physiological and psychological restoration in a forest and an urban environment","volume":"46","author":[{"family":"Stigsdotter","given":"Ulrika K."},{"family":"Corazon","given":"Sus Sola"},{"family":"Sidenius","given":"Ulrik"},{"family":"Kristiansen","given":"Jesper"},{"family":"Grahn","given":"Patrik"}],"issued":{"date-parts":[["2017"]]}}}],"schema":"https://github.com/citation-style-language/schema/raw/master/csl-citation.json"} </w:instrText>
      </w:r>
      <w:r w:rsidRPr="00C05886">
        <w:fldChar w:fldCharType="separate"/>
      </w:r>
      <w:r w:rsidR="00C44661" w:rsidRPr="00C44661">
        <w:rPr>
          <w:rFonts w:ascii="Calibri" w:hAnsi="Calibri" w:cs="Calibri"/>
          <w:szCs w:val="24"/>
        </w:rPr>
        <w:t>(</w:t>
      </w:r>
      <w:r w:rsidR="00C44661">
        <w:rPr>
          <w:rFonts w:ascii="Calibri" w:hAnsi="Calibri" w:cs="Calibri"/>
          <w:szCs w:val="24"/>
        </w:rPr>
        <w:t xml:space="preserve">e.g. </w:t>
      </w:r>
      <w:r w:rsidR="00C44661" w:rsidRPr="00C44661">
        <w:rPr>
          <w:rFonts w:ascii="Calibri" w:hAnsi="Calibri" w:cs="Calibri"/>
          <w:szCs w:val="24"/>
        </w:rPr>
        <w:t xml:space="preserve">San Juan, Subiza-Pérez and Vozmediano, 2017; Stigsdotter </w:t>
      </w:r>
      <w:r w:rsidR="00C44661" w:rsidRPr="00C44661">
        <w:rPr>
          <w:rFonts w:ascii="Calibri" w:hAnsi="Calibri" w:cs="Calibri"/>
          <w:i/>
          <w:iCs/>
          <w:szCs w:val="24"/>
        </w:rPr>
        <w:t>et al.</w:t>
      </w:r>
      <w:r w:rsidR="00C44661" w:rsidRPr="00C44661">
        <w:rPr>
          <w:rFonts w:ascii="Calibri" w:hAnsi="Calibri" w:cs="Calibri"/>
          <w:szCs w:val="24"/>
        </w:rPr>
        <w:t>, 2017)</w:t>
      </w:r>
      <w:r w:rsidRPr="00C05886">
        <w:fldChar w:fldCharType="end"/>
      </w:r>
      <w:r w:rsidRPr="00C05886">
        <w:t xml:space="preserve">, but usually not </w:t>
      </w:r>
      <w:r w:rsidR="00475A7E">
        <w:t>in the same way</w:t>
      </w:r>
      <w:r w:rsidRPr="00C05886">
        <w:t xml:space="preserve"> as green spaces</w:t>
      </w:r>
      <w:r w:rsidR="00475A7E">
        <w:t xml:space="preserve"> (e.g. they may reduce the Negative Affect but not improve the </w:t>
      </w:r>
      <w:r w:rsidR="00475A7E">
        <w:lastRenderedPageBreak/>
        <w:t>Positive affect)</w:t>
      </w:r>
      <w:r w:rsidRPr="00C05886">
        <w:t xml:space="preserve">. </w:t>
      </w:r>
      <w:r w:rsidR="00E63AC7">
        <w:t>However, i</w:t>
      </w:r>
      <w:r w:rsidRPr="00C05886">
        <w:t xml:space="preserve">t remains unclear what the </w:t>
      </w:r>
      <w:r w:rsidR="00475A7E">
        <w:t>optimal</w:t>
      </w:r>
      <w:r w:rsidR="00475A7E" w:rsidRPr="00C05886">
        <w:t xml:space="preserve"> </w:t>
      </w:r>
      <w:r w:rsidRPr="00C05886">
        <w:t xml:space="preserve">number of species would be, and </w:t>
      </w:r>
      <w:r w:rsidR="00475A7E">
        <w:t>whether</w:t>
      </w:r>
      <w:r w:rsidR="00475A7E" w:rsidRPr="00C05886">
        <w:t xml:space="preserve"> </w:t>
      </w:r>
      <w:r w:rsidRPr="00C05886">
        <w:t xml:space="preserve">this would </w:t>
      </w:r>
      <w:r w:rsidR="00475A7E">
        <w:t>vary</w:t>
      </w:r>
      <w:r w:rsidR="00475A7E" w:rsidRPr="00C05886">
        <w:t xml:space="preserve"> </w:t>
      </w:r>
      <w:r w:rsidR="00475A7E">
        <w:t>depending on the cultural context</w:t>
      </w:r>
      <w:r w:rsidRPr="00C05886">
        <w:t xml:space="preserve"> (and its aesthetics) or </w:t>
      </w:r>
      <w:r w:rsidR="00475A7E">
        <w:t>on the size of the green space.</w:t>
      </w:r>
      <w:r w:rsidR="00E63AC7">
        <w:t xml:space="preserve"> This could be a key point for future research.</w:t>
      </w:r>
    </w:p>
    <w:p w14:paraId="766DAD0D" w14:textId="110FE303" w:rsidR="00EF1910" w:rsidRPr="00C05886" w:rsidRDefault="00EF1910" w:rsidP="002D7C0A">
      <w:r w:rsidRPr="00C05886">
        <w:t xml:space="preserve">Secondly, </w:t>
      </w:r>
      <w:r w:rsidR="00C44661">
        <w:t>it is worth mentioning</w:t>
      </w:r>
      <w:r w:rsidRPr="00C05886">
        <w:t xml:space="preserve"> that the mechanisms between biodiversity and well-being may not just act through </w:t>
      </w:r>
      <w:r w:rsidR="00C44661">
        <w:t>perceivable mean</w:t>
      </w:r>
      <w:r w:rsidR="00E63AC7">
        <w:t>s</w:t>
      </w:r>
      <w:r w:rsidR="00C44661">
        <w:t xml:space="preserve"> (e.g. </w:t>
      </w:r>
      <w:r w:rsidRPr="00C05886">
        <w:t>visual, auditory, olfactory</w:t>
      </w:r>
      <w:r w:rsidR="00C44661">
        <w:t>)</w:t>
      </w:r>
      <w:r w:rsidRPr="00C05886">
        <w:t xml:space="preserve"> or direct psychological mechanisms</w:t>
      </w:r>
      <w:r w:rsidR="00C44661">
        <w:t xml:space="preserve"> </w:t>
      </w:r>
      <w:r w:rsidR="0026730E" w:rsidRPr="00C05886">
        <w:t xml:space="preserve">– </w:t>
      </w:r>
      <w:r w:rsidRPr="00C05886">
        <w:t>i.e. as the conscious brain ‘</w:t>
      </w:r>
      <w:r w:rsidR="0026730E" w:rsidRPr="00C05886">
        <w:t>feels</w:t>
      </w:r>
      <w:r w:rsidRPr="00C05886">
        <w:t>’</w:t>
      </w:r>
      <w:r w:rsidR="00C44661">
        <w:t xml:space="preserve"> and reacts to the presence of perceivable species</w:t>
      </w:r>
      <w:r w:rsidRPr="00C05886">
        <w:t xml:space="preserve">. </w:t>
      </w:r>
      <w:r w:rsidR="0026730E" w:rsidRPr="00C05886">
        <w:t>Research investigating microbial</w:t>
      </w:r>
      <w:r w:rsidR="00C44661">
        <w:t xml:space="preserve"> biodiversity has</w:t>
      </w:r>
      <w:r w:rsidR="0026730E" w:rsidRPr="00C05886">
        <w:t xml:space="preserve"> </w:t>
      </w:r>
      <w:r w:rsidRPr="00C05886">
        <w:t>argue</w:t>
      </w:r>
      <w:r w:rsidR="0026730E" w:rsidRPr="00C05886">
        <w:t>d</w:t>
      </w:r>
      <w:r w:rsidRPr="00C05886">
        <w:t xml:space="preserve"> that environments </w:t>
      </w:r>
      <w:r w:rsidR="00E63AC7">
        <w:t xml:space="preserve">rich in (perceivable) species </w:t>
      </w:r>
      <w:r w:rsidRPr="00C05886">
        <w:t xml:space="preserve">are valuable because they relate to </w:t>
      </w:r>
      <w:r w:rsidR="00C44661">
        <w:t xml:space="preserve">the </w:t>
      </w:r>
      <w:r w:rsidRPr="00C05886">
        <w:t xml:space="preserve"> microbial </w:t>
      </w:r>
      <w:r w:rsidR="00C44661">
        <w:t>species richness</w:t>
      </w:r>
      <w:r w:rsidR="0026730E" w:rsidRPr="00C05886">
        <w:t xml:space="preserve">, which </w:t>
      </w:r>
      <w:r w:rsidR="005F27AF">
        <w:t>remains</w:t>
      </w:r>
      <w:r w:rsidR="005F27AF" w:rsidRPr="00C05886">
        <w:t xml:space="preserve"> </w:t>
      </w:r>
      <w:r w:rsidR="0026730E" w:rsidRPr="00C05886">
        <w:t xml:space="preserve">unperceivable through the senses </w:t>
      </w:r>
      <w:r w:rsidR="0026730E" w:rsidRPr="00C05886">
        <w:fldChar w:fldCharType="begin"/>
      </w:r>
      <w:r w:rsidR="00A056BC" w:rsidRPr="00C05886">
        <w:instrText xml:space="preserve"> ADDIN ZOTERO_ITEM CSL_CITATION {"citationID":"NxdoS21q","properties":{"formattedCitation":"(Gr\\uc0\\u246{}nroos {\\i{}et al.}, 2019; Robinson and Barrable, 2023)","plainCitation":"(Grönroos et al., 2019; Robinson and Barrable, 2023)","noteIndex":0},"citationItems":[{"id":9903,"uris":["http://zotero.org/users/10951124/items/UKHNPFI2"],"itemData":{"id":9903,"type":"article-journal","container-title":"MicrobiologyOpen","DOI":"10.1002/mbo3.645","ISSN":"2045-8827, 2045-8827","issue":"3","journalAbbreviation":"MicrobiologyOpen","language":"en","page":"e00645","source":"DOI.org (Crossref)","title":"Short‐term direct contact with soil and plant materials leads to an immediate increase in diversity of skin microbiota","volume":"8","author":[{"family":"Grönroos","given":"Mira"},{"family":"Parajuli","given":"Anirudra"},{"family":"Laitinen","given":"Olli H."},{"family":"Roslund","given":"Marja I."},{"family":"Vari","given":"Heli K."},{"family":"Hyöty","given":"Heikki"},{"family":"Puhakka","given":"Riikka"},{"family":"Sinkkonen","given":"Aki"}],"issued":{"date-parts":[["2019",3]]}}},{"id":9905,"uris":["http://zotero.org/users/10951124/items/ZFYEMYD9"],"itemData":{"id":9905,"type":"article-journal","abstract":"Early childhood is a time of rapid physiological, cognitive, and social development, affected by various environmental factors. The physical environment, including the environmental microbiome (the entire consortium of microorganisms and their theatre of activity in a given environment), plays an essential role in childhood development and can be shaped in ways to support health and wellbeing. In this Perspective article, we present considerations for early childhood education settings that wish to shape their outdoor and indoor environments to optimise human and ecosystem health. This is done in line with the latest evidence base on optimising health-supporting interactions between humans and environmental microbiota, but also in pedagogically and developmentally appropriate ways. Based on the Microbiome-Inspired Green Infrastructure (MIGI) principles, the considerations presented here not only support health through human–nature interactions and a healthier natural environment, but also promote a closer, reciprocal relationship between children and their natural environments.","container-title":"Education Sciences","DOI":"10.3390/educsci13020211","ISSN":"2227-7102","issue":"2","journalAbbreviation":"Education Sciences","language":"en","page":"211","source":"DOI.org (Crossref)","title":"Optimising Early Childhood Educational Settings for Health Using Nature-Based Solutions: The Microbiome Aspect","title-short":"Optimising Early Childhood Educational Settings for Health Using Nature-Based Solutions","volume":"13","author":[{"family":"Robinson","given":"Jake M."},{"family":"Barrable","given":"Alexia"}],"issued":{"date-parts":[["2023",2,16]]}}}],"schema":"https://github.com/citation-style-language/schema/raw/master/csl-citation.json"} </w:instrText>
      </w:r>
      <w:r w:rsidR="0026730E" w:rsidRPr="00C05886">
        <w:fldChar w:fldCharType="separate"/>
      </w:r>
      <w:r w:rsidR="0026730E" w:rsidRPr="00C05886">
        <w:rPr>
          <w:rFonts w:ascii="Calibri" w:hAnsi="Calibri" w:cs="Calibri"/>
          <w:szCs w:val="24"/>
        </w:rPr>
        <w:t xml:space="preserve">(Grönroos </w:t>
      </w:r>
      <w:r w:rsidR="0026730E" w:rsidRPr="00C05886">
        <w:rPr>
          <w:rFonts w:ascii="Calibri" w:hAnsi="Calibri" w:cs="Calibri"/>
          <w:i/>
          <w:iCs/>
          <w:szCs w:val="24"/>
        </w:rPr>
        <w:t>et al.</w:t>
      </w:r>
      <w:r w:rsidR="0026730E" w:rsidRPr="00C05886">
        <w:rPr>
          <w:rFonts w:ascii="Calibri" w:hAnsi="Calibri" w:cs="Calibri"/>
          <w:szCs w:val="24"/>
        </w:rPr>
        <w:t>, 2019; Robinson and Barrable, 2023)</w:t>
      </w:r>
      <w:r w:rsidR="0026730E" w:rsidRPr="00C05886">
        <w:fldChar w:fldCharType="end"/>
      </w:r>
      <w:r w:rsidRPr="00C05886">
        <w:t xml:space="preserve">. It </w:t>
      </w:r>
      <w:r w:rsidR="0026730E" w:rsidRPr="00C05886">
        <w:t>could be</w:t>
      </w:r>
      <w:r w:rsidRPr="00C05886">
        <w:t xml:space="preserve"> </w:t>
      </w:r>
      <w:r w:rsidR="00E63AC7">
        <w:t xml:space="preserve">through </w:t>
      </w:r>
      <w:r w:rsidRPr="00C05886">
        <w:t xml:space="preserve">the action of </w:t>
      </w:r>
      <w:r w:rsidR="00E63AC7">
        <w:t>a</w:t>
      </w:r>
      <w:r w:rsidRPr="00C05886">
        <w:t xml:space="preserve"> </w:t>
      </w:r>
      <w:r w:rsidR="00E63AC7">
        <w:t>rich</w:t>
      </w:r>
      <w:r w:rsidR="00E63AC7" w:rsidRPr="00C05886">
        <w:t xml:space="preserve"> </w:t>
      </w:r>
      <w:r w:rsidRPr="00C05886">
        <w:t>microbiome that the human microbiome</w:t>
      </w:r>
      <w:r w:rsidR="00E63AC7">
        <w:t xml:space="preserve"> is positively affected</w:t>
      </w:r>
      <w:r w:rsidRPr="00C05886">
        <w:t xml:space="preserve">, </w:t>
      </w:r>
      <w:r w:rsidR="00E63AC7">
        <w:t>in the form of benefits to</w:t>
      </w:r>
      <w:r w:rsidR="00E63AC7" w:rsidRPr="00C05886">
        <w:t xml:space="preserve"> </w:t>
      </w:r>
      <w:r w:rsidR="00E63AC7">
        <w:t>the immune system</w:t>
      </w:r>
      <w:r w:rsidRPr="00C05886">
        <w:t xml:space="preserve">, mood and well-being.  Landscapes rich in visible plants, invertebrates and vertebrates may be a proxy for healthier environments, but may not be an exact match when we actually catalogue microbial groups and species. Further research is required to determine how much humans </w:t>
      </w:r>
      <w:r w:rsidR="00C44661">
        <w:t xml:space="preserve">can </w:t>
      </w:r>
      <w:r w:rsidRPr="00C05886">
        <w:t>perceive and experience micro-biodiversity and if this aligns with mood and well-being.</w:t>
      </w:r>
    </w:p>
    <w:p w14:paraId="08E71AC2" w14:textId="6039F1C5" w:rsidR="00C12E53" w:rsidRPr="00C05886" w:rsidRDefault="0026730E" w:rsidP="002D7C0A">
      <w:r w:rsidRPr="00C05886">
        <w:t>Thirdly</w:t>
      </w:r>
      <w:r w:rsidR="00C12E53" w:rsidRPr="00C05886">
        <w:t>, even</w:t>
      </w:r>
      <w:r w:rsidRPr="00C05886">
        <w:t xml:space="preserve"> if a </w:t>
      </w:r>
      <w:r w:rsidR="001269BD" w:rsidRPr="00C05886">
        <w:t xml:space="preserve">green space with a </w:t>
      </w:r>
      <w:r w:rsidR="00C12E53" w:rsidRPr="00C05886">
        <w:t xml:space="preserve">minimal number of </w:t>
      </w:r>
      <w:r w:rsidRPr="00C05886">
        <w:t>(visible</w:t>
      </w:r>
      <w:r w:rsidRPr="005D7515">
        <w:t xml:space="preserve">) </w:t>
      </w:r>
      <w:r w:rsidR="00C12E53" w:rsidRPr="00C05886">
        <w:t>species</w:t>
      </w:r>
      <w:r w:rsidR="00C44661">
        <w:t xml:space="preserve"> could appear more cost-effective</w:t>
      </w:r>
      <w:r w:rsidRPr="00C05886">
        <w:t xml:space="preserve"> </w:t>
      </w:r>
      <w:r w:rsidR="005F27AF">
        <w:t>in eliciting</w:t>
      </w:r>
      <w:r w:rsidR="00C44661" w:rsidRPr="00C05886">
        <w:t xml:space="preserve"> </w:t>
      </w:r>
      <w:r w:rsidRPr="00C05886">
        <w:t>well-being</w:t>
      </w:r>
      <w:r w:rsidR="00C12E53" w:rsidRPr="00C05886">
        <w:t xml:space="preserve">, global changes in climate and management policies demand a different approach. A biodiverse green space is more resilient and has a higher likelihood of adapting to the changing climate and recovering from extreme weather events. With a higher number of species present, even </w:t>
      </w:r>
      <w:r w:rsidR="00C65558">
        <w:t>in the event some could fail to adapt to changing conditions and disappear</w:t>
      </w:r>
      <w:r w:rsidR="00C12E53" w:rsidRPr="00C05886">
        <w:t>, enough would remain to meet the requirements for well-being.</w:t>
      </w:r>
      <w:r w:rsidR="00E966B1">
        <w:t xml:space="preserve"> Further</w:t>
      </w:r>
      <w:r w:rsidR="00C12E53" w:rsidRPr="00C05886">
        <w:t xml:space="preserve">, biodiverse green spaces provide more ecosystem services. Either taken individually or collectively as green infrastructure, green spaces are responsible for many ecosystem services. For example, a diverse mix of trees can 1) regulate the microclimate by breaking strong winds </w:t>
      </w:r>
      <w:r w:rsidR="00C12E53" w:rsidRPr="00C05886">
        <w:fldChar w:fldCharType="begin"/>
      </w:r>
      <w:r w:rsidR="00C12E53" w:rsidRPr="00C05886">
        <w:instrText xml:space="preserve"> ADDIN ZOTERO_ITEM CSL_CITATION {"citationID":"OEOGt8FR","properties":{"formattedCitation":"(Campi, Palumbo and Mastrorilli, 2009)","plainCitation":"(Campi, Palumbo and Mastrorilli, 2009)","noteIndex":0},"citationItems":[{"id":10916,"uris":["http://zotero.org/users/10951124/items/TSMBFWRM"],"itemData":{"id":10916,"type":"article-journal","container-title":"European Journal of Agronomy","DOI":"10.1016/j.eja.2008.10.004","ISSN":"11610301","issue":"3","journalAbbreviation":"European Journal of Agronomy","language":"en","page":"220-227","source":"DOI.org (Crossref)","title":"Effects of tree windbreak on microclimate and wheat productivity in a Mediterranean environment","volume":"30","author":[{"family":"Campi","given":"P."},{"family":"Palumbo","given":"A.D."},{"family":"Mastrorilli","given":"M."}],"issued":{"date-parts":[["2009",4]]}}}],"schema":"https://github.com/citation-style-language/schema/raw/master/csl-citation.json"} </w:instrText>
      </w:r>
      <w:r w:rsidR="00C12E53" w:rsidRPr="00C05886">
        <w:fldChar w:fldCharType="separate"/>
      </w:r>
      <w:r w:rsidR="00C12E53" w:rsidRPr="00C05886">
        <w:rPr>
          <w:rFonts w:ascii="Calibri" w:hAnsi="Calibri" w:cs="Calibri"/>
        </w:rPr>
        <w:t>(Campi, Palumbo and Mastrorilli, 2009)</w:t>
      </w:r>
      <w:r w:rsidR="00C12E53" w:rsidRPr="00C05886">
        <w:fldChar w:fldCharType="end"/>
      </w:r>
      <w:r w:rsidR="00C12E53" w:rsidRPr="00C05886">
        <w:t xml:space="preserve">, 2) provide shade in summer and reduce the heat island effect </w:t>
      </w:r>
      <w:r w:rsidR="00C12E53" w:rsidRPr="00C05886">
        <w:fldChar w:fldCharType="begin"/>
      </w:r>
      <w:r w:rsidR="00C12E53" w:rsidRPr="00C05886">
        <w:instrText xml:space="preserve"> ADDIN ZOTERO_ITEM CSL_CITATION {"citationID":"IokRc0AA","properties":{"formattedCitation":"(Speak {\\i{}et al.}, 2020)","plainCitation":"(Speak et al., 2020)","noteIndex":0},"citationItems":[{"id":10214,"uris":["http://zotero.org/users/10951124/items/VNCUEZ4V"],"itemData":{"id":10214,"type":"article-journal","container-title":"Landscape and Urban Planning","DOI":"10.1016/j.landurbplan.2020.103748","ISSN":"01692046","journalAbbreviation":"Landscape and Urban Planning","language":"en","page":"103748","source":"DOI.org (Crossref)","title":"The influence of tree traits on urban ground surface shade cooling","volume":"197","author":[{"family":"Speak","given":"Andrew"},{"family":"Montagnani","given":"Leonardo"},{"family":"Wellstein","given":"Camilla"},{"family":"Zerbe","given":"Stefan"}],"issued":{"date-parts":[["2020",5]]}}}],"schema":"https://github.com/citation-style-language/schema/raw/master/csl-citation.json"} </w:instrText>
      </w:r>
      <w:r w:rsidR="00C12E53" w:rsidRPr="00C05886">
        <w:fldChar w:fldCharType="separate"/>
      </w:r>
      <w:r w:rsidR="00C12E53" w:rsidRPr="00C05886">
        <w:rPr>
          <w:rFonts w:ascii="Calibri" w:hAnsi="Calibri" w:cs="Calibri"/>
          <w:szCs w:val="24"/>
        </w:rPr>
        <w:t xml:space="preserve">(Speak </w:t>
      </w:r>
      <w:r w:rsidR="00C12E53" w:rsidRPr="00C05886">
        <w:rPr>
          <w:rFonts w:ascii="Calibri" w:hAnsi="Calibri" w:cs="Calibri"/>
          <w:i/>
          <w:iCs/>
          <w:szCs w:val="24"/>
        </w:rPr>
        <w:t>et al.</w:t>
      </w:r>
      <w:r w:rsidR="00C12E53" w:rsidRPr="00C05886">
        <w:rPr>
          <w:rFonts w:ascii="Calibri" w:hAnsi="Calibri" w:cs="Calibri"/>
          <w:szCs w:val="24"/>
        </w:rPr>
        <w:t>, 2020)</w:t>
      </w:r>
      <w:r w:rsidR="00C12E53" w:rsidRPr="00C05886">
        <w:fldChar w:fldCharType="end"/>
      </w:r>
      <w:r w:rsidR="00C12E53" w:rsidRPr="00C05886">
        <w:t xml:space="preserve">, 3) capture some fractions of the particulate matter </w:t>
      </w:r>
      <w:r w:rsidR="00C12E53" w:rsidRPr="00C05886">
        <w:fldChar w:fldCharType="begin"/>
      </w:r>
      <w:r w:rsidR="00C12E53" w:rsidRPr="00C05886">
        <w:instrText xml:space="preserve"> ADDIN ZOTERO_ITEM CSL_CITATION {"citationID":"tCnQYnmH","properties":{"formattedCitation":"(Redondo-Berm\\uc0\\u250{}dez {\\i{}et al.}, 2021)","plainCitation":"(Redondo-Bermúdez et al., 2021)","noteIndex":0},"citationItems":[{"id":10917,"uris":["http://zotero.org/users/10951124/items/GHZXJMNV"],"itemData":{"id":10917,"type":"article-journal","container-title":"Environmental Pollution","DOI":"10.1016/j.envpol.2021.117809","ISSN":"02697491","journalAbbreviation":"Environmental Pollution","language":"en","page":"117809","source":"DOI.org (Crossref)","title":"‘Green barriers’ for air pollutant capture: Leaf micromorphology as a mechanism to explain plants capacity to capture particulate matter","title-short":"‘Green barriers’ for air pollutant capture","volume":"288","author":[{"family":"Redondo-Bermúdez","given":"María Del Carmen"},{"family":"Gulenc","given":"Idris Tugrul"},{"family":"Cameron","given":"Ross W."},{"family":"Inkson","given":"Beverley J."}],"issued":{"date-parts":[["2021",11]]}}}],"schema":"https://github.com/citation-style-language/schema/raw/master/csl-citation.json"} </w:instrText>
      </w:r>
      <w:r w:rsidR="00C12E53" w:rsidRPr="00C05886">
        <w:fldChar w:fldCharType="separate"/>
      </w:r>
      <w:r w:rsidR="00C12E53" w:rsidRPr="00C05886">
        <w:rPr>
          <w:rFonts w:ascii="Calibri" w:hAnsi="Calibri" w:cs="Calibri"/>
          <w:szCs w:val="24"/>
        </w:rPr>
        <w:t xml:space="preserve">(Redondo-Bermúdez </w:t>
      </w:r>
      <w:r w:rsidR="00C12E53" w:rsidRPr="00C05886">
        <w:rPr>
          <w:rFonts w:ascii="Calibri" w:hAnsi="Calibri" w:cs="Calibri"/>
          <w:i/>
          <w:iCs/>
          <w:szCs w:val="24"/>
        </w:rPr>
        <w:t>et al.</w:t>
      </w:r>
      <w:r w:rsidR="00C12E53" w:rsidRPr="00C05886">
        <w:rPr>
          <w:rFonts w:ascii="Calibri" w:hAnsi="Calibri" w:cs="Calibri"/>
          <w:szCs w:val="24"/>
        </w:rPr>
        <w:t>, 2021)</w:t>
      </w:r>
      <w:r w:rsidR="00C12E53" w:rsidRPr="00C05886">
        <w:fldChar w:fldCharType="end"/>
      </w:r>
      <w:r w:rsidR="00C12E53" w:rsidRPr="00C05886">
        <w:t xml:space="preserve"> and 4) slow the water run-off </w:t>
      </w:r>
      <w:r w:rsidR="00C12E53" w:rsidRPr="00C05886">
        <w:fldChar w:fldCharType="begin"/>
      </w:r>
      <w:r w:rsidR="00C12E53" w:rsidRPr="00C05886">
        <w:instrText xml:space="preserve"> ADDIN ZOTERO_ITEM CSL_CITATION {"citationID":"baYSJ1LG","properties":{"formattedCitation":"(Carlyle-Moses {\\i{}et al.}, 2020)","plainCitation":"(Carlyle-Moses et al., 2020)","noteIndex":0},"citationItems":[{"id":10924,"uris":["http://zotero.org/users/10951124/items/X8WJCQKX"],"itemData":{"id":10924,"type":"chapter","container-title":"Forest-Water Interactions","event-place":"Cham","ISBN":"978-3-030-26085-9","language":"en","note":"collection-title: Ecological Studies\nDOI: 10.1007/978-3-030-26086-6_17","page":"397-432","publisher":"Springer International Publishing","publisher-place":"Cham","source":"DOI.org (Crossref)","title":"Urban Trees as Green Infrastructure for Stormwater Mitigation and Use","URL":"http://link.springer.com/10.1007/978-3-030-26086-6_17","volume":"240","editor":[{"family":"Levia","given":"Delphis F."},{"family":"Carlyle-Moses","given":"Darryl E."},{"family":"Iida","given":"Shin'ichi"},{"family":"Michalzik","given":"Beate"},{"family":"Nanko","given":"Kazuki"},{"family":"Tischer","given":"Alexander"}],"author":[{"family":"Carlyle-Moses","given":"Darryl E."},{"family":"Livesley","given":"Stephen"},{"family":"Baptista","given":"Mariana D."},{"family":"Thom","given":"Jasmine"},{"family":"Szota","given":"Christopher"}],"accessed":{"date-parts":[["2024",1,15]]},"issued":{"date-parts":[["2020"]]}}}],"schema":"https://github.com/citation-style-language/schema/raw/master/csl-citation.json"} </w:instrText>
      </w:r>
      <w:r w:rsidR="00C12E53" w:rsidRPr="00C05886">
        <w:fldChar w:fldCharType="separate"/>
      </w:r>
      <w:r w:rsidR="00C12E53" w:rsidRPr="00C05886">
        <w:rPr>
          <w:rFonts w:ascii="Calibri" w:hAnsi="Calibri" w:cs="Calibri"/>
          <w:szCs w:val="24"/>
        </w:rPr>
        <w:t xml:space="preserve">(Carlyle-Moses </w:t>
      </w:r>
      <w:r w:rsidR="00C12E53" w:rsidRPr="00C05886">
        <w:rPr>
          <w:rFonts w:ascii="Calibri" w:hAnsi="Calibri" w:cs="Calibri"/>
          <w:i/>
          <w:iCs/>
          <w:szCs w:val="24"/>
        </w:rPr>
        <w:t>et al.</w:t>
      </w:r>
      <w:r w:rsidR="00C12E53" w:rsidRPr="00C05886">
        <w:rPr>
          <w:rFonts w:ascii="Calibri" w:hAnsi="Calibri" w:cs="Calibri"/>
          <w:szCs w:val="24"/>
        </w:rPr>
        <w:t>, 2020)</w:t>
      </w:r>
      <w:r w:rsidR="00C12E53" w:rsidRPr="00C05886">
        <w:fldChar w:fldCharType="end"/>
      </w:r>
      <w:r w:rsidR="00C12E53" w:rsidRPr="00C05886">
        <w:t xml:space="preserve">. To thrive, these trees need healthy soil, rich in microorganisms and invertebrates. Another recent example of the need for biodiversity is the increasing interest in urban horticulture to grow fruit and vegetables in urban spaces </w:t>
      </w:r>
      <w:r w:rsidR="00C12E53" w:rsidRPr="00C05886">
        <w:fldChar w:fldCharType="begin"/>
      </w:r>
      <w:r w:rsidR="00C12E53" w:rsidRPr="00C05886">
        <w:instrText xml:space="preserve"> ADDIN ZOTERO_ITEM CSL_CITATION {"citationID":"gIzTwbmy","properties":{"formattedCitation":"(Gulyas and Edmondson, 2024)","plainCitation":"(Gulyas and Edmondson, 2024)","noteIndex":0},"citationItems":[{"id":10919,"uris":["http://zotero.org/users/10951124/items/3RCH8W9U"],"itemData":{"id":10919,"type":"article-journal","abstract":"Societal Impact Statement\n              Household fruit and vegetable (F&amp;V) production in allotments and gardens can provide sustainable access to nutritious food. The present study demonstrates that UK household F&amp;V production supplies more than half of the vegetables and potatoes and 20% of the fruit that growers consume annually. Importantly, study participants ate 6.3 portions of their recommended 5‐a‐day F&amp;V (70% higher than the UK national average), and their wasted F&amp;V was 95% lower than the national average. This provides key evidence to demonstrate the role household F&amp;V production could play in providing access to fresh F&amp;V, which is key to a healthy, food‐secure population.\n            \n            \n              Summary\n              \n                \n                  \n                    Improving access to and consumption of fruits and vegetables (F&amp;V) is crucial to a healthy and food‐secure population, as current low intakes are linked to high rates of non‐communicable diseases, premature death and increased healthcare costs. Household F&amp;V production could improve diet quality and food system resilience, however, quantitative evidence for its potential is limited.\n                  \n                  \n                    We studied year‐long F&amp;V production, purchases, donations and waste in UK food‐grower households (N = 85) using a food diary approach.\n                  \n                  \n                    Median year‐round household self‐sufficiency was 51% in vegetables, 20% in fruits and 50% in potatoes. The median daily per capita F&amp;V intake was 507 g, which is the equivalent of 6.3 portions of F&amp;V and 70% higher than the UK national average. On average, own production accounted for half of each household's annual 5‐a‐day F&amp;V requirements. F&amp;V waste was negligible, equivalent to 0.12 portions per day and 95% lower than the UK average F&amp;V waste.\n                  \n                  \n                    We demonstrate that promoting household F&amp;V production could improve food system resilience, diet‐related public health and sustainability.","container-title":"PLANTS, PEOPLE, PLANET","DOI":"10.1002/ppp3.10413","ISSN":"2572-2611, 2572-2611","issue":"1","journalAbbreviation":"Plants People Planet","language":"en","page":"162-173","source":"DOI.org (Crossref)","title":"The contribution of household fruit and vegetable growing to fruit and vegetable self‐sufficiency and consumption","volume":"6","author":[{"family":"Gulyas","given":"Boglarka Z."},{"family":"Edmondson","given":"Jill L."}],"issued":{"date-parts":[["2024",1]]}}}],"schema":"https://github.com/citation-style-language/schema/raw/master/csl-citation.json"} </w:instrText>
      </w:r>
      <w:r w:rsidR="00C12E53" w:rsidRPr="00C05886">
        <w:fldChar w:fldCharType="separate"/>
      </w:r>
      <w:r w:rsidR="00C12E53" w:rsidRPr="00C05886">
        <w:rPr>
          <w:rFonts w:ascii="Calibri" w:hAnsi="Calibri" w:cs="Calibri"/>
        </w:rPr>
        <w:t>(Gulyas and Edmondson, 2024)</w:t>
      </w:r>
      <w:r w:rsidR="00C12E53" w:rsidRPr="00C05886">
        <w:fldChar w:fldCharType="end"/>
      </w:r>
      <w:r w:rsidR="00C12E53" w:rsidRPr="00C05886">
        <w:t>. Since many of these plants rely on pollinators to complete the production cycle, having green spaces and infrastructures to support these pollinators remains important.</w:t>
      </w:r>
    </w:p>
    <w:p w14:paraId="17C6B4DF" w14:textId="573D97F8" w:rsidR="00593603" w:rsidRDefault="00593603" w:rsidP="002D7C0A">
      <w:r>
        <w:lastRenderedPageBreak/>
        <w:t>Based on the results of this thesis, landscape practitioners could consider the following when designing and managing urban green spaces:</w:t>
      </w:r>
    </w:p>
    <w:p w14:paraId="5BF1E9F3" w14:textId="003E1F67" w:rsidR="00593603" w:rsidRDefault="00593603" w:rsidP="00593603">
      <w:pPr>
        <w:pStyle w:val="ListParagraph"/>
        <w:numPr>
          <w:ilvl w:val="0"/>
          <w:numId w:val="38"/>
        </w:numPr>
      </w:pPr>
      <w:r>
        <w:t>E</w:t>
      </w:r>
      <w:r w:rsidRPr="00C05886">
        <w:t xml:space="preserve">ven if the </w:t>
      </w:r>
      <w:r>
        <w:t xml:space="preserve">direct </w:t>
      </w:r>
      <w:r w:rsidRPr="00C05886">
        <w:t xml:space="preserve">benefits of </w:t>
      </w:r>
      <w:r>
        <w:t>the species richness</w:t>
      </w:r>
      <w:r w:rsidRPr="00C05886">
        <w:t xml:space="preserve"> on well-being </w:t>
      </w:r>
      <w:r>
        <w:t>seem</w:t>
      </w:r>
      <w:r w:rsidRPr="00C05886">
        <w:t xml:space="preserve"> limited, none of the studies presented here has found any negative effect of increasing </w:t>
      </w:r>
      <w:r>
        <w:t>the species richness</w:t>
      </w:r>
      <w:r w:rsidRPr="00C05886">
        <w:t xml:space="preserve">. Therefore, design and </w:t>
      </w:r>
      <w:r>
        <w:t>management should aim to</w:t>
      </w:r>
      <w:r w:rsidRPr="00C05886">
        <w:t xml:space="preserve"> improve </w:t>
      </w:r>
      <w:r>
        <w:t>species richness</w:t>
      </w:r>
      <w:r w:rsidRPr="00C05886">
        <w:t xml:space="preserve"> to </w:t>
      </w:r>
      <w:r>
        <w:t xml:space="preserve">maintain or </w:t>
      </w:r>
      <w:r w:rsidRPr="00C05886">
        <w:t>increase the provision of other ecosystem services.</w:t>
      </w:r>
    </w:p>
    <w:p w14:paraId="38BED245" w14:textId="3C5FF90F" w:rsidR="00593603" w:rsidRDefault="00593603" w:rsidP="00593603">
      <w:pPr>
        <w:pStyle w:val="ListParagraph"/>
        <w:numPr>
          <w:ilvl w:val="0"/>
          <w:numId w:val="38"/>
        </w:numPr>
      </w:pPr>
      <w:r>
        <w:t xml:space="preserve">Though framed in the context of stress recovery, the experiments have shown that spaces </w:t>
      </w:r>
      <w:r w:rsidR="001761FE">
        <w:t xml:space="preserve">that were perceived to be </w:t>
      </w:r>
      <w:r>
        <w:t xml:space="preserve">richer in species have the potential to improve the Positive Affect. This could be an element to consider when a space is </w:t>
      </w:r>
      <w:r w:rsidR="001761FE">
        <w:t>being designed</w:t>
      </w:r>
      <w:r>
        <w:t xml:space="preserve"> to support </w:t>
      </w:r>
      <w:r w:rsidR="001761FE">
        <w:t>mental well-being (e.g. small gardens for schools or hospitals).</w:t>
      </w:r>
    </w:p>
    <w:p w14:paraId="3DBE5D12" w14:textId="65B879E5" w:rsidR="00593603" w:rsidRDefault="001761FE" w:rsidP="005D7515">
      <w:pPr>
        <w:pStyle w:val="ListParagraph"/>
        <w:numPr>
          <w:ilvl w:val="0"/>
          <w:numId w:val="38"/>
        </w:numPr>
      </w:pPr>
      <w:r>
        <w:t>T</w:t>
      </w:r>
      <w:r w:rsidRPr="001761FE">
        <w:t>here is a potential role to be played by designers and educators</w:t>
      </w:r>
      <w:r w:rsidR="008435AD">
        <w:t xml:space="preserve"> in terms of improving the perceptions of species richness</w:t>
      </w:r>
      <w:r w:rsidRPr="001761FE">
        <w:t xml:space="preserve">. </w:t>
      </w:r>
      <w:r w:rsidR="008435AD">
        <w:t>As shown consistently in this thesis</w:t>
      </w:r>
      <w:r w:rsidRPr="001761FE">
        <w:t xml:space="preserve">, </w:t>
      </w:r>
      <w:r w:rsidR="008435AD">
        <w:t>if one</w:t>
      </w:r>
      <w:r w:rsidRPr="001761FE">
        <w:t xml:space="preserve"> </w:t>
      </w:r>
      <w:r w:rsidR="008435AD">
        <w:t>could</w:t>
      </w:r>
      <w:r w:rsidRPr="001761FE">
        <w:t xml:space="preserve"> </w:t>
      </w:r>
      <w:r w:rsidR="008435AD">
        <w:t>be more aware of the</w:t>
      </w:r>
      <w:r w:rsidRPr="001761FE">
        <w:t xml:space="preserve"> </w:t>
      </w:r>
      <w:r w:rsidR="008435AD">
        <w:t>species around them (i.e. perceive more species),</w:t>
      </w:r>
      <w:r w:rsidRPr="001761FE">
        <w:t xml:space="preserve"> </w:t>
      </w:r>
      <w:r w:rsidR="005F27AF">
        <w:t>their</w:t>
      </w:r>
      <w:r w:rsidRPr="001761FE">
        <w:t xml:space="preserve"> well-being</w:t>
      </w:r>
      <w:r w:rsidR="008435AD">
        <w:t xml:space="preserve"> </w:t>
      </w:r>
      <w:r w:rsidRPr="001761FE">
        <w:t>may also improve.</w:t>
      </w:r>
    </w:p>
    <w:p w14:paraId="20C9AAB0" w14:textId="77777777" w:rsidR="00C12E53" w:rsidRPr="00C05886" w:rsidRDefault="00C12E53" w:rsidP="00B71AD6">
      <w:pPr>
        <w:pStyle w:val="Heading2"/>
      </w:pPr>
      <w:bookmarkStart w:id="182" w:name="_Toc179962420"/>
      <w:r w:rsidRPr="00C05886">
        <w:t>Future research directions</w:t>
      </w:r>
      <w:bookmarkEnd w:id="182"/>
    </w:p>
    <w:p w14:paraId="73A5E692" w14:textId="0DE997F3" w:rsidR="00C12E53" w:rsidRPr="00C05886" w:rsidRDefault="00C12E53" w:rsidP="00CC2167">
      <w:r w:rsidRPr="00C05886">
        <w:t xml:space="preserve">Although no direct relationship was found between actual </w:t>
      </w:r>
      <w:r w:rsidR="009958CD">
        <w:t>species richness</w:t>
      </w:r>
      <w:r w:rsidR="009958CD" w:rsidRPr="00C05886">
        <w:t xml:space="preserve"> </w:t>
      </w:r>
      <w:r w:rsidRPr="00C05886">
        <w:t xml:space="preserve">and well-being, </w:t>
      </w:r>
      <w:r w:rsidR="009958CD">
        <w:t>the potential indirect relationship that species richness</w:t>
      </w:r>
      <w:r w:rsidR="000270A8" w:rsidRPr="00C05886">
        <w:t xml:space="preserve"> </w:t>
      </w:r>
      <w:r w:rsidR="009958CD">
        <w:t>may have with well-being</w:t>
      </w:r>
      <w:r w:rsidR="000270A8" w:rsidRPr="00C05886">
        <w:t xml:space="preserve"> </w:t>
      </w:r>
      <w:r w:rsidR="009958CD">
        <w:t>remain</w:t>
      </w:r>
      <w:r w:rsidR="00BF3A71">
        <w:t>s</w:t>
      </w:r>
      <w:r w:rsidR="009958CD">
        <w:t xml:space="preserve"> important </w:t>
      </w:r>
      <w:r w:rsidR="000270A8" w:rsidRPr="00C05886">
        <w:t xml:space="preserve">from a </w:t>
      </w:r>
      <w:proofErr w:type="spellStart"/>
      <w:r w:rsidR="000270A8" w:rsidRPr="00C05886">
        <w:t>salutogenic</w:t>
      </w:r>
      <w:proofErr w:type="spellEnd"/>
      <w:r w:rsidR="000270A8" w:rsidRPr="00C05886">
        <w:t xml:space="preserve"> perspective</w:t>
      </w:r>
      <w:r w:rsidRPr="00C05886">
        <w:t xml:space="preserve">. The perceived </w:t>
      </w:r>
      <w:r w:rsidR="009958CD">
        <w:t>species richness</w:t>
      </w:r>
      <w:r w:rsidR="009958CD" w:rsidRPr="00C05886">
        <w:t xml:space="preserve"> </w:t>
      </w:r>
      <w:r w:rsidRPr="00C05886">
        <w:t>was</w:t>
      </w:r>
      <w:r w:rsidR="009958CD">
        <w:t xml:space="preserve"> a rough but</w:t>
      </w:r>
      <w:r w:rsidRPr="00C05886">
        <w:t xml:space="preserve"> at least partially accurate </w:t>
      </w:r>
      <w:r w:rsidR="009958CD">
        <w:t xml:space="preserve">measure </w:t>
      </w:r>
      <w:r w:rsidRPr="00C05886">
        <w:t>and</w:t>
      </w:r>
      <w:r w:rsidR="009958CD">
        <w:t xml:space="preserve"> was</w:t>
      </w:r>
      <w:r w:rsidRPr="00C05886">
        <w:t xml:space="preserve"> related to actual </w:t>
      </w:r>
      <w:r w:rsidR="009958CD">
        <w:t>species richness</w:t>
      </w:r>
      <w:r w:rsidRPr="00C05886">
        <w:t xml:space="preserve">. Previous research </w:t>
      </w:r>
      <w:r w:rsidRPr="00C05886">
        <w:fldChar w:fldCharType="begin"/>
      </w:r>
      <w:r w:rsidR="00DC0B4B" w:rsidRPr="00C05886">
        <w:instrText xml:space="preserve"> ADDIN ZOTERO_ITEM CSL_CITATION {"citationID":"m0oLc9SM","properties":{"formattedCitation":"(Lindemann-Matthies, 2002; Richardson, Cormack, {\\i{}et al.}, 2016)","plainCitation":"(Lindemann-Matthies, 2002; Richardson, Cormack, et al., 2016)","noteIndex":0},"citationItems":[{"id":9232,"uris":["http://zotero.org/users/10951124/items/VUBNG623"],"itemData":{"id":9232,"type":"article-journal","container-title":"The Journal of Environmental Education","DOI":"10.1080/00958960209600805","ISSN":"0095-8964","issue":"2","journalAbbreviation":"The Journal of Environmental Education","note":"publisher: Routledge","page":"22-31","title":"The Influence of an Educational Program on Children's Perception of Biodiversity","volume":"33","author":[{"family":"Lindemann-Matthies","given":"Petra"}],"issued":{"date-parts":[["2002",1,1]]}}},{"id":5275,"uris":["http://zotero.org/users/10951124/items/B84Q4SHS"],"itemData":{"id":5275,"type":"article-journal","container-title":"PloS one","ISSN":"1932-6203","issue":"2","note":"publisher: Public Library of Science San Francisco, CA USA","page":"e0149777","title":"30 days wild: Development and evaluation of a large-scale nature engagement campaign to improve well-being","volume":"11","author":[{"family":"Richardson","given":"Miles"},{"family":"Cormack","given":"Adam"},{"family":"McRobert","given":"Lucy"},{"family":"Underhill","given":"Ralph"}],"issued":{"date-parts":[["2016"]]}}}],"schema":"https://github.com/citation-style-language/schema/raw/master/csl-citation.json"} </w:instrText>
      </w:r>
      <w:r w:rsidRPr="00C05886">
        <w:fldChar w:fldCharType="separate"/>
      </w:r>
      <w:r w:rsidR="00DC0B4B" w:rsidRPr="00C05886">
        <w:rPr>
          <w:rFonts w:ascii="Calibri" w:hAnsi="Calibri" w:cs="Calibri"/>
          <w:szCs w:val="24"/>
        </w:rPr>
        <w:t xml:space="preserve">(Lindemann-Matthies, 2002; Richardson, Cormack, </w:t>
      </w:r>
      <w:r w:rsidR="00DC0B4B" w:rsidRPr="00C05886">
        <w:rPr>
          <w:rFonts w:ascii="Calibri" w:hAnsi="Calibri" w:cs="Calibri"/>
          <w:i/>
          <w:iCs/>
          <w:szCs w:val="24"/>
        </w:rPr>
        <w:t>et al.</w:t>
      </w:r>
      <w:r w:rsidR="00DC0B4B" w:rsidRPr="00C05886">
        <w:rPr>
          <w:rFonts w:ascii="Calibri" w:hAnsi="Calibri" w:cs="Calibri"/>
          <w:szCs w:val="24"/>
        </w:rPr>
        <w:t>, 2016)</w:t>
      </w:r>
      <w:r w:rsidRPr="00C05886">
        <w:fldChar w:fldCharType="end"/>
      </w:r>
      <w:r w:rsidRPr="00C05886">
        <w:t xml:space="preserve"> has shown that perceptions of biodiversity and their accuracy can change with age and in response to targeted education.</w:t>
      </w:r>
    </w:p>
    <w:p w14:paraId="1431F359" w14:textId="5CD105E2" w:rsidR="00BF3A71" w:rsidRPr="00C05886" w:rsidRDefault="00C12E53" w:rsidP="00CC2167">
      <w:r w:rsidRPr="00C05886">
        <w:t xml:space="preserve">In the experiments, </w:t>
      </w:r>
      <w:r w:rsidR="009958CD">
        <w:t>the species richness</w:t>
      </w:r>
      <w:r w:rsidR="009958CD" w:rsidRPr="00C05886">
        <w:t xml:space="preserve"> </w:t>
      </w:r>
      <w:r w:rsidRPr="00C05886">
        <w:t xml:space="preserve">was </w:t>
      </w:r>
      <w:r w:rsidR="009958CD">
        <w:t xml:space="preserve">manipulated to be </w:t>
      </w:r>
      <w:r w:rsidRPr="00C05886">
        <w:t xml:space="preserve">obvious, </w:t>
      </w:r>
      <w:r w:rsidR="009958CD">
        <w:t>using</w:t>
      </w:r>
      <w:r w:rsidR="009958CD" w:rsidRPr="00C05886">
        <w:t xml:space="preserve"> </w:t>
      </w:r>
      <w:r w:rsidRPr="00C05886">
        <w:t xml:space="preserve">showy flowers, rich </w:t>
      </w:r>
      <w:r w:rsidR="005F27AF">
        <w:t>birdsong</w:t>
      </w:r>
      <w:r w:rsidR="005F27AF" w:rsidRPr="00C05886">
        <w:t xml:space="preserve"> </w:t>
      </w:r>
      <w:r w:rsidR="00B564CC">
        <w:t xml:space="preserve">soundscapes </w:t>
      </w:r>
      <w:r w:rsidRPr="00C05886">
        <w:t xml:space="preserve">and </w:t>
      </w:r>
      <w:r w:rsidR="00B564CC">
        <w:t xml:space="preserve">3D models of </w:t>
      </w:r>
      <w:r w:rsidRPr="00C05886">
        <w:t xml:space="preserve">endearing small </w:t>
      </w:r>
      <w:r w:rsidR="009958CD">
        <w:t xml:space="preserve">domestic </w:t>
      </w:r>
      <w:r w:rsidRPr="00C05886">
        <w:t xml:space="preserve">animals. Yet, none of these characteristics seemed to increase the perceived biodiversity for most people. Noticing some aspects of biodiversity seemed to help to increase well-being further, in Chapter 4. </w:t>
      </w:r>
      <w:r w:rsidR="00B564CC">
        <w:t>School programs</w:t>
      </w:r>
      <w:r w:rsidRPr="00C05886">
        <w:t xml:space="preserve"> </w:t>
      </w:r>
      <w:r w:rsidR="00B564CC">
        <w:t>seem</w:t>
      </w:r>
      <w:r w:rsidR="00B564CC" w:rsidRPr="00C05886">
        <w:t xml:space="preserve"> </w:t>
      </w:r>
      <w:r w:rsidRPr="00C05886">
        <w:t xml:space="preserve">able to increase the number of species noticed by children </w:t>
      </w:r>
      <w:r w:rsidR="00B564CC">
        <w:fldChar w:fldCharType="begin"/>
      </w:r>
      <w:r w:rsidR="00B564CC">
        <w:instrText xml:space="preserve"> ADDIN ZOTERO_ITEM CSL_CITATION {"citationID":"ycQ751CU","properties":{"formattedCitation":"(Lindemann-Matthies, 2002)","plainCitation":"(Lindemann-Matthies, 2002)","noteIndex":0},"citationItems":[{"id":9232,"uris":["http://zotero.org/users/10951124/items/VUBNG623"],"itemData":{"id":9232,"type":"article-journal","container-title":"The Journal of Environmental Education","DOI":"10.1080/00958960209600805","ISSN":"0095-8964","issue":"2","journalAbbreviation":"The Journal of Environmental Education","note":"publisher: Routledge","page":"22-31","title":"The Influence of an Educational Program on Children's Perception of Biodiversity","volume":"33","author":[{"family":"Lindemann-Matthies","given":"Petra"}],"issued":{"date-parts":[["2002",1,1]]}}}],"schema":"https://github.com/citation-style-language/schema/raw/master/csl-citation.json"} </w:instrText>
      </w:r>
      <w:r w:rsidR="00B564CC">
        <w:fldChar w:fldCharType="separate"/>
      </w:r>
      <w:r w:rsidR="00B564CC" w:rsidRPr="00B564CC">
        <w:rPr>
          <w:rFonts w:ascii="Calibri" w:hAnsi="Calibri" w:cs="Calibri"/>
        </w:rPr>
        <w:t>(Lindemann-Matthies, 2002)</w:t>
      </w:r>
      <w:r w:rsidR="00B564CC">
        <w:fldChar w:fldCharType="end"/>
      </w:r>
      <w:r w:rsidR="00B564CC">
        <w:t xml:space="preserve"> </w:t>
      </w:r>
      <w:r w:rsidRPr="00C05886">
        <w:t xml:space="preserve">but </w:t>
      </w:r>
      <w:r w:rsidR="00B564CC">
        <w:t>this</w:t>
      </w:r>
      <w:r w:rsidR="00B564CC" w:rsidRPr="00C05886">
        <w:t xml:space="preserve"> </w:t>
      </w:r>
      <w:r w:rsidRPr="00C05886">
        <w:t xml:space="preserve">could </w:t>
      </w:r>
      <w:r w:rsidR="00B564CC">
        <w:t>be less practical to reach</w:t>
      </w:r>
      <w:r w:rsidRPr="00C05886">
        <w:t xml:space="preserve"> the general public</w:t>
      </w:r>
      <w:r w:rsidR="00B564CC">
        <w:t xml:space="preserve"> (e.g. having less time to spend on a course). </w:t>
      </w:r>
      <w:r w:rsidRPr="00C05886">
        <w:t xml:space="preserve">For example, signage is commonly used in parks and natural areas, but it requires maintenance to remain functional (i.e. readable). At the same time, signage may fail to attract enough attention in a world that provides a </w:t>
      </w:r>
      <w:r w:rsidR="00B564CC">
        <w:t>continuous</w:t>
      </w:r>
      <w:r w:rsidRPr="00C05886">
        <w:t xml:space="preserve"> </w:t>
      </w:r>
      <w:r w:rsidR="00B564CC">
        <w:t>stream</w:t>
      </w:r>
      <w:r w:rsidR="00B564CC" w:rsidRPr="00C05886">
        <w:t xml:space="preserve"> </w:t>
      </w:r>
      <w:r w:rsidRPr="00C05886">
        <w:t xml:space="preserve">of visual stimuli. Augmented reality could help direct the </w:t>
      </w:r>
      <w:r w:rsidRPr="00C05886">
        <w:lastRenderedPageBreak/>
        <w:t xml:space="preserve">viewer's attention to biodiversity, for example by suggesting a closer look to a nearby tree. On the other hand, this could also increase the amount of visual stimulation, generating more </w:t>
      </w:r>
      <w:r w:rsidR="00BF3A71">
        <w:t xml:space="preserve">mental </w:t>
      </w:r>
      <w:r w:rsidRPr="00C05886">
        <w:t xml:space="preserve">fatigue. </w:t>
      </w:r>
      <w:r w:rsidR="00A10F05">
        <w:t xml:space="preserve">Another </w:t>
      </w:r>
      <w:r w:rsidR="00E04BF3">
        <w:t xml:space="preserve">possible </w:t>
      </w:r>
      <w:r w:rsidR="00A10F05">
        <w:t>approach to shed light on how species may be perceived could involve combining virtual environments with eye-tracking. Briefly, eye-tracking devices allow to measure the position and the duration of the gaze (i.e. fixation points) while looking at a scene. Visual attention (or the lack of it) is inferred by analysing the number and duration of the fixation points</w:t>
      </w:r>
      <w:r w:rsidR="00C11AC6">
        <w:t xml:space="preserve"> </w:t>
      </w:r>
      <w:r w:rsidR="00C11AC6">
        <w:fldChar w:fldCharType="begin"/>
      </w:r>
      <w:r w:rsidR="00A35208">
        <w:instrText xml:space="preserve"> ADDIN ZOTERO_ITEM CSL_CITATION {"citationID":"OahklMLj","properties":{"formattedCitation":"(Hollander {\\i{}et al.}, 2019)","plainCitation":"(Hollander et al., 2019)","dontUpdate":true,"noteIndex":0},"citationItems":[{"id":11415,"uris":["http://zotero.org/users/10951124/items/QMMPQ39G"],"itemData":{"id":11415,"type":"article-journal","container-title":"Journal of Urbanism: International Research on Placemaking and Urban Sustainability","DOI":"10.1080/17549175.2018.1531908","ISSN":"1754-9175, 1754-9183","issue":"2","journalAbbreviation":"Journal of Urbanism: International Research on Placemaking and Urban Sustainability","language":"en","page":"156-171","source":"DOI.org (Crossref)","title":"Seeing the city: using eye-tracking technology to explore cognitive responses to the built environment","title-short":"Seeing the city","volume":"12","author":[{"family":"Hollander","given":"Justin B."},{"family":"Purdy","given":"Alexandra"},{"family":"Wiley","given":"Andrew"},{"family":"Foster","given":"Veronica"},{"family":"Jacob","given":"Robert J.K."},{"family":"Taylor","given":"Holly A."},{"family":"Brunyé","given":"Tad T."}],"issued":{"date-parts":[["2019",4,3]]}}}],"schema":"https://github.com/citation-style-language/schema/raw/master/csl-citation.json"} </w:instrText>
      </w:r>
      <w:r w:rsidR="00C11AC6">
        <w:fldChar w:fldCharType="separate"/>
      </w:r>
      <w:r w:rsidR="00C11AC6" w:rsidRPr="00C11AC6">
        <w:rPr>
          <w:rFonts w:ascii="Calibri" w:hAnsi="Calibri" w:cs="Calibri"/>
          <w:szCs w:val="24"/>
        </w:rPr>
        <w:t>(</w:t>
      </w:r>
      <w:r w:rsidR="00C11AC6">
        <w:rPr>
          <w:rFonts w:ascii="Calibri" w:hAnsi="Calibri" w:cs="Calibri"/>
          <w:szCs w:val="24"/>
        </w:rPr>
        <w:t xml:space="preserve">e.g. </w:t>
      </w:r>
      <w:r w:rsidR="00C11AC6" w:rsidRPr="00C11AC6">
        <w:rPr>
          <w:rFonts w:ascii="Calibri" w:hAnsi="Calibri" w:cs="Calibri"/>
          <w:szCs w:val="24"/>
        </w:rPr>
        <w:t xml:space="preserve">Hollander </w:t>
      </w:r>
      <w:r w:rsidR="00C11AC6" w:rsidRPr="00C11AC6">
        <w:rPr>
          <w:rFonts w:ascii="Calibri" w:hAnsi="Calibri" w:cs="Calibri"/>
          <w:i/>
          <w:iCs/>
          <w:szCs w:val="24"/>
        </w:rPr>
        <w:t>et al.</w:t>
      </w:r>
      <w:r w:rsidR="00C11AC6" w:rsidRPr="00C11AC6">
        <w:rPr>
          <w:rFonts w:ascii="Calibri" w:hAnsi="Calibri" w:cs="Calibri"/>
          <w:szCs w:val="24"/>
        </w:rPr>
        <w:t>, 2019)</w:t>
      </w:r>
      <w:r w:rsidR="00C11AC6">
        <w:fldChar w:fldCharType="end"/>
      </w:r>
      <w:r w:rsidR="00C11AC6">
        <w:t xml:space="preserve">. This has been applied to restorative research, correlating eye-tracking data with psychological and physiological responses to seeing photographs of urban green spaces </w:t>
      </w:r>
      <w:r w:rsidR="00C11AC6">
        <w:fldChar w:fldCharType="begin"/>
      </w:r>
      <w:r w:rsidR="00A35208">
        <w:instrText xml:space="preserve"> ADDIN ZOTERO_ITEM CSL_CITATION {"citationID":"P8pNsHMo","properties":{"formattedCitation":"(Liu {\\i{}et al.}, 2022)","plainCitation":"(Liu et al., 2022)","dontUpdate":true,"noteIndex":0},"citationItems":[{"id":11426,"uris":["http://zotero.org/users/10951124/items/R7MPQBW5"],"itemData":{"id":11426,"type":"article-journal","container-title":"Journal of Environmental Management","DOI":"10.1016/j.jenvman.2021.113930","ISSN":"03014797","journalAbbreviation":"Journal of Environmental Management","language":"en","page":"113930","source":"DOI.org (Crossref)","title":"Restorative benefits of urban green space: Physiological, psychological restoration and eye movement analysis","title-short":"Restorative benefits of urban green space","volume":"301","author":[{"family":"Liu","given":"Linghan"},{"family":"Qu","given":"Haiyan"},{"family":"Ma","given":"Yimeng"},{"family":"Wang","given":"Kang"},{"family":"Qu","given":"Hongxin"}],"issued":{"date-parts":[["2022",1]]}}}],"schema":"https://github.com/citation-style-language/schema/raw/master/csl-citation.json"} </w:instrText>
      </w:r>
      <w:r w:rsidR="00C11AC6">
        <w:fldChar w:fldCharType="separate"/>
      </w:r>
      <w:r w:rsidR="00C11AC6" w:rsidRPr="00C11AC6">
        <w:rPr>
          <w:rFonts w:ascii="Calibri" w:hAnsi="Calibri" w:cs="Calibri"/>
          <w:szCs w:val="24"/>
        </w:rPr>
        <w:t>(</w:t>
      </w:r>
      <w:r w:rsidR="00E04BF3">
        <w:rPr>
          <w:rFonts w:ascii="Calibri" w:hAnsi="Calibri" w:cs="Calibri"/>
          <w:szCs w:val="24"/>
        </w:rPr>
        <w:t xml:space="preserve">e.g. </w:t>
      </w:r>
      <w:r w:rsidR="00C11AC6" w:rsidRPr="00C11AC6">
        <w:rPr>
          <w:rFonts w:ascii="Calibri" w:hAnsi="Calibri" w:cs="Calibri"/>
          <w:szCs w:val="24"/>
        </w:rPr>
        <w:t xml:space="preserve">Liu </w:t>
      </w:r>
      <w:r w:rsidR="00C11AC6" w:rsidRPr="00C11AC6">
        <w:rPr>
          <w:rFonts w:ascii="Calibri" w:hAnsi="Calibri" w:cs="Calibri"/>
          <w:i/>
          <w:iCs/>
          <w:szCs w:val="24"/>
        </w:rPr>
        <w:t>et al.</w:t>
      </w:r>
      <w:r w:rsidR="00C11AC6" w:rsidRPr="00C11AC6">
        <w:rPr>
          <w:rFonts w:ascii="Calibri" w:hAnsi="Calibri" w:cs="Calibri"/>
          <w:szCs w:val="24"/>
        </w:rPr>
        <w:t>, 2022)</w:t>
      </w:r>
      <w:r w:rsidR="00C11AC6">
        <w:fldChar w:fldCharType="end"/>
      </w:r>
      <w:r w:rsidR="00E04BF3">
        <w:t xml:space="preserve">. Eye-tracking has also been used to analyse visual attention in more dynamic media, such </w:t>
      </w:r>
      <w:r w:rsidR="005F27AF">
        <w:t>as </w:t>
      </w:r>
      <w:r w:rsidR="00E04BF3">
        <w:t xml:space="preserve">videos </w:t>
      </w:r>
      <w:r w:rsidR="00E04BF3">
        <w:fldChar w:fldCharType="begin"/>
      </w:r>
      <w:r w:rsidR="00E04BF3">
        <w:instrText xml:space="preserve"> ADDIN ZOTERO_ITEM CSL_CITATION {"citationID":"7UR6tne6","properties":{"formattedCitation":"(Amati {\\i{}et al.}, 2018)","plainCitation":"(Amati et al., 2018)","noteIndex":0},"citationItems":[{"id":11425,"uris":["http://zotero.org/users/10951124/items/LGG47VQP"],"itemData":{"id":11425,"type":"article-journal","container-title":"Urban Forestry &amp; Urban Greening","DOI":"10.1016/j.ufug.2017.12.013","ISSN":"16188667","journalAbbreviation":"Urban Forestry &amp; Urban Greening","language":"en","page":"67-78","source":"DOI.org (Crossref)","title":"How eye-catching are natural features when walking through a park? Eye-tracking responses to videos of walks","title-short":"How eye-catching are natural features when walking through a park?","volume":"31","author":[{"family":"Amati","given":"Marco"},{"family":"Ghanbari Parmehr","given":"Ebadat"},{"family":"McCarthy","given":"Chris"},{"family":"Sita","given":"Jodi"}],"issued":{"date-parts":[["2018",4]]}}}],"schema":"https://github.com/citation-style-language/schema/raw/master/csl-citation.json"} </w:instrText>
      </w:r>
      <w:r w:rsidR="00E04BF3">
        <w:fldChar w:fldCharType="separate"/>
      </w:r>
      <w:r w:rsidR="00E04BF3" w:rsidRPr="00E04BF3">
        <w:rPr>
          <w:rFonts w:ascii="Calibri" w:hAnsi="Calibri" w:cs="Calibri"/>
          <w:szCs w:val="24"/>
        </w:rPr>
        <w:t xml:space="preserve">(Amati </w:t>
      </w:r>
      <w:r w:rsidR="00E04BF3" w:rsidRPr="00E04BF3">
        <w:rPr>
          <w:rFonts w:ascii="Calibri" w:hAnsi="Calibri" w:cs="Calibri"/>
          <w:i/>
          <w:iCs/>
          <w:szCs w:val="24"/>
        </w:rPr>
        <w:t>et al.</w:t>
      </w:r>
      <w:r w:rsidR="00E04BF3" w:rsidRPr="00E04BF3">
        <w:rPr>
          <w:rFonts w:ascii="Calibri" w:hAnsi="Calibri" w:cs="Calibri"/>
          <w:szCs w:val="24"/>
        </w:rPr>
        <w:t>, 2018)</w:t>
      </w:r>
      <w:r w:rsidR="00E04BF3">
        <w:fldChar w:fldCharType="end"/>
      </w:r>
      <w:r w:rsidR="00E04BF3">
        <w:t xml:space="preserve"> and recorded walks </w:t>
      </w:r>
      <w:r w:rsidR="00E04BF3">
        <w:fldChar w:fldCharType="begin"/>
      </w:r>
      <w:r w:rsidR="00E04BF3">
        <w:instrText xml:space="preserve"> ADDIN ZOTERO_ITEM CSL_CITATION {"citationID":"K9kBztIs","properties":{"formattedCitation":"(Simpson {\\i{}et al.}, 2019)","plainCitation":"(Simpson et al., 2019)","noteIndex":0},"citationItems":[{"id":11427,"uris":["http://zotero.org/users/10951124/items/26L4TZDS"],"itemData":{"id":11427,"type":"article-journal","container-title":"Journal of Urbanism: International Research on Placemaking and Urban Sustainability","DOI":"10.1080/17549175.2018.1552884","ISSN":"1754-9175, 1754-9183","issue":"3","journalAbbreviation":"Journal of Urbanism: International Research on Placemaking and Urban Sustainability","language":"en","page":"259-278","source":"DOI.org (Crossref)","title":"Visual engagement with urban street edges: insights using mobile eye-tracking","title-short":"Visual engagement with urban street edges","volume":"12","author":[{"family":"Simpson","given":"James"},{"family":"Freeth","given":"Megan"},{"family":"Simpson","given":"Kimberley J."},{"family":"Thwaites","given":"Kevin"}],"issued":{"date-parts":[["2019",7,3]]}}}],"schema":"https://github.com/citation-style-language/schema/raw/master/csl-citation.json"} </w:instrText>
      </w:r>
      <w:r w:rsidR="00E04BF3">
        <w:fldChar w:fldCharType="separate"/>
      </w:r>
      <w:r w:rsidR="00E04BF3" w:rsidRPr="00E04BF3">
        <w:rPr>
          <w:rFonts w:ascii="Calibri" w:hAnsi="Calibri" w:cs="Calibri"/>
          <w:szCs w:val="24"/>
        </w:rPr>
        <w:t xml:space="preserve">(Simpson </w:t>
      </w:r>
      <w:r w:rsidR="00E04BF3" w:rsidRPr="00E04BF3">
        <w:rPr>
          <w:rFonts w:ascii="Calibri" w:hAnsi="Calibri" w:cs="Calibri"/>
          <w:i/>
          <w:iCs/>
          <w:szCs w:val="24"/>
        </w:rPr>
        <w:t>et al.</w:t>
      </w:r>
      <w:r w:rsidR="00E04BF3" w:rsidRPr="00E04BF3">
        <w:rPr>
          <w:rFonts w:ascii="Calibri" w:hAnsi="Calibri" w:cs="Calibri"/>
          <w:szCs w:val="24"/>
        </w:rPr>
        <w:t>, 2019)</w:t>
      </w:r>
      <w:r w:rsidR="00E04BF3">
        <w:fldChar w:fldCharType="end"/>
      </w:r>
      <w:r w:rsidR="0081782A">
        <w:t xml:space="preserve"> and 360-degree environments </w:t>
      </w:r>
      <w:r w:rsidR="0081782A">
        <w:fldChar w:fldCharType="begin"/>
      </w:r>
      <w:r w:rsidR="0081782A">
        <w:instrText xml:space="preserve"> ADDIN ZOTERO_ITEM CSL_CITATION {"citationID":"H7X1ao0p","properties":{"formattedCitation":"(Chen, Gong and Li, 2022)","plainCitation":"(Chen, Gong and Li, 2022)","noteIndex":0},"citationItems":[{"id":11429,"uris":["http://zotero.org/users/10951124/items/ZGDMDJR4"],"itemData":{"id":11429,"type":"article-journal","container-title":"Journal of Environmental Psychology","DOI":"10.1016/j.jenvp.2022.101756","ISSN":"02724944","journalAbbreviation":"Journal of Environmental Psychology","language":"en","page":"101756","source":"DOI.org (Crossref)","title":"Looking at buildings or trees? Association of human nature relatedness with eye movements in outdoor space","title-short":"Looking at buildings or trees?","volume":"80","author":[{"family":"Chen","given":"Bingjing"},{"family":"Gong","given":"Chen"},{"family":"Li","given":"Shuhua"}],"issued":{"date-parts":[["2022",4]]}}}],"schema":"https://github.com/citation-style-language/schema/raw/master/csl-citation.json"} </w:instrText>
      </w:r>
      <w:r w:rsidR="0081782A">
        <w:fldChar w:fldCharType="separate"/>
      </w:r>
      <w:r w:rsidR="0081782A" w:rsidRPr="0081782A">
        <w:rPr>
          <w:rFonts w:ascii="Calibri" w:hAnsi="Calibri" w:cs="Calibri"/>
        </w:rPr>
        <w:t>(Chen, Gong and Li, 2022)</w:t>
      </w:r>
      <w:r w:rsidR="0081782A">
        <w:fldChar w:fldCharType="end"/>
      </w:r>
      <w:r w:rsidR="0081782A">
        <w:t>. Analysing the fixation points in an environment at different levels of species richness (e.g. the virtual parks used in Chapter 7) could provide a more precise quantification of the perceived species richness, for instance by highlighting which species have been noticed, how many individuals and how this relates to the self-reported rating.</w:t>
      </w:r>
    </w:p>
    <w:p w14:paraId="3A998F09" w14:textId="7F7D64E4" w:rsidR="00BF3A71" w:rsidRPr="00C05886" w:rsidRDefault="0081782A" w:rsidP="00CC2167">
      <w:r>
        <w:t>F</w:t>
      </w:r>
      <w:r w:rsidR="00C12E53" w:rsidRPr="00C05886">
        <w:t>urther</w:t>
      </w:r>
      <w:r>
        <w:t>, with</w:t>
      </w:r>
      <w:r w:rsidR="00C12E53" w:rsidRPr="00C05886">
        <w:t xml:space="preserve"> </w:t>
      </w:r>
      <w:r w:rsidR="005F27AF">
        <w:t>larger-scale</w:t>
      </w:r>
      <w:r w:rsidR="00C12E53" w:rsidRPr="00C05886">
        <w:t xml:space="preserve"> tests are needed to verify whether the effect of actual </w:t>
      </w:r>
      <w:r w:rsidR="00BF3A71">
        <w:t>species richness</w:t>
      </w:r>
      <w:r w:rsidR="00BF3A71" w:rsidRPr="00C05886">
        <w:t xml:space="preserve"> </w:t>
      </w:r>
      <w:r w:rsidR="00C12E53" w:rsidRPr="00C05886">
        <w:t>could be non-linear.</w:t>
      </w:r>
      <w:r w:rsidR="00054958">
        <w:t xml:space="preserve"> </w:t>
      </w:r>
      <w:r w:rsidR="00C12E53" w:rsidRPr="00C05886">
        <w:t xml:space="preserve">Considering that past research has found that the necessary number of plant species for well-being could be relatively low </w:t>
      </w:r>
      <w:r w:rsidR="00C12E53" w:rsidRPr="00C05886">
        <w:fldChar w:fldCharType="begin"/>
      </w:r>
      <w:r w:rsidR="003E681B" w:rsidRPr="00C05886">
        <w:instrText xml:space="preserve"> ADDIN ZOTERO_ITEM CSL_CITATION {"citationID":"uLwe09Mh","properties":{"formattedCitation":"(Wolf {\\i{}et al.}, 2017; Lindemann-Matthies and Matthies, 2018; Schebella {\\i{}et al.}, 2020)","plainCitation":"(Wolf et al., 2017; Lindemann-Matthies and Matthies, 2018; Schebella et al., 2020)","noteIndex":0},"citationItems":[{"id":4925,"uris":["http://zotero.org/users/10951124/items/T2WHLDQG"],"itemData":{"id":4925,"type":"article-journal","container-title":"PloS one","DOI":"10.1371/journal.pone.0170225","issue":"1","page":"e0170225-e0170225","title":"Is Variety the Spice of Life? An Experimental Investigation into the Effects of Species Richness on Self-Reported Mental Well-Being.","volume":"12","author":[{"family":"Wolf","given":"Lukas J"},{"family":"Zu Ermgassen","given":"Sophus"},{"family":"Balmford","given":"Andrew"},{"family":"White","given":"Mathew"},{"family":"Weinstein","given":"Netta"}],"editor":[{"family":"Wolf","given":"Lukas J"}],"issued":{"date-parts":[["2017"]]}}},{"id":9126,"uris":["http://zotero.org/users/10951124/items/9ILWYPEK"],"itemData":{"id":9126,"type":"article-journal","container-title":"Web Ecol.","DOI":"10.5194/we-18-121-2018","ISSN":"1399-1183","issue":"2","note":"publisher: Copernicus Publications","page":"121-128","title":"The influence of plant species richness on stress recovery of humans","volume":"18","author":[{"family":"Lindemann-Matthies","given":"P"},{"family":"Matthies","given":"D"}],"issued":{"date-parts":[["2018",8,29]]}}},{"id":9668,"uris":["http://zotero.org/users/10951124/items/XY8G99AE"],"itemData":{"id":9668,"type":"article-journal","abstract":"Immersive virtual environments (IVEs) were used to test the effects of biodiversity on recovery from induced stress. Three natural environments and one urban environment were used to represent ordinal levels of biodiversity (none, low, moderate, and high). The four IVEs comprised visual, auditory, and olfactory stimuli. An additional high biodiversity IVE without auditory or olfactory stimuli was also included to study the effects of multisensory stimulation per se on recovery from stress and perceptions of biodiversity. Following stress induction via a novel IVE Trier Social Stress Test (TSST-IVE), heart rate and five self-reported well-being measures were used to assess participants&amp;rsquo; recovery after immersion in one of the five IVEs. The results showed consistent well-being responses across both self-reported and physiological measures, suggesting biodiversity does directly affect human well-being. However, the relationship was not linear. For most measures of well-being, stress recovery was least effective in the urban IVE, consistent with past research. The low biodiversity IVE elicited the greatest improvement in all well-being measures except self-reported calmness. One could speculate that the landscape features of the least biodiverse IVE may elicit subconscious preferences toward savanna-like landscapes, as suggested by previous studies. The IVE depicting a moderate level of biodiversity was the least restorative of the natural environments. A multisensory experience was associated with better recovery in all measures of well-being than a visual-only experience, and perceptions of landscape components significantly differed between two identical nature scenes when auditory and olfactory stimuli were removed. Nuances in the data and implications of the findings are discussed. The results signal a need for caution and question the assumption that cultural ecosystem services align with positive outcomes for biodiversity conservation.","container-title":"International Journal of Environmental Research and Public Health","DOI":"10.3390/ijerph17010056","ISSN":"1660-4601","issue":"1","title":"The Nature of Reality: Human Stress Recovery during Exposure to Biodiverse, Multisensory Virtual Environments","volume":"17","author":[{"family":"Schebella","given":"Morgan F."},{"family":"Weber","given":"Delene"},{"family":"Schultz","given":"Lisa"},{"family":"Weinstein","given":"Philip"}],"issued":{"date-parts":[["2020"]]}}}],"schema":"https://github.com/citation-style-language/schema/raw/master/csl-citation.json"} </w:instrText>
      </w:r>
      <w:r w:rsidR="00C12E53" w:rsidRPr="00C05886">
        <w:fldChar w:fldCharType="separate"/>
      </w:r>
      <w:r w:rsidR="003E681B" w:rsidRPr="00C05886">
        <w:rPr>
          <w:rFonts w:ascii="Calibri" w:hAnsi="Calibri" w:cs="Calibri"/>
          <w:szCs w:val="24"/>
        </w:rPr>
        <w:t xml:space="preserve">(Wolf </w:t>
      </w:r>
      <w:r w:rsidR="003E681B" w:rsidRPr="00C05886">
        <w:rPr>
          <w:rFonts w:ascii="Calibri" w:hAnsi="Calibri" w:cs="Calibri"/>
          <w:i/>
          <w:iCs/>
          <w:szCs w:val="24"/>
        </w:rPr>
        <w:t>et al.</w:t>
      </w:r>
      <w:r w:rsidR="003E681B" w:rsidRPr="00C05886">
        <w:rPr>
          <w:rFonts w:ascii="Calibri" w:hAnsi="Calibri" w:cs="Calibri"/>
          <w:szCs w:val="24"/>
        </w:rPr>
        <w:t xml:space="preserve">, 2017; Lindemann-Matthies and Matthies, 2018; Schebella </w:t>
      </w:r>
      <w:r w:rsidR="003E681B" w:rsidRPr="00C05886">
        <w:rPr>
          <w:rFonts w:ascii="Calibri" w:hAnsi="Calibri" w:cs="Calibri"/>
          <w:i/>
          <w:iCs/>
          <w:szCs w:val="24"/>
        </w:rPr>
        <w:t>et al.</w:t>
      </w:r>
      <w:r w:rsidR="003E681B" w:rsidRPr="00C05886">
        <w:rPr>
          <w:rFonts w:ascii="Calibri" w:hAnsi="Calibri" w:cs="Calibri"/>
          <w:szCs w:val="24"/>
        </w:rPr>
        <w:t>, 2020)</w:t>
      </w:r>
      <w:r w:rsidR="00C12E53" w:rsidRPr="00C05886">
        <w:fldChar w:fldCharType="end"/>
      </w:r>
      <w:r w:rsidR="00C12E53" w:rsidRPr="00C05886">
        <w:t xml:space="preserve">, future research </w:t>
      </w:r>
      <w:r w:rsidR="00BF3A71">
        <w:t>c</w:t>
      </w:r>
      <w:r w:rsidR="00C12E53" w:rsidRPr="00C05886">
        <w:t xml:space="preserve">ould focus on the lower end of the species richness scale, testing a finer group of setups (e.g. 1-3-7-11 species). </w:t>
      </w:r>
      <w:r w:rsidR="008B7C1D" w:rsidRPr="008B7C1D">
        <w:t xml:space="preserve">This would also allow </w:t>
      </w:r>
      <w:r w:rsidR="008B7C1D">
        <w:t>researchers</w:t>
      </w:r>
      <w:r w:rsidR="008B7C1D" w:rsidRPr="008B7C1D">
        <w:t xml:space="preserve"> to test if perceived </w:t>
      </w:r>
      <w:r w:rsidR="00054958">
        <w:t>species richness</w:t>
      </w:r>
      <w:r w:rsidR="00054958" w:rsidRPr="008B7C1D">
        <w:t xml:space="preserve"> </w:t>
      </w:r>
      <w:r w:rsidR="008B7C1D" w:rsidRPr="008B7C1D">
        <w:t xml:space="preserve">would follow a similar non-linear relationship when the number of species is limited. For instance, is likely that </w:t>
      </w:r>
      <w:r w:rsidR="008B7C1D">
        <w:t>most</w:t>
      </w:r>
      <w:r w:rsidR="008B7C1D" w:rsidRPr="008B7C1D">
        <w:t xml:space="preserve"> participants </w:t>
      </w:r>
      <w:r w:rsidR="008B7C1D">
        <w:t>would be able to</w:t>
      </w:r>
      <w:r w:rsidR="008B7C1D" w:rsidRPr="008B7C1D">
        <w:t xml:space="preserve"> see the difference </w:t>
      </w:r>
      <w:r w:rsidR="00054958">
        <w:t>between two scenarios with</w:t>
      </w:r>
      <w:r w:rsidR="00054958" w:rsidRPr="008B7C1D">
        <w:t xml:space="preserve"> </w:t>
      </w:r>
      <w:r w:rsidR="008B7C1D" w:rsidRPr="008B7C1D">
        <w:t xml:space="preserve">no species and </w:t>
      </w:r>
      <w:r w:rsidR="00BF3A71">
        <w:t>one</w:t>
      </w:r>
      <w:r w:rsidR="00BF3A71" w:rsidRPr="008B7C1D">
        <w:t xml:space="preserve"> </w:t>
      </w:r>
      <w:r w:rsidR="008B7C1D" w:rsidRPr="008B7C1D">
        <w:t xml:space="preserve">species, but fewer would probably notice the difference between </w:t>
      </w:r>
      <w:r w:rsidR="00054958">
        <w:t xml:space="preserve">scenarios with </w:t>
      </w:r>
      <w:r w:rsidR="008B7C1D" w:rsidRPr="008B7C1D">
        <w:t xml:space="preserve">10 and 15 species. </w:t>
      </w:r>
      <w:r w:rsidR="008B7C1D">
        <w:t>Such experimental design</w:t>
      </w:r>
      <w:r w:rsidR="008B7C1D" w:rsidRPr="00C05886">
        <w:t xml:space="preserve"> </w:t>
      </w:r>
      <w:r w:rsidR="00C12E53" w:rsidRPr="00C05886">
        <w:t xml:space="preserve">is </w:t>
      </w:r>
      <w:r w:rsidR="00C873DA">
        <w:t xml:space="preserve">potentially </w:t>
      </w:r>
      <w:r w:rsidR="00C12E53" w:rsidRPr="00C05886">
        <w:t>more difficult</w:t>
      </w:r>
      <w:r w:rsidR="008B7C1D">
        <w:t xml:space="preserve"> to set up</w:t>
      </w:r>
      <w:r w:rsidR="00C12E53" w:rsidRPr="00C05886">
        <w:t xml:space="preserve"> with species other than plants, but terrariums could be feasible to test this hypothesis on invertebrates</w:t>
      </w:r>
      <w:r w:rsidR="00C873DA">
        <w:t>. Aquariums have been used in the past to test the effect of</w:t>
      </w:r>
      <w:r w:rsidR="00C12E53" w:rsidRPr="00C05886">
        <w:t xml:space="preserve"> </w:t>
      </w:r>
      <w:r w:rsidR="005F27AF">
        <w:t>fish</w:t>
      </w:r>
      <w:r w:rsidR="00054958">
        <w:t xml:space="preserve"> and </w:t>
      </w:r>
      <w:r w:rsidR="005F27AF">
        <w:t>crustacean</w:t>
      </w:r>
      <w:r w:rsidR="00054958">
        <w:t xml:space="preserve"> </w:t>
      </w:r>
      <w:r w:rsidR="00C873DA">
        <w:t xml:space="preserve">species richness and abundance on stress </w:t>
      </w:r>
      <w:r w:rsidR="00C873DA">
        <w:fldChar w:fldCharType="begin"/>
      </w:r>
      <w:r w:rsidR="00FE2153">
        <w:instrText xml:space="preserve"> ADDIN ZOTERO_ITEM CSL_CITATION {"citationID":"MGunJvzI","properties":{"formattedCitation":"(Cracknell {\\i{}et al.}, 2016)","plainCitation":"(Cracknell et al., 2016)","noteIndex":0},"citationItems":[{"id":5228,"uris":["http://zotero.org/users/10951124/items/567EDC2H"],"itemData":{"id":5228,"type":"article-journal","container-title":"Environment and Behavior","ISSN":"0013-9165","issue":"10","note":"publisher: Sage Publications Sage CA: Los Angeles, CA","page":"1242-1269","title":"Marine biota and psychological well-being: a preliminary examination of dose–response effects in an aquarium setting","volume":"48","author":[{"family":"Cracknell","given":"Deborah"},{"family":"White","given":"Mathew P"},{"family":"Pahl","given":"Sabine"},{"family":"Nichols","given":"Wallace J"},{"family":"Depledge","given":"Michael H"}],"issued":{"date-parts":[["2016"]]}}}],"schema":"https://github.com/citation-style-language/schema/raw/master/csl-citation.json"} </w:instrText>
      </w:r>
      <w:r w:rsidR="00C873DA">
        <w:fldChar w:fldCharType="separate"/>
      </w:r>
      <w:r w:rsidR="00FE2153" w:rsidRPr="00FE2153">
        <w:rPr>
          <w:rFonts w:ascii="Calibri" w:hAnsi="Calibri" w:cs="Calibri"/>
          <w:szCs w:val="24"/>
        </w:rPr>
        <w:t xml:space="preserve">(Cracknell </w:t>
      </w:r>
      <w:r w:rsidR="00FE2153" w:rsidRPr="00FE2153">
        <w:rPr>
          <w:rFonts w:ascii="Calibri" w:hAnsi="Calibri" w:cs="Calibri"/>
          <w:i/>
          <w:iCs/>
          <w:szCs w:val="24"/>
        </w:rPr>
        <w:t>et al.</w:t>
      </w:r>
      <w:r w:rsidR="00FE2153" w:rsidRPr="00FE2153">
        <w:rPr>
          <w:rFonts w:ascii="Calibri" w:hAnsi="Calibri" w:cs="Calibri"/>
          <w:szCs w:val="24"/>
        </w:rPr>
        <w:t>, 2016)</w:t>
      </w:r>
      <w:r w:rsidR="00C873DA">
        <w:fldChar w:fldCharType="end"/>
      </w:r>
      <w:r w:rsidR="00054958">
        <w:t>;</w:t>
      </w:r>
      <w:r w:rsidR="00891802">
        <w:t xml:space="preserve"> a dose-response relationship was suggested, as the results showed that the more species were in the tank the more significant was the mood improvement</w:t>
      </w:r>
      <w:r w:rsidR="00C12E53" w:rsidRPr="00C05886">
        <w:t>.</w:t>
      </w:r>
      <w:r w:rsidR="008B7C1D">
        <w:t xml:space="preserve"> However, as mentioned </w:t>
      </w:r>
      <w:r w:rsidR="00054958">
        <w:t>by the authors</w:t>
      </w:r>
      <w:r w:rsidR="008B7C1D">
        <w:t>, real-world practicalities (e.g. synchronising the participant recruitment with the refurbishment of an aquarium)</w:t>
      </w:r>
      <w:r w:rsidR="00C12E53" w:rsidRPr="00C05886">
        <w:t xml:space="preserve"> </w:t>
      </w:r>
      <w:r w:rsidR="008B7C1D">
        <w:t>limited the number of species richness conditions that could be tested.</w:t>
      </w:r>
    </w:p>
    <w:p w14:paraId="3443793C" w14:textId="1D5A9B79" w:rsidR="00B959BA" w:rsidRPr="00C05886" w:rsidRDefault="00C12E53" w:rsidP="005D7515">
      <w:pPr>
        <w:rPr>
          <w:rFonts w:eastAsiaTheme="majorEastAsia" w:cstheme="majorBidi"/>
          <w:b/>
          <w:sz w:val="36"/>
          <w:szCs w:val="26"/>
        </w:rPr>
      </w:pPr>
      <w:r w:rsidRPr="00C05886">
        <w:lastRenderedPageBreak/>
        <w:t xml:space="preserve">Finally, future research should include a comparison between real and virtual exposure </w:t>
      </w:r>
      <w:r w:rsidR="009570B7">
        <w:t xml:space="preserve">to species richness </w:t>
      </w:r>
      <w:r w:rsidR="00054958">
        <w:t>using</w:t>
      </w:r>
      <w:r w:rsidR="00054958" w:rsidRPr="00C05886">
        <w:t xml:space="preserve"> </w:t>
      </w:r>
      <w:r w:rsidRPr="00C05886">
        <w:t>the same experimental setting.</w:t>
      </w:r>
      <w:r w:rsidR="009570B7">
        <w:t xml:space="preserve"> A similar comparison was published by </w:t>
      </w:r>
      <w:r w:rsidR="009570B7">
        <w:fldChar w:fldCharType="begin"/>
      </w:r>
      <w:r w:rsidR="00A35208">
        <w:instrText xml:space="preserve"> ADDIN ZOTERO_ITEM CSL_CITATION {"citationID":"AGZgx1V1","properties":{"formattedCitation":"(Browning, Shipley, {\\i{}et al.}, 2020)","plainCitation":"(Browning, Shipley, et al., 2020)","dontUpdate":true,"noteIndex":0},"citationItems":[{"id":5471,"uris":["http://zotero.org/users/10951124/items/HS7BZ2DY"],"itemData":{"id":5471,"type":"article-journal","abstract":"Accumulating evidence indicates that simulated natural settings can engage mechanisms that promote health. Simulations offer alternatives to actual natural settings for populations unable to travel outdoors safely; however, few studies have contrasted the effects of simulations of natural settings to their actual outdoor counterparts. We compared the impacts of simulated and actual natural settings on positive and negative affect (mood) levels using a pooled sample of participants enrolled in extant experimental studies. Relevant articles were identified from a review of research published/in press by March 2020. Of 15 articles identified, five met the inclusion criteria and administered a single cross-cutting, standardized instrument (the Positive and Negative Affect Schedule; PANAS) before and after exposure. Random effects meta-analysis of pooled effects showed that positive affect increased in the actual settings but not in their simulated counterparts (Hedge's g = 0.88; 95% CI: 0.53, 1.25). We observed no difference in effects on negative affect change scores (g = -0.23; 95% CI: -0.60, 0.13), with studies generally showing reductions in negative affect in both settings. Further research with additional populations, settings, antecedent conditions and durations will provide a more robust understanding of differences in effects between these two ways to enhance mood by viewing nature.","container-title":"Frontiers in Psychology","DOI":"10.3389/fpsyg.2020.02200","issue":"September","page":"1-12","title":"An Actual Natural Setting Improves Mood Better Than Its Virtual Counterpart: A Meta-Analysis of Experimental Data","volume":"11","author":[{"family":"Browning","given":"Matthew"},{"family":"Shipley","given":"Nathan"},{"family":"McAnirlin","given":"Olivia"},{"family":"Becker","given":"Douglas"},{"family":"Yu","given":"Chia-Pin"},{"family":"Hartig","given":"Terry"},{"family":"Dzhambov","given":"Angel M."}],"issued":{"date-parts":[["2020"]]}}}],"schema":"https://github.com/citation-style-language/schema/raw/master/csl-citation.json"} </w:instrText>
      </w:r>
      <w:r w:rsidR="009570B7">
        <w:fldChar w:fldCharType="separate"/>
      </w:r>
      <w:r w:rsidR="009570B7" w:rsidRPr="009570B7">
        <w:rPr>
          <w:rFonts w:ascii="Calibri" w:hAnsi="Calibri" w:cs="Calibri"/>
          <w:szCs w:val="24"/>
        </w:rPr>
        <w:t xml:space="preserve">Browning, Shipley, </w:t>
      </w:r>
      <w:r w:rsidR="009570B7" w:rsidRPr="009570B7">
        <w:rPr>
          <w:rFonts w:ascii="Calibri" w:hAnsi="Calibri" w:cs="Calibri"/>
          <w:i/>
          <w:iCs/>
          <w:szCs w:val="24"/>
        </w:rPr>
        <w:t>et al.</w:t>
      </w:r>
      <w:r w:rsidR="009570B7">
        <w:rPr>
          <w:rFonts w:ascii="Calibri" w:hAnsi="Calibri" w:cs="Calibri"/>
          <w:szCs w:val="24"/>
        </w:rPr>
        <w:t xml:space="preserve"> (</w:t>
      </w:r>
      <w:r w:rsidR="009570B7" w:rsidRPr="009570B7">
        <w:rPr>
          <w:rFonts w:ascii="Calibri" w:hAnsi="Calibri" w:cs="Calibri"/>
          <w:szCs w:val="24"/>
        </w:rPr>
        <w:t>2020</w:t>
      </w:r>
      <w:r w:rsidR="009570B7">
        <w:rPr>
          <w:rFonts w:ascii="Calibri" w:hAnsi="Calibri" w:cs="Calibri"/>
          <w:szCs w:val="24"/>
        </w:rPr>
        <w:t>)</w:t>
      </w:r>
      <w:r w:rsidR="009570B7">
        <w:fldChar w:fldCharType="end"/>
      </w:r>
      <w:r w:rsidR="009570B7">
        <w:t xml:space="preserve"> but the species richness was not manipulated. </w:t>
      </w:r>
      <w:r w:rsidRPr="00C05886">
        <w:t xml:space="preserve">For instance, comparing the effect of sitting in a glass house or watching high-quality footage of it, would make </w:t>
      </w:r>
      <w:r w:rsidR="005F27AF">
        <w:t>a</w:t>
      </w:r>
      <w:r w:rsidR="005F27AF" w:rsidRPr="00C05886">
        <w:t xml:space="preserve"> </w:t>
      </w:r>
      <w:r w:rsidR="009570B7">
        <w:t>viable</w:t>
      </w:r>
      <w:r w:rsidR="009570B7" w:rsidRPr="00C05886">
        <w:t xml:space="preserve"> </w:t>
      </w:r>
      <w:r w:rsidRPr="00C05886">
        <w:t>proof of concept, as glass houses can be populated with any number of plants and provide controlled environmental conditions.</w:t>
      </w:r>
      <w:r w:rsidR="00B959BA" w:rsidRPr="00C05886">
        <w:br w:type="page"/>
      </w:r>
    </w:p>
    <w:p w14:paraId="63618DB2" w14:textId="7F60810B" w:rsidR="00C12E53" w:rsidRPr="00C05886" w:rsidRDefault="00C12E53" w:rsidP="00B71AD6">
      <w:pPr>
        <w:pStyle w:val="Heading2"/>
      </w:pPr>
      <w:bookmarkStart w:id="183" w:name="_Toc179962421"/>
      <w:r w:rsidRPr="00C05886">
        <w:lastRenderedPageBreak/>
        <w:t>Concluding thoughts</w:t>
      </w:r>
      <w:bookmarkEnd w:id="183"/>
    </w:p>
    <w:p w14:paraId="3085D529" w14:textId="10E224DC" w:rsidR="00C12E53" w:rsidRPr="00C05886" w:rsidRDefault="00C12E53" w:rsidP="002B4541">
      <w:r w:rsidRPr="00C05886">
        <w:t xml:space="preserve">In conclusion, this PhD project crossed the boundaries of several disciplines to provide new insights into the role of urban biodiversity as a provider of well-being. The findings presented in this thesis expand previous knowledge in the form of systematic experimental evidence. What makes your heart skip a beat at the park may not be </w:t>
      </w:r>
      <w:r w:rsidR="009023EE">
        <w:t>the number of species around you</w:t>
      </w:r>
      <w:r w:rsidRPr="00C05886">
        <w:t>. No</w:t>
      </w:r>
      <w:r w:rsidR="000270A8" w:rsidRPr="00C05886">
        <w:t>t</w:t>
      </w:r>
      <w:r w:rsidRPr="00C05886">
        <w:t xml:space="preserve"> directly at least.</w:t>
      </w:r>
    </w:p>
    <w:p w14:paraId="194F442A" w14:textId="108B93DB" w:rsidR="003D6263" w:rsidRPr="00C05886" w:rsidRDefault="00C12E53" w:rsidP="002B4541">
      <w:r w:rsidRPr="00C05886">
        <w:t xml:space="preserve">However, these findings confirm that the role of urban biodiversity is far from negligible as a component of </w:t>
      </w:r>
      <w:proofErr w:type="spellStart"/>
      <w:r w:rsidRPr="00C05886">
        <w:t>salutogenic</w:t>
      </w:r>
      <w:proofErr w:type="spellEnd"/>
      <w:r w:rsidRPr="00C05886">
        <w:t xml:space="preserve"> green spaces. The Covid-19 pandemic struck exactly 4 years ago and </w:t>
      </w:r>
      <w:r w:rsidR="009023EE">
        <w:t>highlighted</w:t>
      </w:r>
      <w:r w:rsidR="009023EE" w:rsidRPr="00C05886">
        <w:t xml:space="preserve"> </w:t>
      </w:r>
      <w:r w:rsidR="009023EE">
        <w:t>that</w:t>
      </w:r>
      <w:r w:rsidRPr="00C05886">
        <w:t xml:space="preserve"> </w:t>
      </w:r>
      <w:r w:rsidR="009023EE">
        <w:t xml:space="preserve">when social contact is </w:t>
      </w:r>
      <w:r w:rsidR="00B82A7F">
        <w:t>restricted</w:t>
      </w:r>
      <w:r w:rsidRPr="00C05886">
        <w:t xml:space="preserve">, urban plants and wildlife </w:t>
      </w:r>
      <w:r w:rsidR="005F27AF">
        <w:t>become</w:t>
      </w:r>
      <w:r w:rsidR="005F27AF" w:rsidRPr="00C05886">
        <w:t xml:space="preserve"> </w:t>
      </w:r>
      <w:r w:rsidRPr="00C05886">
        <w:t xml:space="preserve">important. They still are, although as </w:t>
      </w:r>
      <w:r w:rsidR="009023EE">
        <w:t>society</w:t>
      </w:r>
      <w:r w:rsidR="009023EE" w:rsidRPr="00C05886">
        <w:t xml:space="preserve"> </w:t>
      </w:r>
      <w:r w:rsidRPr="00C05886">
        <w:t>move</w:t>
      </w:r>
      <w:r w:rsidR="009023EE">
        <w:t>s</w:t>
      </w:r>
      <w:r w:rsidRPr="00C05886">
        <w:t xml:space="preserve"> back to </w:t>
      </w:r>
      <w:r w:rsidR="009023EE">
        <w:t>normal</w:t>
      </w:r>
      <w:r w:rsidR="009023EE" w:rsidRPr="00C05886">
        <w:t xml:space="preserve"> </w:t>
      </w:r>
      <w:r w:rsidRPr="00C05886">
        <w:t xml:space="preserve">the memory of that experience wanes. The evidence brought by this PhD project </w:t>
      </w:r>
      <w:r w:rsidR="009023EE">
        <w:t>could</w:t>
      </w:r>
      <w:r w:rsidR="009023EE" w:rsidRPr="00C05886">
        <w:t xml:space="preserve"> </w:t>
      </w:r>
      <w:r w:rsidRPr="00C05886">
        <w:t xml:space="preserve">be a useful reminder for the future. </w:t>
      </w:r>
    </w:p>
    <w:p w14:paraId="1E57E7E3" w14:textId="77777777" w:rsidR="003D6263" w:rsidRPr="00C05886" w:rsidRDefault="003D6263">
      <w:pPr>
        <w:spacing w:line="259" w:lineRule="auto"/>
        <w:jc w:val="left"/>
      </w:pPr>
      <w:r w:rsidRPr="00C05886">
        <w:br w:type="page"/>
      </w:r>
    </w:p>
    <w:p w14:paraId="451279E4" w14:textId="677FFB98" w:rsidR="00C12E53" w:rsidRPr="00C05886" w:rsidRDefault="003D6263" w:rsidP="003D6263">
      <w:pPr>
        <w:pStyle w:val="Heading1"/>
      </w:pPr>
      <w:bookmarkStart w:id="184" w:name="_Toc179962422"/>
      <w:r w:rsidRPr="00C05886">
        <w:lastRenderedPageBreak/>
        <w:t>General reference list</w:t>
      </w:r>
      <w:bookmarkEnd w:id="184"/>
    </w:p>
    <w:p w14:paraId="407B9999" w14:textId="77777777" w:rsidR="00A35208" w:rsidRPr="00A35208" w:rsidRDefault="00A35208" w:rsidP="00A35208">
      <w:pPr>
        <w:pStyle w:val="Bibliography"/>
        <w:rPr>
          <w:rFonts w:ascii="Calibri" w:hAnsi="Calibri" w:cs="Calibri"/>
        </w:rPr>
      </w:pPr>
      <w:r>
        <w:fldChar w:fldCharType="begin"/>
      </w:r>
      <w:r>
        <w:instrText xml:space="preserve"> ADDIN ZOTERO_BIBL {"uncited":[],"omitted":[],"custom":[]} CSL_BIBLIOGRAPHY </w:instrText>
      </w:r>
      <w:r>
        <w:fldChar w:fldCharType="separate"/>
      </w:r>
      <w:r w:rsidRPr="00A35208">
        <w:rPr>
          <w:rFonts w:ascii="Calibri" w:hAnsi="Calibri" w:cs="Calibri"/>
        </w:rPr>
        <w:t xml:space="preserve">Abdel-Khalek, A.M. (2006) ‘Measuring happiness by a single-item scale’, </w:t>
      </w:r>
      <w:r w:rsidRPr="00A35208">
        <w:rPr>
          <w:rFonts w:ascii="Calibri" w:hAnsi="Calibri" w:cs="Calibri"/>
          <w:i/>
          <w:iCs/>
        </w:rPr>
        <w:t>Social Behavior and Personality: an international journal</w:t>
      </w:r>
      <w:r w:rsidRPr="00A35208">
        <w:rPr>
          <w:rFonts w:ascii="Calibri" w:hAnsi="Calibri" w:cs="Calibri"/>
        </w:rPr>
        <w:t>, 34(2), pp. 139–150. Available at: https://doi.org/10.2224/sbp.2006.34.2.139.</w:t>
      </w:r>
    </w:p>
    <w:p w14:paraId="60C04F28" w14:textId="77777777" w:rsidR="00A35208" w:rsidRPr="00A35208" w:rsidRDefault="00A35208" w:rsidP="00A35208">
      <w:pPr>
        <w:pStyle w:val="Bibliography"/>
        <w:rPr>
          <w:rFonts w:ascii="Calibri" w:hAnsi="Calibri" w:cs="Calibri"/>
        </w:rPr>
      </w:pPr>
      <w:r w:rsidRPr="00A35208">
        <w:rPr>
          <w:rFonts w:ascii="Calibri" w:hAnsi="Calibri" w:cs="Calibri"/>
        </w:rPr>
        <w:t xml:space="preserve">Akpinar, A. (2016) ‘How is quality of urban green spaces associated with physical activity and health?’, </w:t>
      </w:r>
      <w:r w:rsidRPr="00A35208">
        <w:rPr>
          <w:rFonts w:ascii="Calibri" w:hAnsi="Calibri" w:cs="Calibri"/>
          <w:i/>
          <w:iCs/>
        </w:rPr>
        <w:t>Urban Forestry and Urban Greening</w:t>
      </w:r>
      <w:r w:rsidRPr="00A35208">
        <w:rPr>
          <w:rFonts w:ascii="Calibri" w:hAnsi="Calibri" w:cs="Calibri"/>
        </w:rPr>
        <w:t>, 16, pp. 76–83. Available at: https://doi.org/10.1016/j.ufug.2016.01.011.</w:t>
      </w:r>
    </w:p>
    <w:p w14:paraId="4CA9A3CC" w14:textId="77777777" w:rsidR="00A35208" w:rsidRPr="00A35208" w:rsidRDefault="00A35208" w:rsidP="00A35208">
      <w:pPr>
        <w:pStyle w:val="Bibliography"/>
        <w:rPr>
          <w:rFonts w:ascii="Calibri" w:hAnsi="Calibri" w:cs="Calibri"/>
        </w:rPr>
      </w:pPr>
      <w:r w:rsidRPr="00A35208">
        <w:rPr>
          <w:rFonts w:ascii="Calibri" w:hAnsi="Calibri" w:cs="Calibri"/>
        </w:rPr>
        <w:t xml:space="preserve">Alvarsson, J.J., Wiens, S. and Nilsson, M.E. (2010) ‘Stress Recovery during Exposure to Nature Sound and Environmental Noise’, </w:t>
      </w:r>
      <w:r w:rsidRPr="00A35208">
        <w:rPr>
          <w:rFonts w:ascii="Calibri" w:hAnsi="Calibri" w:cs="Calibri"/>
          <w:i/>
          <w:iCs/>
        </w:rPr>
        <w:t>International Journal of Environmental Research and Public Health</w:t>
      </w:r>
      <w:r w:rsidRPr="00A35208">
        <w:rPr>
          <w:rFonts w:ascii="Calibri" w:hAnsi="Calibri" w:cs="Calibri"/>
        </w:rPr>
        <w:t>, 7(3), pp. 1036–1046. Available at: https://doi.org/10.3390/ijerph7031036.</w:t>
      </w:r>
    </w:p>
    <w:p w14:paraId="22FDA307" w14:textId="77777777" w:rsidR="00A35208" w:rsidRPr="00A35208" w:rsidRDefault="00A35208" w:rsidP="00A35208">
      <w:pPr>
        <w:pStyle w:val="Bibliography"/>
        <w:rPr>
          <w:rFonts w:ascii="Calibri" w:hAnsi="Calibri" w:cs="Calibri"/>
        </w:rPr>
      </w:pPr>
      <w:r w:rsidRPr="00A35208">
        <w:rPr>
          <w:rFonts w:ascii="Calibri" w:hAnsi="Calibri" w:cs="Calibri"/>
        </w:rPr>
        <w:t xml:space="preserve">Amati, M. </w:t>
      </w:r>
      <w:r w:rsidRPr="00A35208">
        <w:rPr>
          <w:rFonts w:ascii="Calibri" w:hAnsi="Calibri" w:cs="Calibri"/>
          <w:i/>
          <w:iCs/>
        </w:rPr>
        <w:t>et al.</w:t>
      </w:r>
      <w:r w:rsidRPr="00A35208">
        <w:rPr>
          <w:rFonts w:ascii="Calibri" w:hAnsi="Calibri" w:cs="Calibri"/>
        </w:rPr>
        <w:t xml:space="preserve"> (2018) ‘How eye-catching are natural features when walking through a park? Eye-tracking responses to videos of walks’, </w:t>
      </w:r>
      <w:r w:rsidRPr="00A35208">
        <w:rPr>
          <w:rFonts w:ascii="Calibri" w:hAnsi="Calibri" w:cs="Calibri"/>
          <w:i/>
          <w:iCs/>
        </w:rPr>
        <w:t>Urban Forestry &amp; Urban Greening</w:t>
      </w:r>
      <w:r w:rsidRPr="00A35208">
        <w:rPr>
          <w:rFonts w:ascii="Calibri" w:hAnsi="Calibri" w:cs="Calibri"/>
        </w:rPr>
        <w:t>, 31, pp. 67–78. Available at: https://doi.org/10.1016/j.ufug.2017.12.013.</w:t>
      </w:r>
    </w:p>
    <w:p w14:paraId="7763F5D1" w14:textId="77777777" w:rsidR="00A35208" w:rsidRPr="00A35208" w:rsidRDefault="00A35208" w:rsidP="00A35208">
      <w:pPr>
        <w:pStyle w:val="Bibliography"/>
        <w:rPr>
          <w:rFonts w:ascii="Calibri" w:hAnsi="Calibri" w:cs="Calibri"/>
        </w:rPr>
      </w:pPr>
      <w:r w:rsidRPr="00A35208">
        <w:rPr>
          <w:rFonts w:ascii="Calibri" w:hAnsi="Calibri" w:cs="Calibri"/>
        </w:rPr>
        <w:t xml:space="preserve">Ambrey, C. and Fleming, C. (2014) ‘Public Greenspace and Life Satisfaction in Urban Australia’, </w:t>
      </w:r>
      <w:r w:rsidRPr="00A35208">
        <w:rPr>
          <w:rFonts w:ascii="Calibri" w:hAnsi="Calibri" w:cs="Calibri"/>
          <w:i/>
          <w:iCs/>
        </w:rPr>
        <w:t>Urban Studies</w:t>
      </w:r>
      <w:r w:rsidRPr="00A35208">
        <w:rPr>
          <w:rFonts w:ascii="Calibri" w:hAnsi="Calibri" w:cs="Calibri"/>
        </w:rPr>
        <w:t>, 51(6), pp. 1290–1321. Available at: https://doi.org/10.1177/0042098013494417.</w:t>
      </w:r>
    </w:p>
    <w:p w14:paraId="50DA4E8F" w14:textId="77777777" w:rsidR="00A35208" w:rsidRPr="00A35208" w:rsidRDefault="00A35208" w:rsidP="00A35208">
      <w:pPr>
        <w:pStyle w:val="Bibliography"/>
        <w:rPr>
          <w:rFonts w:ascii="Calibri" w:hAnsi="Calibri" w:cs="Calibri"/>
        </w:rPr>
      </w:pPr>
      <w:r w:rsidRPr="00A35208">
        <w:rPr>
          <w:rFonts w:ascii="Calibri" w:hAnsi="Calibri" w:cs="Calibri"/>
        </w:rPr>
        <w:t xml:space="preserve">Anderson, C.C. and Renaud, F.G. (2021) ‘A review of public acceptance of nature-based solutions: The “why”, “when”, and “how” of success for disaster risk reduction measures’, </w:t>
      </w:r>
      <w:r w:rsidRPr="00A35208">
        <w:rPr>
          <w:rFonts w:ascii="Calibri" w:hAnsi="Calibri" w:cs="Calibri"/>
          <w:i/>
          <w:iCs/>
        </w:rPr>
        <w:t>Ambio</w:t>
      </w:r>
      <w:r w:rsidRPr="00A35208">
        <w:rPr>
          <w:rFonts w:ascii="Calibri" w:hAnsi="Calibri" w:cs="Calibri"/>
        </w:rPr>
        <w:t>, 50(8), pp. 1552–1573. Available at: https://doi.org/10.1007/s13280-021-01502-4.</w:t>
      </w:r>
    </w:p>
    <w:p w14:paraId="620492B2" w14:textId="77777777" w:rsidR="00A35208" w:rsidRPr="00A35208" w:rsidRDefault="00A35208" w:rsidP="00A35208">
      <w:pPr>
        <w:pStyle w:val="Bibliography"/>
        <w:rPr>
          <w:rFonts w:ascii="Calibri" w:hAnsi="Calibri" w:cs="Calibri"/>
        </w:rPr>
      </w:pPr>
      <w:r w:rsidRPr="00A35208">
        <w:rPr>
          <w:rFonts w:ascii="Calibri" w:hAnsi="Calibri" w:cs="Calibri"/>
        </w:rPr>
        <w:t xml:space="preserve">Annerstedt, M. </w:t>
      </w:r>
      <w:r w:rsidRPr="00A35208">
        <w:rPr>
          <w:rFonts w:ascii="Calibri" w:hAnsi="Calibri" w:cs="Calibri"/>
          <w:i/>
          <w:iCs/>
        </w:rPr>
        <w:t>et al.</w:t>
      </w:r>
      <w:r w:rsidRPr="00A35208">
        <w:rPr>
          <w:rFonts w:ascii="Calibri" w:hAnsi="Calibri" w:cs="Calibri"/>
        </w:rPr>
        <w:t xml:space="preserve"> (2013) ‘Inducing physiological stress recovery with sounds of nature in a virtual reality forest — Results from a pilot study’, </w:t>
      </w:r>
      <w:r w:rsidRPr="00A35208">
        <w:rPr>
          <w:rFonts w:ascii="Calibri" w:hAnsi="Calibri" w:cs="Calibri"/>
          <w:i/>
          <w:iCs/>
        </w:rPr>
        <w:t>Physiology &amp; Behavior</w:t>
      </w:r>
      <w:r w:rsidRPr="00A35208">
        <w:rPr>
          <w:rFonts w:ascii="Calibri" w:hAnsi="Calibri" w:cs="Calibri"/>
        </w:rPr>
        <w:t>, 118, pp. 240–250. Available at: https://doi.org/10.1016/j.physbeh.2013.05.023.</w:t>
      </w:r>
    </w:p>
    <w:p w14:paraId="647CB331" w14:textId="77777777" w:rsidR="00A35208" w:rsidRPr="00A35208" w:rsidRDefault="00A35208" w:rsidP="00A35208">
      <w:pPr>
        <w:pStyle w:val="Bibliography"/>
        <w:rPr>
          <w:rFonts w:ascii="Calibri" w:hAnsi="Calibri" w:cs="Calibri"/>
        </w:rPr>
      </w:pPr>
      <w:r w:rsidRPr="00A35208">
        <w:rPr>
          <w:rFonts w:ascii="Calibri" w:hAnsi="Calibri" w:cs="Calibri"/>
        </w:rPr>
        <w:t xml:space="preserve">Annerstedt van den Bosch, M. </w:t>
      </w:r>
      <w:r w:rsidRPr="00A35208">
        <w:rPr>
          <w:rFonts w:ascii="Calibri" w:hAnsi="Calibri" w:cs="Calibri"/>
          <w:i/>
          <w:iCs/>
        </w:rPr>
        <w:t>et al.</w:t>
      </w:r>
      <w:r w:rsidRPr="00A35208">
        <w:rPr>
          <w:rFonts w:ascii="Calibri" w:hAnsi="Calibri" w:cs="Calibri"/>
        </w:rPr>
        <w:t xml:space="preserve"> (2015) ‘Development of an urban green space indicator and the public health rationale’, </w:t>
      </w:r>
      <w:r w:rsidRPr="00A35208">
        <w:rPr>
          <w:rFonts w:ascii="Calibri" w:hAnsi="Calibri" w:cs="Calibri"/>
          <w:i/>
          <w:iCs/>
        </w:rPr>
        <w:t>Scand J Public Health</w:t>
      </w:r>
      <w:r w:rsidRPr="00A35208">
        <w:rPr>
          <w:rFonts w:ascii="Calibri" w:hAnsi="Calibri" w:cs="Calibri"/>
        </w:rPr>
        <w:t>, 44(2), pp. 159–167. Available at: https://doi.org/10.1177/1403494815615444.</w:t>
      </w:r>
    </w:p>
    <w:p w14:paraId="1EF35AA9" w14:textId="77777777" w:rsidR="00A35208" w:rsidRPr="00A35208" w:rsidRDefault="00A35208" w:rsidP="00A35208">
      <w:pPr>
        <w:pStyle w:val="Bibliography"/>
        <w:rPr>
          <w:rFonts w:ascii="Calibri" w:hAnsi="Calibri" w:cs="Calibri"/>
        </w:rPr>
      </w:pPr>
      <w:r w:rsidRPr="00A35208">
        <w:rPr>
          <w:rFonts w:ascii="Calibri" w:hAnsi="Calibri" w:cs="Calibri"/>
        </w:rPr>
        <w:t xml:space="preserve">Aronson, M.F.J. </w:t>
      </w:r>
      <w:r w:rsidRPr="00A35208">
        <w:rPr>
          <w:rFonts w:ascii="Calibri" w:hAnsi="Calibri" w:cs="Calibri"/>
          <w:i/>
          <w:iCs/>
        </w:rPr>
        <w:t>et al.</w:t>
      </w:r>
      <w:r w:rsidRPr="00A35208">
        <w:rPr>
          <w:rFonts w:ascii="Calibri" w:hAnsi="Calibri" w:cs="Calibri"/>
        </w:rPr>
        <w:t xml:space="preserve"> (2014) ‘A global analysis of the impacts of urbanization on bird and plant diversity reveals key anthropogenic drivers’, </w:t>
      </w:r>
      <w:r w:rsidRPr="00A35208">
        <w:rPr>
          <w:rFonts w:ascii="Calibri" w:hAnsi="Calibri" w:cs="Calibri"/>
          <w:i/>
          <w:iCs/>
        </w:rPr>
        <w:t>Proc Biol Sci</w:t>
      </w:r>
      <w:r w:rsidRPr="00A35208">
        <w:rPr>
          <w:rFonts w:ascii="Calibri" w:hAnsi="Calibri" w:cs="Calibri"/>
        </w:rPr>
        <w:t>, 281(1780), p. 20133330. Available at: https://doi.org/10.1098/rspb.2013.3330.</w:t>
      </w:r>
    </w:p>
    <w:p w14:paraId="78E9C288" w14:textId="77777777" w:rsidR="00A35208" w:rsidRPr="00A35208" w:rsidRDefault="00A35208" w:rsidP="00A35208">
      <w:pPr>
        <w:pStyle w:val="Bibliography"/>
        <w:rPr>
          <w:rFonts w:ascii="Calibri" w:hAnsi="Calibri" w:cs="Calibri"/>
        </w:rPr>
      </w:pPr>
      <w:r w:rsidRPr="00A35208">
        <w:rPr>
          <w:rFonts w:ascii="Calibri" w:hAnsi="Calibri" w:cs="Calibri"/>
        </w:rPr>
        <w:t xml:space="preserve">Aspinall, P. </w:t>
      </w:r>
      <w:r w:rsidRPr="00A35208">
        <w:rPr>
          <w:rFonts w:ascii="Calibri" w:hAnsi="Calibri" w:cs="Calibri"/>
          <w:i/>
          <w:iCs/>
        </w:rPr>
        <w:t>et al.</w:t>
      </w:r>
      <w:r w:rsidRPr="00A35208">
        <w:rPr>
          <w:rFonts w:ascii="Calibri" w:hAnsi="Calibri" w:cs="Calibri"/>
        </w:rPr>
        <w:t xml:space="preserve"> (2015) ‘The urban brain: analysing outdoor physical activity with mobile EEG’, </w:t>
      </w:r>
      <w:r w:rsidRPr="00A35208">
        <w:rPr>
          <w:rFonts w:ascii="Calibri" w:hAnsi="Calibri" w:cs="Calibri"/>
          <w:i/>
          <w:iCs/>
        </w:rPr>
        <w:t>British Journal of Sports Medicine</w:t>
      </w:r>
      <w:r w:rsidRPr="00A35208">
        <w:rPr>
          <w:rFonts w:ascii="Calibri" w:hAnsi="Calibri" w:cs="Calibri"/>
        </w:rPr>
        <w:t>, 49(4), p. 272 LP – 276. Available at: https://doi.org/10.1136/bjsports-2012-091877.</w:t>
      </w:r>
    </w:p>
    <w:p w14:paraId="3AD8E400" w14:textId="77777777" w:rsidR="00A35208" w:rsidRPr="00A35208" w:rsidRDefault="00A35208" w:rsidP="00A35208">
      <w:pPr>
        <w:pStyle w:val="Bibliography"/>
        <w:rPr>
          <w:rFonts w:ascii="Calibri" w:hAnsi="Calibri" w:cs="Calibri"/>
        </w:rPr>
      </w:pPr>
      <w:r w:rsidRPr="00A35208">
        <w:rPr>
          <w:rFonts w:ascii="Calibri" w:hAnsi="Calibri" w:cs="Calibri"/>
        </w:rPr>
        <w:t xml:space="preserve">Ausin-Azofra, J.M. </w:t>
      </w:r>
      <w:r w:rsidRPr="00A35208">
        <w:rPr>
          <w:rFonts w:ascii="Calibri" w:hAnsi="Calibri" w:cs="Calibri"/>
          <w:i/>
          <w:iCs/>
        </w:rPr>
        <w:t>et al.</w:t>
      </w:r>
      <w:r w:rsidRPr="00A35208">
        <w:rPr>
          <w:rFonts w:ascii="Calibri" w:hAnsi="Calibri" w:cs="Calibri"/>
        </w:rPr>
        <w:t xml:space="preserve"> (2021) ‘Do You See What I See? Effectiveness of 360-Degree vs. 2D Video Ads Using a Neuroscience Approach’, </w:t>
      </w:r>
      <w:r w:rsidRPr="00A35208">
        <w:rPr>
          <w:rFonts w:ascii="Calibri" w:hAnsi="Calibri" w:cs="Calibri"/>
          <w:i/>
          <w:iCs/>
        </w:rPr>
        <w:t>Frontiers in Psychology</w:t>
      </w:r>
      <w:r w:rsidRPr="00A35208">
        <w:rPr>
          <w:rFonts w:ascii="Calibri" w:hAnsi="Calibri" w:cs="Calibri"/>
        </w:rPr>
        <w:t>, 12, p. 612717. Available at: https://doi.org/10.3389/fpsyg.2021.612717.</w:t>
      </w:r>
    </w:p>
    <w:p w14:paraId="2DAFB2F0" w14:textId="77777777" w:rsidR="00A35208" w:rsidRPr="00A35208" w:rsidRDefault="00A35208" w:rsidP="00A35208">
      <w:pPr>
        <w:pStyle w:val="Bibliography"/>
        <w:rPr>
          <w:rFonts w:ascii="Calibri" w:hAnsi="Calibri" w:cs="Calibri"/>
        </w:rPr>
      </w:pPr>
      <w:r w:rsidRPr="00A35208">
        <w:rPr>
          <w:rFonts w:ascii="Calibri" w:hAnsi="Calibri" w:cs="Calibri"/>
        </w:rPr>
        <w:lastRenderedPageBreak/>
        <w:t xml:space="preserve">Austen, G.E. </w:t>
      </w:r>
      <w:r w:rsidRPr="00A35208">
        <w:rPr>
          <w:rFonts w:ascii="Calibri" w:hAnsi="Calibri" w:cs="Calibri"/>
          <w:i/>
          <w:iCs/>
        </w:rPr>
        <w:t>et al.</w:t>
      </w:r>
      <w:r w:rsidRPr="00A35208">
        <w:rPr>
          <w:rFonts w:ascii="Calibri" w:hAnsi="Calibri" w:cs="Calibri"/>
        </w:rPr>
        <w:t xml:space="preserve"> (2021) ‘Exploring shared public perspectives on biodiversity attributes’, </w:t>
      </w:r>
      <w:r w:rsidRPr="00A35208">
        <w:rPr>
          <w:rFonts w:ascii="Calibri" w:hAnsi="Calibri" w:cs="Calibri"/>
          <w:i/>
          <w:iCs/>
        </w:rPr>
        <w:t>People and Nature</w:t>
      </w:r>
      <w:r w:rsidRPr="00A35208">
        <w:rPr>
          <w:rFonts w:ascii="Calibri" w:hAnsi="Calibri" w:cs="Calibri"/>
        </w:rPr>
        <w:t>, 3(4), pp. 901–913. Available at: https://doi.org/10.1002/pan3.10237.</w:t>
      </w:r>
    </w:p>
    <w:p w14:paraId="487059FC" w14:textId="77777777" w:rsidR="00A35208" w:rsidRPr="00A35208" w:rsidRDefault="00A35208" w:rsidP="00A35208">
      <w:pPr>
        <w:pStyle w:val="Bibliography"/>
        <w:rPr>
          <w:rFonts w:ascii="Calibri" w:hAnsi="Calibri" w:cs="Calibri"/>
        </w:rPr>
      </w:pPr>
      <w:r w:rsidRPr="00A35208">
        <w:rPr>
          <w:rFonts w:ascii="Calibri" w:hAnsi="Calibri" w:cs="Calibri"/>
        </w:rPr>
        <w:t xml:space="preserve">Bacevice, P.A. and Ducao, A. (2021) ‘Use of biometric data and EEG to assess architectural quality of two office spaces: a pilot experiment’, </w:t>
      </w:r>
      <w:r w:rsidRPr="00A35208">
        <w:rPr>
          <w:rFonts w:ascii="Calibri" w:hAnsi="Calibri" w:cs="Calibri"/>
          <w:i/>
          <w:iCs/>
        </w:rPr>
        <w:t>Intelligent Buildings International</w:t>
      </w:r>
      <w:r w:rsidRPr="00A35208">
        <w:rPr>
          <w:rFonts w:ascii="Calibri" w:hAnsi="Calibri" w:cs="Calibri"/>
        </w:rPr>
        <w:t>, pp. 1–22. Available at: https://doi.org/10.1080/17508975.2021.1921683.</w:t>
      </w:r>
    </w:p>
    <w:p w14:paraId="1938E640" w14:textId="77777777" w:rsidR="00A35208" w:rsidRPr="00A35208" w:rsidRDefault="00A35208" w:rsidP="00A35208">
      <w:pPr>
        <w:pStyle w:val="Bibliography"/>
        <w:rPr>
          <w:rFonts w:ascii="Calibri" w:hAnsi="Calibri" w:cs="Calibri"/>
        </w:rPr>
      </w:pPr>
      <w:r w:rsidRPr="00A35208">
        <w:rPr>
          <w:rFonts w:ascii="Calibri" w:hAnsi="Calibri" w:cs="Calibri"/>
        </w:rPr>
        <w:t xml:space="preserve">Barbiero, G. and Berto, R. (2021) ‘Biophilia as Evolutionary Adaptation: An Onto- and Phylogenetic Framework for Biophilic Design’, </w:t>
      </w:r>
      <w:r w:rsidRPr="00A35208">
        <w:rPr>
          <w:rFonts w:ascii="Calibri" w:hAnsi="Calibri" w:cs="Calibri"/>
          <w:i/>
          <w:iCs/>
        </w:rPr>
        <w:t>Frontiers in Psychology</w:t>
      </w:r>
      <w:r w:rsidRPr="00A35208">
        <w:rPr>
          <w:rFonts w:ascii="Calibri" w:hAnsi="Calibri" w:cs="Calibri"/>
        </w:rPr>
        <w:t>, 12, p. 700709. Available at: https://doi.org/10.3389/fpsyg.2021.700709.</w:t>
      </w:r>
    </w:p>
    <w:p w14:paraId="36E5E697" w14:textId="77777777" w:rsidR="00A35208" w:rsidRPr="00A35208" w:rsidRDefault="00A35208" w:rsidP="00A35208">
      <w:pPr>
        <w:pStyle w:val="Bibliography"/>
        <w:rPr>
          <w:rFonts w:ascii="Calibri" w:hAnsi="Calibri" w:cs="Calibri"/>
        </w:rPr>
      </w:pPr>
      <w:r w:rsidRPr="00A35208">
        <w:rPr>
          <w:rFonts w:ascii="Calibri" w:hAnsi="Calibri" w:cs="Calibri"/>
        </w:rPr>
        <w:t xml:space="preserve">Bardhan, M. </w:t>
      </w:r>
      <w:r w:rsidRPr="00A35208">
        <w:rPr>
          <w:rFonts w:ascii="Calibri" w:hAnsi="Calibri" w:cs="Calibri"/>
          <w:i/>
          <w:iCs/>
        </w:rPr>
        <w:t>et al.</w:t>
      </w:r>
      <w:r w:rsidRPr="00A35208">
        <w:rPr>
          <w:rFonts w:ascii="Calibri" w:hAnsi="Calibri" w:cs="Calibri"/>
        </w:rPr>
        <w:t xml:space="preserve"> (2023) ‘Time in nature is associated with higher levels of positive mood: Evidence from the 2023 NatureDose</w:t>
      </w:r>
      <w:r w:rsidRPr="00A35208">
        <w:rPr>
          <w:rFonts w:ascii="Calibri" w:hAnsi="Calibri" w:cs="Calibri"/>
          <w:vertAlign w:val="superscript"/>
        </w:rPr>
        <w:t>TM</w:t>
      </w:r>
      <w:r w:rsidRPr="00A35208">
        <w:rPr>
          <w:rFonts w:ascii="Calibri" w:hAnsi="Calibri" w:cs="Calibri"/>
        </w:rPr>
        <w:t xml:space="preserve"> student survey’, </w:t>
      </w:r>
      <w:r w:rsidRPr="00A35208">
        <w:rPr>
          <w:rFonts w:ascii="Calibri" w:hAnsi="Calibri" w:cs="Calibri"/>
          <w:i/>
          <w:iCs/>
        </w:rPr>
        <w:t>Journal of Environmental Psychology</w:t>
      </w:r>
      <w:r w:rsidRPr="00A35208">
        <w:rPr>
          <w:rFonts w:ascii="Calibri" w:hAnsi="Calibri" w:cs="Calibri"/>
        </w:rPr>
        <w:t>, 90, p. 102083. Available at: https://doi.org/10.1016/j.jenvp.2023.102083.</w:t>
      </w:r>
    </w:p>
    <w:p w14:paraId="2CCBF152" w14:textId="77777777" w:rsidR="00A35208" w:rsidRPr="00A35208" w:rsidRDefault="00A35208" w:rsidP="00A35208">
      <w:pPr>
        <w:pStyle w:val="Bibliography"/>
        <w:rPr>
          <w:rFonts w:ascii="Calibri" w:hAnsi="Calibri" w:cs="Calibri"/>
        </w:rPr>
      </w:pPr>
      <w:r w:rsidRPr="00A35208">
        <w:rPr>
          <w:rFonts w:ascii="Calibri" w:hAnsi="Calibri" w:cs="Calibri"/>
        </w:rPr>
        <w:t xml:space="preserve">Basu, A., Duvall, J. and Kaplan, R. (2018) ‘Attention Restoration Theory: Exploring the Role of Soft Fascination and Mental Bandwidth’, </w:t>
      </w:r>
      <w:r w:rsidRPr="00A35208">
        <w:rPr>
          <w:rFonts w:ascii="Calibri" w:hAnsi="Calibri" w:cs="Calibri"/>
          <w:i/>
          <w:iCs/>
        </w:rPr>
        <w:t>Environment and Behavior</w:t>
      </w:r>
      <w:r w:rsidRPr="00A35208">
        <w:rPr>
          <w:rFonts w:ascii="Calibri" w:hAnsi="Calibri" w:cs="Calibri"/>
        </w:rPr>
        <w:t>, 51(9–10), pp. 1055–1081. Available at: https://doi.org/10.1177/0013916518774400.</w:t>
      </w:r>
    </w:p>
    <w:p w14:paraId="26F58EB0" w14:textId="77777777" w:rsidR="00A35208" w:rsidRPr="00A35208" w:rsidRDefault="00A35208" w:rsidP="00A35208">
      <w:pPr>
        <w:pStyle w:val="Bibliography"/>
        <w:rPr>
          <w:rFonts w:ascii="Calibri" w:hAnsi="Calibri" w:cs="Calibri"/>
        </w:rPr>
      </w:pPr>
      <w:r w:rsidRPr="00A35208">
        <w:rPr>
          <w:rFonts w:ascii="Calibri" w:hAnsi="Calibri" w:cs="Calibri"/>
        </w:rPr>
        <w:t xml:space="preserve">Bell, S.L. </w:t>
      </w:r>
      <w:r w:rsidRPr="00A35208">
        <w:rPr>
          <w:rFonts w:ascii="Calibri" w:hAnsi="Calibri" w:cs="Calibri"/>
          <w:i/>
          <w:iCs/>
        </w:rPr>
        <w:t>et al.</w:t>
      </w:r>
      <w:r w:rsidRPr="00A35208">
        <w:rPr>
          <w:rFonts w:ascii="Calibri" w:hAnsi="Calibri" w:cs="Calibri"/>
        </w:rPr>
        <w:t xml:space="preserve"> (2018) ‘Everyday green space and experienced well-being: the significance of wildlife encounters’, </w:t>
      </w:r>
      <w:r w:rsidRPr="00A35208">
        <w:rPr>
          <w:rFonts w:ascii="Calibri" w:hAnsi="Calibri" w:cs="Calibri"/>
          <w:i/>
          <w:iCs/>
        </w:rPr>
        <w:t>Landscape Research</w:t>
      </w:r>
      <w:r w:rsidRPr="00A35208">
        <w:rPr>
          <w:rFonts w:ascii="Calibri" w:hAnsi="Calibri" w:cs="Calibri"/>
        </w:rPr>
        <w:t>, 43(1), pp. 8–19. Available at: https://doi.org/10.1080/01426397.2016.1267721.</w:t>
      </w:r>
    </w:p>
    <w:p w14:paraId="356FBCBF" w14:textId="77777777" w:rsidR="00A35208" w:rsidRPr="00A35208" w:rsidRDefault="00A35208" w:rsidP="00A35208">
      <w:pPr>
        <w:pStyle w:val="Bibliography"/>
        <w:rPr>
          <w:rFonts w:ascii="Calibri" w:hAnsi="Calibri" w:cs="Calibri"/>
        </w:rPr>
      </w:pPr>
      <w:r w:rsidRPr="00A35208">
        <w:rPr>
          <w:rFonts w:ascii="Calibri" w:hAnsi="Calibri" w:cs="Calibri"/>
        </w:rPr>
        <w:t xml:space="preserve">Benfield, J.A. </w:t>
      </w:r>
      <w:r w:rsidRPr="00A35208">
        <w:rPr>
          <w:rFonts w:ascii="Calibri" w:hAnsi="Calibri" w:cs="Calibri"/>
          <w:i/>
          <w:iCs/>
        </w:rPr>
        <w:t>et al.</w:t>
      </w:r>
      <w:r w:rsidRPr="00A35208">
        <w:rPr>
          <w:rFonts w:ascii="Calibri" w:hAnsi="Calibri" w:cs="Calibri"/>
        </w:rPr>
        <w:t xml:space="preserve"> (2014) ‘Natural sound facilitates mood recovery’, </w:t>
      </w:r>
      <w:r w:rsidRPr="00A35208">
        <w:rPr>
          <w:rFonts w:ascii="Calibri" w:hAnsi="Calibri" w:cs="Calibri"/>
          <w:i/>
          <w:iCs/>
        </w:rPr>
        <w:t>Ecopsychology</w:t>
      </w:r>
      <w:r w:rsidRPr="00A35208">
        <w:rPr>
          <w:rFonts w:ascii="Calibri" w:hAnsi="Calibri" w:cs="Calibri"/>
        </w:rPr>
        <w:t>, 6(3), pp. 183–188.</w:t>
      </w:r>
    </w:p>
    <w:p w14:paraId="1AA8B7D1" w14:textId="77777777" w:rsidR="00A35208" w:rsidRPr="00A35208" w:rsidRDefault="00A35208" w:rsidP="00A35208">
      <w:pPr>
        <w:pStyle w:val="Bibliography"/>
        <w:rPr>
          <w:rFonts w:ascii="Calibri" w:hAnsi="Calibri" w:cs="Calibri"/>
        </w:rPr>
      </w:pPr>
      <w:r w:rsidRPr="00A35208">
        <w:rPr>
          <w:rFonts w:ascii="Calibri" w:hAnsi="Calibri" w:cs="Calibri"/>
        </w:rPr>
        <w:t xml:space="preserve">Bentley, P.R. </w:t>
      </w:r>
      <w:r w:rsidRPr="00A35208">
        <w:rPr>
          <w:rFonts w:ascii="Calibri" w:hAnsi="Calibri" w:cs="Calibri"/>
          <w:i/>
          <w:iCs/>
        </w:rPr>
        <w:t>et al.</w:t>
      </w:r>
      <w:r w:rsidRPr="00A35208">
        <w:rPr>
          <w:rFonts w:ascii="Calibri" w:hAnsi="Calibri" w:cs="Calibri"/>
        </w:rPr>
        <w:t xml:space="preserve"> (2023) ‘Nature, smells, and human wellbeing’, </w:t>
      </w:r>
      <w:r w:rsidRPr="00A35208">
        <w:rPr>
          <w:rFonts w:ascii="Calibri" w:hAnsi="Calibri" w:cs="Calibri"/>
          <w:i/>
          <w:iCs/>
        </w:rPr>
        <w:t>Ambio</w:t>
      </w:r>
      <w:r w:rsidRPr="00A35208">
        <w:rPr>
          <w:rFonts w:ascii="Calibri" w:hAnsi="Calibri" w:cs="Calibri"/>
        </w:rPr>
        <w:t>, 52(1), pp. 1–14. Available at: https://doi.org/10.1007/s13280-022-01760-w.</w:t>
      </w:r>
    </w:p>
    <w:p w14:paraId="55A08AE4" w14:textId="77777777" w:rsidR="00A35208" w:rsidRPr="00A35208" w:rsidRDefault="00A35208" w:rsidP="00A35208">
      <w:pPr>
        <w:pStyle w:val="Bibliography"/>
        <w:rPr>
          <w:rFonts w:ascii="Calibri" w:hAnsi="Calibri" w:cs="Calibri"/>
        </w:rPr>
      </w:pPr>
      <w:r w:rsidRPr="00A35208">
        <w:rPr>
          <w:rFonts w:ascii="Calibri" w:hAnsi="Calibri" w:cs="Calibri"/>
        </w:rPr>
        <w:t xml:space="preserve">van den Berg, A.E., Koole, S.L. and van der Wulp, N.Y. (2003) ‘Environmental preference and restoration: (How) are they related?’, </w:t>
      </w:r>
      <w:r w:rsidRPr="00A35208">
        <w:rPr>
          <w:rFonts w:ascii="Calibri" w:hAnsi="Calibri" w:cs="Calibri"/>
          <w:i/>
          <w:iCs/>
        </w:rPr>
        <w:t>Journal of Environmental Psychology</w:t>
      </w:r>
      <w:r w:rsidRPr="00A35208">
        <w:rPr>
          <w:rFonts w:ascii="Calibri" w:hAnsi="Calibri" w:cs="Calibri"/>
        </w:rPr>
        <w:t>, 23(2), pp. 135–146. Available at: https://doi.org/10.1016/S0272-4944(02)00111-1.</w:t>
      </w:r>
    </w:p>
    <w:p w14:paraId="0AFD2EFD" w14:textId="77777777" w:rsidR="00A35208" w:rsidRPr="00A35208" w:rsidRDefault="00A35208" w:rsidP="00A35208">
      <w:pPr>
        <w:pStyle w:val="Bibliography"/>
        <w:rPr>
          <w:rFonts w:ascii="Calibri" w:hAnsi="Calibri" w:cs="Calibri"/>
        </w:rPr>
      </w:pPr>
      <w:r w:rsidRPr="00A35208">
        <w:rPr>
          <w:rFonts w:ascii="Calibri" w:hAnsi="Calibri" w:cs="Calibri"/>
        </w:rPr>
        <w:t xml:space="preserve">Berridge, K.C. (2003) ‘Pleasures of the brain’, </w:t>
      </w:r>
      <w:r w:rsidRPr="00A35208">
        <w:rPr>
          <w:rFonts w:ascii="Calibri" w:hAnsi="Calibri" w:cs="Calibri"/>
          <w:i/>
          <w:iCs/>
        </w:rPr>
        <w:t>Brain and Cognition</w:t>
      </w:r>
      <w:r w:rsidRPr="00A35208">
        <w:rPr>
          <w:rFonts w:ascii="Calibri" w:hAnsi="Calibri" w:cs="Calibri"/>
        </w:rPr>
        <w:t>, 52(1), pp. 106–128. Available at: https://doi.org/10.1016/S0278-2626(03)00014-9.</w:t>
      </w:r>
    </w:p>
    <w:p w14:paraId="2E005170" w14:textId="77777777" w:rsidR="00A35208" w:rsidRPr="00A35208" w:rsidRDefault="00A35208" w:rsidP="00A35208">
      <w:pPr>
        <w:pStyle w:val="Bibliography"/>
        <w:rPr>
          <w:rFonts w:ascii="Calibri" w:hAnsi="Calibri" w:cs="Calibri"/>
        </w:rPr>
      </w:pPr>
      <w:r w:rsidRPr="00A35208">
        <w:rPr>
          <w:rFonts w:ascii="Calibri" w:hAnsi="Calibri" w:cs="Calibri"/>
        </w:rPr>
        <w:t xml:space="preserve">Berto, R. (2005) ‘Exposure to restorative environments helps restore attentional capacity’, </w:t>
      </w:r>
      <w:r w:rsidRPr="00A35208">
        <w:rPr>
          <w:rFonts w:ascii="Calibri" w:hAnsi="Calibri" w:cs="Calibri"/>
          <w:i/>
          <w:iCs/>
        </w:rPr>
        <w:t>Journal of Environmental Psychology</w:t>
      </w:r>
      <w:r w:rsidRPr="00A35208">
        <w:rPr>
          <w:rFonts w:ascii="Calibri" w:hAnsi="Calibri" w:cs="Calibri"/>
        </w:rPr>
        <w:t>, 25(3), pp. 249–259. Available at: https://doi.org/10.1016/j.jenvp.2005.07.001.</w:t>
      </w:r>
    </w:p>
    <w:p w14:paraId="5D4111FF" w14:textId="77777777" w:rsidR="00A35208" w:rsidRPr="00A35208" w:rsidRDefault="00A35208" w:rsidP="00A35208">
      <w:pPr>
        <w:pStyle w:val="Bibliography"/>
        <w:rPr>
          <w:rFonts w:ascii="Calibri" w:hAnsi="Calibri" w:cs="Calibri"/>
        </w:rPr>
      </w:pPr>
      <w:r w:rsidRPr="00A35208">
        <w:rPr>
          <w:rFonts w:ascii="Calibri" w:hAnsi="Calibri" w:cs="Calibri"/>
        </w:rPr>
        <w:t xml:space="preserve">Berto, R. (2014) ‘The role of nature in coping with psycho-physiological stress: a literature review on restorativeness.’, </w:t>
      </w:r>
      <w:r w:rsidRPr="00A35208">
        <w:rPr>
          <w:rFonts w:ascii="Calibri" w:hAnsi="Calibri" w:cs="Calibri"/>
          <w:i/>
          <w:iCs/>
        </w:rPr>
        <w:t>Behavioral sciences (Basel, Switzerland)</w:t>
      </w:r>
      <w:r w:rsidRPr="00A35208">
        <w:rPr>
          <w:rFonts w:ascii="Calibri" w:hAnsi="Calibri" w:cs="Calibri"/>
        </w:rPr>
        <w:t>. Edited by R. Berto, 4(4), pp. 394–409. Available at: https://doi.org/10.3390/bs4040394.</w:t>
      </w:r>
    </w:p>
    <w:p w14:paraId="245C5B73" w14:textId="77777777" w:rsidR="00A35208" w:rsidRPr="00A35208" w:rsidRDefault="00A35208" w:rsidP="00A35208">
      <w:pPr>
        <w:pStyle w:val="Bibliography"/>
        <w:rPr>
          <w:rFonts w:ascii="Calibri" w:hAnsi="Calibri" w:cs="Calibri"/>
        </w:rPr>
      </w:pPr>
      <w:r w:rsidRPr="00A35208">
        <w:rPr>
          <w:rFonts w:ascii="Calibri" w:hAnsi="Calibri" w:cs="Calibri"/>
        </w:rPr>
        <w:t xml:space="preserve">Biasiucci, A., Franceschiello, B. and Murray, M.M. (2019) ‘Electroencephalography’, </w:t>
      </w:r>
      <w:r w:rsidRPr="00A35208">
        <w:rPr>
          <w:rFonts w:ascii="Calibri" w:hAnsi="Calibri" w:cs="Calibri"/>
          <w:i/>
          <w:iCs/>
        </w:rPr>
        <w:t>Curr Biol</w:t>
      </w:r>
      <w:r w:rsidRPr="00A35208">
        <w:rPr>
          <w:rFonts w:ascii="Calibri" w:hAnsi="Calibri" w:cs="Calibri"/>
        </w:rPr>
        <w:t>, 29(3), pp. R80–R85. Available at: https://doi.org/10.1016/j.cub.2018.11.052.</w:t>
      </w:r>
    </w:p>
    <w:p w14:paraId="062D0F44" w14:textId="77777777" w:rsidR="00A35208" w:rsidRPr="00A35208" w:rsidRDefault="00A35208" w:rsidP="00A35208">
      <w:pPr>
        <w:pStyle w:val="Bibliography"/>
        <w:rPr>
          <w:rFonts w:ascii="Calibri" w:hAnsi="Calibri" w:cs="Calibri"/>
        </w:rPr>
      </w:pPr>
      <w:r w:rsidRPr="00A35208">
        <w:rPr>
          <w:rFonts w:ascii="Calibri" w:hAnsi="Calibri" w:cs="Calibri"/>
        </w:rPr>
        <w:lastRenderedPageBreak/>
        <w:t xml:space="preserve">Bigdely-Shamlo, N. </w:t>
      </w:r>
      <w:r w:rsidRPr="00A35208">
        <w:rPr>
          <w:rFonts w:ascii="Calibri" w:hAnsi="Calibri" w:cs="Calibri"/>
          <w:i/>
          <w:iCs/>
        </w:rPr>
        <w:t>et al.</w:t>
      </w:r>
      <w:r w:rsidRPr="00A35208">
        <w:rPr>
          <w:rFonts w:ascii="Calibri" w:hAnsi="Calibri" w:cs="Calibri"/>
        </w:rPr>
        <w:t xml:space="preserve"> (2015) </w:t>
      </w:r>
      <w:r w:rsidRPr="00A35208">
        <w:rPr>
          <w:rFonts w:ascii="Calibri" w:hAnsi="Calibri" w:cs="Calibri"/>
          <w:i/>
          <w:iCs/>
        </w:rPr>
        <w:t>The PREP pipeline: standardized preprocessing for large-scale EEG analysis</w:t>
      </w:r>
      <w:r w:rsidRPr="00A35208">
        <w:rPr>
          <w:rFonts w:ascii="Calibri" w:hAnsi="Calibri" w:cs="Calibri"/>
        </w:rPr>
        <w:t xml:space="preserve">, </w:t>
      </w:r>
      <w:r w:rsidRPr="00A35208">
        <w:rPr>
          <w:rFonts w:ascii="Calibri" w:hAnsi="Calibri" w:cs="Calibri"/>
          <w:i/>
          <w:iCs/>
        </w:rPr>
        <w:t>Frontiers in Neuroinformatics</w:t>
      </w:r>
      <w:r w:rsidRPr="00A35208">
        <w:rPr>
          <w:rFonts w:ascii="Calibri" w:hAnsi="Calibri" w:cs="Calibri"/>
        </w:rPr>
        <w:t>. Available at: https://www.frontiersin.org/articles/10.3389/fninf.2015.00016.</w:t>
      </w:r>
    </w:p>
    <w:p w14:paraId="09AF57EF" w14:textId="77777777" w:rsidR="00A35208" w:rsidRPr="00A35208" w:rsidRDefault="00A35208" w:rsidP="00A35208">
      <w:pPr>
        <w:pStyle w:val="Bibliography"/>
        <w:rPr>
          <w:rFonts w:ascii="Calibri" w:hAnsi="Calibri" w:cs="Calibri"/>
        </w:rPr>
      </w:pPr>
      <w:r w:rsidRPr="00A35208">
        <w:rPr>
          <w:rFonts w:ascii="Calibri" w:hAnsi="Calibri" w:cs="Calibri"/>
        </w:rPr>
        <w:t xml:space="preserve">Bloom, H.S. (2008) ‘The core analytics of randomized experiments for social research’, in pages 115-133, </w:t>
      </w:r>
      <w:r w:rsidRPr="00A35208">
        <w:rPr>
          <w:rFonts w:ascii="Calibri" w:hAnsi="Calibri" w:cs="Calibri"/>
          <w:i/>
          <w:iCs/>
        </w:rPr>
        <w:t>The SAGE Handbook of Social Research Methods</w:t>
      </w:r>
      <w:r w:rsidRPr="00A35208">
        <w:rPr>
          <w:rFonts w:ascii="Calibri" w:hAnsi="Calibri" w:cs="Calibri"/>
        </w:rPr>
        <w:t>. London: SAGE Publications Ltd. Available at: https://doi.org/10.4135/9781446212165.</w:t>
      </w:r>
    </w:p>
    <w:p w14:paraId="26CD1017" w14:textId="77777777" w:rsidR="00A35208" w:rsidRPr="00A35208" w:rsidRDefault="00A35208" w:rsidP="00A35208">
      <w:pPr>
        <w:pStyle w:val="Bibliography"/>
        <w:rPr>
          <w:rFonts w:ascii="Calibri" w:hAnsi="Calibri" w:cs="Calibri"/>
        </w:rPr>
      </w:pPr>
      <w:r w:rsidRPr="00A35208">
        <w:rPr>
          <w:rFonts w:ascii="Calibri" w:hAnsi="Calibri" w:cs="Calibri"/>
        </w:rPr>
        <w:t xml:space="preserve">Boakes, Z. </w:t>
      </w:r>
      <w:r w:rsidRPr="00A35208">
        <w:rPr>
          <w:rFonts w:ascii="Calibri" w:hAnsi="Calibri" w:cs="Calibri"/>
          <w:i/>
          <w:iCs/>
        </w:rPr>
        <w:t>et al.</w:t>
      </w:r>
      <w:r w:rsidRPr="00A35208">
        <w:rPr>
          <w:rFonts w:ascii="Calibri" w:hAnsi="Calibri" w:cs="Calibri"/>
        </w:rPr>
        <w:t xml:space="preserve"> (2024) ‘The importance of urban areas in supporting vulnerable and endangered mammals’, </w:t>
      </w:r>
      <w:r w:rsidRPr="00A35208">
        <w:rPr>
          <w:rFonts w:ascii="Calibri" w:hAnsi="Calibri" w:cs="Calibri"/>
          <w:i/>
          <w:iCs/>
        </w:rPr>
        <w:t>Urban Ecosystems</w:t>
      </w:r>
      <w:r w:rsidRPr="00A35208">
        <w:rPr>
          <w:rFonts w:ascii="Calibri" w:hAnsi="Calibri" w:cs="Calibri"/>
        </w:rPr>
        <w:t>, 27(3), pp. 883–894. Available at: https://doi.org/10.1007/s11252-023-01492-z.</w:t>
      </w:r>
    </w:p>
    <w:p w14:paraId="23EF18E6" w14:textId="77777777" w:rsidR="00A35208" w:rsidRPr="00A35208" w:rsidRDefault="00A35208" w:rsidP="00A35208">
      <w:pPr>
        <w:pStyle w:val="Bibliography"/>
        <w:rPr>
          <w:rFonts w:ascii="Calibri" w:hAnsi="Calibri" w:cs="Calibri"/>
        </w:rPr>
      </w:pPr>
      <w:r w:rsidRPr="00A35208">
        <w:rPr>
          <w:rFonts w:ascii="Calibri" w:hAnsi="Calibri" w:cs="Calibri"/>
        </w:rPr>
        <w:t xml:space="preserve">Bornioli, A., Parkhurst, G. and Morgan, P.L. (2018) ‘Psychological Wellbeing Benefits of Simulated Exposure to Five Urban Settings: an Experimental Study From the Pedestrian’s Perspective’, </w:t>
      </w:r>
      <w:r w:rsidRPr="00A35208">
        <w:rPr>
          <w:rFonts w:ascii="Calibri" w:hAnsi="Calibri" w:cs="Calibri"/>
          <w:i/>
          <w:iCs/>
        </w:rPr>
        <w:t>Journal of Transport and Health</w:t>
      </w:r>
      <w:r w:rsidRPr="00A35208">
        <w:rPr>
          <w:rFonts w:ascii="Calibri" w:hAnsi="Calibri" w:cs="Calibri"/>
        </w:rPr>
        <w:t>, 9(October 2017), pp. 105–116. Available at: https://doi.org/10.1016/j.jth.2018.02.003.</w:t>
      </w:r>
    </w:p>
    <w:p w14:paraId="269B0187" w14:textId="77777777" w:rsidR="00A35208" w:rsidRPr="00A35208" w:rsidRDefault="00A35208" w:rsidP="00A35208">
      <w:pPr>
        <w:pStyle w:val="Bibliography"/>
        <w:rPr>
          <w:rFonts w:ascii="Calibri" w:hAnsi="Calibri" w:cs="Calibri"/>
        </w:rPr>
      </w:pPr>
      <w:r w:rsidRPr="00A35208">
        <w:rPr>
          <w:rFonts w:ascii="Calibri" w:hAnsi="Calibri" w:cs="Calibri"/>
        </w:rPr>
        <w:t xml:space="preserve">van den Bosch, M.A. </w:t>
      </w:r>
      <w:r w:rsidRPr="00A35208">
        <w:rPr>
          <w:rFonts w:ascii="Calibri" w:hAnsi="Calibri" w:cs="Calibri"/>
          <w:i/>
          <w:iCs/>
        </w:rPr>
        <w:t>et al.</w:t>
      </w:r>
      <w:r w:rsidRPr="00A35208">
        <w:rPr>
          <w:rFonts w:ascii="Calibri" w:hAnsi="Calibri" w:cs="Calibri"/>
        </w:rPr>
        <w:t xml:space="preserve"> (2015) ‘Moving to serene nature may prevent poor mental health— results from a swedish longitudinal cohort study’, </w:t>
      </w:r>
      <w:r w:rsidRPr="00A35208">
        <w:rPr>
          <w:rFonts w:ascii="Calibri" w:hAnsi="Calibri" w:cs="Calibri"/>
          <w:i/>
          <w:iCs/>
        </w:rPr>
        <w:t>International Journal of Environmental Research and Public Health</w:t>
      </w:r>
      <w:r w:rsidRPr="00A35208">
        <w:rPr>
          <w:rFonts w:ascii="Calibri" w:hAnsi="Calibri" w:cs="Calibri"/>
        </w:rPr>
        <w:t>, 12(7), pp. 7974–7989. Available at: https://doi.org/10.3390/ijerph120707974.</w:t>
      </w:r>
    </w:p>
    <w:p w14:paraId="239666F2" w14:textId="77777777" w:rsidR="00A35208" w:rsidRPr="00A35208" w:rsidRDefault="00A35208" w:rsidP="00A35208">
      <w:pPr>
        <w:pStyle w:val="Bibliography"/>
        <w:rPr>
          <w:rFonts w:ascii="Calibri" w:hAnsi="Calibri" w:cs="Calibri"/>
        </w:rPr>
      </w:pPr>
      <w:r w:rsidRPr="00A35208">
        <w:rPr>
          <w:rFonts w:ascii="Calibri" w:hAnsi="Calibri" w:cs="Calibri"/>
        </w:rPr>
        <w:t xml:space="preserve">Botzat, A., Fischer, L.K. and Kowarik, I. (2016) ‘Unexploited opportunities in understanding liveable and biodiverse cities. A review on urban biodiversity perception and valuation’, </w:t>
      </w:r>
      <w:r w:rsidRPr="00A35208">
        <w:rPr>
          <w:rFonts w:ascii="Calibri" w:hAnsi="Calibri" w:cs="Calibri"/>
          <w:i/>
          <w:iCs/>
        </w:rPr>
        <w:t>Global Environmental Change</w:t>
      </w:r>
      <w:r w:rsidRPr="00A35208">
        <w:rPr>
          <w:rFonts w:ascii="Calibri" w:hAnsi="Calibri" w:cs="Calibri"/>
        </w:rPr>
        <w:t>, 39, pp. 220–233. Available at: https://doi.org/10.1016/j.gloenvcha.2016.04.008.</w:t>
      </w:r>
    </w:p>
    <w:p w14:paraId="5BF80FA7" w14:textId="77777777" w:rsidR="00A35208" w:rsidRPr="00A35208" w:rsidRDefault="00A35208" w:rsidP="00A35208">
      <w:pPr>
        <w:pStyle w:val="Bibliography"/>
        <w:rPr>
          <w:rFonts w:ascii="Calibri" w:hAnsi="Calibri" w:cs="Calibri"/>
        </w:rPr>
      </w:pPr>
      <w:r w:rsidRPr="00A35208">
        <w:rPr>
          <w:rFonts w:ascii="Calibri" w:hAnsi="Calibri" w:cs="Calibri"/>
        </w:rPr>
        <w:t xml:space="preserve">Bowen-Jones, E. and Entwistle, A. (2002) ‘Identifying appropriate flagship species: the importance of culture and local contexts’, </w:t>
      </w:r>
      <w:r w:rsidRPr="00A35208">
        <w:rPr>
          <w:rFonts w:ascii="Calibri" w:hAnsi="Calibri" w:cs="Calibri"/>
          <w:i/>
          <w:iCs/>
        </w:rPr>
        <w:t>Oryx</w:t>
      </w:r>
      <w:r w:rsidRPr="00A35208">
        <w:rPr>
          <w:rFonts w:ascii="Calibri" w:hAnsi="Calibri" w:cs="Calibri"/>
        </w:rPr>
        <w:t>, 36(2), pp. 189–195. Available at: https://doi.org/10.1017/S0030605302000261.</w:t>
      </w:r>
    </w:p>
    <w:p w14:paraId="567D6D48" w14:textId="77777777" w:rsidR="00A35208" w:rsidRPr="00A35208" w:rsidRDefault="00A35208" w:rsidP="00A35208">
      <w:pPr>
        <w:pStyle w:val="Bibliography"/>
        <w:rPr>
          <w:rFonts w:ascii="Calibri" w:hAnsi="Calibri" w:cs="Calibri"/>
        </w:rPr>
      </w:pPr>
      <w:r w:rsidRPr="00A35208">
        <w:rPr>
          <w:rFonts w:ascii="Calibri" w:hAnsi="Calibri" w:cs="Calibri"/>
        </w:rPr>
        <w:t xml:space="preserve">Bratman, G.N. </w:t>
      </w:r>
      <w:r w:rsidRPr="00A35208">
        <w:rPr>
          <w:rFonts w:ascii="Calibri" w:hAnsi="Calibri" w:cs="Calibri"/>
          <w:i/>
          <w:iCs/>
        </w:rPr>
        <w:t>et al.</w:t>
      </w:r>
      <w:r w:rsidRPr="00A35208">
        <w:rPr>
          <w:rFonts w:ascii="Calibri" w:hAnsi="Calibri" w:cs="Calibri"/>
        </w:rPr>
        <w:t xml:space="preserve"> (2019) ‘Nature and mental health: An ecosystem service perspective’, </w:t>
      </w:r>
      <w:r w:rsidRPr="00A35208">
        <w:rPr>
          <w:rFonts w:ascii="Calibri" w:hAnsi="Calibri" w:cs="Calibri"/>
          <w:i/>
          <w:iCs/>
        </w:rPr>
        <w:t>Science Advances</w:t>
      </w:r>
      <w:r w:rsidRPr="00A35208">
        <w:rPr>
          <w:rFonts w:ascii="Calibri" w:hAnsi="Calibri" w:cs="Calibri"/>
        </w:rPr>
        <w:t>, 5(7). Available at: https://doi.org/10.1126/sciadv.aax0903.</w:t>
      </w:r>
    </w:p>
    <w:p w14:paraId="24D6476A" w14:textId="77777777" w:rsidR="00A35208" w:rsidRPr="00A35208" w:rsidRDefault="00A35208" w:rsidP="00A35208">
      <w:pPr>
        <w:pStyle w:val="Bibliography"/>
        <w:rPr>
          <w:rFonts w:ascii="Calibri" w:hAnsi="Calibri" w:cs="Calibri"/>
        </w:rPr>
      </w:pPr>
      <w:r w:rsidRPr="00A35208">
        <w:rPr>
          <w:rFonts w:ascii="Calibri" w:hAnsi="Calibri" w:cs="Calibri"/>
        </w:rPr>
        <w:t xml:space="preserve">Bratman, G.N., Hamilton, J.P. and Daily, G.C. (2012) ‘The impacts of nature experience on human cognitive function and mental health’, </w:t>
      </w:r>
      <w:r w:rsidRPr="00A35208">
        <w:rPr>
          <w:rFonts w:ascii="Calibri" w:hAnsi="Calibri" w:cs="Calibri"/>
          <w:i/>
          <w:iCs/>
        </w:rPr>
        <w:t>Annals of the New York Academy of Sciences</w:t>
      </w:r>
      <w:r w:rsidRPr="00A35208">
        <w:rPr>
          <w:rFonts w:ascii="Calibri" w:hAnsi="Calibri" w:cs="Calibri"/>
        </w:rPr>
        <w:t>, 1249(1), pp. 118–136.</w:t>
      </w:r>
    </w:p>
    <w:p w14:paraId="4B7E6255" w14:textId="77777777" w:rsidR="00A35208" w:rsidRPr="00A35208" w:rsidRDefault="00A35208" w:rsidP="00A35208">
      <w:pPr>
        <w:pStyle w:val="Bibliography"/>
        <w:rPr>
          <w:rFonts w:ascii="Calibri" w:hAnsi="Calibri" w:cs="Calibri"/>
        </w:rPr>
      </w:pPr>
      <w:r w:rsidRPr="00A35208">
        <w:rPr>
          <w:rFonts w:ascii="Calibri" w:hAnsi="Calibri" w:cs="Calibri"/>
        </w:rPr>
        <w:t xml:space="preserve">Breitschopf, E. and Bråthen, K.A. (2023) ‘Perception and appreciation of plant biodiversity among experts and laypeople’, </w:t>
      </w:r>
      <w:r w:rsidRPr="00A35208">
        <w:rPr>
          <w:rFonts w:ascii="Calibri" w:hAnsi="Calibri" w:cs="Calibri"/>
          <w:i/>
          <w:iCs/>
        </w:rPr>
        <w:t>People and Nature</w:t>
      </w:r>
      <w:r w:rsidRPr="00A35208">
        <w:rPr>
          <w:rFonts w:ascii="Calibri" w:hAnsi="Calibri" w:cs="Calibri"/>
        </w:rPr>
        <w:t>, 5(2), pp. 826–838. Available at: https://doi.org/10.1002/pan3.10455.</w:t>
      </w:r>
    </w:p>
    <w:p w14:paraId="4A8F32E4" w14:textId="77777777" w:rsidR="00A35208" w:rsidRPr="00A35208" w:rsidRDefault="00A35208" w:rsidP="00A35208">
      <w:pPr>
        <w:pStyle w:val="Bibliography"/>
        <w:rPr>
          <w:rFonts w:ascii="Calibri" w:hAnsi="Calibri" w:cs="Calibri"/>
        </w:rPr>
      </w:pPr>
      <w:r w:rsidRPr="00A35208">
        <w:rPr>
          <w:rFonts w:ascii="Calibri" w:hAnsi="Calibri" w:cs="Calibri"/>
        </w:rPr>
        <w:t xml:space="preserve">Brindley, P., Jorgensen, A. and Maheswaran, R. (2018) ‘Domestic gardens and self-reported health: a national population study’, </w:t>
      </w:r>
      <w:r w:rsidRPr="00A35208">
        <w:rPr>
          <w:rFonts w:ascii="Calibri" w:hAnsi="Calibri" w:cs="Calibri"/>
          <w:i/>
          <w:iCs/>
        </w:rPr>
        <w:t>International Journal of Health Geographics</w:t>
      </w:r>
      <w:r w:rsidRPr="00A35208">
        <w:rPr>
          <w:rFonts w:ascii="Calibri" w:hAnsi="Calibri" w:cs="Calibri"/>
        </w:rPr>
        <w:t>, 17(1). Available at: https://doi.org/10.1186/s12942-018-0148-6.</w:t>
      </w:r>
    </w:p>
    <w:p w14:paraId="72A030C3" w14:textId="77777777" w:rsidR="00A35208" w:rsidRPr="00A35208" w:rsidRDefault="00A35208" w:rsidP="00A35208">
      <w:pPr>
        <w:pStyle w:val="Bibliography"/>
        <w:rPr>
          <w:rFonts w:ascii="Calibri" w:hAnsi="Calibri" w:cs="Calibri"/>
        </w:rPr>
      </w:pPr>
      <w:r w:rsidRPr="00A35208">
        <w:rPr>
          <w:rFonts w:ascii="Calibri" w:hAnsi="Calibri" w:cs="Calibri"/>
        </w:rPr>
        <w:lastRenderedPageBreak/>
        <w:t xml:space="preserve">Brislin, R.W. (1970) ‘Back-Translation for Cross-Cultural Research’, </w:t>
      </w:r>
      <w:r w:rsidRPr="00A35208">
        <w:rPr>
          <w:rFonts w:ascii="Calibri" w:hAnsi="Calibri" w:cs="Calibri"/>
          <w:i/>
          <w:iCs/>
        </w:rPr>
        <w:t>Journal of Cross-Cultural Psychology</w:t>
      </w:r>
      <w:r w:rsidRPr="00A35208">
        <w:rPr>
          <w:rFonts w:ascii="Calibri" w:hAnsi="Calibri" w:cs="Calibri"/>
        </w:rPr>
        <w:t>, 1(3), pp. 185–216. Available at: https://doi.org/10.1177/135910457000100301.</w:t>
      </w:r>
    </w:p>
    <w:p w14:paraId="067BA42D" w14:textId="77777777" w:rsidR="00A35208" w:rsidRPr="00A35208" w:rsidRDefault="00A35208" w:rsidP="00A35208">
      <w:pPr>
        <w:pStyle w:val="Bibliography"/>
        <w:rPr>
          <w:rFonts w:ascii="Calibri" w:hAnsi="Calibri" w:cs="Calibri"/>
        </w:rPr>
      </w:pPr>
      <w:r w:rsidRPr="00A35208">
        <w:rPr>
          <w:rFonts w:ascii="Calibri" w:hAnsi="Calibri" w:cs="Calibri"/>
        </w:rPr>
        <w:t xml:space="preserve">Brosnan, K., Grün, B. and Dolnicar, S. (2017) ‘PC, Phone or Tablet?: Use, Preference and Completion Rates for Web Surveys’, </w:t>
      </w:r>
      <w:r w:rsidRPr="00A35208">
        <w:rPr>
          <w:rFonts w:ascii="Calibri" w:hAnsi="Calibri" w:cs="Calibri"/>
          <w:i/>
          <w:iCs/>
        </w:rPr>
        <w:t>International Journal of Market Research</w:t>
      </w:r>
      <w:r w:rsidRPr="00A35208">
        <w:rPr>
          <w:rFonts w:ascii="Calibri" w:hAnsi="Calibri" w:cs="Calibri"/>
        </w:rPr>
        <w:t>, 59(1), pp. 35–55. Available at: https://doi.org/10.2501/IJMR-2016-049.</w:t>
      </w:r>
    </w:p>
    <w:p w14:paraId="50560539" w14:textId="77777777" w:rsidR="00A35208" w:rsidRPr="00A35208" w:rsidRDefault="00A35208" w:rsidP="00A35208">
      <w:pPr>
        <w:pStyle w:val="Bibliography"/>
        <w:rPr>
          <w:rFonts w:ascii="Calibri" w:hAnsi="Calibri" w:cs="Calibri"/>
        </w:rPr>
      </w:pPr>
      <w:r w:rsidRPr="00A35208">
        <w:rPr>
          <w:rFonts w:ascii="Calibri" w:hAnsi="Calibri" w:cs="Calibri"/>
        </w:rPr>
        <w:t xml:space="preserve">Brown, D.K., Barton, J.L. and Gladwell, V.F. (2013) ‘Viewing Nature Scenes Positively Affects Recovery of Autonomic Function Following Acute-Mental Stress’, </w:t>
      </w:r>
      <w:r w:rsidRPr="00A35208">
        <w:rPr>
          <w:rFonts w:ascii="Calibri" w:hAnsi="Calibri" w:cs="Calibri"/>
          <w:i/>
          <w:iCs/>
        </w:rPr>
        <w:t>Environmental Science &amp; Technology</w:t>
      </w:r>
      <w:r w:rsidRPr="00A35208">
        <w:rPr>
          <w:rFonts w:ascii="Calibri" w:hAnsi="Calibri" w:cs="Calibri"/>
        </w:rPr>
        <w:t>, 47(11), pp. 5562–5569. Available at: https://doi.org/10.1021/es305019p.</w:t>
      </w:r>
    </w:p>
    <w:p w14:paraId="0F13425D" w14:textId="77777777" w:rsidR="00A35208" w:rsidRPr="00A35208" w:rsidRDefault="00A35208" w:rsidP="00A35208">
      <w:pPr>
        <w:pStyle w:val="Bibliography"/>
        <w:rPr>
          <w:rFonts w:ascii="Calibri" w:hAnsi="Calibri" w:cs="Calibri"/>
        </w:rPr>
      </w:pPr>
      <w:r w:rsidRPr="00A35208">
        <w:rPr>
          <w:rFonts w:ascii="Calibri" w:hAnsi="Calibri" w:cs="Calibri"/>
        </w:rPr>
        <w:t xml:space="preserve">Brown, G. and Reed, P. (2000) ‘Validation of a Forest Values Typology for Use in National Forest Planning’, </w:t>
      </w:r>
      <w:r w:rsidRPr="00A35208">
        <w:rPr>
          <w:rFonts w:ascii="Calibri" w:hAnsi="Calibri" w:cs="Calibri"/>
          <w:i/>
          <w:iCs/>
        </w:rPr>
        <w:t>Forest Science</w:t>
      </w:r>
      <w:r w:rsidRPr="00A35208">
        <w:rPr>
          <w:rFonts w:ascii="Calibri" w:hAnsi="Calibri" w:cs="Calibri"/>
        </w:rPr>
        <w:t>, 46(2), pp. 240–247. Available at: https://doi.org/10.1093/forestscience/46.2.240.</w:t>
      </w:r>
    </w:p>
    <w:p w14:paraId="70E5976A" w14:textId="77777777" w:rsidR="00A35208" w:rsidRPr="00A35208" w:rsidRDefault="00A35208" w:rsidP="00A35208">
      <w:pPr>
        <w:pStyle w:val="Bibliography"/>
        <w:rPr>
          <w:rFonts w:ascii="Calibri" w:hAnsi="Calibri" w:cs="Calibri"/>
        </w:rPr>
      </w:pPr>
      <w:r w:rsidRPr="00A35208">
        <w:rPr>
          <w:rFonts w:ascii="Calibri" w:hAnsi="Calibri" w:cs="Calibri"/>
        </w:rPr>
        <w:t xml:space="preserve">Browning, M., Shipley, N., </w:t>
      </w:r>
      <w:r w:rsidRPr="00A35208">
        <w:rPr>
          <w:rFonts w:ascii="Calibri" w:hAnsi="Calibri" w:cs="Calibri"/>
          <w:i/>
          <w:iCs/>
        </w:rPr>
        <w:t>et al.</w:t>
      </w:r>
      <w:r w:rsidRPr="00A35208">
        <w:rPr>
          <w:rFonts w:ascii="Calibri" w:hAnsi="Calibri" w:cs="Calibri"/>
        </w:rPr>
        <w:t xml:space="preserve"> (2020) ‘An Actual Natural Setting Improves Mood Better Than Its Virtual Counterpart: A Meta-Analysis of Experimental Data’, </w:t>
      </w:r>
      <w:r w:rsidRPr="00A35208">
        <w:rPr>
          <w:rFonts w:ascii="Calibri" w:hAnsi="Calibri" w:cs="Calibri"/>
          <w:i/>
          <w:iCs/>
        </w:rPr>
        <w:t>Frontiers in Psychology</w:t>
      </w:r>
      <w:r w:rsidRPr="00A35208">
        <w:rPr>
          <w:rFonts w:ascii="Calibri" w:hAnsi="Calibri" w:cs="Calibri"/>
        </w:rPr>
        <w:t>, 11(September), pp. 1–12. Available at: https://doi.org/10.3389/fpsyg.2020.02200.</w:t>
      </w:r>
    </w:p>
    <w:p w14:paraId="32EEAF1A" w14:textId="77777777" w:rsidR="00A35208" w:rsidRPr="00A35208" w:rsidRDefault="00A35208" w:rsidP="00A35208">
      <w:pPr>
        <w:pStyle w:val="Bibliography"/>
        <w:rPr>
          <w:rFonts w:ascii="Calibri" w:hAnsi="Calibri" w:cs="Calibri"/>
        </w:rPr>
      </w:pPr>
      <w:r w:rsidRPr="00A35208">
        <w:rPr>
          <w:rFonts w:ascii="Calibri" w:hAnsi="Calibri" w:cs="Calibri"/>
        </w:rPr>
        <w:t xml:space="preserve">Browning, M., Mimnaugh, K.J., </w:t>
      </w:r>
      <w:r w:rsidRPr="00A35208">
        <w:rPr>
          <w:rFonts w:ascii="Calibri" w:hAnsi="Calibri" w:cs="Calibri"/>
          <w:i/>
          <w:iCs/>
        </w:rPr>
        <w:t>et al.</w:t>
      </w:r>
      <w:r w:rsidRPr="00A35208">
        <w:rPr>
          <w:rFonts w:ascii="Calibri" w:hAnsi="Calibri" w:cs="Calibri"/>
        </w:rPr>
        <w:t xml:space="preserve"> (2020) ‘Can Simulated Nature Support Mental Health? Comparing Short, Single-Doses of 360-Degree Nature Videos in Virtual Reality With the Outdoors’, </w:t>
      </w:r>
      <w:r w:rsidRPr="00A35208">
        <w:rPr>
          <w:rFonts w:ascii="Calibri" w:hAnsi="Calibri" w:cs="Calibri"/>
          <w:i/>
          <w:iCs/>
        </w:rPr>
        <w:t>Frontiers in psychology</w:t>
      </w:r>
      <w:r w:rsidRPr="00A35208">
        <w:rPr>
          <w:rFonts w:ascii="Calibri" w:hAnsi="Calibri" w:cs="Calibri"/>
        </w:rPr>
        <w:t>, 10. Available at: https://doi.org/10.3389/fpsyg.2019.02667.</w:t>
      </w:r>
    </w:p>
    <w:p w14:paraId="09C03A03" w14:textId="77777777" w:rsidR="00A35208" w:rsidRPr="00A35208" w:rsidRDefault="00A35208" w:rsidP="00A35208">
      <w:pPr>
        <w:pStyle w:val="Bibliography"/>
        <w:rPr>
          <w:rFonts w:ascii="Calibri" w:hAnsi="Calibri" w:cs="Calibri"/>
        </w:rPr>
      </w:pPr>
      <w:r w:rsidRPr="00A35208">
        <w:rPr>
          <w:rFonts w:ascii="Calibri" w:hAnsi="Calibri" w:cs="Calibri"/>
        </w:rPr>
        <w:t xml:space="preserve">Browning, M.H.E.M. </w:t>
      </w:r>
      <w:r w:rsidRPr="00A35208">
        <w:rPr>
          <w:rFonts w:ascii="Calibri" w:hAnsi="Calibri" w:cs="Calibri"/>
          <w:i/>
          <w:iCs/>
        </w:rPr>
        <w:t>et al.</w:t>
      </w:r>
      <w:r w:rsidRPr="00A35208">
        <w:rPr>
          <w:rFonts w:ascii="Calibri" w:hAnsi="Calibri" w:cs="Calibri"/>
        </w:rPr>
        <w:t xml:space="preserve"> (2023) ‘Daily exposure to virtual nature reduces symptoms of anxiety in college students’, </w:t>
      </w:r>
      <w:r w:rsidRPr="00A35208">
        <w:rPr>
          <w:rFonts w:ascii="Calibri" w:hAnsi="Calibri" w:cs="Calibri"/>
          <w:i/>
          <w:iCs/>
        </w:rPr>
        <w:t>Scientific Reports</w:t>
      </w:r>
      <w:r w:rsidRPr="00A35208">
        <w:rPr>
          <w:rFonts w:ascii="Calibri" w:hAnsi="Calibri" w:cs="Calibri"/>
        </w:rPr>
        <w:t>, 13(1), p. 1239. Available at: https://doi.org/10.1038/s41598-023-28070-9.</w:t>
      </w:r>
    </w:p>
    <w:p w14:paraId="2E7E3618" w14:textId="77777777" w:rsidR="00A35208" w:rsidRPr="00A35208" w:rsidRDefault="00A35208" w:rsidP="00A35208">
      <w:pPr>
        <w:pStyle w:val="Bibliography"/>
        <w:rPr>
          <w:rFonts w:ascii="Calibri" w:hAnsi="Calibri" w:cs="Calibri"/>
        </w:rPr>
      </w:pPr>
      <w:r w:rsidRPr="00A35208">
        <w:rPr>
          <w:rFonts w:ascii="Calibri" w:hAnsi="Calibri" w:cs="Calibri"/>
        </w:rPr>
        <w:t xml:space="preserve">Bryce, R. </w:t>
      </w:r>
      <w:r w:rsidRPr="00A35208">
        <w:rPr>
          <w:rFonts w:ascii="Calibri" w:hAnsi="Calibri" w:cs="Calibri"/>
          <w:i/>
          <w:iCs/>
        </w:rPr>
        <w:t>et al.</w:t>
      </w:r>
      <w:r w:rsidRPr="00A35208">
        <w:rPr>
          <w:rFonts w:ascii="Calibri" w:hAnsi="Calibri" w:cs="Calibri"/>
        </w:rPr>
        <w:t xml:space="preserve"> (2016) ‘Subjective well-being indicators for large-scale assessment of cultural ecosystem services’, </w:t>
      </w:r>
      <w:r w:rsidRPr="00A35208">
        <w:rPr>
          <w:rFonts w:ascii="Calibri" w:hAnsi="Calibri" w:cs="Calibri"/>
          <w:i/>
          <w:iCs/>
        </w:rPr>
        <w:t>Ecosystem Services</w:t>
      </w:r>
      <w:r w:rsidRPr="00A35208">
        <w:rPr>
          <w:rFonts w:ascii="Calibri" w:hAnsi="Calibri" w:cs="Calibri"/>
        </w:rPr>
        <w:t>, 21, pp. 258–269. Available at: https://doi.org/10.1016/j.ecoser.2016.07.015.</w:t>
      </w:r>
    </w:p>
    <w:p w14:paraId="3AEE089E" w14:textId="77777777" w:rsidR="00A35208" w:rsidRPr="00A35208" w:rsidRDefault="00A35208" w:rsidP="00A35208">
      <w:pPr>
        <w:pStyle w:val="Bibliography"/>
        <w:rPr>
          <w:rFonts w:ascii="Calibri" w:hAnsi="Calibri" w:cs="Calibri"/>
        </w:rPr>
      </w:pPr>
      <w:r w:rsidRPr="00A35208">
        <w:rPr>
          <w:rFonts w:ascii="Calibri" w:hAnsi="Calibri" w:cs="Calibri"/>
        </w:rPr>
        <w:t xml:space="preserve">Burns, F. </w:t>
      </w:r>
      <w:r w:rsidRPr="00A35208">
        <w:rPr>
          <w:rFonts w:ascii="Calibri" w:hAnsi="Calibri" w:cs="Calibri"/>
          <w:i/>
          <w:iCs/>
        </w:rPr>
        <w:t>et al.</w:t>
      </w:r>
      <w:r w:rsidRPr="00A35208">
        <w:rPr>
          <w:rFonts w:ascii="Calibri" w:hAnsi="Calibri" w:cs="Calibri"/>
        </w:rPr>
        <w:t xml:space="preserve"> (2023) </w:t>
      </w:r>
      <w:r w:rsidRPr="00A35208">
        <w:rPr>
          <w:rFonts w:ascii="Calibri" w:hAnsi="Calibri" w:cs="Calibri"/>
          <w:i/>
          <w:iCs/>
        </w:rPr>
        <w:t>State of Nature 2023</w:t>
      </w:r>
      <w:r w:rsidRPr="00A35208">
        <w:rPr>
          <w:rFonts w:ascii="Calibri" w:hAnsi="Calibri" w:cs="Calibri"/>
        </w:rPr>
        <w:t>. State of Nature partnership. Available at: www.stateofnature.org.uk (Accessed: 8 January 2024).</w:t>
      </w:r>
    </w:p>
    <w:p w14:paraId="58CD5D54" w14:textId="77777777" w:rsidR="00A35208" w:rsidRPr="00A35208" w:rsidRDefault="00A35208" w:rsidP="00A35208">
      <w:pPr>
        <w:pStyle w:val="Bibliography"/>
        <w:rPr>
          <w:rFonts w:ascii="Calibri" w:hAnsi="Calibri" w:cs="Calibri"/>
        </w:rPr>
      </w:pPr>
      <w:r w:rsidRPr="00A35208">
        <w:rPr>
          <w:rFonts w:ascii="Calibri" w:hAnsi="Calibri" w:cs="Calibri"/>
        </w:rPr>
        <w:t xml:space="preserve">Bursac, Z. </w:t>
      </w:r>
      <w:r w:rsidRPr="00A35208">
        <w:rPr>
          <w:rFonts w:ascii="Calibri" w:hAnsi="Calibri" w:cs="Calibri"/>
          <w:i/>
          <w:iCs/>
        </w:rPr>
        <w:t>et al.</w:t>
      </w:r>
      <w:r w:rsidRPr="00A35208">
        <w:rPr>
          <w:rFonts w:ascii="Calibri" w:hAnsi="Calibri" w:cs="Calibri"/>
        </w:rPr>
        <w:t xml:space="preserve"> (2008) ‘Purposeful selection of variables in logistic regression’, </w:t>
      </w:r>
      <w:r w:rsidRPr="00A35208">
        <w:rPr>
          <w:rFonts w:ascii="Calibri" w:hAnsi="Calibri" w:cs="Calibri"/>
          <w:i/>
          <w:iCs/>
        </w:rPr>
        <w:t>Source Code for Biology and Medicine</w:t>
      </w:r>
      <w:r w:rsidRPr="00A35208">
        <w:rPr>
          <w:rFonts w:ascii="Calibri" w:hAnsi="Calibri" w:cs="Calibri"/>
        </w:rPr>
        <w:t>, 3(1), p. 17. Available at: https://doi.org/10.1186/1751-0473-3-17.</w:t>
      </w:r>
    </w:p>
    <w:p w14:paraId="598247BD" w14:textId="77777777" w:rsidR="00A35208" w:rsidRPr="00A35208" w:rsidRDefault="00A35208" w:rsidP="00A35208">
      <w:pPr>
        <w:pStyle w:val="Bibliography"/>
        <w:rPr>
          <w:rFonts w:ascii="Calibri" w:hAnsi="Calibri" w:cs="Calibri"/>
        </w:rPr>
      </w:pPr>
      <w:r w:rsidRPr="00A35208">
        <w:rPr>
          <w:rFonts w:ascii="Calibri" w:hAnsi="Calibri" w:cs="Calibri"/>
        </w:rPr>
        <w:t xml:space="preserve">Calogiuri, G. </w:t>
      </w:r>
      <w:r w:rsidRPr="00A35208">
        <w:rPr>
          <w:rFonts w:ascii="Calibri" w:hAnsi="Calibri" w:cs="Calibri"/>
          <w:i/>
          <w:iCs/>
        </w:rPr>
        <w:t>et al.</w:t>
      </w:r>
      <w:r w:rsidRPr="00A35208">
        <w:rPr>
          <w:rFonts w:ascii="Calibri" w:hAnsi="Calibri" w:cs="Calibri"/>
        </w:rPr>
        <w:t xml:space="preserve"> (2016) ‘Green exercise as a workplace intervention to reduce job stress. Results from a pilot study’, </w:t>
      </w:r>
      <w:r w:rsidRPr="00A35208">
        <w:rPr>
          <w:rFonts w:ascii="Calibri" w:hAnsi="Calibri" w:cs="Calibri"/>
          <w:i/>
          <w:iCs/>
        </w:rPr>
        <w:t>Work</w:t>
      </w:r>
      <w:r w:rsidRPr="00A35208">
        <w:rPr>
          <w:rFonts w:ascii="Calibri" w:hAnsi="Calibri" w:cs="Calibri"/>
        </w:rPr>
        <w:t>, 53(1), pp. 99–111. Available at: https://doi.org/10.3233/WOR-152219.</w:t>
      </w:r>
    </w:p>
    <w:p w14:paraId="760710E6" w14:textId="77777777" w:rsidR="00A35208" w:rsidRPr="00A35208" w:rsidRDefault="00A35208" w:rsidP="00A35208">
      <w:pPr>
        <w:pStyle w:val="Bibliography"/>
        <w:rPr>
          <w:rFonts w:ascii="Calibri" w:hAnsi="Calibri" w:cs="Calibri"/>
        </w:rPr>
      </w:pPr>
      <w:r w:rsidRPr="00A35208">
        <w:rPr>
          <w:rFonts w:ascii="Calibri" w:hAnsi="Calibri" w:cs="Calibri"/>
        </w:rPr>
        <w:t xml:space="preserve">Camacho-Cervantes, M. </w:t>
      </w:r>
      <w:r w:rsidRPr="00A35208">
        <w:rPr>
          <w:rFonts w:ascii="Calibri" w:hAnsi="Calibri" w:cs="Calibri"/>
          <w:i/>
          <w:iCs/>
        </w:rPr>
        <w:t>et al.</w:t>
      </w:r>
      <w:r w:rsidRPr="00A35208">
        <w:rPr>
          <w:rFonts w:ascii="Calibri" w:hAnsi="Calibri" w:cs="Calibri"/>
        </w:rPr>
        <w:t xml:space="preserve"> (2014) ‘How do people perceive urban trees? Assessing likes and dislikes in relation to the trees of a city’, </w:t>
      </w:r>
      <w:r w:rsidRPr="00A35208">
        <w:rPr>
          <w:rFonts w:ascii="Calibri" w:hAnsi="Calibri" w:cs="Calibri"/>
          <w:i/>
          <w:iCs/>
        </w:rPr>
        <w:t>Urban Ecosystems</w:t>
      </w:r>
      <w:r w:rsidRPr="00A35208">
        <w:rPr>
          <w:rFonts w:ascii="Calibri" w:hAnsi="Calibri" w:cs="Calibri"/>
        </w:rPr>
        <w:t>, 17(3), pp. 761–773. Available at: https://doi.org/10.1007/s11252-014-0343-6.</w:t>
      </w:r>
    </w:p>
    <w:p w14:paraId="08202F56" w14:textId="77777777" w:rsidR="00A35208" w:rsidRPr="00A35208" w:rsidRDefault="00A35208" w:rsidP="00A35208">
      <w:pPr>
        <w:pStyle w:val="Bibliography"/>
        <w:rPr>
          <w:rFonts w:ascii="Calibri" w:hAnsi="Calibri" w:cs="Calibri"/>
        </w:rPr>
      </w:pPr>
      <w:r w:rsidRPr="00A35208">
        <w:rPr>
          <w:rFonts w:ascii="Calibri" w:hAnsi="Calibri" w:cs="Calibri"/>
        </w:rPr>
        <w:lastRenderedPageBreak/>
        <w:t xml:space="preserve">Cameron, R.W.F. </w:t>
      </w:r>
      <w:r w:rsidRPr="00A35208">
        <w:rPr>
          <w:rFonts w:ascii="Calibri" w:hAnsi="Calibri" w:cs="Calibri"/>
          <w:i/>
          <w:iCs/>
        </w:rPr>
        <w:t>et al.</w:t>
      </w:r>
      <w:r w:rsidRPr="00A35208">
        <w:rPr>
          <w:rFonts w:ascii="Calibri" w:hAnsi="Calibri" w:cs="Calibri"/>
        </w:rPr>
        <w:t xml:space="preserve"> (2020) ‘Where the wild things are! Do urban green spaces with greater avian biodiversity promote more positive emotions in humans?’, </w:t>
      </w:r>
      <w:r w:rsidRPr="00A35208">
        <w:rPr>
          <w:rFonts w:ascii="Calibri" w:hAnsi="Calibri" w:cs="Calibri"/>
          <w:i/>
          <w:iCs/>
        </w:rPr>
        <w:t>Urban Ecosystems</w:t>
      </w:r>
      <w:r w:rsidRPr="00A35208">
        <w:rPr>
          <w:rFonts w:ascii="Calibri" w:hAnsi="Calibri" w:cs="Calibri"/>
        </w:rPr>
        <w:t xml:space="preserve"> [Preprint]. Available at: https://doi.org/10.1007/s11252-020-00929-z.</w:t>
      </w:r>
    </w:p>
    <w:p w14:paraId="55C49962" w14:textId="77777777" w:rsidR="00A35208" w:rsidRPr="00A35208" w:rsidRDefault="00A35208" w:rsidP="00A35208">
      <w:pPr>
        <w:pStyle w:val="Bibliography"/>
        <w:rPr>
          <w:rFonts w:ascii="Calibri" w:hAnsi="Calibri" w:cs="Calibri"/>
        </w:rPr>
      </w:pPr>
      <w:r w:rsidRPr="00A35208">
        <w:rPr>
          <w:rFonts w:ascii="Calibri" w:hAnsi="Calibri" w:cs="Calibri"/>
        </w:rPr>
        <w:t xml:space="preserve">Cameron, R.W.F., Taylor, J.E. and Emmett, M.R. (2014) ‘What’s “cool” in the world of green façades? How plant choice influences the cooling properties of green walls’, </w:t>
      </w:r>
      <w:r w:rsidRPr="00A35208">
        <w:rPr>
          <w:rFonts w:ascii="Calibri" w:hAnsi="Calibri" w:cs="Calibri"/>
          <w:i/>
          <w:iCs/>
        </w:rPr>
        <w:t>Building and Environment</w:t>
      </w:r>
      <w:r w:rsidRPr="00A35208">
        <w:rPr>
          <w:rFonts w:ascii="Calibri" w:hAnsi="Calibri" w:cs="Calibri"/>
        </w:rPr>
        <w:t>, 73, pp. 198–207. Available at: https://doi.org/10.1016/j.buildenv.2013.12.005.</w:t>
      </w:r>
    </w:p>
    <w:p w14:paraId="723D25B5" w14:textId="77777777" w:rsidR="00A35208" w:rsidRPr="00A35208" w:rsidRDefault="00A35208" w:rsidP="00A35208">
      <w:pPr>
        <w:pStyle w:val="Bibliography"/>
        <w:rPr>
          <w:rFonts w:ascii="Calibri" w:hAnsi="Calibri" w:cs="Calibri"/>
        </w:rPr>
      </w:pPr>
      <w:r w:rsidRPr="00A35208">
        <w:rPr>
          <w:rFonts w:ascii="Calibri" w:hAnsi="Calibri" w:cs="Calibri"/>
        </w:rPr>
        <w:t xml:space="preserve">Campi, P., Palumbo, A.D. and Mastrorilli, M. (2009) ‘Effects of tree windbreak on microclimate and wheat productivity in a Mediterranean environment’, </w:t>
      </w:r>
      <w:r w:rsidRPr="00A35208">
        <w:rPr>
          <w:rFonts w:ascii="Calibri" w:hAnsi="Calibri" w:cs="Calibri"/>
          <w:i/>
          <w:iCs/>
        </w:rPr>
        <w:t>European Journal of Agronomy</w:t>
      </w:r>
      <w:r w:rsidRPr="00A35208">
        <w:rPr>
          <w:rFonts w:ascii="Calibri" w:hAnsi="Calibri" w:cs="Calibri"/>
        </w:rPr>
        <w:t>, 30(3), pp. 220–227. Available at: https://doi.org/10.1016/j.eja.2008.10.004.</w:t>
      </w:r>
    </w:p>
    <w:p w14:paraId="2EDC7A2E" w14:textId="77777777" w:rsidR="00A35208" w:rsidRPr="00A35208" w:rsidRDefault="00A35208" w:rsidP="00A35208">
      <w:pPr>
        <w:pStyle w:val="Bibliography"/>
        <w:rPr>
          <w:rFonts w:ascii="Calibri" w:hAnsi="Calibri" w:cs="Calibri"/>
        </w:rPr>
      </w:pPr>
      <w:r w:rsidRPr="00A35208">
        <w:rPr>
          <w:rFonts w:ascii="Calibri" w:hAnsi="Calibri" w:cs="Calibri"/>
        </w:rPr>
        <w:t xml:space="preserve">Capaldi, C., Dopko, R. and Zelenski, J. (2014) </w:t>
      </w:r>
      <w:r w:rsidRPr="00A35208">
        <w:rPr>
          <w:rFonts w:ascii="Calibri" w:hAnsi="Calibri" w:cs="Calibri"/>
          <w:i/>
          <w:iCs/>
        </w:rPr>
        <w:t>The relationship between nature connectedness and happiness: a meta-analysis</w:t>
      </w:r>
      <w:r w:rsidRPr="00A35208">
        <w:rPr>
          <w:rFonts w:ascii="Calibri" w:hAnsi="Calibri" w:cs="Calibri"/>
        </w:rPr>
        <w:t xml:space="preserve">, </w:t>
      </w:r>
      <w:r w:rsidRPr="00A35208">
        <w:rPr>
          <w:rFonts w:ascii="Calibri" w:hAnsi="Calibri" w:cs="Calibri"/>
          <w:i/>
          <w:iCs/>
        </w:rPr>
        <w:t>Front. Psychol.</w:t>
      </w:r>
      <w:r w:rsidRPr="00A35208">
        <w:rPr>
          <w:rFonts w:ascii="Calibri" w:hAnsi="Calibri" w:cs="Calibri"/>
        </w:rPr>
        <w:t xml:space="preserve"> Available at: https://doi.org/10.3389/fpsyg.2014.00976.</w:t>
      </w:r>
    </w:p>
    <w:p w14:paraId="5B480010" w14:textId="77777777" w:rsidR="00A35208" w:rsidRPr="00A35208" w:rsidRDefault="00A35208" w:rsidP="00A35208">
      <w:pPr>
        <w:pStyle w:val="Bibliography"/>
        <w:rPr>
          <w:rFonts w:ascii="Calibri" w:hAnsi="Calibri" w:cs="Calibri"/>
        </w:rPr>
      </w:pPr>
      <w:r w:rsidRPr="00A35208">
        <w:rPr>
          <w:rFonts w:ascii="Calibri" w:hAnsi="Calibri" w:cs="Calibri"/>
        </w:rPr>
        <w:t xml:space="preserve">Capaldi, C.A. </w:t>
      </w:r>
      <w:r w:rsidRPr="00A35208">
        <w:rPr>
          <w:rFonts w:ascii="Calibri" w:hAnsi="Calibri" w:cs="Calibri"/>
          <w:i/>
          <w:iCs/>
        </w:rPr>
        <w:t>et al.</w:t>
      </w:r>
      <w:r w:rsidRPr="00A35208">
        <w:rPr>
          <w:rFonts w:ascii="Calibri" w:hAnsi="Calibri" w:cs="Calibri"/>
        </w:rPr>
        <w:t xml:space="preserve"> (2017) ‘Engaging with natural beauty may be related to well-being because it connects people to nature: Evidence from three cultures’, </w:t>
      </w:r>
      <w:r w:rsidRPr="00A35208">
        <w:rPr>
          <w:rFonts w:ascii="Calibri" w:hAnsi="Calibri" w:cs="Calibri"/>
          <w:i/>
          <w:iCs/>
        </w:rPr>
        <w:t>Ecopsychology</w:t>
      </w:r>
      <w:r w:rsidRPr="00A35208">
        <w:rPr>
          <w:rFonts w:ascii="Calibri" w:hAnsi="Calibri" w:cs="Calibri"/>
        </w:rPr>
        <w:t>, 9(4), pp. 199–211.</w:t>
      </w:r>
    </w:p>
    <w:p w14:paraId="74375F58" w14:textId="77777777" w:rsidR="00A35208" w:rsidRPr="00A35208" w:rsidRDefault="00A35208" w:rsidP="00A35208">
      <w:pPr>
        <w:pStyle w:val="Bibliography"/>
        <w:rPr>
          <w:rFonts w:ascii="Calibri" w:hAnsi="Calibri" w:cs="Calibri"/>
        </w:rPr>
      </w:pPr>
      <w:r w:rsidRPr="00A35208">
        <w:rPr>
          <w:rFonts w:ascii="Calibri" w:hAnsi="Calibri" w:cs="Calibri"/>
        </w:rPr>
        <w:t xml:space="preserve">Cardinale, B.J. </w:t>
      </w:r>
      <w:r w:rsidRPr="00A35208">
        <w:rPr>
          <w:rFonts w:ascii="Calibri" w:hAnsi="Calibri" w:cs="Calibri"/>
          <w:i/>
          <w:iCs/>
        </w:rPr>
        <w:t>et al.</w:t>
      </w:r>
      <w:r w:rsidRPr="00A35208">
        <w:rPr>
          <w:rFonts w:ascii="Calibri" w:hAnsi="Calibri" w:cs="Calibri"/>
        </w:rPr>
        <w:t xml:space="preserve"> (2012) ‘Biodiversity loss and its impact on humanity’, </w:t>
      </w:r>
      <w:r w:rsidRPr="00A35208">
        <w:rPr>
          <w:rFonts w:ascii="Calibri" w:hAnsi="Calibri" w:cs="Calibri"/>
          <w:i/>
          <w:iCs/>
        </w:rPr>
        <w:t>Nature</w:t>
      </w:r>
      <w:r w:rsidRPr="00A35208">
        <w:rPr>
          <w:rFonts w:ascii="Calibri" w:hAnsi="Calibri" w:cs="Calibri"/>
        </w:rPr>
        <w:t>, 486(7401), pp. 59–67. Available at: https://doi.org/10.1038/nature11148.</w:t>
      </w:r>
    </w:p>
    <w:p w14:paraId="0B51A4A3" w14:textId="77777777" w:rsidR="00A35208" w:rsidRPr="00A35208" w:rsidRDefault="00A35208" w:rsidP="00A35208">
      <w:pPr>
        <w:pStyle w:val="Bibliography"/>
        <w:rPr>
          <w:rFonts w:ascii="Calibri" w:hAnsi="Calibri" w:cs="Calibri"/>
        </w:rPr>
      </w:pPr>
      <w:r w:rsidRPr="00A35208">
        <w:rPr>
          <w:rFonts w:ascii="Calibri" w:hAnsi="Calibri" w:cs="Calibri"/>
        </w:rPr>
        <w:t xml:space="preserve">Cardoso, D. </w:t>
      </w:r>
      <w:r w:rsidRPr="00A35208">
        <w:rPr>
          <w:rFonts w:ascii="Calibri" w:hAnsi="Calibri" w:cs="Calibri"/>
          <w:i/>
          <w:iCs/>
        </w:rPr>
        <w:t>et al.</w:t>
      </w:r>
      <w:r w:rsidRPr="00A35208">
        <w:rPr>
          <w:rFonts w:ascii="Calibri" w:hAnsi="Calibri" w:cs="Calibri"/>
        </w:rPr>
        <w:t xml:space="preserve"> (2017) ‘Amazon plant diversity revealed by a taxonomically verified species list’, </w:t>
      </w:r>
      <w:r w:rsidRPr="00A35208">
        <w:rPr>
          <w:rFonts w:ascii="Calibri" w:hAnsi="Calibri" w:cs="Calibri"/>
          <w:i/>
          <w:iCs/>
        </w:rPr>
        <w:t>Proceedings of the National Academy of Sciences</w:t>
      </w:r>
      <w:r w:rsidRPr="00A35208">
        <w:rPr>
          <w:rFonts w:ascii="Calibri" w:hAnsi="Calibri" w:cs="Calibri"/>
        </w:rPr>
        <w:t>, 114(40), pp. 10695–10700. Available at: https://doi.org/10.1073/pnas.1706756114.</w:t>
      </w:r>
    </w:p>
    <w:p w14:paraId="5625C9D2" w14:textId="77777777" w:rsidR="00A35208" w:rsidRPr="00A35208" w:rsidRDefault="00A35208" w:rsidP="00A35208">
      <w:pPr>
        <w:pStyle w:val="Bibliography"/>
        <w:rPr>
          <w:rFonts w:ascii="Calibri" w:hAnsi="Calibri" w:cs="Calibri"/>
        </w:rPr>
      </w:pPr>
      <w:r w:rsidRPr="00A35208">
        <w:rPr>
          <w:rFonts w:ascii="Calibri" w:hAnsi="Calibri" w:cs="Calibri"/>
        </w:rPr>
        <w:t xml:space="preserve">Carlyle-Moses, D.E. </w:t>
      </w:r>
      <w:r w:rsidRPr="00A35208">
        <w:rPr>
          <w:rFonts w:ascii="Calibri" w:hAnsi="Calibri" w:cs="Calibri"/>
          <w:i/>
          <w:iCs/>
        </w:rPr>
        <w:t>et al.</w:t>
      </w:r>
      <w:r w:rsidRPr="00A35208">
        <w:rPr>
          <w:rFonts w:ascii="Calibri" w:hAnsi="Calibri" w:cs="Calibri"/>
        </w:rPr>
        <w:t xml:space="preserve"> (2020) ‘Urban Trees as Green Infrastructure for Stormwater Mitigation and Use’, in D.F. Levia et al. (eds) </w:t>
      </w:r>
      <w:r w:rsidRPr="00A35208">
        <w:rPr>
          <w:rFonts w:ascii="Calibri" w:hAnsi="Calibri" w:cs="Calibri"/>
          <w:i/>
          <w:iCs/>
        </w:rPr>
        <w:t>Forest-Water Interactions</w:t>
      </w:r>
      <w:r w:rsidRPr="00A35208">
        <w:rPr>
          <w:rFonts w:ascii="Calibri" w:hAnsi="Calibri" w:cs="Calibri"/>
        </w:rPr>
        <w:t>. Cham: Springer International Publishing (Ecological Studies), pp. 397–432. Available at: https://doi.org/10.1007/978-3-030-26086-6_17.</w:t>
      </w:r>
    </w:p>
    <w:p w14:paraId="02BC5782" w14:textId="77777777" w:rsidR="00A35208" w:rsidRPr="00A35208" w:rsidRDefault="00A35208" w:rsidP="00A35208">
      <w:pPr>
        <w:pStyle w:val="Bibliography"/>
        <w:rPr>
          <w:rFonts w:ascii="Calibri" w:hAnsi="Calibri" w:cs="Calibri"/>
        </w:rPr>
      </w:pPr>
      <w:r w:rsidRPr="00A35208">
        <w:rPr>
          <w:rFonts w:ascii="Calibri" w:hAnsi="Calibri" w:cs="Calibri"/>
        </w:rPr>
        <w:t xml:space="preserve">Carrus, G. </w:t>
      </w:r>
      <w:r w:rsidRPr="00A35208">
        <w:rPr>
          <w:rFonts w:ascii="Calibri" w:hAnsi="Calibri" w:cs="Calibri"/>
          <w:i/>
          <w:iCs/>
        </w:rPr>
        <w:t>et al.</w:t>
      </w:r>
      <w:r w:rsidRPr="00A35208">
        <w:rPr>
          <w:rFonts w:ascii="Calibri" w:hAnsi="Calibri" w:cs="Calibri"/>
        </w:rPr>
        <w:t xml:space="preserve"> (2015) ‘Go greener, feel better? The positive effects of biodiversity on the well-being of individuals visiting urban and peri-urban green areas’, </w:t>
      </w:r>
      <w:r w:rsidRPr="00A35208">
        <w:rPr>
          <w:rFonts w:ascii="Calibri" w:hAnsi="Calibri" w:cs="Calibri"/>
          <w:i/>
          <w:iCs/>
        </w:rPr>
        <w:t>Landscape and Urban Planning</w:t>
      </w:r>
      <w:r w:rsidRPr="00A35208">
        <w:rPr>
          <w:rFonts w:ascii="Calibri" w:hAnsi="Calibri" w:cs="Calibri"/>
        </w:rPr>
        <w:t>, 134, pp. 221–228. Available at: https://doi.org/10.1016/j.landurbplan.2014.10.022.</w:t>
      </w:r>
    </w:p>
    <w:p w14:paraId="0E75BE04" w14:textId="77777777" w:rsidR="00A35208" w:rsidRPr="00A35208" w:rsidRDefault="00A35208" w:rsidP="00A35208">
      <w:pPr>
        <w:pStyle w:val="Bibliography"/>
        <w:rPr>
          <w:rFonts w:ascii="Calibri" w:hAnsi="Calibri" w:cs="Calibri"/>
        </w:rPr>
      </w:pPr>
      <w:r w:rsidRPr="00A35208">
        <w:rPr>
          <w:rFonts w:ascii="Calibri" w:hAnsi="Calibri" w:cs="Calibri"/>
        </w:rPr>
        <w:t xml:space="preserve">Cavanagh, P. (2001) ‘Seeing the forest but not the trees’, </w:t>
      </w:r>
      <w:r w:rsidRPr="00A35208">
        <w:rPr>
          <w:rFonts w:ascii="Calibri" w:hAnsi="Calibri" w:cs="Calibri"/>
          <w:i/>
          <w:iCs/>
        </w:rPr>
        <w:t>Nature Neuroscience</w:t>
      </w:r>
      <w:r w:rsidRPr="00A35208">
        <w:rPr>
          <w:rFonts w:ascii="Calibri" w:hAnsi="Calibri" w:cs="Calibri"/>
        </w:rPr>
        <w:t>, 4(7), pp. 673–674. Available at: https://doi.org/10.1038/89436.</w:t>
      </w:r>
    </w:p>
    <w:p w14:paraId="5607643D" w14:textId="77777777" w:rsidR="00A35208" w:rsidRPr="00A35208" w:rsidRDefault="00A35208" w:rsidP="00A35208">
      <w:pPr>
        <w:pStyle w:val="Bibliography"/>
        <w:rPr>
          <w:rFonts w:ascii="Calibri" w:hAnsi="Calibri" w:cs="Calibri"/>
        </w:rPr>
      </w:pPr>
      <w:r w:rsidRPr="00A35208">
        <w:rPr>
          <w:rFonts w:ascii="Calibri" w:hAnsi="Calibri" w:cs="Calibri"/>
        </w:rPr>
        <w:t xml:space="preserve">Chalmin-Pui, L.S. </w:t>
      </w:r>
      <w:r w:rsidRPr="00A35208">
        <w:rPr>
          <w:rFonts w:ascii="Calibri" w:hAnsi="Calibri" w:cs="Calibri"/>
          <w:i/>
          <w:iCs/>
        </w:rPr>
        <w:t>et al.</w:t>
      </w:r>
      <w:r w:rsidRPr="00A35208">
        <w:rPr>
          <w:rFonts w:ascii="Calibri" w:hAnsi="Calibri" w:cs="Calibri"/>
        </w:rPr>
        <w:t xml:space="preserve"> (2021) ‘Why garden? – Attitudes and the perceived health benefits of home gardening’, </w:t>
      </w:r>
      <w:r w:rsidRPr="00A35208">
        <w:rPr>
          <w:rFonts w:ascii="Calibri" w:hAnsi="Calibri" w:cs="Calibri"/>
          <w:i/>
          <w:iCs/>
        </w:rPr>
        <w:t>Cities</w:t>
      </w:r>
      <w:r w:rsidRPr="00A35208">
        <w:rPr>
          <w:rFonts w:ascii="Calibri" w:hAnsi="Calibri" w:cs="Calibri"/>
        </w:rPr>
        <w:t>, 112(August 2020), p. 103118. Available at: https://doi.org/10.1016/j.cities.2021.103118.</w:t>
      </w:r>
    </w:p>
    <w:p w14:paraId="749D5F42" w14:textId="77777777" w:rsidR="00A35208" w:rsidRPr="00A35208" w:rsidRDefault="00A35208" w:rsidP="00A35208">
      <w:pPr>
        <w:pStyle w:val="Bibliography"/>
        <w:rPr>
          <w:rFonts w:ascii="Calibri" w:hAnsi="Calibri" w:cs="Calibri"/>
        </w:rPr>
      </w:pPr>
      <w:r w:rsidRPr="00A35208">
        <w:rPr>
          <w:rFonts w:ascii="Calibri" w:hAnsi="Calibri" w:cs="Calibri"/>
        </w:rPr>
        <w:t xml:space="preserve">Chang, C. </w:t>
      </w:r>
      <w:r w:rsidRPr="00A35208">
        <w:rPr>
          <w:rFonts w:ascii="Calibri" w:hAnsi="Calibri" w:cs="Calibri"/>
          <w:i/>
          <w:iCs/>
        </w:rPr>
        <w:t>et al.</w:t>
      </w:r>
      <w:r w:rsidRPr="00A35208">
        <w:rPr>
          <w:rFonts w:ascii="Calibri" w:hAnsi="Calibri" w:cs="Calibri"/>
        </w:rPr>
        <w:t xml:space="preserve"> (2022) ‘People’s desire to be in nature and how they experience it are partially heritable’, </w:t>
      </w:r>
      <w:r w:rsidRPr="00A35208">
        <w:rPr>
          <w:rFonts w:ascii="Calibri" w:hAnsi="Calibri" w:cs="Calibri"/>
          <w:i/>
          <w:iCs/>
        </w:rPr>
        <w:t>PLOS Biology</w:t>
      </w:r>
      <w:r w:rsidRPr="00A35208">
        <w:rPr>
          <w:rFonts w:ascii="Calibri" w:hAnsi="Calibri" w:cs="Calibri"/>
        </w:rPr>
        <w:t>, 20(2), p. e3001500.</w:t>
      </w:r>
    </w:p>
    <w:p w14:paraId="545C64C8" w14:textId="77777777" w:rsidR="00A35208" w:rsidRPr="00A35208" w:rsidRDefault="00A35208" w:rsidP="00A35208">
      <w:pPr>
        <w:pStyle w:val="Bibliography"/>
        <w:rPr>
          <w:rFonts w:ascii="Calibri" w:hAnsi="Calibri" w:cs="Calibri"/>
        </w:rPr>
      </w:pPr>
      <w:r w:rsidRPr="00A35208">
        <w:rPr>
          <w:rFonts w:ascii="Calibri" w:hAnsi="Calibri" w:cs="Calibri"/>
        </w:rPr>
        <w:lastRenderedPageBreak/>
        <w:t xml:space="preserve">Chang, K. </w:t>
      </w:r>
      <w:r w:rsidRPr="00A35208">
        <w:rPr>
          <w:rFonts w:ascii="Calibri" w:hAnsi="Calibri" w:cs="Calibri"/>
          <w:i/>
          <w:iCs/>
        </w:rPr>
        <w:t>et al.</w:t>
      </w:r>
      <w:r w:rsidRPr="00A35208">
        <w:rPr>
          <w:rFonts w:ascii="Calibri" w:hAnsi="Calibri" w:cs="Calibri"/>
        </w:rPr>
        <w:t xml:space="preserve"> (2016) ‘The Effect of Biodiversity on Green Space Users’ Wellbeing-An Empirical Investigation Using Physiological Evidence’, </w:t>
      </w:r>
      <w:r w:rsidRPr="00A35208">
        <w:rPr>
          <w:rFonts w:ascii="Calibri" w:hAnsi="Calibri" w:cs="Calibri"/>
          <w:i/>
          <w:iCs/>
        </w:rPr>
        <w:t>Sustainability</w:t>
      </w:r>
      <w:r w:rsidRPr="00A35208">
        <w:rPr>
          <w:rFonts w:ascii="Calibri" w:hAnsi="Calibri" w:cs="Calibri"/>
        </w:rPr>
        <w:t>, 8(10), p. 1049. Available at: https://doi.org/10.3390/su8101049.</w:t>
      </w:r>
    </w:p>
    <w:p w14:paraId="77932598" w14:textId="77777777" w:rsidR="00A35208" w:rsidRPr="00A35208" w:rsidRDefault="00A35208" w:rsidP="00A35208">
      <w:pPr>
        <w:pStyle w:val="Bibliography"/>
        <w:rPr>
          <w:rFonts w:ascii="Calibri" w:hAnsi="Calibri" w:cs="Calibri"/>
        </w:rPr>
      </w:pPr>
      <w:r w:rsidRPr="00A35208">
        <w:rPr>
          <w:rFonts w:ascii="Calibri" w:hAnsi="Calibri" w:cs="Calibri"/>
        </w:rPr>
        <w:t xml:space="preserve">Chen, B., Gong, C. and Li, S. (2022) ‘Looking at buildings or trees? Association of human nature relatedness with eye movements in outdoor space’, </w:t>
      </w:r>
      <w:r w:rsidRPr="00A35208">
        <w:rPr>
          <w:rFonts w:ascii="Calibri" w:hAnsi="Calibri" w:cs="Calibri"/>
          <w:i/>
          <w:iCs/>
        </w:rPr>
        <w:t>Journal of Environmental Psychology</w:t>
      </w:r>
      <w:r w:rsidRPr="00A35208">
        <w:rPr>
          <w:rFonts w:ascii="Calibri" w:hAnsi="Calibri" w:cs="Calibri"/>
        </w:rPr>
        <w:t>, 80, p. 101756. Available at: https://doi.org/10.1016/j.jenvp.2022.101756.</w:t>
      </w:r>
    </w:p>
    <w:p w14:paraId="6316295C" w14:textId="77777777" w:rsidR="00A35208" w:rsidRPr="00A35208" w:rsidRDefault="00A35208" w:rsidP="00A35208">
      <w:pPr>
        <w:pStyle w:val="Bibliography"/>
        <w:rPr>
          <w:rFonts w:ascii="Calibri" w:hAnsi="Calibri" w:cs="Calibri"/>
        </w:rPr>
      </w:pPr>
      <w:r w:rsidRPr="00A35208">
        <w:rPr>
          <w:rFonts w:ascii="Calibri" w:hAnsi="Calibri" w:cs="Calibri"/>
        </w:rPr>
        <w:t xml:space="preserve">Chen, H.T., Yu, C.P. and Lee, H.Y. (2018) ‘The effects of forest bathing on stress recovery: Evidence from middle-aged females of Taiwan’, </w:t>
      </w:r>
      <w:r w:rsidRPr="00A35208">
        <w:rPr>
          <w:rFonts w:ascii="Calibri" w:hAnsi="Calibri" w:cs="Calibri"/>
          <w:i/>
          <w:iCs/>
        </w:rPr>
        <w:t>Forests</w:t>
      </w:r>
      <w:r w:rsidRPr="00A35208">
        <w:rPr>
          <w:rFonts w:ascii="Calibri" w:hAnsi="Calibri" w:cs="Calibri"/>
        </w:rPr>
        <w:t>, 8(2), pp. 1–9. Available at: https://doi.org/10.3390/f9070403.</w:t>
      </w:r>
    </w:p>
    <w:p w14:paraId="643D930C" w14:textId="77777777" w:rsidR="00A35208" w:rsidRPr="00A35208" w:rsidRDefault="00A35208" w:rsidP="00A35208">
      <w:pPr>
        <w:pStyle w:val="Bibliography"/>
        <w:rPr>
          <w:rFonts w:ascii="Calibri" w:hAnsi="Calibri" w:cs="Calibri"/>
        </w:rPr>
      </w:pPr>
      <w:r w:rsidRPr="00A35208">
        <w:rPr>
          <w:rFonts w:ascii="Calibri" w:hAnsi="Calibri" w:cs="Calibri"/>
        </w:rPr>
        <w:t xml:space="preserve">Chenoweth, R. (1984) ‘Visitor Employed Photography: A Potential Tool for Landscape Architecture’, </w:t>
      </w:r>
      <w:r w:rsidRPr="00A35208">
        <w:rPr>
          <w:rFonts w:ascii="Calibri" w:hAnsi="Calibri" w:cs="Calibri"/>
          <w:i/>
          <w:iCs/>
        </w:rPr>
        <w:t>Landscape Journal</w:t>
      </w:r>
      <w:r w:rsidRPr="00A35208">
        <w:rPr>
          <w:rFonts w:ascii="Calibri" w:hAnsi="Calibri" w:cs="Calibri"/>
        </w:rPr>
        <w:t>, 3(2), pp. 136–143. Available at: https://doi.org/10.3368/lj.3.2.136.</w:t>
      </w:r>
    </w:p>
    <w:p w14:paraId="293F3164" w14:textId="77777777" w:rsidR="00A35208" w:rsidRPr="00A35208" w:rsidRDefault="00A35208" w:rsidP="00A35208">
      <w:pPr>
        <w:pStyle w:val="Bibliography"/>
        <w:rPr>
          <w:rFonts w:ascii="Calibri" w:hAnsi="Calibri" w:cs="Calibri"/>
        </w:rPr>
      </w:pPr>
      <w:r w:rsidRPr="00A35208">
        <w:rPr>
          <w:rFonts w:ascii="Calibri" w:hAnsi="Calibri" w:cs="Calibri"/>
        </w:rPr>
        <w:t xml:space="preserve">Chiang, Y.-C., Li, D. and Jane, H.-A. (2017) ‘Wild or tended nature? The effects of landscape location and vegetation density on physiological and psychological responses’, </w:t>
      </w:r>
      <w:r w:rsidRPr="00A35208">
        <w:rPr>
          <w:rFonts w:ascii="Calibri" w:hAnsi="Calibri" w:cs="Calibri"/>
          <w:i/>
          <w:iCs/>
        </w:rPr>
        <w:t>Landscape and Urban Planning</w:t>
      </w:r>
      <w:r w:rsidRPr="00A35208">
        <w:rPr>
          <w:rFonts w:ascii="Calibri" w:hAnsi="Calibri" w:cs="Calibri"/>
        </w:rPr>
        <w:t>, 167, pp. 72–83. Available at: https://doi.org/10.1016/j.landurbplan.2017.06.001.</w:t>
      </w:r>
    </w:p>
    <w:p w14:paraId="785690BB" w14:textId="77777777" w:rsidR="00A35208" w:rsidRPr="00A35208" w:rsidRDefault="00A35208" w:rsidP="00A35208">
      <w:pPr>
        <w:pStyle w:val="Bibliography"/>
        <w:rPr>
          <w:rFonts w:ascii="Calibri" w:hAnsi="Calibri" w:cs="Calibri"/>
        </w:rPr>
      </w:pPr>
      <w:r w:rsidRPr="00A35208">
        <w:rPr>
          <w:rFonts w:ascii="Calibri" w:hAnsi="Calibri" w:cs="Calibri"/>
        </w:rPr>
        <w:t xml:space="preserve">Chirico, A. and Gaggioli, A. (2019) ‘When Virtual Feels Real: Comparing Emotional Responses and Presence in Virtual and Natural Environments’, </w:t>
      </w:r>
      <w:r w:rsidRPr="00A35208">
        <w:rPr>
          <w:rFonts w:ascii="Calibri" w:hAnsi="Calibri" w:cs="Calibri"/>
          <w:i/>
          <w:iCs/>
        </w:rPr>
        <w:t>Cyberpsychology, Behavior, and Social Networking</w:t>
      </w:r>
      <w:r w:rsidRPr="00A35208">
        <w:rPr>
          <w:rFonts w:ascii="Calibri" w:hAnsi="Calibri" w:cs="Calibri"/>
        </w:rPr>
        <w:t>, 22(3), pp. 220–226. Available at: https://doi.org/10.1089/cyber.2018.0393.</w:t>
      </w:r>
    </w:p>
    <w:p w14:paraId="2BFB5A1C" w14:textId="77777777" w:rsidR="00A35208" w:rsidRPr="00A35208" w:rsidRDefault="00A35208" w:rsidP="00A35208">
      <w:pPr>
        <w:pStyle w:val="Bibliography"/>
        <w:rPr>
          <w:rFonts w:ascii="Calibri" w:hAnsi="Calibri" w:cs="Calibri"/>
        </w:rPr>
      </w:pPr>
      <w:r w:rsidRPr="00A35208">
        <w:rPr>
          <w:rFonts w:ascii="Calibri" w:hAnsi="Calibri" w:cs="Calibri"/>
        </w:rPr>
        <w:t xml:space="preserve">Clark, N.E. </w:t>
      </w:r>
      <w:r w:rsidRPr="00A35208">
        <w:rPr>
          <w:rFonts w:ascii="Calibri" w:hAnsi="Calibri" w:cs="Calibri"/>
          <w:i/>
          <w:iCs/>
        </w:rPr>
        <w:t>et al.</w:t>
      </w:r>
      <w:r w:rsidRPr="00A35208">
        <w:rPr>
          <w:rFonts w:ascii="Calibri" w:hAnsi="Calibri" w:cs="Calibri"/>
        </w:rPr>
        <w:t xml:space="preserve"> (2014) ‘Biodiversity, cultural pathways, and human health: a framework’, </w:t>
      </w:r>
      <w:r w:rsidRPr="00A35208">
        <w:rPr>
          <w:rFonts w:ascii="Calibri" w:hAnsi="Calibri" w:cs="Calibri"/>
          <w:i/>
          <w:iCs/>
        </w:rPr>
        <w:t>Trends in Ecology &amp; Evolution</w:t>
      </w:r>
      <w:r w:rsidRPr="00A35208">
        <w:rPr>
          <w:rFonts w:ascii="Calibri" w:hAnsi="Calibri" w:cs="Calibri"/>
        </w:rPr>
        <w:t>, 29(4), pp. 198–204. Available at: https://doi.org/10.1016/j.tree.2014.01.009.</w:t>
      </w:r>
    </w:p>
    <w:p w14:paraId="64BCA788" w14:textId="77777777" w:rsidR="00A35208" w:rsidRPr="00A35208" w:rsidRDefault="00A35208" w:rsidP="00A35208">
      <w:pPr>
        <w:pStyle w:val="Bibliography"/>
        <w:rPr>
          <w:rFonts w:ascii="Calibri" w:hAnsi="Calibri" w:cs="Calibri"/>
        </w:rPr>
      </w:pPr>
      <w:r w:rsidRPr="00A35208">
        <w:rPr>
          <w:rFonts w:ascii="Calibri" w:hAnsi="Calibri" w:cs="Calibri"/>
        </w:rPr>
        <w:t xml:space="preserve">Clifford, S., Sheagley, G. and Piston, S. (2021) ‘Increasing Precision without Altering Treatment Effects: Repeated Measures Designs in Survey Experiments’, </w:t>
      </w:r>
      <w:r w:rsidRPr="00A35208">
        <w:rPr>
          <w:rFonts w:ascii="Calibri" w:hAnsi="Calibri" w:cs="Calibri"/>
          <w:i/>
          <w:iCs/>
        </w:rPr>
        <w:t>American Political Science Review</w:t>
      </w:r>
      <w:r w:rsidRPr="00A35208">
        <w:rPr>
          <w:rFonts w:ascii="Calibri" w:hAnsi="Calibri" w:cs="Calibri"/>
        </w:rPr>
        <w:t>, 115(3), pp. 1048–1065. Available at: https://doi.org/10.1017/S0003055421000241.</w:t>
      </w:r>
    </w:p>
    <w:p w14:paraId="3473F18F" w14:textId="77777777" w:rsidR="00A35208" w:rsidRPr="00A35208" w:rsidRDefault="00A35208" w:rsidP="00A35208">
      <w:pPr>
        <w:pStyle w:val="Bibliography"/>
        <w:rPr>
          <w:rFonts w:ascii="Calibri" w:hAnsi="Calibri" w:cs="Calibri"/>
        </w:rPr>
      </w:pPr>
      <w:r w:rsidRPr="00A35208">
        <w:rPr>
          <w:rFonts w:ascii="Calibri" w:hAnsi="Calibri" w:cs="Calibri"/>
        </w:rPr>
        <w:t xml:space="preserve">Coe, K. and Scacco, J.M. (2017) ‘Content Analysis, Quantitative’, in J. Matthes, C.S. Davis, and R.F. Potter (eds) </w:t>
      </w:r>
      <w:r w:rsidRPr="00A35208">
        <w:rPr>
          <w:rFonts w:ascii="Calibri" w:hAnsi="Calibri" w:cs="Calibri"/>
          <w:i/>
          <w:iCs/>
        </w:rPr>
        <w:t>The International Encyclopedia of Communication Research Methods</w:t>
      </w:r>
      <w:r w:rsidRPr="00A35208">
        <w:rPr>
          <w:rFonts w:ascii="Calibri" w:hAnsi="Calibri" w:cs="Calibri"/>
        </w:rPr>
        <w:t>. 1st edn. Wiley, pp. 1–11. Available at: https://doi.org/10.1002/9781118901731.iecrm0045.</w:t>
      </w:r>
    </w:p>
    <w:p w14:paraId="5F06DD07" w14:textId="77777777" w:rsidR="00A35208" w:rsidRPr="00A35208" w:rsidRDefault="00A35208" w:rsidP="00A35208">
      <w:pPr>
        <w:pStyle w:val="Bibliography"/>
        <w:rPr>
          <w:rFonts w:ascii="Calibri" w:hAnsi="Calibri" w:cs="Calibri"/>
        </w:rPr>
      </w:pPr>
      <w:r w:rsidRPr="00A35208">
        <w:rPr>
          <w:rFonts w:ascii="Calibri" w:hAnsi="Calibri" w:cs="Calibri"/>
        </w:rPr>
        <w:t xml:space="preserve">Cohen, M.X. (2017) ‘Where Does EEG Come From and What Does It Mean?’, </w:t>
      </w:r>
      <w:r w:rsidRPr="00A35208">
        <w:rPr>
          <w:rFonts w:ascii="Calibri" w:hAnsi="Calibri" w:cs="Calibri"/>
          <w:i/>
          <w:iCs/>
        </w:rPr>
        <w:t>Trends in Neurosciences</w:t>
      </w:r>
      <w:r w:rsidRPr="00A35208">
        <w:rPr>
          <w:rFonts w:ascii="Calibri" w:hAnsi="Calibri" w:cs="Calibri"/>
        </w:rPr>
        <w:t>, 40(4), pp. 208–218. Available at: https://doi.org/10.1016/j.tins.2017.02.004.</w:t>
      </w:r>
    </w:p>
    <w:p w14:paraId="255A4CD5" w14:textId="77777777" w:rsidR="00A35208" w:rsidRPr="00A35208" w:rsidRDefault="00A35208" w:rsidP="00A35208">
      <w:pPr>
        <w:pStyle w:val="Bibliography"/>
        <w:rPr>
          <w:rFonts w:ascii="Calibri" w:hAnsi="Calibri" w:cs="Calibri"/>
        </w:rPr>
      </w:pPr>
      <w:r w:rsidRPr="00A35208">
        <w:rPr>
          <w:rFonts w:ascii="Calibri" w:hAnsi="Calibri" w:cs="Calibri"/>
        </w:rPr>
        <w:t xml:space="preserve">Cohen-Shacham, E. </w:t>
      </w:r>
      <w:r w:rsidRPr="00A35208">
        <w:rPr>
          <w:rFonts w:ascii="Calibri" w:hAnsi="Calibri" w:cs="Calibri"/>
          <w:i/>
          <w:iCs/>
        </w:rPr>
        <w:t>et al.</w:t>
      </w:r>
      <w:r w:rsidRPr="00A35208">
        <w:rPr>
          <w:rFonts w:ascii="Calibri" w:hAnsi="Calibri" w:cs="Calibri"/>
        </w:rPr>
        <w:t xml:space="preserve"> (eds) (2016) </w:t>
      </w:r>
      <w:r w:rsidRPr="00A35208">
        <w:rPr>
          <w:rFonts w:ascii="Calibri" w:hAnsi="Calibri" w:cs="Calibri"/>
          <w:i/>
          <w:iCs/>
        </w:rPr>
        <w:t>Nature-based solutions to address global societal challenges</w:t>
      </w:r>
      <w:r w:rsidRPr="00A35208">
        <w:rPr>
          <w:rFonts w:ascii="Calibri" w:hAnsi="Calibri" w:cs="Calibri"/>
        </w:rPr>
        <w:t>. IUCN International Union for Conservation of Nature. Available at: https://doi.org/10.2305/IUCN.CH.2016.13.en.</w:t>
      </w:r>
    </w:p>
    <w:p w14:paraId="14424174" w14:textId="77777777" w:rsidR="00A35208" w:rsidRPr="00A35208" w:rsidRDefault="00A35208" w:rsidP="00A35208">
      <w:pPr>
        <w:pStyle w:val="Bibliography"/>
        <w:rPr>
          <w:rFonts w:ascii="Calibri" w:hAnsi="Calibri" w:cs="Calibri"/>
        </w:rPr>
      </w:pPr>
      <w:r w:rsidRPr="00A35208">
        <w:rPr>
          <w:rFonts w:ascii="Calibri" w:hAnsi="Calibri" w:cs="Calibri"/>
        </w:rPr>
        <w:t xml:space="preserve">Colwell, R.K. (2009) ‘Biodiversity: concepts, patterns, and measurement’, in </w:t>
      </w:r>
      <w:r w:rsidRPr="00A35208">
        <w:rPr>
          <w:rFonts w:ascii="Calibri" w:hAnsi="Calibri" w:cs="Calibri"/>
          <w:i/>
          <w:iCs/>
        </w:rPr>
        <w:t>The Princeton guide to ecology</w:t>
      </w:r>
      <w:r w:rsidRPr="00A35208">
        <w:rPr>
          <w:rFonts w:ascii="Calibri" w:hAnsi="Calibri" w:cs="Calibri"/>
        </w:rPr>
        <w:t>. Princeton University Press Princeton, NJ, pp. 257–263.</w:t>
      </w:r>
    </w:p>
    <w:p w14:paraId="4CD5A9D9" w14:textId="77777777" w:rsidR="00A35208" w:rsidRPr="00A35208" w:rsidRDefault="00A35208" w:rsidP="00A35208">
      <w:pPr>
        <w:pStyle w:val="Bibliography"/>
        <w:rPr>
          <w:rFonts w:ascii="Calibri" w:hAnsi="Calibri" w:cs="Calibri"/>
        </w:rPr>
      </w:pPr>
      <w:r w:rsidRPr="00A35208">
        <w:rPr>
          <w:rFonts w:ascii="Calibri" w:hAnsi="Calibri" w:cs="Calibri"/>
        </w:rPr>
        <w:lastRenderedPageBreak/>
        <w:t xml:space="preserve">Corazon, S.S. </w:t>
      </w:r>
      <w:r w:rsidRPr="00A35208">
        <w:rPr>
          <w:rFonts w:ascii="Calibri" w:hAnsi="Calibri" w:cs="Calibri"/>
          <w:i/>
          <w:iCs/>
        </w:rPr>
        <w:t>et al.</w:t>
      </w:r>
      <w:r w:rsidRPr="00A35208">
        <w:rPr>
          <w:rFonts w:ascii="Calibri" w:hAnsi="Calibri" w:cs="Calibri"/>
        </w:rPr>
        <w:t xml:space="preserve"> (2019) ‘Psycho-physiological stress recovery in outdoor nature-based interventions: a systematic review of the past eight years of research’, </w:t>
      </w:r>
      <w:r w:rsidRPr="00A35208">
        <w:rPr>
          <w:rFonts w:ascii="Calibri" w:hAnsi="Calibri" w:cs="Calibri"/>
          <w:i/>
          <w:iCs/>
        </w:rPr>
        <w:t>International Journal of Environmental Research and Public Health</w:t>
      </w:r>
      <w:r w:rsidRPr="00A35208">
        <w:rPr>
          <w:rFonts w:ascii="Calibri" w:hAnsi="Calibri" w:cs="Calibri"/>
        </w:rPr>
        <w:t>, 16(10), p. 1711.</w:t>
      </w:r>
    </w:p>
    <w:p w14:paraId="3BE1D834" w14:textId="77777777" w:rsidR="00A35208" w:rsidRPr="00A35208" w:rsidRDefault="00A35208" w:rsidP="00A35208">
      <w:pPr>
        <w:pStyle w:val="Bibliography"/>
        <w:rPr>
          <w:rFonts w:ascii="Calibri" w:hAnsi="Calibri" w:cs="Calibri"/>
        </w:rPr>
      </w:pPr>
      <w:r w:rsidRPr="00A35208">
        <w:rPr>
          <w:rFonts w:ascii="Calibri" w:hAnsi="Calibri" w:cs="Calibri"/>
        </w:rPr>
        <w:t xml:space="preserve">Corvalan, C.F. </w:t>
      </w:r>
      <w:r w:rsidRPr="00A35208">
        <w:rPr>
          <w:rFonts w:ascii="Calibri" w:hAnsi="Calibri" w:cs="Calibri"/>
          <w:i/>
          <w:iCs/>
        </w:rPr>
        <w:t>et al.</w:t>
      </w:r>
      <w:r w:rsidRPr="00A35208">
        <w:rPr>
          <w:rFonts w:ascii="Calibri" w:hAnsi="Calibri" w:cs="Calibri"/>
        </w:rPr>
        <w:t xml:space="preserve"> (2005) </w:t>
      </w:r>
      <w:r w:rsidRPr="00A35208">
        <w:rPr>
          <w:rFonts w:ascii="Calibri" w:hAnsi="Calibri" w:cs="Calibri"/>
          <w:i/>
          <w:iCs/>
        </w:rPr>
        <w:t>Ecosystems and human well-being: a report of the millennium ecosystem assessment</w:t>
      </w:r>
      <w:r w:rsidRPr="00A35208">
        <w:rPr>
          <w:rFonts w:ascii="Calibri" w:hAnsi="Calibri" w:cs="Calibri"/>
        </w:rPr>
        <w:t>. 1st ed. Geneva: Geneva : World Health Organization, c2005.</w:t>
      </w:r>
    </w:p>
    <w:p w14:paraId="62300BB8" w14:textId="77777777" w:rsidR="00A35208" w:rsidRPr="00A35208" w:rsidRDefault="00A35208" w:rsidP="00A35208">
      <w:pPr>
        <w:pStyle w:val="Bibliography"/>
        <w:rPr>
          <w:rFonts w:ascii="Calibri" w:hAnsi="Calibri" w:cs="Calibri"/>
        </w:rPr>
      </w:pPr>
      <w:r w:rsidRPr="00A35208">
        <w:rPr>
          <w:rFonts w:ascii="Calibri" w:hAnsi="Calibri" w:cs="Calibri"/>
        </w:rPr>
        <w:t xml:space="preserve">Cox, D.T.C. </w:t>
      </w:r>
      <w:r w:rsidRPr="00A35208">
        <w:rPr>
          <w:rFonts w:ascii="Calibri" w:hAnsi="Calibri" w:cs="Calibri"/>
          <w:i/>
          <w:iCs/>
        </w:rPr>
        <w:t>et al.</w:t>
      </w:r>
      <w:r w:rsidRPr="00A35208">
        <w:rPr>
          <w:rFonts w:ascii="Calibri" w:hAnsi="Calibri" w:cs="Calibri"/>
        </w:rPr>
        <w:t xml:space="preserve"> (2017) ‘Doses of nearby nature simultaneously associated with multiple health benefits’, </w:t>
      </w:r>
      <w:r w:rsidRPr="00A35208">
        <w:rPr>
          <w:rFonts w:ascii="Calibri" w:hAnsi="Calibri" w:cs="Calibri"/>
          <w:i/>
          <w:iCs/>
        </w:rPr>
        <w:t>Int J Environ Res Public Health</w:t>
      </w:r>
      <w:r w:rsidRPr="00A35208">
        <w:rPr>
          <w:rFonts w:ascii="Calibri" w:hAnsi="Calibri" w:cs="Calibri"/>
        </w:rPr>
        <w:t>, 14(2), p. 172. Available at: https://doi.org/10.3390/ijerph14020172.</w:t>
      </w:r>
    </w:p>
    <w:p w14:paraId="683E80F6" w14:textId="77777777" w:rsidR="00A35208" w:rsidRPr="00A35208" w:rsidRDefault="00A35208" w:rsidP="00A35208">
      <w:pPr>
        <w:pStyle w:val="Bibliography"/>
        <w:rPr>
          <w:rFonts w:ascii="Calibri" w:hAnsi="Calibri" w:cs="Calibri"/>
        </w:rPr>
      </w:pPr>
      <w:r w:rsidRPr="00A35208">
        <w:rPr>
          <w:rFonts w:ascii="Calibri" w:hAnsi="Calibri" w:cs="Calibri"/>
        </w:rPr>
        <w:t xml:space="preserve">Cracknell, D. </w:t>
      </w:r>
      <w:r w:rsidRPr="00A35208">
        <w:rPr>
          <w:rFonts w:ascii="Calibri" w:hAnsi="Calibri" w:cs="Calibri"/>
          <w:i/>
          <w:iCs/>
        </w:rPr>
        <w:t>et al.</w:t>
      </w:r>
      <w:r w:rsidRPr="00A35208">
        <w:rPr>
          <w:rFonts w:ascii="Calibri" w:hAnsi="Calibri" w:cs="Calibri"/>
        </w:rPr>
        <w:t xml:space="preserve"> (2016) ‘Marine biota and psychological well-being: a preliminary examination of dose–response effects in an aquarium setting’, </w:t>
      </w:r>
      <w:r w:rsidRPr="00A35208">
        <w:rPr>
          <w:rFonts w:ascii="Calibri" w:hAnsi="Calibri" w:cs="Calibri"/>
          <w:i/>
          <w:iCs/>
        </w:rPr>
        <w:t>Environment and Behavior</w:t>
      </w:r>
      <w:r w:rsidRPr="00A35208">
        <w:rPr>
          <w:rFonts w:ascii="Calibri" w:hAnsi="Calibri" w:cs="Calibri"/>
        </w:rPr>
        <w:t>, 48(10), pp. 1242–1269.</w:t>
      </w:r>
    </w:p>
    <w:p w14:paraId="40E64585" w14:textId="77777777" w:rsidR="00A35208" w:rsidRPr="00A35208" w:rsidRDefault="00A35208" w:rsidP="00A35208">
      <w:pPr>
        <w:pStyle w:val="Bibliography"/>
        <w:rPr>
          <w:rFonts w:ascii="Calibri" w:hAnsi="Calibri" w:cs="Calibri"/>
        </w:rPr>
      </w:pPr>
      <w:r w:rsidRPr="00A35208">
        <w:rPr>
          <w:rFonts w:ascii="Calibri" w:hAnsi="Calibri" w:cs="Calibri"/>
        </w:rPr>
        <w:t xml:space="preserve">Cracknell, D. </w:t>
      </w:r>
      <w:r w:rsidRPr="00A35208">
        <w:rPr>
          <w:rFonts w:ascii="Calibri" w:hAnsi="Calibri" w:cs="Calibri"/>
          <w:i/>
          <w:iCs/>
        </w:rPr>
        <w:t>et al.</w:t>
      </w:r>
      <w:r w:rsidRPr="00A35208">
        <w:rPr>
          <w:rFonts w:ascii="Calibri" w:hAnsi="Calibri" w:cs="Calibri"/>
        </w:rPr>
        <w:t xml:space="preserve"> (2017) ‘A preliminary investigation into the restorative potential of public aquaria exhibits: a UK student-based study’, </w:t>
      </w:r>
      <w:r w:rsidRPr="00A35208">
        <w:rPr>
          <w:rFonts w:ascii="Calibri" w:hAnsi="Calibri" w:cs="Calibri"/>
          <w:i/>
          <w:iCs/>
        </w:rPr>
        <w:t>Landscape Research</w:t>
      </w:r>
      <w:r w:rsidRPr="00A35208">
        <w:rPr>
          <w:rFonts w:ascii="Calibri" w:hAnsi="Calibri" w:cs="Calibri"/>
        </w:rPr>
        <w:t>, 42(1), pp. 18–32. Available at: https://doi.org/10.1080/01426397.2016.1243236.</w:t>
      </w:r>
    </w:p>
    <w:p w14:paraId="5D05C539" w14:textId="77777777" w:rsidR="00A35208" w:rsidRPr="00A35208" w:rsidRDefault="00A35208" w:rsidP="00A35208">
      <w:pPr>
        <w:pStyle w:val="Bibliography"/>
        <w:rPr>
          <w:rFonts w:ascii="Calibri" w:hAnsi="Calibri" w:cs="Calibri"/>
        </w:rPr>
      </w:pPr>
      <w:r w:rsidRPr="00A35208">
        <w:rPr>
          <w:rFonts w:ascii="Calibri" w:hAnsi="Calibri" w:cs="Calibri"/>
        </w:rPr>
        <w:t xml:space="preserve">Dallimer, M. </w:t>
      </w:r>
      <w:r w:rsidRPr="00A35208">
        <w:rPr>
          <w:rFonts w:ascii="Calibri" w:hAnsi="Calibri" w:cs="Calibri"/>
          <w:i/>
          <w:iCs/>
        </w:rPr>
        <w:t>et al.</w:t>
      </w:r>
      <w:r w:rsidRPr="00A35208">
        <w:rPr>
          <w:rFonts w:ascii="Calibri" w:hAnsi="Calibri" w:cs="Calibri"/>
        </w:rPr>
        <w:t xml:space="preserve"> (2012) ‘Biodiversity and the Feel-Good Factor: Understanding Associations between Self-Reported Human Well-being and Species Richness’, </w:t>
      </w:r>
      <w:r w:rsidRPr="00A35208">
        <w:rPr>
          <w:rFonts w:ascii="Calibri" w:hAnsi="Calibri" w:cs="Calibri"/>
          <w:i/>
          <w:iCs/>
        </w:rPr>
        <w:t>BioScience</w:t>
      </w:r>
      <w:r w:rsidRPr="00A35208">
        <w:rPr>
          <w:rFonts w:ascii="Calibri" w:hAnsi="Calibri" w:cs="Calibri"/>
        </w:rPr>
        <w:t>, 62(1), pp. 47–55. Available at: https://doi.org/10.1525/bio.2012.62.1.9.</w:t>
      </w:r>
    </w:p>
    <w:p w14:paraId="416C079B" w14:textId="77777777" w:rsidR="00A35208" w:rsidRPr="00A35208" w:rsidRDefault="00A35208" w:rsidP="00A35208">
      <w:pPr>
        <w:pStyle w:val="Bibliography"/>
        <w:rPr>
          <w:rFonts w:ascii="Calibri" w:hAnsi="Calibri" w:cs="Calibri"/>
        </w:rPr>
      </w:pPr>
      <w:r w:rsidRPr="00A35208">
        <w:rPr>
          <w:rFonts w:ascii="Calibri" w:hAnsi="Calibri" w:cs="Calibri"/>
        </w:rPr>
        <w:t xml:space="preserve">Daniels, B. </w:t>
      </w:r>
      <w:r w:rsidRPr="00A35208">
        <w:rPr>
          <w:rFonts w:ascii="Calibri" w:hAnsi="Calibri" w:cs="Calibri"/>
          <w:i/>
          <w:iCs/>
        </w:rPr>
        <w:t>et al.</w:t>
      </w:r>
      <w:r w:rsidRPr="00A35208">
        <w:rPr>
          <w:rFonts w:ascii="Calibri" w:hAnsi="Calibri" w:cs="Calibri"/>
        </w:rPr>
        <w:t xml:space="preserve"> (2018) ‘Assessment of urban green space structures and their quality from a multidimensional perspective’, </w:t>
      </w:r>
      <w:r w:rsidRPr="00A35208">
        <w:rPr>
          <w:rFonts w:ascii="Calibri" w:hAnsi="Calibri" w:cs="Calibri"/>
          <w:i/>
          <w:iCs/>
        </w:rPr>
        <w:t>Science of The Total Environment</w:t>
      </w:r>
      <w:r w:rsidRPr="00A35208">
        <w:rPr>
          <w:rFonts w:ascii="Calibri" w:hAnsi="Calibri" w:cs="Calibri"/>
        </w:rPr>
        <w:t>, 615, pp. 1364–1378. Available at: https://doi.org/10.1016/j.scitotenv.2017.09.167.</w:t>
      </w:r>
    </w:p>
    <w:p w14:paraId="686C8E5D" w14:textId="77777777" w:rsidR="00A35208" w:rsidRPr="00A35208" w:rsidRDefault="00A35208" w:rsidP="00A35208">
      <w:pPr>
        <w:pStyle w:val="Bibliography"/>
        <w:rPr>
          <w:rFonts w:ascii="Calibri" w:hAnsi="Calibri" w:cs="Calibri"/>
        </w:rPr>
      </w:pPr>
      <w:r w:rsidRPr="00A35208">
        <w:rPr>
          <w:rFonts w:ascii="Calibri" w:hAnsi="Calibri" w:cs="Calibri"/>
        </w:rPr>
        <w:t xml:space="preserve">De Bell, S. </w:t>
      </w:r>
      <w:r w:rsidRPr="00A35208">
        <w:rPr>
          <w:rFonts w:ascii="Calibri" w:hAnsi="Calibri" w:cs="Calibri"/>
          <w:i/>
          <w:iCs/>
        </w:rPr>
        <w:t>et al.</w:t>
      </w:r>
      <w:r w:rsidRPr="00A35208">
        <w:rPr>
          <w:rFonts w:ascii="Calibri" w:hAnsi="Calibri" w:cs="Calibri"/>
        </w:rPr>
        <w:t xml:space="preserve"> (2020) ‘Spending time in the garden is positively associated with health and wellbeing: Results from a national survey in England’, </w:t>
      </w:r>
      <w:r w:rsidRPr="00A35208">
        <w:rPr>
          <w:rFonts w:ascii="Calibri" w:hAnsi="Calibri" w:cs="Calibri"/>
          <w:i/>
          <w:iCs/>
        </w:rPr>
        <w:t>Landscape and Urban Planning</w:t>
      </w:r>
      <w:r w:rsidRPr="00A35208">
        <w:rPr>
          <w:rFonts w:ascii="Calibri" w:hAnsi="Calibri" w:cs="Calibri"/>
        </w:rPr>
        <w:t>, 200, p. 103836. Available at: https://doi.org/10.1016/j.landurbplan.2020.103836.</w:t>
      </w:r>
    </w:p>
    <w:p w14:paraId="279E6373" w14:textId="77777777" w:rsidR="00A35208" w:rsidRPr="00A35208" w:rsidRDefault="00A35208" w:rsidP="00A35208">
      <w:pPr>
        <w:pStyle w:val="Bibliography"/>
        <w:rPr>
          <w:rFonts w:ascii="Calibri" w:hAnsi="Calibri" w:cs="Calibri"/>
        </w:rPr>
      </w:pPr>
      <w:r w:rsidRPr="00A35208">
        <w:rPr>
          <w:rFonts w:ascii="Calibri" w:hAnsi="Calibri" w:cs="Calibri"/>
        </w:rPr>
        <w:t xml:space="preserve">Delorme, A. and Makeig, S. (2004) ‘EEGLAB: an open source toolbox for analysis of single-trial EEG dynamics including independent component analysis’, </w:t>
      </w:r>
      <w:r w:rsidRPr="00A35208">
        <w:rPr>
          <w:rFonts w:ascii="Calibri" w:hAnsi="Calibri" w:cs="Calibri"/>
          <w:i/>
          <w:iCs/>
        </w:rPr>
        <w:t>Journal of Neuroscience Methods</w:t>
      </w:r>
      <w:r w:rsidRPr="00A35208">
        <w:rPr>
          <w:rFonts w:ascii="Calibri" w:hAnsi="Calibri" w:cs="Calibri"/>
        </w:rPr>
        <w:t>, 134(1), pp. 9–21. Available at: https://doi.org/10.1016/j.jneumeth.2003.10.009.</w:t>
      </w:r>
    </w:p>
    <w:p w14:paraId="0259E835" w14:textId="77777777" w:rsidR="00A35208" w:rsidRPr="00A35208" w:rsidRDefault="00A35208" w:rsidP="00A35208">
      <w:pPr>
        <w:pStyle w:val="Bibliography"/>
        <w:rPr>
          <w:rFonts w:ascii="Calibri" w:hAnsi="Calibri" w:cs="Calibri"/>
        </w:rPr>
      </w:pPr>
      <w:r w:rsidRPr="00A35208">
        <w:rPr>
          <w:rFonts w:ascii="Calibri" w:hAnsi="Calibri" w:cs="Calibri"/>
        </w:rPr>
        <w:t xml:space="preserve">Deutskens, E. </w:t>
      </w:r>
      <w:r w:rsidRPr="00A35208">
        <w:rPr>
          <w:rFonts w:ascii="Calibri" w:hAnsi="Calibri" w:cs="Calibri"/>
          <w:i/>
          <w:iCs/>
        </w:rPr>
        <w:t>et al.</w:t>
      </w:r>
      <w:r w:rsidRPr="00A35208">
        <w:rPr>
          <w:rFonts w:ascii="Calibri" w:hAnsi="Calibri" w:cs="Calibri"/>
        </w:rPr>
        <w:t xml:space="preserve"> (2004) ‘Response Rate and Response Quality of Internet-Based Surveys: An Experimental Study’, </w:t>
      </w:r>
      <w:r w:rsidRPr="00A35208">
        <w:rPr>
          <w:rFonts w:ascii="Calibri" w:hAnsi="Calibri" w:cs="Calibri"/>
          <w:i/>
          <w:iCs/>
        </w:rPr>
        <w:t>Marketing Letters</w:t>
      </w:r>
      <w:r w:rsidRPr="00A35208">
        <w:rPr>
          <w:rFonts w:ascii="Calibri" w:hAnsi="Calibri" w:cs="Calibri"/>
        </w:rPr>
        <w:t>, 15(1), pp. 21–36. Available at: https://doi.org/10.1023/B:MARK.0000021968.86465.00.</w:t>
      </w:r>
    </w:p>
    <w:p w14:paraId="4E2DD9EC" w14:textId="77777777" w:rsidR="00A35208" w:rsidRPr="00A35208" w:rsidRDefault="00A35208" w:rsidP="00A35208">
      <w:pPr>
        <w:pStyle w:val="Bibliography"/>
        <w:rPr>
          <w:rFonts w:ascii="Calibri" w:hAnsi="Calibri" w:cs="Calibri"/>
        </w:rPr>
      </w:pPr>
      <w:r w:rsidRPr="00A35208">
        <w:rPr>
          <w:rFonts w:ascii="Calibri" w:hAnsi="Calibri" w:cs="Calibri"/>
        </w:rPr>
        <w:t xml:space="preserve">Diamantopoulos, A. </w:t>
      </w:r>
      <w:r w:rsidRPr="00A35208">
        <w:rPr>
          <w:rFonts w:ascii="Calibri" w:hAnsi="Calibri" w:cs="Calibri"/>
          <w:i/>
          <w:iCs/>
        </w:rPr>
        <w:t>et al.</w:t>
      </w:r>
      <w:r w:rsidRPr="00A35208">
        <w:rPr>
          <w:rFonts w:ascii="Calibri" w:hAnsi="Calibri" w:cs="Calibri"/>
        </w:rPr>
        <w:t xml:space="preserve"> (2012) ‘Guidelines for choosing between multi-item and single-item scales for construct measurement: a predictive validity perspective’, </w:t>
      </w:r>
      <w:r w:rsidRPr="00A35208">
        <w:rPr>
          <w:rFonts w:ascii="Calibri" w:hAnsi="Calibri" w:cs="Calibri"/>
          <w:i/>
          <w:iCs/>
        </w:rPr>
        <w:t>Journal of the Academy of Marketing Science</w:t>
      </w:r>
      <w:r w:rsidRPr="00A35208">
        <w:rPr>
          <w:rFonts w:ascii="Calibri" w:hAnsi="Calibri" w:cs="Calibri"/>
        </w:rPr>
        <w:t>, 40(3), pp. 434–449. Available at: https://doi.org/10.1007/s11747-011-0300-3.</w:t>
      </w:r>
    </w:p>
    <w:p w14:paraId="500E1411" w14:textId="77777777" w:rsidR="00A35208" w:rsidRPr="00A35208" w:rsidRDefault="00A35208" w:rsidP="00A35208">
      <w:pPr>
        <w:pStyle w:val="Bibliography"/>
        <w:rPr>
          <w:rFonts w:ascii="Calibri" w:hAnsi="Calibri" w:cs="Calibri"/>
        </w:rPr>
      </w:pPr>
      <w:r w:rsidRPr="00A35208">
        <w:rPr>
          <w:rFonts w:ascii="Calibri" w:hAnsi="Calibri" w:cs="Calibri"/>
        </w:rPr>
        <w:t xml:space="preserve">Dilley, J. and Wolf, K. (2013) ‘Homeowner Interactions with Residential Trees in Urban Areas’, </w:t>
      </w:r>
      <w:r w:rsidRPr="00A35208">
        <w:rPr>
          <w:rFonts w:ascii="Calibri" w:hAnsi="Calibri" w:cs="Calibri"/>
          <w:i/>
          <w:iCs/>
        </w:rPr>
        <w:t>Arboriculture &amp; Urban Forestry</w:t>
      </w:r>
      <w:r w:rsidRPr="00A35208">
        <w:rPr>
          <w:rFonts w:ascii="Calibri" w:hAnsi="Calibri" w:cs="Calibri"/>
        </w:rPr>
        <w:t>, 39(6). Available at: https://doi.org/10.48044/jauf.2013.034.</w:t>
      </w:r>
    </w:p>
    <w:p w14:paraId="4724BF25" w14:textId="77777777" w:rsidR="00A35208" w:rsidRPr="00A35208" w:rsidRDefault="00A35208" w:rsidP="00A35208">
      <w:pPr>
        <w:pStyle w:val="Bibliography"/>
        <w:rPr>
          <w:rFonts w:ascii="Calibri" w:hAnsi="Calibri" w:cs="Calibri"/>
        </w:rPr>
      </w:pPr>
      <w:r w:rsidRPr="00A35208">
        <w:rPr>
          <w:rFonts w:ascii="Calibri" w:hAnsi="Calibri" w:cs="Calibri"/>
        </w:rPr>
        <w:lastRenderedPageBreak/>
        <w:t xml:space="preserve">Douglas, B.D., Ewell, P.J. and Brauer, M. (2023) ‘Data quality in online human-subjects research: Comparisons between MTurk, Prolific, CloudResearch, Qualtrics, and SONA’, </w:t>
      </w:r>
      <w:r w:rsidRPr="00A35208">
        <w:rPr>
          <w:rFonts w:ascii="Calibri" w:hAnsi="Calibri" w:cs="Calibri"/>
          <w:i/>
          <w:iCs/>
        </w:rPr>
        <w:t>PLOS ONE</w:t>
      </w:r>
      <w:r w:rsidRPr="00A35208">
        <w:rPr>
          <w:rFonts w:ascii="Calibri" w:hAnsi="Calibri" w:cs="Calibri"/>
        </w:rPr>
        <w:t>, 18(3), p. e0279720. Available at: https://doi.org/10.1371/journal.pone.0279720.</w:t>
      </w:r>
    </w:p>
    <w:p w14:paraId="67C5C8A7" w14:textId="77777777" w:rsidR="00A35208" w:rsidRPr="00A35208" w:rsidRDefault="00A35208" w:rsidP="00A35208">
      <w:pPr>
        <w:pStyle w:val="Bibliography"/>
        <w:rPr>
          <w:rFonts w:ascii="Calibri" w:hAnsi="Calibri" w:cs="Calibri"/>
        </w:rPr>
      </w:pPr>
      <w:r w:rsidRPr="00A35208">
        <w:rPr>
          <w:rFonts w:ascii="Calibri" w:hAnsi="Calibri" w:cs="Calibri"/>
        </w:rPr>
        <w:t xml:space="preserve">Douglas, J.W.A. and Evans, K.L. (2022) ‘An experimental test of the impact of avian diversity on attentional benefits and enjoyment of people experiencing urban green‐space’, </w:t>
      </w:r>
      <w:r w:rsidRPr="00A35208">
        <w:rPr>
          <w:rFonts w:ascii="Calibri" w:hAnsi="Calibri" w:cs="Calibri"/>
          <w:i/>
          <w:iCs/>
        </w:rPr>
        <w:t>People and Nature</w:t>
      </w:r>
      <w:r w:rsidRPr="00A35208">
        <w:rPr>
          <w:rFonts w:ascii="Calibri" w:hAnsi="Calibri" w:cs="Calibri"/>
        </w:rPr>
        <w:t>, 4(1), pp. 243–259. Available at: https://doi.org/10.1002/pan3.10279.</w:t>
      </w:r>
    </w:p>
    <w:p w14:paraId="29AFA32F" w14:textId="77777777" w:rsidR="00A35208" w:rsidRPr="00A35208" w:rsidRDefault="00A35208" w:rsidP="00A35208">
      <w:pPr>
        <w:pStyle w:val="Bibliography"/>
        <w:rPr>
          <w:rFonts w:ascii="Calibri" w:hAnsi="Calibri" w:cs="Calibri"/>
        </w:rPr>
      </w:pPr>
      <w:r w:rsidRPr="00A35208">
        <w:rPr>
          <w:rFonts w:ascii="Calibri" w:hAnsi="Calibri" w:cs="Calibri"/>
        </w:rPr>
        <w:t xml:space="preserve">Ducarme, F. and Couvet, D. (2020) ‘What does “nature” mean?’, </w:t>
      </w:r>
      <w:r w:rsidRPr="00A35208">
        <w:rPr>
          <w:rFonts w:ascii="Calibri" w:hAnsi="Calibri" w:cs="Calibri"/>
          <w:i/>
          <w:iCs/>
        </w:rPr>
        <w:t>Palgrave Communications</w:t>
      </w:r>
      <w:r w:rsidRPr="00A35208">
        <w:rPr>
          <w:rFonts w:ascii="Calibri" w:hAnsi="Calibri" w:cs="Calibri"/>
        </w:rPr>
        <w:t>, 6(1), p. 14. Available at: https://doi.org/10.1057/s41599-020-0390-y.</w:t>
      </w:r>
    </w:p>
    <w:p w14:paraId="521406DC" w14:textId="77777777" w:rsidR="00A35208" w:rsidRPr="00A35208" w:rsidRDefault="00A35208" w:rsidP="00A35208">
      <w:pPr>
        <w:pStyle w:val="Bibliography"/>
        <w:rPr>
          <w:rFonts w:ascii="Calibri" w:hAnsi="Calibri" w:cs="Calibri"/>
        </w:rPr>
      </w:pPr>
      <w:r w:rsidRPr="00A35208">
        <w:rPr>
          <w:rFonts w:ascii="Calibri" w:hAnsi="Calibri" w:cs="Calibri"/>
        </w:rPr>
        <w:t xml:space="preserve">Elsadek, M. </w:t>
      </w:r>
      <w:r w:rsidRPr="00A35208">
        <w:rPr>
          <w:rFonts w:ascii="Calibri" w:hAnsi="Calibri" w:cs="Calibri"/>
          <w:i/>
          <w:iCs/>
        </w:rPr>
        <w:t>et al.</w:t>
      </w:r>
      <w:r w:rsidRPr="00A35208">
        <w:rPr>
          <w:rFonts w:ascii="Calibri" w:hAnsi="Calibri" w:cs="Calibri"/>
        </w:rPr>
        <w:t xml:space="preserve"> (2019) ‘Cross-cultural comparison of physiological and psychological responses to different garden styles’, </w:t>
      </w:r>
      <w:r w:rsidRPr="00A35208">
        <w:rPr>
          <w:rFonts w:ascii="Calibri" w:hAnsi="Calibri" w:cs="Calibri"/>
          <w:i/>
          <w:iCs/>
        </w:rPr>
        <w:t>Urban Forestry &amp; Urban Greening</w:t>
      </w:r>
      <w:r w:rsidRPr="00A35208">
        <w:rPr>
          <w:rFonts w:ascii="Calibri" w:hAnsi="Calibri" w:cs="Calibri"/>
        </w:rPr>
        <w:t>, 38, pp. 74–83. Available at: https://doi.org/10.1016/j.ufug.2018.11.007.</w:t>
      </w:r>
    </w:p>
    <w:p w14:paraId="6557F605" w14:textId="77777777" w:rsidR="00A35208" w:rsidRPr="00A35208" w:rsidRDefault="00A35208" w:rsidP="00A35208">
      <w:pPr>
        <w:pStyle w:val="Bibliography"/>
        <w:rPr>
          <w:rFonts w:ascii="Calibri" w:hAnsi="Calibri" w:cs="Calibri"/>
        </w:rPr>
      </w:pPr>
      <w:r w:rsidRPr="00A35208">
        <w:rPr>
          <w:rFonts w:ascii="Calibri" w:hAnsi="Calibri" w:cs="Calibri"/>
        </w:rPr>
        <w:t xml:space="preserve">Elsadek, M. and Liu, B. (2020) ‘Effects of viewing flowering plants on employees’ wellbeing in an office-like environment’, </w:t>
      </w:r>
      <w:r w:rsidRPr="00A35208">
        <w:rPr>
          <w:rFonts w:ascii="Calibri" w:hAnsi="Calibri" w:cs="Calibri"/>
          <w:i/>
          <w:iCs/>
        </w:rPr>
        <w:t>Indoor and Built Environment</w:t>
      </w:r>
      <w:r w:rsidRPr="00A35208">
        <w:rPr>
          <w:rFonts w:ascii="Calibri" w:hAnsi="Calibri" w:cs="Calibri"/>
        </w:rPr>
        <w:t>, p. 1420326X20942572. Available at: https://doi.org/10.1177/1420326X20942572.</w:t>
      </w:r>
    </w:p>
    <w:p w14:paraId="7A85FE52" w14:textId="77777777" w:rsidR="00A35208" w:rsidRPr="00A35208" w:rsidRDefault="00A35208" w:rsidP="00A35208">
      <w:pPr>
        <w:pStyle w:val="Bibliography"/>
        <w:rPr>
          <w:rFonts w:ascii="Calibri" w:hAnsi="Calibri" w:cs="Calibri"/>
        </w:rPr>
      </w:pPr>
      <w:r w:rsidRPr="00A35208">
        <w:rPr>
          <w:rFonts w:ascii="Calibri" w:hAnsi="Calibri" w:cs="Calibri"/>
        </w:rPr>
        <w:t xml:space="preserve">Elsadek, M., Liu, B. and Xie, J. (2020) ‘Window view and relaxation: Viewing green space from a high-rise estate improves urban dwellers’ wellbeing’, </w:t>
      </w:r>
      <w:r w:rsidRPr="00A35208">
        <w:rPr>
          <w:rFonts w:ascii="Calibri" w:hAnsi="Calibri" w:cs="Calibri"/>
          <w:i/>
          <w:iCs/>
        </w:rPr>
        <w:t>Urban Forestry &amp; Urban Greening</w:t>
      </w:r>
      <w:r w:rsidRPr="00A35208">
        <w:rPr>
          <w:rFonts w:ascii="Calibri" w:hAnsi="Calibri" w:cs="Calibri"/>
        </w:rPr>
        <w:t>, 55, p. 126846. Available at: https://doi.org/10.1016/j.ufug.2020.126846.</w:t>
      </w:r>
    </w:p>
    <w:p w14:paraId="017A8E32" w14:textId="77777777" w:rsidR="00A35208" w:rsidRPr="00A35208" w:rsidRDefault="00A35208" w:rsidP="00A35208">
      <w:pPr>
        <w:pStyle w:val="Bibliography"/>
        <w:rPr>
          <w:rFonts w:ascii="Calibri" w:hAnsi="Calibri" w:cs="Calibri"/>
        </w:rPr>
      </w:pPr>
      <w:r w:rsidRPr="00A35208">
        <w:rPr>
          <w:rFonts w:ascii="Calibri" w:hAnsi="Calibri" w:cs="Calibri"/>
        </w:rPr>
        <w:t xml:space="preserve">European Commission (2019) </w:t>
      </w:r>
      <w:r w:rsidRPr="00A35208">
        <w:rPr>
          <w:rFonts w:ascii="Calibri" w:hAnsi="Calibri" w:cs="Calibri"/>
          <w:i/>
          <w:iCs/>
        </w:rPr>
        <w:t>Guidance on a strategic framework for further supporting the deployment of EU-level green and blue infrastructure</w:t>
      </w:r>
      <w:r w:rsidRPr="00A35208">
        <w:rPr>
          <w:rFonts w:ascii="Calibri" w:hAnsi="Calibri" w:cs="Calibri"/>
        </w:rPr>
        <w:t>. European Commission. Available at: https://data.consilium.europa.eu/doc/document/ST-9762-2019-INIT/en/pdf (Accessed: 30 July 2024).</w:t>
      </w:r>
    </w:p>
    <w:p w14:paraId="55ADD81F" w14:textId="77777777" w:rsidR="00A35208" w:rsidRPr="00A35208" w:rsidRDefault="00A35208" w:rsidP="00A35208">
      <w:pPr>
        <w:pStyle w:val="Bibliography"/>
        <w:rPr>
          <w:rFonts w:ascii="Calibri" w:hAnsi="Calibri" w:cs="Calibri"/>
        </w:rPr>
      </w:pPr>
      <w:r w:rsidRPr="00A35208">
        <w:rPr>
          <w:rFonts w:ascii="Calibri" w:hAnsi="Calibri" w:cs="Calibri"/>
        </w:rPr>
        <w:t xml:space="preserve">European Commission </w:t>
      </w:r>
      <w:r w:rsidRPr="00A35208">
        <w:rPr>
          <w:rFonts w:ascii="Calibri" w:hAnsi="Calibri" w:cs="Calibri"/>
          <w:i/>
          <w:iCs/>
        </w:rPr>
        <w:t>et al.</w:t>
      </w:r>
      <w:r w:rsidRPr="00A35208">
        <w:rPr>
          <w:rFonts w:ascii="Calibri" w:hAnsi="Calibri" w:cs="Calibri"/>
        </w:rPr>
        <w:t xml:space="preserve"> (2020) </w:t>
      </w:r>
      <w:r w:rsidRPr="00A35208">
        <w:rPr>
          <w:rFonts w:ascii="Calibri" w:hAnsi="Calibri" w:cs="Calibri"/>
          <w:i/>
          <w:iCs/>
        </w:rPr>
        <w:t>Nature-based solutions – State of the art in EU-funded projects</w:t>
      </w:r>
      <w:r w:rsidRPr="00A35208">
        <w:rPr>
          <w:rFonts w:ascii="Calibri" w:hAnsi="Calibri" w:cs="Calibri"/>
        </w:rPr>
        <w:t>. Edited by T. Freitas, S. Vandewoestijne, and T. Wild. Publications Office of the European Union. Available at: https://doi.org/10.2777/236007.</w:t>
      </w:r>
    </w:p>
    <w:p w14:paraId="094913CE" w14:textId="77777777" w:rsidR="00A35208" w:rsidRPr="00A35208" w:rsidRDefault="00A35208" w:rsidP="00A35208">
      <w:pPr>
        <w:pStyle w:val="Bibliography"/>
        <w:rPr>
          <w:rFonts w:ascii="Calibri" w:hAnsi="Calibri" w:cs="Calibri"/>
        </w:rPr>
      </w:pPr>
      <w:r w:rsidRPr="00A35208">
        <w:rPr>
          <w:rFonts w:ascii="Calibri" w:hAnsi="Calibri" w:cs="Calibri"/>
        </w:rPr>
        <w:t xml:space="preserve">Farris, S., Dempsey, N., </w:t>
      </w:r>
      <w:r w:rsidRPr="00A35208">
        <w:rPr>
          <w:rFonts w:ascii="Calibri" w:hAnsi="Calibri" w:cs="Calibri"/>
          <w:i/>
          <w:iCs/>
        </w:rPr>
        <w:t>et al.</w:t>
      </w:r>
      <w:r w:rsidRPr="00A35208">
        <w:rPr>
          <w:rFonts w:ascii="Calibri" w:hAnsi="Calibri" w:cs="Calibri"/>
        </w:rPr>
        <w:t xml:space="preserve"> (2024) ‘Does increasing biodiversity in an urban woodland setting promote positive emotional responses in humans? A stress recovery experiment using 360-degree videos of an urban woodland’, </w:t>
      </w:r>
      <w:r w:rsidRPr="00A35208">
        <w:rPr>
          <w:rFonts w:ascii="Calibri" w:hAnsi="Calibri" w:cs="Calibri"/>
          <w:i/>
          <w:iCs/>
        </w:rPr>
        <w:t>PLOS ONE</w:t>
      </w:r>
      <w:r w:rsidRPr="00A35208">
        <w:rPr>
          <w:rFonts w:ascii="Calibri" w:hAnsi="Calibri" w:cs="Calibri"/>
        </w:rPr>
        <w:t>. Edited by T. Bhadauria, 19(2), p. e0297179. Available at: https://doi.org/10.1371/journal.pone.0297179.</w:t>
      </w:r>
    </w:p>
    <w:p w14:paraId="53896C0C" w14:textId="77777777" w:rsidR="00A35208" w:rsidRPr="00A35208" w:rsidRDefault="00A35208" w:rsidP="00A35208">
      <w:pPr>
        <w:pStyle w:val="Bibliography"/>
        <w:rPr>
          <w:rFonts w:ascii="Calibri" w:hAnsi="Calibri" w:cs="Calibri"/>
        </w:rPr>
      </w:pPr>
      <w:r w:rsidRPr="00A35208">
        <w:rPr>
          <w:rFonts w:ascii="Calibri" w:hAnsi="Calibri" w:cs="Calibri"/>
        </w:rPr>
        <w:t xml:space="preserve">Farris, S., Zhang, L., </w:t>
      </w:r>
      <w:r w:rsidRPr="00A35208">
        <w:rPr>
          <w:rFonts w:ascii="Calibri" w:hAnsi="Calibri" w:cs="Calibri"/>
          <w:i/>
          <w:iCs/>
        </w:rPr>
        <w:t>et al.</w:t>
      </w:r>
      <w:r w:rsidRPr="00A35208">
        <w:rPr>
          <w:rFonts w:ascii="Calibri" w:hAnsi="Calibri" w:cs="Calibri"/>
        </w:rPr>
        <w:t xml:space="preserve"> (2024) ‘“The Elephant in the Room” – does actual or perceived biodiversity elicit restorative responses in a virtual park?’, </w:t>
      </w:r>
      <w:r w:rsidRPr="00A35208">
        <w:rPr>
          <w:rFonts w:ascii="Calibri" w:hAnsi="Calibri" w:cs="Calibri"/>
          <w:i/>
          <w:iCs/>
        </w:rPr>
        <w:t>Cities &amp; Health</w:t>
      </w:r>
      <w:r w:rsidRPr="00A35208">
        <w:rPr>
          <w:rFonts w:ascii="Calibri" w:hAnsi="Calibri" w:cs="Calibri"/>
        </w:rPr>
        <w:t>, pp. 1–16. Available at: https://doi.org/10.1080/23748834.2024.2383825.</w:t>
      </w:r>
    </w:p>
    <w:p w14:paraId="5A02FAA0" w14:textId="77777777" w:rsidR="00A35208" w:rsidRPr="00A35208" w:rsidRDefault="00A35208" w:rsidP="00A35208">
      <w:pPr>
        <w:pStyle w:val="Bibliography"/>
        <w:rPr>
          <w:rFonts w:ascii="Calibri" w:hAnsi="Calibri" w:cs="Calibri"/>
        </w:rPr>
      </w:pPr>
      <w:r w:rsidRPr="00A35208">
        <w:rPr>
          <w:rFonts w:ascii="Calibri" w:hAnsi="Calibri" w:cs="Calibri"/>
        </w:rPr>
        <w:t xml:space="preserve">Faul, F. </w:t>
      </w:r>
      <w:r w:rsidRPr="00A35208">
        <w:rPr>
          <w:rFonts w:ascii="Calibri" w:hAnsi="Calibri" w:cs="Calibri"/>
          <w:i/>
          <w:iCs/>
        </w:rPr>
        <w:t>et al.</w:t>
      </w:r>
      <w:r w:rsidRPr="00A35208">
        <w:rPr>
          <w:rFonts w:ascii="Calibri" w:hAnsi="Calibri" w:cs="Calibri"/>
        </w:rPr>
        <w:t xml:space="preserve"> (2007) ‘G*Power 3: A flexible statistical power analysis program for the social, behavioral, and biomedical sciences’, </w:t>
      </w:r>
      <w:r w:rsidRPr="00A35208">
        <w:rPr>
          <w:rFonts w:ascii="Calibri" w:hAnsi="Calibri" w:cs="Calibri"/>
          <w:i/>
          <w:iCs/>
        </w:rPr>
        <w:t>Behavior Research Methods</w:t>
      </w:r>
      <w:r w:rsidRPr="00A35208">
        <w:rPr>
          <w:rFonts w:ascii="Calibri" w:hAnsi="Calibri" w:cs="Calibri"/>
        </w:rPr>
        <w:t>, 39(2), pp. 175–191. Available at: https://doi.org/10.3758/BF03193146.</w:t>
      </w:r>
    </w:p>
    <w:p w14:paraId="3F55A60A" w14:textId="77777777" w:rsidR="00A35208" w:rsidRPr="00A35208" w:rsidRDefault="00A35208" w:rsidP="00A35208">
      <w:pPr>
        <w:pStyle w:val="Bibliography"/>
        <w:rPr>
          <w:rFonts w:ascii="Calibri" w:hAnsi="Calibri" w:cs="Calibri"/>
        </w:rPr>
      </w:pPr>
      <w:r w:rsidRPr="00A35208">
        <w:rPr>
          <w:rFonts w:ascii="Calibri" w:hAnsi="Calibri" w:cs="Calibri"/>
        </w:rPr>
        <w:lastRenderedPageBreak/>
        <w:t xml:space="preserve">Fausto, C. (2019) ‘The Integration of Emotional Expression and Experience: A Pragmatist Review of Recent Evidence From Brain Stimulation’, </w:t>
      </w:r>
      <w:r w:rsidRPr="00A35208">
        <w:rPr>
          <w:rFonts w:ascii="Calibri" w:hAnsi="Calibri" w:cs="Calibri"/>
          <w:i/>
          <w:iCs/>
        </w:rPr>
        <w:t>Emotion Review</w:t>
      </w:r>
      <w:r w:rsidRPr="00A35208">
        <w:rPr>
          <w:rFonts w:ascii="Calibri" w:hAnsi="Calibri" w:cs="Calibri"/>
        </w:rPr>
        <w:t>, 11(1), pp. 27–38. Available at: https://doi.org/10.1177/1754073917723461.</w:t>
      </w:r>
    </w:p>
    <w:p w14:paraId="53CFA646" w14:textId="77777777" w:rsidR="00A35208" w:rsidRPr="00A35208" w:rsidRDefault="00A35208" w:rsidP="00A35208">
      <w:pPr>
        <w:pStyle w:val="Bibliography"/>
        <w:rPr>
          <w:rFonts w:ascii="Calibri" w:hAnsi="Calibri" w:cs="Calibri"/>
        </w:rPr>
      </w:pPr>
      <w:r w:rsidRPr="00A35208">
        <w:rPr>
          <w:rFonts w:ascii="Calibri" w:hAnsi="Calibri" w:cs="Calibri"/>
        </w:rPr>
        <w:t xml:space="preserve">Feng, X. </w:t>
      </w:r>
      <w:r w:rsidRPr="00A35208">
        <w:rPr>
          <w:rFonts w:ascii="Calibri" w:hAnsi="Calibri" w:cs="Calibri"/>
          <w:i/>
          <w:iCs/>
        </w:rPr>
        <w:t>et al.</w:t>
      </w:r>
      <w:r w:rsidRPr="00A35208">
        <w:rPr>
          <w:rFonts w:ascii="Calibri" w:hAnsi="Calibri" w:cs="Calibri"/>
        </w:rPr>
        <w:t xml:space="preserve"> (2022) ‘Green space quality and adolescent mental health: do personality traits matter?’, </w:t>
      </w:r>
      <w:r w:rsidRPr="00A35208">
        <w:rPr>
          <w:rFonts w:ascii="Calibri" w:hAnsi="Calibri" w:cs="Calibri"/>
          <w:i/>
          <w:iCs/>
        </w:rPr>
        <w:t>Environmental Research</w:t>
      </w:r>
      <w:r w:rsidRPr="00A35208">
        <w:rPr>
          <w:rFonts w:ascii="Calibri" w:hAnsi="Calibri" w:cs="Calibri"/>
        </w:rPr>
        <w:t>, 206, p. 112591. Available at: https://doi.org/10.1016/j.envres.2021.112591.</w:t>
      </w:r>
    </w:p>
    <w:p w14:paraId="602AA0B2" w14:textId="77777777" w:rsidR="00A35208" w:rsidRPr="00A35208" w:rsidRDefault="00A35208" w:rsidP="00A35208">
      <w:pPr>
        <w:pStyle w:val="Bibliography"/>
        <w:rPr>
          <w:rFonts w:ascii="Calibri" w:hAnsi="Calibri" w:cs="Calibri"/>
        </w:rPr>
      </w:pPr>
      <w:r w:rsidRPr="00A35208">
        <w:rPr>
          <w:rFonts w:ascii="Calibri" w:hAnsi="Calibri" w:cs="Calibri"/>
        </w:rPr>
        <w:t xml:space="preserve">Fenoglio, M.S. </w:t>
      </w:r>
      <w:r w:rsidRPr="00A35208">
        <w:rPr>
          <w:rFonts w:ascii="Calibri" w:hAnsi="Calibri" w:cs="Calibri"/>
          <w:i/>
          <w:iCs/>
        </w:rPr>
        <w:t>et al.</w:t>
      </w:r>
      <w:r w:rsidRPr="00A35208">
        <w:rPr>
          <w:rFonts w:ascii="Calibri" w:hAnsi="Calibri" w:cs="Calibri"/>
        </w:rPr>
        <w:t xml:space="preserve"> (2021) ‘Urbanisation drivers and underlying mechanisms of terrestrial insect diversity loss in cities’, </w:t>
      </w:r>
      <w:r w:rsidRPr="00A35208">
        <w:rPr>
          <w:rFonts w:ascii="Calibri" w:hAnsi="Calibri" w:cs="Calibri"/>
          <w:i/>
          <w:iCs/>
        </w:rPr>
        <w:t>Ecological Entomology</w:t>
      </w:r>
      <w:r w:rsidRPr="00A35208">
        <w:rPr>
          <w:rFonts w:ascii="Calibri" w:hAnsi="Calibri" w:cs="Calibri"/>
        </w:rPr>
        <w:t>, 46(4), pp. 757–771. Available at: https://doi.org/10.1111/een.13041.</w:t>
      </w:r>
    </w:p>
    <w:p w14:paraId="5E63C1A0" w14:textId="77777777" w:rsidR="00A35208" w:rsidRPr="00A35208" w:rsidRDefault="00A35208" w:rsidP="00A35208">
      <w:pPr>
        <w:pStyle w:val="Bibliography"/>
        <w:rPr>
          <w:rFonts w:ascii="Calibri" w:hAnsi="Calibri" w:cs="Calibri"/>
        </w:rPr>
      </w:pPr>
      <w:r w:rsidRPr="00A35208">
        <w:rPr>
          <w:rFonts w:ascii="Calibri" w:hAnsi="Calibri" w:cs="Calibri"/>
        </w:rPr>
        <w:t xml:space="preserve">Ferraro, D.M. </w:t>
      </w:r>
      <w:r w:rsidRPr="00A35208">
        <w:rPr>
          <w:rFonts w:ascii="Calibri" w:hAnsi="Calibri" w:cs="Calibri"/>
          <w:i/>
          <w:iCs/>
        </w:rPr>
        <w:t>et al.</w:t>
      </w:r>
      <w:r w:rsidRPr="00A35208">
        <w:rPr>
          <w:rFonts w:ascii="Calibri" w:hAnsi="Calibri" w:cs="Calibri"/>
        </w:rPr>
        <w:t xml:space="preserve"> (2020) ‘The phantom chorus: birdsong boosts human well-being in protected areas’, </w:t>
      </w:r>
      <w:r w:rsidRPr="00A35208">
        <w:rPr>
          <w:rFonts w:ascii="Calibri" w:hAnsi="Calibri" w:cs="Calibri"/>
          <w:i/>
          <w:iCs/>
        </w:rPr>
        <w:t>Proceedings of the Royal Society B: Biological Sciences</w:t>
      </w:r>
      <w:r w:rsidRPr="00A35208">
        <w:rPr>
          <w:rFonts w:ascii="Calibri" w:hAnsi="Calibri" w:cs="Calibri"/>
        </w:rPr>
        <w:t>, 287(1941), p. 20201811. Available at: https://doi.org/10.1098/rspb.2020.1811.</w:t>
      </w:r>
    </w:p>
    <w:p w14:paraId="340805B8" w14:textId="77777777" w:rsidR="00A35208" w:rsidRPr="00A35208" w:rsidRDefault="00A35208" w:rsidP="00A35208">
      <w:pPr>
        <w:pStyle w:val="Bibliography"/>
        <w:rPr>
          <w:rFonts w:ascii="Calibri" w:hAnsi="Calibri" w:cs="Calibri"/>
        </w:rPr>
      </w:pPr>
      <w:r w:rsidRPr="00A35208">
        <w:rPr>
          <w:rFonts w:ascii="Calibri" w:hAnsi="Calibri" w:cs="Calibri"/>
        </w:rPr>
        <w:t xml:space="preserve">Field, A.P. (2018) </w:t>
      </w:r>
      <w:r w:rsidRPr="00A35208">
        <w:rPr>
          <w:rFonts w:ascii="Calibri" w:hAnsi="Calibri" w:cs="Calibri"/>
          <w:i/>
          <w:iCs/>
        </w:rPr>
        <w:t>Discovering statistics using IBM SPSS statistics</w:t>
      </w:r>
      <w:r w:rsidRPr="00A35208">
        <w:rPr>
          <w:rFonts w:ascii="Calibri" w:hAnsi="Calibri" w:cs="Calibri"/>
        </w:rPr>
        <w:t>. Fifth edition. Los Angeles: Los Angeles : SAGE, 2018.</w:t>
      </w:r>
    </w:p>
    <w:p w14:paraId="32D04195" w14:textId="77777777" w:rsidR="00A35208" w:rsidRPr="00A35208" w:rsidRDefault="00A35208" w:rsidP="00A35208">
      <w:pPr>
        <w:pStyle w:val="Bibliography"/>
        <w:rPr>
          <w:rFonts w:ascii="Calibri" w:hAnsi="Calibri" w:cs="Calibri"/>
        </w:rPr>
      </w:pPr>
      <w:r w:rsidRPr="00A35208">
        <w:rPr>
          <w:rFonts w:ascii="Calibri" w:hAnsi="Calibri" w:cs="Calibri"/>
        </w:rPr>
        <w:t xml:space="preserve">Fisher, J.C. </w:t>
      </w:r>
      <w:r w:rsidRPr="00A35208">
        <w:rPr>
          <w:rFonts w:ascii="Calibri" w:hAnsi="Calibri" w:cs="Calibri"/>
          <w:i/>
          <w:iCs/>
        </w:rPr>
        <w:t>et al.</w:t>
      </w:r>
      <w:r w:rsidRPr="00A35208">
        <w:rPr>
          <w:rFonts w:ascii="Calibri" w:hAnsi="Calibri" w:cs="Calibri"/>
        </w:rPr>
        <w:t xml:space="preserve"> (2021) ‘Perceived biodiversity, sound, naturalness and safety enhance the restorative quality and wellbeing benefits of green and blue space in a neotropical city’, </w:t>
      </w:r>
      <w:r w:rsidRPr="00A35208">
        <w:rPr>
          <w:rFonts w:ascii="Calibri" w:hAnsi="Calibri" w:cs="Calibri"/>
          <w:i/>
          <w:iCs/>
        </w:rPr>
        <w:t>Science of The Total Environment</w:t>
      </w:r>
      <w:r w:rsidRPr="00A35208">
        <w:rPr>
          <w:rFonts w:ascii="Calibri" w:hAnsi="Calibri" w:cs="Calibri"/>
        </w:rPr>
        <w:t>, 755, p. 143095. Available at: https://doi.org/10.1016/j.scitotenv.2020.143095.</w:t>
      </w:r>
    </w:p>
    <w:p w14:paraId="7A70AD85" w14:textId="77777777" w:rsidR="00A35208" w:rsidRPr="00A35208" w:rsidRDefault="00A35208" w:rsidP="00A35208">
      <w:pPr>
        <w:pStyle w:val="Bibliography"/>
        <w:rPr>
          <w:rFonts w:ascii="Calibri" w:hAnsi="Calibri" w:cs="Calibri"/>
        </w:rPr>
      </w:pPr>
      <w:r w:rsidRPr="00A35208">
        <w:rPr>
          <w:rFonts w:ascii="Calibri" w:hAnsi="Calibri" w:cs="Calibri"/>
        </w:rPr>
        <w:t xml:space="preserve">Fisher, J.C. </w:t>
      </w:r>
      <w:r w:rsidRPr="00A35208">
        <w:rPr>
          <w:rFonts w:ascii="Calibri" w:hAnsi="Calibri" w:cs="Calibri"/>
          <w:i/>
          <w:iCs/>
        </w:rPr>
        <w:t>et al.</w:t>
      </w:r>
      <w:r w:rsidRPr="00A35208">
        <w:rPr>
          <w:rFonts w:ascii="Calibri" w:hAnsi="Calibri" w:cs="Calibri"/>
        </w:rPr>
        <w:t xml:space="preserve"> (2023) ‘Human well-being responses to species’ traits’, </w:t>
      </w:r>
      <w:r w:rsidRPr="00A35208">
        <w:rPr>
          <w:rFonts w:ascii="Calibri" w:hAnsi="Calibri" w:cs="Calibri"/>
          <w:i/>
          <w:iCs/>
        </w:rPr>
        <w:t>Nature Sustainability</w:t>
      </w:r>
      <w:r w:rsidRPr="00A35208">
        <w:rPr>
          <w:rFonts w:ascii="Calibri" w:hAnsi="Calibri" w:cs="Calibri"/>
        </w:rPr>
        <w:t xml:space="preserve"> [Preprint]. Available at: https://doi.org/10.1038/s41893-023-01151-3.</w:t>
      </w:r>
    </w:p>
    <w:p w14:paraId="4FBDB097" w14:textId="77777777" w:rsidR="00A35208" w:rsidRPr="00A35208" w:rsidRDefault="00A35208" w:rsidP="00A35208">
      <w:pPr>
        <w:pStyle w:val="Bibliography"/>
        <w:rPr>
          <w:rFonts w:ascii="Calibri" w:hAnsi="Calibri" w:cs="Calibri"/>
        </w:rPr>
      </w:pPr>
      <w:r w:rsidRPr="00A35208">
        <w:rPr>
          <w:rFonts w:ascii="Calibri" w:hAnsi="Calibri" w:cs="Calibri"/>
        </w:rPr>
        <w:t xml:space="preserve">Franco, L.S., Shanahan, D.F. and Fuller, R.A. (2017) ‘A Review of the Benefits of Nature Experiences: More Than Meets the Eye’, </w:t>
      </w:r>
      <w:r w:rsidRPr="00A35208">
        <w:rPr>
          <w:rFonts w:ascii="Calibri" w:hAnsi="Calibri" w:cs="Calibri"/>
          <w:i/>
          <w:iCs/>
        </w:rPr>
        <w:t>International Journal of Environmental Research and Public Health</w:t>
      </w:r>
      <w:r w:rsidRPr="00A35208">
        <w:rPr>
          <w:rFonts w:ascii="Calibri" w:hAnsi="Calibri" w:cs="Calibri"/>
        </w:rPr>
        <w:t>, 14(8). Available at: https://doi.org/10.3390/ijerph14080864.</w:t>
      </w:r>
    </w:p>
    <w:p w14:paraId="3B2C72A3" w14:textId="77777777" w:rsidR="00A35208" w:rsidRPr="00A35208" w:rsidRDefault="00A35208" w:rsidP="00A35208">
      <w:pPr>
        <w:pStyle w:val="Bibliography"/>
        <w:rPr>
          <w:rFonts w:ascii="Calibri" w:hAnsi="Calibri" w:cs="Calibri"/>
        </w:rPr>
      </w:pPr>
      <w:r w:rsidRPr="00A35208">
        <w:rPr>
          <w:rFonts w:ascii="Calibri" w:hAnsi="Calibri" w:cs="Calibri"/>
        </w:rPr>
        <w:t xml:space="preserve">Frank, D.J. (1997) ‘Science, Nature, and the Globalization of the Environment, 1870-1990’, </w:t>
      </w:r>
      <w:r w:rsidRPr="00A35208">
        <w:rPr>
          <w:rFonts w:ascii="Calibri" w:hAnsi="Calibri" w:cs="Calibri"/>
          <w:i/>
          <w:iCs/>
        </w:rPr>
        <w:t>Social Forces</w:t>
      </w:r>
      <w:r w:rsidRPr="00A35208">
        <w:rPr>
          <w:rFonts w:ascii="Calibri" w:hAnsi="Calibri" w:cs="Calibri"/>
        </w:rPr>
        <w:t>, 76(2), p. 409. Available at: https://doi.org/10.2307/2580719.</w:t>
      </w:r>
    </w:p>
    <w:p w14:paraId="3336B2A1" w14:textId="77777777" w:rsidR="00A35208" w:rsidRPr="00A35208" w:rsidRDefault="00A35208" w:rsidP="00A35208">
      <w:pPr>
        <w:pStyle w:val="Bibliography"/>
        <w:rPr>
          <w:rFonts w:ascii="Calibri" w:hAnsi="Calibri" w:cs="Calibri"/>
        </w:rPr>
      </w:pPr>
      <w:r w:rsidRPr="00A35208">
        <w:rPr>
          <w:rFonts w:ascii="Calibri" w:hAnsi="Calibri" w:cs="Calibri"/>
        </w:rPr>
        <w:t xml:space="preserve">Fromm, E. (1977) </w:t>
      </w:r>
      <w:r w:rsidRPr="00A35208">
        <w:rPr>
          <w:rFonts w:ascii="Calibri" w:hAnsi="Calibri" w:cs="Calibri"/>
          <w:i/>
          <w:iCs/>
        </w:rPr>
        <w:t>The anatomy of human destructiveness</w:t>
      </w:r>
      <w:r w:rsidRPr="00A35208">
        <w:rPr>
          <w:rFonts w:ascii="Calibri" w:hAnsi="Calibri" w:cs="Calibri"/>
        </w:rPr>
        <w:t>. Harmondsworth (etc.): Harmondsworth etc. : Penguin, 1977.</w:t>
      </w:r>
    </w:p>
    <w:p w14:paraId="546F950A" w14:textId="77777777" w:rsidR="00A35208" w:rsidRPr="00A35208" w:rsidRDefault="00A35208" w:rsidP="00A35208">
      <w:pPr>
        <w:pStyle w:val="Bibliography"/>
        <w:rPr>
          <w:rFonts w:ascii="Calibri" w:hAnsi="Calibri" w:cs="Calibri"/>
        </w:rPr>
      </w:pPr>
      <w:r w:rsidRPr="00A35208">
        <w:rPr>
          <w:rFonts w:ascii="Calibri" w:hAnsi="Calibri" w:cs="Calibri"/>
        </w:rPr>
        <w:t xml:space="preserve">Frumkin, H. </w:t>
      </w:r>
      <w:r w:rsidRPr="00A35208">
        <w:rPr>
          <w:rFonts w:ascii="Calibri" w:hAnsi="Calibri" w:cs="Calibri"/>
          <w:i/>
          <w:iCs/>
        </w:rPr>
        <w:t>et al.</w:t>
      </w:r>
      <w:r w:rsidRPr="00A35208">
        <w:rPr>
          <w:rFonts w:ascii="Calibri" w:hAnsi="Calibri" w:cs="Calibri"/>
        </w:rPr>
        <w:t xml:space="preserve"> (2017) ‘Nature Contact and Human Health: A Research Agenda’, </w:t>
      </w:r>
      <w:r w:rsidRPr="00A35208">
        <w:rPr>
          <w:rFonts w:ascii="Calibri" w:hAnsi="Calibri" w:cs="Calibri"/>
          <w:i/>
          <w:iCs/>
        </w:rPr>
        <w:t>Environmental Health Perspectives (Online)</w:t>
      </w:r>
      <w:r w:rsidRPr="00A35208">
        <w:rPr>
          <w:rFonts w:ascii="Calibri" w:hAnsi="Calibri" w:cs="Calibri"/>
        </w:rPr>
        <w:t>, 125(7). Available at: https://doi.org/10.1289/EHP1663.</w:t>
      </w:r>
    </w:p>
    <w:p w14:paraId="57B59692" w14:textId="77777777" w:rsidR="00A35208" w:rsidRPr="00A35208" w:rsidRDefault="00A35208" w:rsidP="00A35208">
      <w:pPr>
        <w:pStyle w:val="Bibliography"/>
        <w:rPr>
          <w:rFonts w:ascii="Calibri" w:hAnsi="Calibri" w:cs="Calibri"/>
        </w:rPr>
      </w:pPr>
      <w:r w:rsidRPr="00A35208">
        <w:rPr>
          <w:rFonts w:ascii="Calibri" w:hAnsi="Calibri" w:cs="Calibri"/>
        </w:rPr>
        <w:t xml:space="preserve">Fuller, R.A. </w:t>
      </w:r>
      <w:r w:rsidRPr="00A35208">
        <w:rPr>
          <w:rFonts w:ascii="Calibri" w:hAnsi="Calibri" w:cs="Calibri"/>
          <w:i/>
          <w:iCs/>
        </w:rPr>
        <w:t>et al.</w:t>
      </w:r>
      <w:r w:rsidRPr="00A35208">
        <w:rPr>
          <w:rFonts w:ascii="Calibri" w:hAnsi="Calibri" w:cs="Calibri"/>
        </w:rPr>
        <w:t xml:space="preserve"> (2007) ‘Psychological benefits of greenspace increase with biodiversity.’, </w:t>
      </w:r>
      <w:r w:rsidRPr="00A35208">
        <w:rPr>
          <w:rFonts w:ascii="Calibri" w:hAnsi="Calibri" w:cs="Calibri"/>
          <w:i/>
          <w:iCs/>
        </w:rPr>
        <w:t>Biology letters</w:t>
      </w:r>
      <w:r w:rsidRPr="00A35208">
        <w:rPr>
          <w:rFonts w:ascii="Calibri" w:hAnsi="Calibri" w:cs="Calibri"/>
        </w:rPr>
        <w:t>. Edited by R.A. Fuller, 3(4), pp. 390–394. Available at: https://doi.org/10.1098/rsbl.2007.0149.</w:t>
      </w:r>
    </w:p>
    <w:p w14:paraId="6C5E3521" w14:textId="77777777" w:rsidR="00A35208" w:rsidRPr="00A35208" w:rsidRDefault="00A35208" w:rsidP="00A35208">
      <w:pPr>
        <w:pStyle w:val="Bibliography"/>
        <w:rPr>
          <w:rFonts w:ascii="Calibri" w:hAnsi="Calibri" w:cs="Calibri"/>
        </w:rPr>
      </w:pPr>
      <w:r w:rsidRPr="00A35208">
        <w:rPr>
          <w:rFonts w:ascii="Calibri" w:hAnsi="Calibri" w:cs="Calibri"/>
        </w:rPr>
        <w:t xml:space="preserve">Gaines, B.J., Kuklinski, J.H. and Quirk, P.J. (2007) ‘The logic of the survey experiment reexamined’, </w:t>
      </w:r>
      <w:r w:rsidRPr="00A35208">
        <w:rPr>
          <w:rFonts w:ascii="Calibri" w:hAnsi="Calibri" w:cs="Calibri"/>
          <w:i/>
          <w:iCs/>
        </w:rPr>
        <w:t>Political Analysis</w:t>
      </w:r>
      <w:r w:rsidRPr="00A35208">
        <w:rPr>
          <w:rFonts w:ascii="Calibri" w:hAnsi="Calibri" w:cs="Calibri"/>
        </w:rPr>
        <w:t>, 15(1), pp. 1–20. Available at: https://doi.org/10.1093/pan/mpl008.</w:t>
      </w:r>
    </w:p>
    <w:p w14:paraId="752927E0" w14:textId="77777777" w:rsidR="00A35208" w:rsidRPr="00A35208" w:rsidRDefault="00A35208" w:rsidP="00A35208">
      <w:pPr>
        <w:pStyle w:val="Bibliography"/>
        <w:rPr>
          <w:rFonts w:ascii="Calibri" w:hAnsi="Calibri" w:cs="Calibri"/>
        </w:rPr>
      </w:pPr>
      <w:r w:rsidRPr="00A35208">
        <w:rPr>
          <w:rFonts w:ascii="Calibri" w:hAnsi="Calibri" w:cs="Calibri"/>
        </w:rPr>
        <w:lastRenderedPageBreak/>
        <w:t xml:space="preserve">Galesic, M. and Bosnjak, M. (2009) ‘Effects of Questionnaire Length on Participation and Indicators of Response Quality in a Web Survey’, </w:t>
      </w:r>
      <w:r w:rsidRPr="00A35208">
        <w:rPr>
          <w:rFonts w:ascii="Calibri" w:hAnsi="Calibri" w:cs="Calibri"/>
          <w:i/>
          <w:iCs/>
        </w:rPr>
        <w:t>Public Opinion Quarterly</w:t>
      </w:r>
      <w:r w:rsidRPr="00A35208">
        <w:rPr>
          <w:rFonts w:ascii="Calibri" w:hAnsi="Calibri" w:cs="Calibri"/>
        </w:rPr>
        <w:t>, 73(2), pp. 349–360. Available at: https://doi.org/10.1093/poq/nfp031.</w:t>
      </w:r>
    </w:p>
    <w:p w14:paraId="46EBA400" w14:textId="77777777" w:rsidR="00A35208" w:rsidRPr="00A35208" w:rsidRDefault="00A35208" w:rsidP="00A35208">
      <w:pPr>
        <w:pStyle w:val="Bibliography"/>
        <w:rPr>
          <w:rFonts w:ascii="Calibri" w:hAnsi="Calibri" w:cs="Calibri"/>
        </w:rPr>
      </w:pPr>
      <w:r w:rsidRPr="00A35208">
        <w:rPr>
          <w:rFonts w:ascii="Calibri" w:hAnsi="Calibri" w:cs="Calibri"/>
        </w:rPr>
        <w:t xml:space="preserve">Gaston, K.J. </w:t>
      </w:r>
      <w:r w:rsidRPr="00A35208">
        <w:rPr>
          <w:rFonts w:ascii="Calibri" w:hAnsi="Calibri" w:cs="Calibri"/>
          <w:i/>
          <w:iCs/>
        </w:rPr>
        <w:t>et al.</w:t>
      </w:r>
      <w:r w:rsidRPr="00A35208">
        <w:rPr>
          <w:rFonts w:ascii="Calibri" w:hAnsi="Calibri" w:cs="Calibri"/>
        </w:rPr>
        <w:t xml:space="preserve"> (2005) ‘Urban Domestic Gardens (IV): The Extent of the Resource and its Associated Features’, </w:t>
      </w:r>
      <w:r w:rsidRPr="00A35208">
        <w:rPr>
          <w:rFonts w:ascii="Calibri" w:hAnsi="Calibri" w:cs="Calibri"/>
          <w:i/>
          <w:iCs/>
        </w:rPr>
        <w:t>Biodiversity and Conservation</w:t>
      </w:r>
      <w:r w:rsidRPr="00A35208">
        <w:rPr>
          <w:rFonts w:ascii="Calibri" w:hAnsi="Calibri" w:cs="Calibri"/>
        </w:rPr>
        <w:t>, 14(14), pp. 3327–3349. Available at: https://doi.org/10.1007/s10531-004-9513-9.</w:t>
      </w:r>
    </w:p>
    <w:p w14:paraId="58FF75EE" w14:textId="77777777" w:rsidR="00A35208" w:rsidRPr="00A35208" w:rsidRDefault="00A35208" w:rsidP="00A35208">
      <w:pPr>
        <w:pStyle w:val="Bibliography"/>
        <w:rPr>
          <w:rFonts w:ascii="Calibri" w:hAnsi="Calibri" w:cs="Calibri"/>
        </w:rPr>
      </w:pPr>
      <w:r w:rsidRPr="00A35208">
        <w:rPr>
          <w:rFonts w:ascii="Calibri" w:hAnsi="Calibri" w:cs="Calibri"/>
        </w:rPr>
        <w:t xml:space="preserve">Gentile, A. </w:t>
      </w:r>
      <w:r w:rsidRPr="00A35208">
        <w:rPr>
          <w:rFonts w:ascii="Calibri" w:hAnsi="Calibri" w:cs="Calibri"/>
          <w:i/>
          <w:iCs/>
        </w:rPr>
        <w:t>et al.</w:t>
      </w:r>
      <w:r w:rsidRPr="00A35208">
        <w:rPr>
          <w:rFonts w:ascii="Calibri" w:hAnsi="Calibri" w:cs="Calibri"/>
        </w:rPr>
        <w:t xml:space="preserve"> (2023) ‘Nature through virtual reality as a stress-reduction tool: A systematic review.’, </w:t>
      </w:r>
      <w:r w:rsidRPr="00A35208">
        <w:rPr>
          <w:rFonts w:ascii="Calibri" w:hAnsi="Calibri" w:cs="Calibri"/>
          <w:i/>
          <w:iCs/>
        </w:rPr>
        <w:t>International Journal of Stress Management</w:t>
      </w:r>
      <w:r w:rsidRPr="00A35208">
        <w:rPr>
          <w:rFonts w:ascii="Calibri" w:hAnsi="Calibri" w:cs="Calibri"/>
        </w:rPr>
        <w:t xml:space="preserve"> [Preprint]. Available at: https://doi.org/10.1037/str0000300.</w:t>
      </w:r>
    </w:p>
    <w:p w14:paraId="5B5C14CF" w14:textId="77777777" w:rsidR="00A35208" w:rsidRPr="00A35208" w:rsidRDefault="00A35208" w:rsidP="00A35208">
      <w:pPr>
        <w:pStyle w:val="Bibliography"/>
        <w:rPr>
          <w:rFonts w:ascii="Calibri" w:hAnsi="Calibri" w:cs="Calibri"/>
        </w:rPr>
      </w:pPr>
      <w:r w:rsidRPr="00A35208">
        <w:rPr>
          <w:rFonts w:ascii="Calibri" w:hAnsi="Calibri" w:cs="Calibri"/>
        </w:rPr>
        <w:t xml:space="preserve">Gilbert, P. (2005) </w:t>
      </w:r>
      <w:r w:rsidRPr="00A35208">
        <w:rPr>
          <w:rFonts w:ascii="Calibri" w:hAnsi="Calibri" w:cs="Calibri"/>
          <w:i/>
          <w:iCs/>
        </w:rPr>
        <w:t>Compassion: Conceptualisations, research and use in psychotherapy</w:t>
      </w:r>
      <w:r w:rsidRPr="00A35208">
        <w:rPr>
          <w:rFonts w:ascii="Calibri" w:hAnsi="Calibri" w:cs="Calibri"/>
        </w:rPr>
        <w:t>. Routledge.</w:t>
      </w:r>
    </w:p>
    <w:p w14:paraId="769731DF" w14:textId="77777777" w:rsidR="00A35208" w:rsidRPr="00A35208" w:rsidRDefault="00A35208" w:rsidP="00A35208">
      <w:pPr>
        <w:pStyle w:val="Bibliography"/>
        <w:rPr>
          <w:rFonts w:ascii="Calibri" w:hAnsi="Calibri" w:cs="Calibri"/>
        </w:rPr>
      </w:pPr>
      <w:r w:rsidRPr="00A35208">
        <w:rPr>
          <w:rFonts w:ascii="Calibri" w:hAnsi="Calibri" w:cs="Calibri"/>
        </w:rPr>
        <w:t xml:space="preserve">Gilbert, P. (2009) ‘Introducing compassion-focused therapy’, </w:t>
      </w:r>
      <w:r w:rsidRPr="00A35208">
        <w:rPr>
          <w:rFonts w:ascii="Calibri" w:hAnsi="Calibri" w:cs="Calibri"/>
          <w:i/>
          <w:iCs/>
        </w:rPr>
        <w:t>Advances in Psychiatric Treatment</w:t>
      </w:r>
      <w:r w:rsidRPr="00A35208">
        <w:rPr>
          <w:rFonts w:ascii="Calibri" w:hAnsi="Calibri" w:cs="Calibri"/>
        </w:rPr>
        <w:t>, 15(3), pp. 199–208. Available at: https://doi.org/10.1192/apt.bp.107.005264.</w:t>
      </w:r>
    </w:p>
    <w:p w14:paraId="21612EB3" w14:textId="77777777" w:rsidR="00A35208" w:rsidRPr="00A35208" w:rsidRDefault="00A35208" w:rsidP="00A35208">
      <w:pPr>
        <w:pStyle w:val="Bibliography"/>
        <w:rPr>
          <w:rFonts w:ascii="Calibri" w:hAnsi="Calibri" w:cs="Calibri"/>
        </w:rPr>
      </w:pPr>
      <w:r w:rsidRPr="00A35208">
        <w:rPr>
          <w:rFonts w:ascii="Calibri" w:hAnsi="Calibri" w:cs="Calibri"/>
        </w:rPr>
        <w:t xml:space="preserve">Gilgen-Ammann, R., Schweizer, T. and Wyss, T. (2019) ‘RR interval signal quality of a heart rate monitor and an ECG Holter at rest and during exercise’, </w:t>
      </w:r>
      <w:r w:rsidRPr="00A35208">
        <w:rPr>
          <w:rFonts w:ascii="Calibri" w:hAnsi="Calibri" w:cs="Calibri"/>
          <w:i/>
          <w:iCs/>
        </w:rPr>
        <w:t>European journal of applied physiology</w:t>
      </w:r>
      <w:r w:rsidRPr="00A35208">
        <w:rPr>
          <w:rFonts w:ascii="Calibri" w:hAnsi="Calibri" w:cs="Calibri"/>
        </w:rPr>
        <w:t>, 119(7), pp. 1525–1532.</w:t>
      </w:r>
    </w:p>
    <w:p w14:paraId="28495814" w14:textId="77777777" w:rsidR="00A35208" w:rsidRPr="00A35208" w:rsidRDefault="00A35208" w:rsidP="00A35208">
      <w:pPr>
        <w:pStyle w:val="Bibliography"/>
        <w:rPr>
          <w:rFonts w:ascii="Calibri" w:hAnsi="Calibri" w:cs="Calibri"/>
        </w:rPr>
      </w:pPr>
      <w:r w:rsidRPr="00A35208">
        <w:rPr>
          <w:rFonts w:ascii="Calibri" w:hAnsi="Calibri" w:cs="Calibri"/>
        </w:rPr>
        <w:t xml:space="preserve">Gonçalves, P. </w:t>
      </w:r>
      <w:r w:rsidRPr="00A35208">
        <w:rPr>
          <w:rFonts w:ascii="Calibri" w:hAnsi="Calibri" w:cs="Calibri"/>
          <w:i/>
          <w:iCs/>
        </w:rPr>
        <w:t>et al.</w:t>
      </w:r>
      <w:r w:rsidRPr="00A35208">
        <w:rPr>
          <w:rFonts w:ascii="Calibri" w:hAnsi="Calibri" w:cs="Calibri"/>
        </w:rPr>
        <w:t xml:space="preserve"> (2021) ‘What’s biodiversity got to do with it? Perceptions of biodiversity and restorativeness in urban parks’, </w:t>
      </w:r>
      <w:r w:rsidRPr="00A35208">
        <w:rPr>
          <w:rFonts w:ascii="Calibri" w:hAnsi="Calibri" w:cs="Calibri"/>
          <w:i/>
          <w:iCs/>
        </w:rPr>
        <w:t>Ecology and Society</w:t>
      </w:r>
      <w:r w:rsidRPr="00A35208">
        <w:rPr>
          <w:rFonts w:ascii="Calibri" w:hAnsi="Calibri" w:cs="Calibri"/>
        </w:rPr>
        <w:t>, 26(3). Available at: https://doi.org/10.5751/ES-12598-260325.</w:t>
      </w:r>
    </w:p>
    <w:p w14:paraId="20C4C2F2" w14:textId="77777777" w:rsidR="00A35208" w:rsidRPr="00A35208" w:rsidRDefault="00A35208" w:rsidP="00A35208">
      <w:pPr>
        <w:pStyle w:val="Bibliography"/>
        <w:rPr>
          <w:rFonts w:ascii="Calibri" w:hAnsi="Calibri" w:cs="Calibri"/>
        </w:rPr>
      </w:pPr>
      <w:r w:rsidRPr="00A35208">
        <w:rPr>
          <w:rFonts w:ascii="Calibri" w:hAnsi="Calibri" w:cs="Calibri"/>
        </w:rPr>
        <w:t xml:space="preserve">Grahn, P. and Stigsdotter, U.K. (2010) ‘The relation between perceived sensory dimensions of urban green space and stress restoration’, </w:t>
      </w:r>
      <w:r w:rsidRPr="00A35208">
        <w:rPr>
          <w:rFonts w:ascii="Calibri" w:hAnsi="Calibri" w:cs="Calibri"/>
          <w:i/>
          <w:iCs/>
        </w:rPr>
        <w:t>Landscape and Urban Planning</w:t>
      </w:r>
      <w:r w:rsidRPr="00A35208">
        <w:rPr>
          <w:rFonts w:ascii="Calibri" w:hAnsi="Calibri" w:cs="Calibri"/>
        </w:rPr>
        <w:t>, 94(3–4), pp. 264–275. Available at: https://doi.org/10.1016/j.landurbplan.2009.10.012.</w:t>
      </w:r>
    </w:p>
    <w:p w14:paraId="377782ED" w14:textId="77777777" w:rsidR="00A35208" w:rsidRPr="00A35208" w:rsidRDefault="00A35208" w:rsidP="00A35208">
      <w:pPr>
        <w:pStyle w:val="Bibliography"/>
        <w:rPr>
          <w:rFonts w:ascii="Calibri" w:hAnsi="Calibri" w:cs="Calibri"/>
        </w:rPr>
      </w:pPr>
      <w:r w:rsidRPr="00A35208">
        <w:rPr>
          <w:rFonts w:ascii="Calibri" w:hAnsi="Calibri" w:cs="Calibri"/>
        </w:rPr>
        <w:t xml:space="preserve">Greenhouse, S.W. and Geisser, S. (1959) ‘On methods in the analysis of profile data’, </w:t>
      </w:r>
      <w:r w:rsidRPr="00A35208">
        <w:rPr>
          <w:rFonts w:ascii="Calibri" w:hAnsi="Calibri" w:cs="Calibri"/>
          <w:i/>
          <w:iCs/>
        </w:rPr>
        <w:t>Psychometrika</w:t>
      </w:r>
      <w:r w:rsidRPr="00A35208">
        <w:rPr>
          <w:rFonts w:ascii="Calibri" w:hAnsi="Calibri" w:cs="Calibri"/>
        </w:rPr>
        <w:t>, 24(2), pp. 95–112. Available at: https://doi.org/10.1007/BF02289823.</w:t>
      </w:r>
    </w:p>
    <w:p w14:paraId="7EE67CBC" w14:textId="77777777" w:rsidR="00A35208" w:rsidRPr="00A35208" w:rsidRDefault="00A35208" w:rsidP="00A35208">
      <w:pPr>
        <w:pStyle w:val="Bibliography"/>
        <w:rPr>
          <w:rFonts w:ascii="Calibri" w:hAnsi="Calibri" w:cs="Calibri"/>
        </w:rPr>
      </w:pPr>
      <w:r w:rsidRPr="00A35208">
        <w:rPr>
          <w:rFonts w:ascii="Calibri" w:hAnsi="Calibri" w:cs="Calibri"/>
        </w:rPr>
        <w:t xml:space="preserve">Grönroos, M. </w:t>
      </w:r>
      <w:r w:rsidRPr="00A35208">
        <w:rPr>
          <w:rFonts w:ascii="Calibri" w:hAnsi="Calibri" w:cs="Calibri"/>
          <w:i/>
          <w:iCs/>
        </w:rPr>
        <w:t>et al.</w:t>
      </w:r>
      <w:r w:rsidRPr="00A35208">
        <w:rPr>
          <w:rFonts w:ascii="Calibri" w:hAnsi="Calibri" w:cs="Calibri"/>
        </w:rPr>
        <w:t xml:space="preserve"> (2019) ‘Short‐term direct contact with soil and plant materials leads to an immediate increase in diversity of skin microbiota’, </w:t>
      </w:r>
      <w:r w:rsidRPr="00A35208">
        <w:rPr>
          <w:rFonts w:ascii="Calibri" w:hAnsi="Calibri" w:cs="Calibri"/>
          <w:i/>
          <w:iCs/>
        </w:rPr>
        <w:t>MicrobiologyOpen</w:t>
      </w:r>
      <w:r w:rsidRPr="00A35208">
        <w:rPr>
          <w:rFonts w:ascii="Calibri" w:hAnsi="Calibri" w:cs="Calibri"/>
        </w:rPr>
        <w:t>, 8(3), p. e00645. Available at: https://doi.org/10.1002/mbo3.645.</w:t>
      </w:r>
    </w:p>
    <w:p w14:paraId="6B4C32CD" w14:textId="77777777" w:rsidR="00A35208" w:rsidRPr="00A35208" w:rsidRDefault="00A35208" w:rsidP="00A35208">
      <w:pPr>
        <w:pStyle w:val="Bibliography"/>
        <w:rPr>
          <w:rFonts w:ascii="Calibri" w:hAnsi="Calibri" w:cs="Calibri"/>
        </w:rPr>
      </w:pPr>
      <w:r w:rsidRPr="00A35208">
        <w:rPr>
          <w:rFonts w:ascii="Calibri" w:hAnsi="Calibri" w:cs="Calibri"/>
        </w:rPr>
        <w:t xml:space="preserve">Gross, J.J., Sheppes, G. and Urry, H.L. (2011) ‘Cognition and Emotion Lecture at the 2010 SPSP Emotion Preconference: Emotion generation and emotion regulation: A distinction we should make (carefully)’, </w:t>
      </w:r>
      <w:r w:rsidRPr="00A35208">
        <w:rPr>
          <w:rFonts w:ascii="Calibri" w:hAnsi="Calibri" w:cs="Calibri"/>
          <w:i/>
          <w:iCs/>
        </w:rPr>
        <w:t>Cognition &amp; Emotion</w:t>
      </w:r>
      <w:r w:rsidRPr="00A35208">
        <w:rPr>
          <w:rFonts w:ascii="Calibri" w:hAnsi="Calibri" w:cs="Calibri"/>
        </w:rPr>
        <w:t>, 25(5), pp. 765–781. Available at: https://doi.org/10.1080/02699931.2011.555753.</w:t>
      </w:r>
    </w:p>
    <w:p w14:paraId="6545E213" w14:textId="77777777" w:rsidR="00A35208" w:rsidRPr="00A35208" w:rsidRDefault="00A35208" w:rsidP="00A35208">
      <w:pPr>
        <w:pStyle w:val="Bibliography"/>
        <w:rPr>
          <w:rFonts w:ascii="Calibri" w:hAnsi="Calibri" w:cs="Calibri"/>
        </w:rPr>
      </w:pPr>
      <w:r w:rsidRPr="00A35208">
        <w:rPr>
          <w:rFonts w:ascii="Calibri" w:hAnsi="Calibri" w:cs="Calibri"/>
        </w:rPr>
        <w:t xml:space="preserve">Gross, J.J., Uusberg, H. and Uusberg, A. (2019) ‘Mental illness and well-being: an affect regulation perspective’, </w:t>
      </w:r>
      <w:r w:rsidRPr="00A35208">
        <w:rPr>
          <w:rFonts w:ascii="Calibri" w:hAnsi="Calibri" w:cs="Calibri"/>
          <w:i/>
          <w:iCs/>
        </w:rPr>
        <w:t>World Psychiatry</w:t>
      </w:r>
      <w:r w:rsidRPr="00A35208">
        <w:rPr>
          <w:rFonts w:ascii="Calibri" w:hAnsi="Calibri" w:cs="Calibri"/>
        </w:rPr>
        <w:t>, 18(2), pp. 130–139. Available at: https://doi.org/10.1002/wps.20618.</w:t>
      </w:r>
    </w:p>
    <w:p w14:paraId="44FED9A1" w14:textId="77777777" w:rsidR="00A35208" w:rsidRPr="00A35208" w:rsidRDefault="00A35208" w:rsidP="00A35208">
      <w:pPr>
        <w:pStyle w:val="Bibliography"/>
        <w:rPr>
          <w:rFonts w:ascii="Calibri" w:hAnsi="Calibri" w:cs="Calibri"/>
        </w:rPr>
      </w:pPr>
      <w:r w:rsidRPr="00A35208">
        <w:rPr>
          <w:rFonts w:ascii="Calibri" w:hAnsi="Calibri" w:cs="Calibri"/>
        </w:rPr>
        <w:lastRenderedPageBreak/>
        <w:t xml:space="preserve">Guerrero, P. </w:t>
      </w:r>
      <w:r w:rsidRPr="00A35208">
        <w:rPr>
          <w:rFonts w:ascii="Calibri" w:hAnsi="Calibri" w:cs="Calibri"/>
          <w:i/>
          <w:iCs/>
        </w:rPr>
        <w:t>et al.</w:t>
      </w:r>
      <w:r w:rsidRPr="00A35208">
        <w:rPr>
          <w:rFonts w:ascii="Calibri" w:hAnsi="Calibri" w:cs="Calibri"/>
        </w:rPr>
        <w:t xml:space="preserve"> (2016) ‘Revealing cultural ecosystem services through instagram images: The potential of social media volunteered geographic information for urban green infrastructure planning and governance’, </w:t>
      </w:r>
      <w:r w:rsidRPr="00A35208">
        <w:rPr>
          <w:rFonts w:ascii="Calibri" w:hAnsi="Calibri" w:cs="Calibri"/>
          <w:i/>
          <w:iCs/>
        </w:rPr>
        <w:t>Urban Planning</w:t>
      </w:r>
      <w:r w:rsidRPr="00A35208">
        <w:rPr>
          <w:rFonts w:ascii="Calibri" w:hAnsi="Calibri" w:cs="Calibri"/>
        </w:rPr>
        <w:t>, 1(2), pp. 1–17. Available at: https://doi.org/10.17645/up.v1i2.609.</w:t>
      </w:r>
    </w:p>
    <w:p w14:paraId="7FEFD073" w14:textId="77777777" w:rsidR="00A35208" w:rsidRPr="00A35208" w:rsidRDefault="00A35208" w:rsidP="00A35208">
      <w:pPr>
        <w:pStyle w:val="Bibliography"/>
        <w:rPr>
          <w:rFonts w:ascii="Calibri" w:hAnsi="Calibri" w:cs="Calibri"/>
        </w:rPr>
      </w:pPr>
      <w:r w:rsidRPr="00A35208">
        <w:rPr>
          <w:rFonts w:ascii="Calibri" w:hAnsi="Calibri" w:cs="Calibri"/>
        </w:rPr>
        <w:t xml:space="preserve">Gulyas, B.Z. and Edmondson, J.L. (2024) ‘The contribution of household fruit and vegetable growing to fruit and vegetable self‐sufficiency and consumption’, </w:t>
      </w:r>
      <w:r w:rsidRPr="00A35208">
        <w:rPr>
          <w:rFonts w:ascii="Calibri" w:hAnsi="Calibri" w:cs="Calibri"/>
          <w:i/>
          <w:iCs/>
        </w:rPr>
        <w:t>PLANTS, PEOPLE, PLANET</w:t>
      </w:r>
      <w:r w:rsidRPr="00A35208">
        <w:rPr>
          <w:rFonts w:ascii="Calibri" w:hAnsi="Calibri" w:cs="Calibri"/>
        </w:rPr>
        <w:t>, 6(1), pp. 162–173. Available at: https://doi.org/10.1002/ppp3.10413.</w:t>
      </w:r>
    </w:p>
    <w:p w14:paraId="2E1CB940" w14:textId="77777777" w:rsidR="00A35208" w:rsidRPr="00A35208" w:rsidRDefault="00A35208" w:rsidP="00A35208">
      <w:pPr>
        <w:pStyle w:val="Bibliography"/>
        <w:rPr>
          <w:rFonts w:ascii="Calibri" w:hAnsi="Calibri" w:cs="Calibri"/>
        </w:rPr>
      </w:pPr>
      <w:r w:rsidRPr="00A35208">
        <w:rPr>
          <w:rFonts w:ascii="Calibri" w:hAnsi="Calibri" w:cs="Calibri"/>
        </w:rPr>
        <w:t xml:space="preserve">Gunawardena, K.R., Wells, M.J. and Kershaw, T. (2017) ‘Utilising green and bluespace to mitigate urban heat island intensity’, </w:t>
      </w:r>
      <w:r w:rsidRPr="00A35208">
        <w:rPr>
          <w:rFonts w:ascii="Calibri" w:hAnsi="Calibri" w:cs="Calibri"/>
          <w:i/>
          <w:iCs/>
        </w:rPr>
        <w:t>Science of The Total Environment</w:t>
      </w:r>
      <w:r w:rsidRPr="00A35208">
        <w:rPr>
          <w:rFonts w:ascii="Calibri" w:hAnsi="Calibri" w:cs="Calibri"/>
        </w:rPr>
        <w:t>, 584–585, pp. 1040–1055. Available at: https://doi.org/10.1016/j.scitotenv.2017.01.158.</w:t>
      </w:r>
    </w:p>
    <w:p w14:paraId="1EFB8E44" w14:textId="77777777" w:rsidR="00A35208" w:rsidRPr="00A35208" w:rsidRDefault="00A35208" w:rsidP="00A35208">
      <w:pPr>
        <w:pStyle w:val="Bibliography"/>
        <w:rPr>
          <w:rFonts w:ascii="Calibri" w:hAnsi="Calibri" w:cs="Calibri"/>
        </w:rPr>
      </w:pPr>
      <w:r w:rsidRPr="00A35208">
        <w:rPr>
          <w:rFonts w:ascii="Calibri" w:hAnsi="Calibri" w:cs="Calibri"/>
        </w:rPr>
        <w:t xml:space="preserve">Gunnarsson, B. and Hedblom, M. (2023) ‘Biophilia revisited: nature versus nurture’, </w:t>
      </w:r>
      <w:r w:rsidRPr="00A35208">
        <w:rPr>
          <w:rFonts w:ascii="Calibri" w:hAnsi="Calibri" w:cs="Calibri"/>
          <w:i/>
          <w:iCs/>
        </w:rPr>
        <w:t>Trends in Ecology &amp; Evolution</w:t>
      </w:r>
      <w:r w:rsidRPr="00A35208">
        <w:rPr>
          <w:rFonts w:ascii="Calibri" w:hAnsi="Calibri" w:cs="Calibri"/>
        </w:rPr>
        <w:t>, 38(9), pp. 792–794. Available at: https://doi.org/10.1016/j.tree.2023.06.002.</w:t>
      </w:r>
    </w:p>
    <w:p w14:paraId="338D7B27" w14:textId="77777777" w:rsidR="00A35208" w:rsidRPr="00A35208" w:rsidRDefault="00A35208" w:rsidP="00A35208">
      <w:pPr>
        <w:pStyle w:val="Bibliography"/>
        <w:rPr>
          <w:rFonts w:ascii="Calibri" w:hAnsi="Calibri" w:cs="Calibri"/>
        </w:rPr>
      </w:pPr>
      <w:r w:rsidRPr="00A35208">
        <w:rPr>
          <w:rFonts w:ascii="Calibri" w:hAnsi="Calibri" w:cs="Calibri"/>
        </w:rPr>
        <w:t xml:space="preserve">Guo, M. and Gan, Y. (2010) ‘Reliability and validity of the Chinese version of positive and negative affect schedule-expanded in 660 college students’, </w:t>
      </w:r>
      <w:r w:rsidRPr="00A35208">
        <w:rPr>
          <w:rFonts w:ascii="Calibri" w:hAnsi="Calibri" w:cs="Calibri"/>
          <w:i/>
          <w:iCs/>
        </w:rPr>
        <w:t>Chinese Mental Health Journal</w:t>
      </w:r>
      <w:r w:rsidRPr="00A35208">
        <w:rPr>
          <w:rFonts w:ascii="Calibri" w:hAnsi="Calibri" w:cs="Calibri"/>
        </w:rPr>
        <w:t>, 24(7), pp. 524–528.</w:t>
      </w:r>
    </w:p>
    <w:p w14:paraId="55BA66B3" w14:textId="77777777" w:rsidR="00A35208" w:rsidRPr="00A35208" w:rsidRDefault="00A35208" w:rsidP="00A35208">
      <w:pPr>
        <w:pStyle w:val="Bibliography"/>
        <w:rPr>
          <w:rFonts w:ascii="Calibri" w:hAnsi="Calibri" w:cs="Calibri"/>
        </w:rPr>
      </w:pPr>
      <w:r w:rsidRPr="00A35208">
        <w:rPr>
          <w:rFonts w:ascii="Calibri" w:hAnsi="Calibri" w:cs="Calibri"/>
        </w:rPr>
        <w:t xml:space="preserve">Guyot, M. </w:t>
      </w:r>
      <w:r w:rsidRPr="00A35208">
        <w:rPr>
          <w:rFonts w:ascii="Calibri" w:hAnsi="Calibri" w:cs="Calibri"/>
          <w:i/>
          <w:iCs/>
        </w:rPr>
        <w:t>et al.</w:t>
      </w:r>
      <w:r w:rsidRPr="00A35208">
        <w:rPr>
          <w:rFonts w:ascii="Calibri" w:hAnsi="Calibri" w:cs="Calibri"/>
        </w:rPr>
        <w:t xml:space="preserve"> (2023) ‘Non-response bias in the analysis of the association between mental health and the urban environment: a cross-sectional study in Brussels, Belgium’, </w:t>
      </w:r>
      <w:r w:rsidRPr="00A35208">
        <w:rPr>
          <w:rFonts w:ascii="Calibri" w:hAnsi="Calibri" w:cs="Calibri"/>
          <w:i/>
          <w:iCs/>
        </w:rPr>
        <w:t>Archives of Public Health</w:t>
      </w:r>
      <w:r w:rsidRPr="00A35208">
        <w:rPr>
          <w:rFonts w:ascii="Calibri" w:hAnsi="Calibri" w:cs="Calibri"/>
        </w:rPr>
        <w:t>, 81(1), p. 129. Available at: https://doi.org/10.1186/s13690-023-01118-y.</w:t>
      </w:r>
    </w:p>
    <w:p w14:paraId="6B02D191" w14:textId="77777777" w:rsidR="00A35208" w:rsidRPr="00A35208" w:rsidRDefault="00A35208" w:rsidP="00A35208">
      <w:pPr>
        <w:pStyle w:val="Bibliography"/>
        <w:rPr>
          <w:rFonts w:ascii="Calibri" w:hAnsi="Calibri" w:cs="Calibri"/>
        </w:rPr>
      </w:pPr>
      <w:r w:rsidRPr="00A35208">
        <w:rPr>
          <w:rFonts w:ascii="Calibri" w:hAnsi="Calibri" w:cs="Calibri"/>
        </w:rPr>
        <w:t xml:space="preserve">Gyllin, M. and Grahn, P. (2005) ‘A semantic model for assessing the experience of urban biodiversity’, </w:t>
      </w:r>
      <w:r w:rsidRPr="00A35208">
        <w:rPr>
          <w:rFonts w:ascii="Calibri" w:hAnsi="Calibri" w:cs="Calibri"/>
          <w:i/>
          <w:iCs/>
        </w:rPr>
        <w:t>Urban Forestry &amp; Urban Greening</w:t>
      </w:r>
      <w:r w:rsidRPr="00A35208">
        <w:rPr>
          <w:rFonts w:ascii="Calibri" w:hAnsi="Calibri" w:cs="Calibri"/>
        </w:rPr>
        <w:t>, 3(3), pp. 149–161. Available at: https://doi.org/10.1016/j.ufug.2005.04.004.</w:t>
      </w:r>
    </w:p>
    <w:p w14:paraId="662EA122" w14:textId="77777777" w:rsidR="00A35208" w:rsidRPr="00A35208" w:rsidRDefault="00A35208" w:rsidP="00A35208">
      <w:pPr>
        <w:pStyle w:val="Bibliography"/>
        <w:rPr>
          <w:rFonts w:ascii="Calibri" w:hAnsi="Calibri" w:cs="Calibri"/>
        </w:rPr>
      </w:pPr>
      <w:r w:rsidRPr="00A35208">
        <w:rPr>
          <w:rFonts w:ascii="Calibri" w:hAnsi="Calibri" w:cs="Calibri"/>
        </w:rPr>
        <w:t>Happonen, J. (2023) ‘Polar Sensor Logger’. Available at: https://play.google.com/store/apps/details?id=com.j_ware.polarsensorlogger&amp;hl=en_US (Accessed: 20 June 2023).</w:t>
      </w:r>
    </w:p>
    <w:p w14:paraId="25E88020" w14:textId="77777777" w:rsidR="00A35208" w:rsidRPr="00A35208" w:rsidRDefault="00A35208" w:rsidP="00A35208">
      <w:pPr>
        <w:pStyle w:val="Bibliography"/>
        <w:rPr>
          <w:rFonts w:ascii="Calibri" w:hAnsi="Calibri" w:cs="Calibri"/>
        </w:rPr>
      </w:pPr>
      <w:r w:rsidRPr="00A35208">
        <w:rPr>
          <w:rFonts w:ascii="Calibri" w:hAnsi="Calibri" w:cs="Calibri"/>
        </w:rPr>
        <w:t xml:space="preserve">Hartig, T. </w:t>
      </w:r>
      <w:r w:rsidRPr="00A35208">
        <w:rPr>
          <w:rFonts w:ascii="Calibri" w:hAnsi="Calibri" w:cs="Calibri"/>
          <w:i/>
          <w:iCs/>
        </w:rPr>
        <w:t>et al.</w:t>
      </w:r>
      <w:r w:rsidRPr="00A35208">
        <w:rPr>
          <w:rFonts w:ascii="Calibri" w:hAnsi="Calibri" w:cs="Calibri"/>
        </w:rPr>
        <w:t xml:space="preserve"> (1997) ‘A measure of restorative quality in environments’, </w:t>
      </w:r>
      <w:r w:rsidRPr="00A35208">
        <w:rPr>
          <w:rFonts w:ascii="Calibri" w:hAnsi="Calibri" w:cs="Calibri"/>
          <w:i/>
          <w:iCs/>
        </w:rPr>
        <w:t>Scandinavian housing and planning research</w:t>
      </w:r>
      <w:r w:rsidRPr="00A35208">
        <w:rPr>
          <w:rFonts w:ascii="Calibri" w:hAnsi="Calibri" w:cs="Calibri"/>
        </w:rPr>
        <w:t>, 14(4), pp. 175–194. Available at: https://doi.org/10.1080/02815739708730435.</w:t>
      </w:r>
    </w:p>
    <w:p w14:paraId="63881F3E" w14:textId="77777777" w:rsidR="00A35208" w:rsidRPr="00A35208" w:rsidRDefault="00A35208" w:rsidP="00A35208">
      <w:pPr>
        <w:pStyle w:val="Bibliography"/>
        <w:rPr>
          <w:rFonts w:ascii="Calibri" w:hAnsi="Calibri" w:cs="Calibri"/>
        </w:rPr>
      </w:pPr>
      <w:r w:rsidRPr="00A35208">
        <w:rPr>
          <w:rFonts w:ascii="Calibri" w:hAnsi="Calibri" w:cs="Calibri"/>
        </w:rPr>
        <w:t xml:space="preserve">Hartig, T. </w:t>
      </w:r>
      <w:r w:rsidRPr="00A35208">
        <w:rPr>
          <w:rFonts w:ascii="Calibri" w:hAnsi="Calibri" w:cs="Calibri"/>
          <w:i/>
          <w:iCs/>
        </w:rPr>
        <w:t>et al.</w:t>
      </w:r>
      <w:r w:rsidRPr="00A35208">
        <w:rPr>
          <w:rFonts w:ascii="Calibri" w:hAnsi="Calibri" w:cs="Calibri"/>
        </w:rPr>
        <w:t xml:space="preserve"> (2014) ‘Nature and Health’, </w:t>
      </w:r>
      <w:r w:rsidRPr="00A35208">
        <w:rPr>
          <w:rFonts w:ascii="Calibri" w:hAnsi="Calibri" w:cs="Calibri"/>
          <w:i/>
          <w:iCs/>
        </w:rPr>
        <w:t>Annu. Rev. Public Health</w:t>
      </w:r>
      <w:r w:rsidRPr="00A35208">
        <w:rPr>
          <w:rFonts w:ascii="Calibri" w:hAnsi="Calibri" w:cs="Calibri"/>
        </w:rPr>
        <w:t>, 35(1), pp. 207–228. Available at: https://doi.org/10.1146/annurev-publhealth-032013-182443.</w:t>
      </w:r>
    </w:p>
    <w:p w14:paraId="782382A2" w14:textId="77777777" w:rsidR="00A35208" w:rsidRPr="00A35208" w:rsidRDefault="00A35208" w:rsidP="00A35208">
      <w:pPr>
        <w:pStyle w:val="Bibliography"/>
        <w:rPr>
          <w:rFonts w:ascii="Calibri" w:hAnsi="Calibri" w:cs="Calibri"/>
        </w:rPr>
      </w:pPr>
      <w:r w:rsidRPr="00A35208">
        <w:rPr>
          <w:rFonts w:ascii="Calibri" w:hAnsi="Calibri" w:cs="Calibri"/>
        </w:rPr>
        <w:t xml:space="preserve">He, S., Cavanagh, P. and Intriligator, J. (1996) ‘Attentional resolution and the locus of visual awareness’, </w:t>
      </w:r>
      <w:r w:rsidRPr="00A35208">
        <w:rPr>
          <w:rFonts w:ascii="Calibri" w:hAnsi="Calibri" w:cs="Calibri"/>
          <w:i/>
          <w:iCs/>
        </w:rPr>
        <w:t>Nature</w:t>
      </w:r>
      <w:r w:rsidRPr="00A35208">
        <w:rPr>
          <w:rFonts w:ascii="Calibri" w:hAnsi="Calibri" w:cs="Calibri"/>
        </w:rPr>
        <w:t>, 383(6598), pp. 334–337. Available at: https://doi.org/10.1038/383334a0.</w:t>
      </w:r>
    </w:p>
    <w:p w14:paraId="05577D63" w14:textId="77777777" w:rsidR="00A35208" w:rsidRPr="00A35208" w:rsidRDefault="00A35208" w:rsidP="00A35208">
      <w:pPr>
        <w:pStyle w:val="Bibliography"/>
        <w:rPr>
          <w:rFonts w:ascii="Calibri" w:hAnsi="Calibri" w:cs="Calibri"/>
        </w:rPr>
      </w:pPr>
      <w:r w:rsidRPr="00A35208">
        <w:rPr>
          <w:rFonts w:ascii="Calibri" w:hAnsi="Calibri" w:cs="Calibri"/>
        </w:rPr>
        <w:t xml:space="preserve">Hedblom, M., Gunnarsson, B., Iravani, B., </w:t>
      </w:r>
      <w:r w:rsidRPr="00A35208">
        <w:rPr>
          <w:rFonts w:ascii="Calibri" w:hAnsi="Calibri" w:cs="Calibri"/>
          <w:i/>
          <w:iCs/>
        </w:rPr>
        <w:t>et al.</w:t>
      </w:r>
      <w:r w:rsidRPr="00A35208">
        <w:rPr>
          <w:rFonts w:ascii="Calibri" w:hAnsi="Calibri" w:cs="Calibri"/>
        </w:rPr>
        <w:t xml:space="preserve"> (2019) ‘Reduction of physiological stress by urban green space in a multisensory virtual experiment’, </w:t>
      </w:r>
      <w:r w:rsidRPr="00A35208">
        <w:rPr>
          <w:rFonts w:ascii="Calibri" w:hAnsi="Calibri" w:cs="Calibri"/>
          <w:i/>
          <w:iCs/>
        </w:rPr>
        <w:t>Scientific Reports</w:t>
      </w:r>
      <w:r w:rsidRPr="00A35208">
        <w:rPr>
          <w:rFonts w:ascii="Calibri" w:hAnsi="Calibri" w:cs="Calibri"/>
        </w:rPr>
        <w:t>, 9(1), pp. 1–11. Available at: https://doi.org/10.1038/s41598-019-46099-7.</w:t>
      </w:r>
    </w:p>
    <w:p w14:paraId="0871EE40" w14:textId="77777777" w:rsidR="00A35208" w:rsidRPr="00A35208" w:rsidRDefault="00A35208" w:rsidP="00A35208">
      <w:pPr>
        <w:pStyle w:val="Bibliography"/>
        <w:rPr>
          <w:rFonts w:ascii="Calibri" w:hAnsi="Calibri" w:cs="Calibri"/>
        </w:rPr>
      </w:pPr>
      <w:r w:rsidRPr="00A35208">
        <w:rPr>
          <w:rFonts w:ascii="Calibri" w:hAnsi="Calibri" w:cs="Calibri"/>
        </w:rPr>
        <w:lastRenderedPageBreak/>
        <w:t xml:space="preserve">Hedblom, M., Gunnarsson, B., Schaefer, M., </w:t>
      </w:r>
      <w:r w:rsidRPr="00A35208">
        <w:rPr>
          <w:rFonts w:ascii="Calibri" w:hAnsi="Calibri" w:cs="Calibri"/>
          <w:i/>
          <w:iCs/>
        </w:rPr>
        <w:t>et al.</w:t>
      </w:r>
      <w:r w:rsidRPr="00A35208">
        <w:rPr>
          <w:rFonts w:ascii="Calibri" w:hAnsi="Calibri" w:cs="Calibri"/>
        </w:rPr>
        <w:t xml:space="preserve"> (2019) ‘Sounds of Nature in the City: No Evidence of Bird Song Improving Stress Recovery’, </w:t>
      </w:r>
      <w:r w:rsidRPr="00A35208">
        <w:rPr>
          <w:rFonts w:ascii="Calibri" w:hAnsi="Calibri" w:cs="Calibri"/>
          <w:i/>
          <w:iCs/>
        </w:rPr>
        <w:t>International Journal of Environmental Research and Public Health</w:t>
      </w:r>
      <w:r w:rsidRPr="00A35208">
        <w:rPr>
          <w:rFonts w:ascii="Calibri" w:hAnsi="Calibri" w:cs="Calibri"/>
        </w:rPr>
        <w:t>, 16(8). Available at: https://doi.org/10.3390/ijerph16081390.</w:t>
      </w:r>
    </w:p>
    <w:p w14:paraId="15CDB1F8" w14:textId="77777777" w:rsidR="00A35208" w:rsidRPr="00A35208" w:rsidRDefault="00A35208" w:rsidP="00A35208">
      <w:pPr>
        <w:pStyle w:val="Bibliography"/>
        <w:rPr>
          <w:rFonts w:ascii="Calibri" w:hAnsi="Calibri" w:cs="Calibri"/>
        </w:rPr>
      </w:pPr>
      <w:r w:rsidRPr="00A35208">
        <w:rPr>
          <w:rFonts w:ascii="Calibri" w:hAnsi="Calibri" w:cs="Calibri"/>
        </w:rPr>
        <w:t xml:space="preserve">Hedeker, D. (2015) ‘Methods for Multilevel Ordinal Data in Prevention Research’, </w:t>
      </w:r>
      <w:r w:rsidRPr="00A35208">
        <w:rPr>
          <w:rFonts w:ascii="Calibri" w:hAnsi="Calibri" w:cs="Calibri"/>
          <w:i/>
          <w:iCs/>
        </w:rPr>
        <w:t>Prevention Science</w:t>
      </w:r>
      <w:r w:rsidRPr="00A35208">
        <w:rPr>
          <w:rFonts w:ascii="Calibri" w:hAnsi="Calibri" w:cs="Calibri"/>
        </w:rPr>
        <w:t>, 16(7), pp. 997–1006. Available at: https://doi.org/10.1007/s11121-014-0495-x.</w:t>
      </w:r>
    </w:p>
    <w:p w14:paraId="0F312AB9" w14:textId="77777777" w:rsidR="00A35208" w:rsidRPr="00A35208" w:rsidRDefault="00A35208" w:rsidP="00A35208">
      <w:pPr>
        <w:pStyle w:val="Bibliography"/>
        <w:rPr>
          <w:rFonts w:ascii="Calibri" w:hAnsi="Calibri" w:cs="Calibri"/>
        </w:rPr>
      </w:pPr>
      <w:r w:rsidRPr="00A35208">
        <w:rPr>
          <w:rFonts w:ascii="Calibri" w:hAnsi="Calibri" w:cs="Calibri"/>
        </w:rPr>
        <w:t xml:space="preserve">Hedin, M. </w:t>
      </w:r>
      <w:r w:rsidRPr="00A35208">
        <w:rPr>
          <w:rFonts w:ascii="Calibri" w:hAnsi="Calibri" w:cs="Calibri"/>
          <w:i/>
          <w:iCs/>
        </w:rPr>
        <w:t>et al.</w:t>
      </w:r>
      <w:r w:rsidRPr="00A35208">
        <w:rPr>
          <w:rFonts w:ascii="Calibri" w:hAnsi="Calibri" w:cs="Calibri"/>
        </w:rPr>
        <w:t xml:space="preserve"> (2022) ‘Connecting Biodiversity With Mental Health and Wellbeing — A Review of Methods and Disciplinary Perspectives’, </w:t>
      </w:r>
      <w:r w:rsidRPr="00A35208">
        <w:rPr>
          <w:rFonts w:ascii="Calibri" w:hAnsi="Calibri" w:cs="Calibri"/>
          <w:i/>
          <w:iCs/>
        </w:rPr>
        <w:t>Frontiers in Ecology and Evolution</w:t>
      </w:r>
      <w:r w:rsidRPr="00A35208">
        <w:rPr>
          <w:rFonts w:ascii="Calibri" w:hAnsi="Calibri" w:cs="Calibri"/>
        </w:rPr>
        <w:t>, 10. Available at: https://www.frontiersin.org/articles/10.3389/fevo.2022.865727.</w:t>
      </w:r>
    </w:p>
    <w:p w14:paraId="6C40B473" w14:textId="77777777" w:rsidR="00A35208" w:rsidRPr="00A35208" w:rsidRDefault="00A35208" w:rsidP="00A35208">
      <w:pPr>
        <w:pStyle w:val="Bibliography"/>
        <w:rPr>
          <w:rFonts w:ascii="Calibri" w:hAnsi="Calibri" w:cs="Calibri"/>
        </w:rPr>
      </w:pPr>
      <w:r w:rsidRPr="00A35208">
        <w:rPr>
          <w:rFonts w:ascii="Calibri" w:hAnsi="Calibri" w:cs="Calibri"/>
        </w:rPr>
        <w:t xml:space="preserve">Heerwagen, J.H. and Orians, G.H. (1993) ‘Humans, Habitats, and Aesthetics’, in S.R. Kellert and E.O. Wilson (eds) </w:t>
      </w:r>
      <w:r w:rsidRPr="00A35208">
        <w:rPr>
          <w:rFonts w:ascii="Calibri" w:hAnsi="Calibri" w:cs="Calibri"/>
          <w:i/>
          <w:iCs/>
        </w:rPr>
        <w:t>The biophilia hypothesis</w:t>
      </w:r>
      <w:r w:rsidRPr="00A35208">
        <w:rPr>
          <w:rFonts w:ascii="Calibri" w:hAnsi="Calibri" w:cs="Calibri"/>
        </w:rPr>
        <w:t>. Washington, D.C.: Washington, D.C. : Island Press, 1993, pp. 138–172.</w:t>
      </w:r>
    </w:p>
    <w:p w14:paraId="0957974B" w14:textId="77777777" w:rsidR="00A35208" w:rsidRPr="00A35208" w:rsidRDefault="00A35208" w:rsidP="00A35208">
      <w:pPr>
        <w:pStyle w:val="Bibliography"/>
        <w:rPr>
          <w:rFonts w:ascii="Calibri" w:hAnsi="Calibri" w:cs="Calibri"/>
        </w:rPr>
      </w:pPr>
      <w:r w:rsidRPr="00A35208">
        <w:rPr>
          <w:rFonts w:ascii="Calibri" w:hAnsi="Calibri" w:cs="Calibri"/>
        </w:rPr>
        <w:t xml:space="preserve">Hepburn, L. </w:t>
      </w:r>
      <w:r w:rsidRPr="00A35208">
        <w:rPr>
          <w:rFonts w:ascii="Calibri" w:hAnsi="Calibri" w:cs="Calibri"/>
          <w:i/>
          <w:iCs/>
        </w:rPr>
        <w:t>et al.</w:t>
      </w:r>
      <w:r w:rsidRPr="00A35208">
        <w:rPr>
          <w:rFonts w:ascii="Calibri" w:hAnsi="Calibri" w:cs="Calibri"/>
        </w:rPr>
        <w:t xml:space="preserve"> (2021) ‘Bird Diversity Unconsciously Increases People’s Satisfaction with Where They Live’, </w:t>
      </w:r>
      <w:r w:rsidRPr="00A35208">
        <w:rPr>
          <w:rFonts w:ascii="Calibri" w:hAnsi="Calibri" w:cs="Calibri"/>
          <w:i/>
          <w:iCs/>
        </w:rPr>
        <w:t>Land</w:t>
      </w:r>
      <w:r w:rsidRPr="00A35208">
        <w:rPr>
          <w:rFonts w:ascii="Calibri" w:hAnsi="Calibri" w:cs="Calibri"/>
        </w:rPr>
        <w:t>, 10(2), p. 153. Available at: https://doi.org/10.3390/land10020153.</w:t>
      </w:r>
    </w:p>
    <w:p w14:paraId="0053C0F0" w14:textId="77777777" w:rsidR="00A35208" w:rsidRPr="00A35208" w:rsidRDefault="00A35208" w:rsidP="00A35208">
      <w:pPr>
        <w:pStyle w:val="Bibliography"/>
        <w:rPr>
          <w:rFonts w:ascii="Calibri" w:hAnsi="Calibri" w:cs="Calibri"/>
        </w:rPr>
      </w:pPr>
      <w:r w:rsidRPr="00A35208">
        <w:rPr>
          <w:rFonts w:ascii="Calibri" w:hAnsi="Calibri" w:cs="Calibri"/>
        </w:rPr>
        <w:t xml:space="preserve">Herzog, T.R. </w:t>
      </w:r>
      <w:r w:rsidRPr="00A35208">
        <w:rPr>
          <w:rFonts w:ascii="Calibri" w:hAnsi="Calibri" w:cs="Calibri"/>
          <w:i/>
          <w:iCs/>
        </w:rPr>
        <w:t>et al.</w:t>
      </w:r>
      <w:r w:rsidRPr="00A35208">
        <w:rPr>
          <w:rFonts w:ascii="Calibri" w:hAnsi="Calibri" w:cs="Calibri"/>
        </w:rPr>
        <w:t xml:space="preserve"> (2003) ‘Assessing the restorative components of environments’, </w:t>
      </w:r>
      <w:r w:rsidRPr="00A35208">
        <w:rPr>
          <w:rFonts w:ascii="Calibri" w:hAnsi="Calibri" w:cs="Calibri"/>
          <w:i/>
          <w:iCs/>
        </w:rPr>
        <w:t>Journal of Environmental Psychology</w:t>
      </w:r>
      <w:r w:rsidRPr="00A35208">
        <w:rPr>
          <w:rFonts w:ascii="Calibri" w:hAnsi="Calibri" w:cs="Calibri"/>
        </w:rPr>
        <w:t>, 23(2), pp. 159–170. Available at: https://doi.org/10.1016/S0272-4944(02)00113-5.</w:t>
      </w:r>
    </w:p>
    <w:p w14:paraId="281D5C81" w14:textId="77777777" w:rsidR="00A35208" w:rsidRPr="00A35208" w:rsidRDefault="00A35208" w:rsidP="00A35208">
      <w:pPr>
        <w:pStyle w:val="Bibliography"/>
        <w:rPr>
          <w:rFonts w:ascii="Calibri" w:hAnsi="Calibri" w:cs="Calibri"/>
        </w:rPr>
      </w:pPr>
      <w:r w:rsidRPr="00A35208">
        <w:rPr>
          <w:rFonts w:ascii="Calibri" w:hAnsi="Calibri" w:cs="Calibri"/>
        </w:rPr>
        <w:t xml:space="preserve">Heydon, J. (2020) ‘Procedural Environmental Injustice in “Europe’s Greenest City”: A Case Study into the Felling of Sheffield’s Street Trees’, </w:t>
      </w:r>
      <w:r w:rsidRPr="00A35208">
        <w:rPr>
          <w:rFonts w:ascii="Calibri" w:hAnsi="Calibri" w:cs="Calibri"/>
          <w:i/>
          <w:iCs/>
        </w:rPr>
        <w:t>Social Sciences</w:t>
      </w:r>
      <w:r w:rsidRPr="00A35208">
        <w:rPr>
          <w:rFonts w:ascii="Calibri" w:hAnsi="Calibri" w:cs="Calibri"/>
        </w:rPr>
        <w:t>, 9(6), p. 100. Available at: https://doi.org/10.3390/socsci9060100.</w:t>
      </w:r>
    </w:p>
    <w:p w14:paraId="097285E1" w14:textId="77777777" w:rsidR="00A35208" w:rsidRPr="00A35208" w:rsidRDefault="00A35208" w:rsidP="00A35208">
      <w:pPr>
        <w:pStyle w:val="Bibliography"/>
        <w:rPr>
          <w:rFonts w:ascii="Calibri" w:hAnsi="Calibri" w:cs="Calibri"/>
        </w:rPr>
      </w:pPr>
      <w:r w:rsidRPr="00A35208">
        <w:rPr>
          <w:rFonts w:ascii="Calibri" w:hAnsi="Calibri" w:cs="Calibri"/>
        </w:rPr>
        <w:t xml:space="preserve">Heyman, E. (2012) ‘Analysing recreational values and management effects in an urban forest with the visitor-employed photography method’, </w:t>
      </w:r>
      <w:r w:rsidRPr="00A35208">
        <w:rPr>
          <w:rFonts w:ascii="Calibri" w:hAnsi="Calibri" w:cs="Calibri"/>
          <w:i/>
          <w:iCs/>
        </w:rPr>
        <w:t>Urban Forestry &amp; Urban Greening</w:t>
      </w:r>
      <w:r w:rsidRPr="00A35208">
        <w:rPr>
          <w:rFonts w:ascii="Calibri" w:hAnsi="Calibri" w:cs="Calibri"/>
        </w:rPr>
        <w:t>, 11(3), pp. 267–277. Available at: https://doi.org/10.1016/j.ufug.2012.02.003.</w:t>
      </w:r>
    </w:p>
    <w:p w14:paraId="0986AF68" w14:textId="77777777" w:rsidR="00A35208" w:rsidRPr="00A35208" w:rsidRDefault="00A35208" w:rsidP="00A35208">
      <w:pPr>
        <w:pStyle w:val="Bibliography"/>
        <w:rPr>
          <w:rFonts w:ascii="Calibri" w:hAnsi="Calibri" w:cs="Calibri"/>
        </w:rPr>
      </w:pPr>
      <w:r w:rsidRPr="00A35208">
        <w:rPr>
          <w:rFonts w:ascii="Calibri" w:hAnsi="Calibri" w:cs="Calibri"/>
        </w:rPr>
        <w:t xml:space="preserve">Heywood, V.H. and Watson, R.T. (1995) </w:t>
      </w:r>
      <w:r w:rsidRPr="00A35208">
        <w:rPr>
          <w:rFonts w:ascii="Calibri" w:hAnsi="Calibri" w:cs="Calibri"/>
          <w:i/>
          <w:iCs/>
        </w:rPr>
        <w:t>Global biodiversity assessment</w:t>
      </w:r>
      <w:r w:rsidRPr="00A35208">
        <w:rPr>
          <w:rFonts w:ascii="Calibri" w:hAnsi="Calibri" w:cs="Calibri"/>
        </w:rPr>
        <w:t>. Cambridge university press Cambridge.</w:t>
      </w:r>
    </w:p>
    <w:p w14:paraId="0F03D1C5" w14:textId="77777777" w:rsidR="00A35208" w:rsidRPr="00A35208" w:rsidRDefault="00A35208" w:rsidP="00A35208">
      <w:pPr>
        <w:pStyle w:val="Bibliography"/>
        <w:rPr>
          <w:rFonts w:ascii="Calibri" w:hAnsi="Calibri" w:cs="Calibri"/>
        </w:rPr>
      </w:pPr>
      <w:r w:rsidRPr="00A35208">
        <w:rPr>
          <w:rFonts w:ascii="Calibri" w:hAnsi="Calibri" w:cs="Calibri"/>
        </w:rPr>
        <w:t xml:space="preserve">Hinds, J. and Sparks, P. (2008) ‘Engaging with the natural environment: The role of affective connection and identity’, </w:t>
      </w:r>
      <w:r w:rsidRPr="00A35208">
        <w:rPr>
          <w:rFonts w:ascii="Calibri" w:hAnsi="Calibri" w:cs="Calibri"/>
          <w:i/>
          <w:iCs/>
        </w:rPr>
        <w:t>Journal of Environmental Psychology</w:t>
      </w:r>
      <w:r w:rsidRPr="00A35208">
        <w:rPr>
          <w:rFonts w:ascii="Calibri" w:hAnsi="Calibri" w:cs="Calibri"/>
        </w:rPr>
        <w:t>, 28(2), pp. 109–120. Available at: https://doi.org/10.1016/j.jenvp.2007.11.001.</w:t>
      </w:r>
    </w:p>
    <w:p w14:paraId="209333C2" w14:textId="77777777" w:rsidR="00A35208" w:rsidRPr="00A35208" w:rsidRDefault="00A35208" w:rsidP="00A35208">
      <w:pPr>
        <w:pStyle w:val="Bibliography"/>
        <w:rPr>
          <w:rFonts w:ascii="Calibri" w:hAnsi="Calibri" w:cs="Calibri"/>
        </w:rPr>
      </w:pPr>
      <w:r w:rsidRPr="00A35208">
        <w:rPr>
          <w:rFonts w:ascii="Calibri" w:hAnsi="Calibri" w:cs="Calibri"/>
        </w:rPr>
        <w:t xml:space="preserve">Hipp, J.A. </w:t>
      </w:r>
      <w:r w:rsidRPr="00A35208">
        <w:rPr>
          <w:rFonts w:ascii="Calibri" w:hAnsi="Calibri" w:cs="Calibri"/>
          <w:i/>
          <w:iCs/>
        </w:rPr>
        <w:t>et al.</w:t>
      </w:r>
      <w:r w:rsidRPr="00A35208">
        <w:rPr>
          <w:rFonts w:ascii="Calibri" w:hAnsi="Calibri" w:cs="Calibri"/>
        </w:rPr>
        <w:t xml:space="preserve"> (2016) ‘The Relationship Between Perceived Greenness and Perceived Restorativeness of University Campuses and Student-Reported Quality of Life’, </w:t>
      </w:r>
      <w:r w:rsidRPr="00A35208">
        <w:rPr>
          <w:rFonts w:ascii="Calibri" w:hAnsi="Calibri" w:cs="Calibri"/>
          <w:i/>
          <w:iCs/>
        </w:rPr>
        <w:t>Environment and Behavior</w:t>
      </w:r>
      <w:r w:rsidRPr="00A35208">
        <w:rPr>
          <w:rFonts w:ascii="Calibri" w:hAnsi="Calibri" w:cs="Calibri"/>
        </w:rPr>
        <w:t>. Edited by A. Adams Arnett, Atri, Banning, Carrus, Chiesura, Coombes, Dyson, Fan, Felsten, Giles-Corti, Hansen-Ketchum, Hartig, Hartig, Hartig, Hipp, Honold, Jorgensen, Kaplan, Kelz, Korpela, Korpela, Kuh, Kuo, Kuo, Lau, Maas, McFarland, Ogunseitan, Rawson, Seitz, Ske, 48(10), pp. 1292–1308. Available at: https://doi.org/10.1177/0013916515598200.</w:t>
      </w:r>
    </w:p>
    <w:p w14:paraId="4A354E00" w14:textId="77777777" w:rsidR="00A35208" w:rsidRPr="00A35208" w:rsidRDefault="00A35208" w:rsidP="00A35208">
      <w:pPr>
        <w:pStyle w:val="Bibliography"/>
        <w:rPr>
          <w:rFonts w:ascii="Calibri" w:hAnsi="Calibri" w:cs="Calibri"/>
        </w:rPr>
      </w:pPr>
      <w:r w:rsidRPr="00A35208">
        <w:rPr>
          <w:rFonts w:ascii="Calibri" w:hAnsi="Calibri" w:cs="Calibri"/>
        </w:rPr>
        <w:t xml:space="preserve">Hollander, J.B. </w:t>
      </w:r>
      <w:r w:rsidRPr="00A35208">
        <w:rPr>
          <w:rFonts w:ascii="Calibri" w:hAnsi="Calibri" w:cs="Calibri"/>
          <w:i/>
          <w:iCs/>
        </w:rPr>
        <w:t>et al.</w:t>
      </w:r>
      <w:r w:rsidRPr="00A35208">
        <w:rPr>
          <w:rFonts w:ascii="Calibri" w:hAnsi="Calibri" w:cs="Calibri"/>
        </w:rPr>
        <w:t xml:space="preserve"> (2019) ‘Seeing the city: using eye-tracking technology to explore cognitive responses to the built environment’, </w:t>
      </w:r>
      <w:r w:rsidRPr="00A35208">
        <w:rPr>
          <w:rFonts w:ascii="Calibri" w:hAnsi="Calibri" w:cs="Calibri"/>
          <w:i/>
          <w:iCs/>
        </w:rPr>
        <w:t xml:space="preserve">Journal of Urbanism: International Research on Placemaking </w:t>
      </w:r>
      <w:r w:rsidRPr="00A35208">
        <w:rPr>
          <w:rFonts w:ascii="Calibri" w:hAnsi="Calibri" w:cs="Calibri"/>
          <w:i/>
          <w:iCs/>
        </w:rPr>
        <w:lastRenderedPageBreak/>
        <w:t>and Urban Sustainability</w:t>
      </w:r>
      <w:r w:rsidRPr="00A35208">
        <w:rPr>
          <w:rFonts w:ascii="Calibri" w:hAnsi="Calibri" w:cs="Calibri"/>
        </w:rPr>
        <w:t>, 12(2), pp. 156–171. Available at: https://doi.org/10.1080/17549175.2018.1531908.</w:t>
      </w:r>
    </w:p>
    <w:p w14:paraId="79FE3C80" w14:textId="77777777" w:rsidR="00A35208" w:rsidRPr="00A35208" w:rsidRDefault="00A35208" w:rsidP="00A35208">
      <w:pPr>
        <w:pStyle w:val="Bibliography"/>
        <w:rPr>
          <w:rFonts w:ascii="Calibri" w:hAnsi="Calibri" w:cs="Calibri"/>
        </w:rPr>
      </w:pPr>
      <w:r w:rsidRPr="00A35208">
        <w:rPr>
          <w:rFonts w:ascii="Calibri" w:hAnsi="Calibri" w:cs="Calibri"/>
        </w:rPr>
        <w:t xml:space="preserve">Hooykaas, M.J.D. </w:t>
      </w:r>
      <w:r w:rsidRPr="00A35208">
        <w:rPr>
          <w:rFonts w:ascii="Calibri" w:hAnsi="Calibri" w:cs="Calibri"/>
          <w:i/>
          <w:iCs/>
        </w:rPr>
        <w:t>et al.</w:t>
      </w:r>
      <w:r w:rsidRPr="00A35208">
        <w:rPr>
          <w:rFonts w:ascii="Calibri" w:hAnsi="Calibri" w:cs="Calibri"/>
        </w:rPr>
        <w:t xml:space="preserve"> (2019) ‘Identification skills in biodiversity professionals and laypeople: A gap in species literacy’, </w:t>
      </w:r>
      <w:r w:rsidRPr="00A35208">
        <w:rPr>
          <w:rFonts w:ascii="Calibri" w:hAnsi="Calibri" w:cs="Calibri"/>
          <w:i/>
          <w:iCs/>
        </w:rPr>
        <w:t>Biological Conservation</w:t>
      </w:r>
      <w:r w:rsidRPr="00A35208">
        <w:rPr>
          <w:rFonts w:ascii="Calibri" w:hAnsi="Calibri" w:cs="Calibri"/>
        </w:rPr>
        <w:t>, 238, p. 108202. Available at: https://doi.org/10.1016/j.biocon.2019.108202.</w:t>
      </w:r>
    </w:p>
    <w:p w14:paraId="2963E6EC" w14:textId="77777777" w:rsidR="00A35208" w:rsidRPr="00A35208" w:rsidRDefault="00A35208" w:rsidP="00A35208">
      <w:pPr>
        <w:pStyle w:val="Bibliography"/>
        <w:rPr>
          <w:rFonts w:ascii="Calibri" w:hAnsi="Calibri" w:cs="Calibri"/>
        </w:rPr>
      </w:pPr>
      <w:r w:rsidRPr="00A35208">
        <w:rPr>
          <w:rFonts w:ascii="Calibri" w:hAnsi="Calibri" w:cs="Calibri"/>
        </w:rPr>
        <w:t xml:space="preserve">Hoyle, H. </w:t>
      </w:r>
      <w:r w:rsidRPr="00A35208">
        <w:rPr>
          <w:rFonts w:ascii="Calibri" w:hAnsi="Calibri" w:cs="Calibri"/>
          <w:i/>
          <w:iCs/>
        </w:rPr>
        <w:t>et al.</w:t>
      </w:r>
      <w:r w:rsidRPr="00A35208">
        <w:rPr>
          <w:rFonts w:ascii="Calibri" w:hAnsi="Calibri" w:cs="Calibri"/>
        </w:rPr>
        <w:t xml:space="preserve"> (2018) ‘Plant species or flower colour diversity? Identifying the drivers of public and invertebrate response to designed annual meadows’, </w:t>
      </w:r>
      <w:r w:rsidRPr="00A35208">
        <w:rPr>
          <w:rFonts w:ascii="Calibri" w:hAnsi="Calibri" w:cs="Calibri"/>
          <w:i/>
          <w:iCs/>
        </w:rPr>
        <w:t>Landscape and Urban Planning</w:t>
      </w:r>
      <w:r w:rsidRPr="00A35208">
        <w:rPr>
          <w:rFonts w:ascii="Calibri" w:hAnsi="Calibri" w:cs="Calibri"/>
        </w:rPr>
        <w:t>, 180, pp. 103–113. Available at: https://doi.org/10.1016/j.landurbplan.2018.08.017.</w:t>
      </w:r>
    </w:p>
    <w:p w14:paraId="789EBF47" w14:textId="77777777" w:rsidR="00A35208" w:rsidRPr="00A35208" w:rsidRDefault="00A35208" w:rsidP="00A35208">
      <w:pPr>
        <w:pStyle w:val="Bibliography"/>
        <w:rPr>
          <w:rFonts w:ascii="Calibri" w:hAnsi="Calibri" w:cs="Calibri"/>
        </w:rPr>
      </w:pPr>
      <w:r w:rsidRPr="00A35208">
        <w:rPr>
          <w:rFonts w:ascii="Calibri" w:hAnsi="Calibri" w:cs="Calibri"/>
        </w:rPr>
        <w:t xml:space="preserve">Huai, S. and Van De Voorde, T. (2022) ‘Which environmental features contribute to positive and negative perceptions of urban parks? A cross-cultural comparison using online reviews and Natural Language Processing methods’, </w:t>
      </w:r>
      <w:r w:rsidRPr="00A35208">
        <w:rPr>
          <w:rFonts w:ascii="Calibri" w:hAnsi="Calibri" w:cs="Calibri"/>
          <w:i/>
          <w:iCs/>
        </w:rPr>
        <w:t>Landscape and Urban Planning</w:t>
      </w:r>
      <w:r w:rsidRPr="00A35208">
        <w:rPr>
          <w:rFonts w:ascii="Calibri" w:hAnsi="Calibri" w:cs="Calibri"/>
        </w:rPr>
        <w:t>, 218, p. 104307. Available at: https://doi.org/10.1016/j.landurbplan.2021.104307.</w:t>
      </w:r>
    </w:p>
    <w:p w14:paraId="7D1CF4EF" w14:textId="77777777" w:rsidR="00A35208" w:rsidRPr="00A35208" w:rsidRDefault="00A35208" w:rsidP="00A35208">
      <w:pPr>
        <w:pStyle w:val="Bibliography"/>
        <w:rPr>
          <w:rFonts w:ascii="Calibri" w:hAnsi="Calibri" w:cs="Calibri"/>
        </w:rPr>
      </w:pPr>
      <w:r w:rsidRPr="00A35208">
        <w:rPr>
          <w:rFonts w:ascii="Calibri" w:hAnsi="Calibri" w:cs="Calibri"/>
        </w:rPr>
        <w:t xml:space="preserve">Huang, L., Yang, T. and Li, Z. (2003) ‘Applicability of the Positive and Negative Affect Scale in Chinese.’, </w:t>
      </w:r>
      <w:r w:rsidRPr="00A35208">
        <w:rPr>
          <w:rFonts w:ascii="Calibri" w:hAnsi="Calibri" w:cs="Calibri"/>
          <w:i/>
          <w:iCs/>
        </w:rPr>
        <w:t>Chinese Mental Health Journal</w:t>
      </w:r>
      <w:r w:rsidRPr="00A35208">
        <w:rPr>
          <w:rFonts w:ascii="Calibri" w:hAnsi="Calibri" w:cs="Calibri"/>
        </w:rPr>
        <w:t>, 17(1), pp. 54–56.</w:t>
      </w:r>
    </w:p>
    <w:p w14:paraId="5AED75A0" w14:textId="77777777" w:rsidR="00A35208" w:rsidRPr="00A35208" w:rsidRDefault="00A35208" w:rsidP="00A35208">
      <w:pPr>
        <w:pStyle w:val="Bibliography"/>
        <w:rPr>
          <w:rFonts w:ascii="Calibri" w:hAnsi="Calibri" w:cs="Calibri"/>
        </w:rPr>
      </w:pPr>
      <w:r w:rsidRPr="00A35208">
        <w:rPr>
          <w:rFonts w:ascii="Calibri" w:hAnsi="Calibri" w:cs="Calibri"/>
        </w:rPr>
        <w:t xml:space="preserve">Huang, S. </w:t>
      </w:r>
      <w:r w:rsidRPr="00A35208">
        <w:rPr>
          <w:rFonts w:ascii="Calibri" w:hAnsi="Calibri" w:cs="Calibri"/>
          <w:i/>
          <w:iCs/>
        </w:rPr>
        <w:t>et al.</w:t>
      </w:r>
      <w:r w:rsidRPr="00A35208">
        <w:rPr>
          <w:rFonts w:ascii="Calibri" w:hAnsi="Calibri" w:cs="Calibri"/>
        </w:rPr>
        <w:t xml:space="preserve"> (2021) ‘The Contribution to Stress Recovery and Attention Restoration Potential of Exposure to Urban Green Spaces in Low-Density Residential Areas’, </w:t>
      </w:r>
      <w:r w:rsidRPr="00A35208">
        <w:rPr>
          <w:rFonts w:ascii="Calibri" w:hAnsi="Calibri" w:cs="Calibri"/>
          <w:i/>
          <w:iCs/>
        </w:rPr>
        <w:t>International Journal of Environmental Research and Public Health</w:t>
      </w:r>
      <w:r w:rsidRPr="00A35208">
        <w:rPr>
          <w:rFonts w:ascii="Calibri" w:hAnsi="Calibri" w:cs="Calibri"/>
        </w:rPr>
        <w:t>, 18(16), p. 8713. Available at: https://doi.org/10.3390/ijerph18168713.</w:t>
      </w:r>
    </w:p>
    <w:p w14:paraId="62C65E41" w14:textId="77777777" w:rsidR="00A35208" w:rsidRPr="00A35208" w:rsidRDefault="00A35208" w:rsidP="00A35208">
      <w:pPr>
        <w:pStyle w:val="Bibliography"/>
        <w:rPr>
          <w:rFonts w:ascii="Calibri" w:hAnsi="Calibri" w:cs="Calibri"/>
        </w:rPr>
      </w:pPr>
      <w:r w:rsidRPr="00A35208">
        <w:rPr>
          <w:rFonts w:ascii="Calibri" w:hAnsi="Calibri" w:cs="Calibri"/>
        </w:rPr>
        <w:t xml:space="preserve">Hunt, V.M. </w:t>
      </w:r>
      <w:r w:rsidRPr="00A35208">
        <w:rPr>
          <w:rFonts w:ascii="Calibri" w:hAnsi="Calibri" w:cs="Calibri"/>
          <w:i/>
          <w:iCs/>
        </w:rPr>
        <w:t>et al.</w:t>
      </w:r>
      <w:r w:rsidRPr="00A35208">
        <w:rPr>
          <w:rFonts w:ascii="Calibri" w:hAnsi="Calibri" w:cs="Calibri"/>
        </w:rPr>
        <w:t xml:space="preserve"> (2014) ‘Survival, abundance, and capture rate of eastern cottontail rabbits in an urban park’, </w:t>
      </w:r>
      <w:r w:rsidRPr="00A35208">
        <w:rPr>
          <w:rFonts w:ascii="Calibri" w:hAnsi="Calibri" w:cs="Calibri"/>
          <w:i/>
          <w:iCs/>
        </w:rPr>
        <w:t>Urban Ecosystems</w:t>
      </w:r>
      <w:r w:rsidRPr="00A35208">
        <w:rPr>
          <w:rFonts w:ascii="Calibri" w:hAnsi="Calibri" w:cs="Calibri"/>
        </w:rPr>
        <w:t>, 17(2), pp. 547–560. Available at: https://doi.org/10.1007/s11252-013-0334-z.</w:t>
      </w:r>
    </w:p>
    <w:p w14:paraId="6F1AC95D" w14:textId="77777777" w:rsidR="00A35208" w:rsidRPr="00A35208" w:rsidRDefault="00A35208" w:rsidP="00A35208">
      <w:pPr>
        <w:pStyle w:val="Bibliography"/>
        <w:rPr>
          <w:rFonts w:ascii="Calibri" w:hAnsi="Calibri" w:cs="Calibri"/>
        </w:rPr>
      </w:pPr>
      <w:r w:rsidRPr="00A35208">
        <w:rPr>
          <w:rFonts w:ascii="Calibri" w:hAnsi="Calibri" w:cs="Calibri"/>
        </w:rPr>
        <w:t xml:space="preserve">Hussain, R.I. </w:t>
      </w:r>
      <w:r w:rsidRPr="00A35208">
        <w:rPr>
          <w:rFonts w:ascii="Calibri" w:hAnsi="Calibri" w:cs="Calibri"/>
          <w:i/>
          <w:iCs/>
        </w:rPr>
        <w:t>et al.</w:t>
      </w:r>
      <w:r w:rsidRPr="00A35208">
        <w:rPr>
          <w:rFonts w:ascii="Calibri" w:hAnsi="Calibri" w:cs="Calibri"/>
        </w:rPr>
        <w:t xml:space="preserve"> (2019) ‘Management of mountainous meadows associated with biodiversity attributes, perceived health benefits and cultural ecosystem services’, </w:t>
      </w:r>
      <w:r w:rsidRPr="00A35208">
        <w:rPr>
          <w:rFonts w:ascii="Calibri" w:hAnsi="Calibri" w:cs="Calibri"/>
          <w:i/>
          <w:iCs/>
        </w:rPr>
        <w:t>Scientific Reports</w:t>
      </w:r>
      <w:r w:rsidRPr="00A35208">
        <w:rPr>
          <w:rFonts w:ascii="Calibri" w:hAnsi="Calibri" w:cs="Calibri"/>
        </w:rPr>
        <w:t>, 9(1). Available at: https://doi.org/10.1038/s41598-019-51571-5.</w:t>
      </w:r>
    </w:p>
    <w:p w14:paraId="71ABE83F" w14:textId="77777777" w:rsidR="00A35208" w:rsidRPr="00A35208" w:rsidRDefault="00A35208" w:rsidP="00A35208">
      <w:pPr>
        <w:pStyle w:val="Bibliography"/>
        <w:rPr>
          <w:rFonts w:ascii="Calibri" w:hAnsi="Calibri" w:cs="Calibri"/>
        </w:rPr>
      </w:pPr>
      <w:r w:rsidRPr="00A35208">
        <w:rPr>
          <w:rFonts w:ascii="Calibri" w:hAnsi="Calibri" w:cs="Calibri"/>
        </w:rPr>
        <w:t xml:space="preserve">Ibrahim, R., Clayden, A. and Cameron, R. (2020) ‘Tropical urban parks in Kuala Lumpur, Malaysia: Challenging the attitudes of park management teams towards a more environmentally sustainable approach’, </w:t>
      </w:r>
      <w:r w:rsidRPr="00A35208">
        <w:rPr>
          <w:rFonts w:ascii="Calibri" w:hAnsi="Calibri" w:cs="Calibri"/>
          <w:i/>
          <w:iCs/>
        </w:rPr>
        <w:t>Urban Forestry &amp; Urban Greening</w:t>
      </w:r>
      <w:r w:rsidRPr="00A35208">
        <w:rPr>
          <w:rFonts w:ascii="Calibri" w:hAnsi="Calibri" w:cs="Calibri"/>
        </w:rPr>
        <w:t>, 49, p. 126605.</w:t>
      </w:r>
    </w:p>
    <w:p w14:paraId="6AF9B5A4" w14:textId="77777777" w:rsidR="00A35208" w:rsidRPr="00A35208" w:rsidRDefault="00A35208" w:rsidP="00A35208">
      <w:pPr>
        <w:pStyle w:val="Bibliography"/>
        <w:rPr>
          <w:rFonts w:ascii="Calibri" w:hAnsi="Calibri" w:cs="Calibri"/>
        </w:rPr>
      </w:pPr>
      <w:r w:rsidRPr="00A35208">
        <w:rPr>
          <w:rFonts w:ascii="Calibri" w:hAnsi="Calibri" w:cs="Calibri"/>
        </w:rPr>
        <w:t xml:space="preserve">Ikei, H., Song, C. and Miyazaki, Y. (2017) ‘Physiological Effects of Touching Wood’, </w:t>
      </w:r>
      <w:r w:rsidRPr="00A35208">
        <w:rPr>
          <w:rFonts w:ascii="Calibri" w:hAnsi="Calibri" w:cs="Calibri"/>
          <w:i/>
          <w:iCs/>
        </w:rPr>
        <w:t>International Journal of Environmental Research and Public Health</w:t>
      </w:r>
      <w:r w:rsidRPr="00A35208">
        <w:rPr>
          <w:rFonts w:ascii="Calibri" w:hAnsi="Calibri" w:cs="Calibri"/>
        </w:rPr>
        <w:t>, 14(7), p. 801. Available at: https://doi.org/10.3390/ijerph14070801.</w:t>
      </w:r>
    </w:p>
    <w:p w14:paraId="08BA3F0E" w14:textId="77777777" w:rsidR="00A35208" w:rsidRPr="00A35208" w:rsidRDefault="00A35208" w:rsidP="00A35208">
      <w:pPr>
        <w:pStyle w:val="Bibliography"/>
        <w:rPr>
          <w:rFonts w:ascii="Calibri" w:hAnsi="Calibri" w:cs="Calibri"/>
        </w:rPr>
      </w:pPr>
      <w:r w:rsidRPr="00A35208">
        <w:rPr>
          <w:rFonts w:ascii="Calibri" w:hAnsi="Calibri" w:cs="Calibri"/>
        </w:rPr>
        <w:t xml:space="preserve">Irvine, K.N. </w:t>
      </w:r>
      <w:r w:rsidRPr="00A35208">
        <w:rPr>
          <w:rFonts w:ascii="Calibri" w:hAnsi="Calibri" w:cs="Calibri"/>
          <w:i/>
          <w:iCs/>
        </w:rPr>
        <w:t>et al.</w:t>
      </w:r>
      <w:r w:rsidRPr="00A35208">
        <w:rPr>
          <w:rFonts w:ascii="Calibri" w:hAnsi="Calibri" w:cs="Calibri"/>
        </w:rPr>
        <w:t xml:space="preserve"> (2023) ‘BIO-WELL: The development and validation of a human wellbeing scale that measures responses to biodiversity’, </w:t>
      </w:r>
      <w:r w:rsidRPr="00A35208">
        <w:rPr>
          <w:rFonts w:ascii="Calibri" w:hAnsi="Calibri" w:cs="Calibri"/>
          <w:i/>
          <w:iCs/>
        </w:rPr>
        <w:t>Journal of Environmental Psychology</w:t>
      </w:r>
      <w:r w:rsidRPr="00A35208">
        <w:rPr>
          <w:rFonts w:ascii="Calibri" w:hAnsi="Calibri" w:cs="Calibri"/>
        </w:rPr>
        <w:t>, 85, p. 101921. Available at: https://doi.org/10.1016/j.jenvp.2022.101921.</w:t>
      </w:r>
    </w:p>
    <w:p w14:paraId="6C11B3E8" w14:textId="77777777" w:rsidR="00A35208" w:rsidRPr="00A35208" w:rsidRDefault="00A35208" w:rsidP="00A35208">
      <w:pPr>
        <w:pStyle w:val="Bibliography"/>
        <w:rPr>
          <w:rFonts w:ascii="Calibri" w:hAnsi="Calibri" w:cs="Calibri"/>
        </w:rPr>
      </w:pPr>
      <w:r w:rsidRPr="00A35208">
        <w:rPr>
          <w:rFonts w:ascii="Calibri" w:hAnsi="Calibri" w:cs="Calibri"/>
        </w:rPr>
        <w:t xml:space="preserve">Jensen, M.P. </w:t>
      </w:r>
      <w:r w:rsidRPr="00A35208">
        <w:rPr>
          <w:rFonts w:ascii="Calibri" w:hAnsi="Calibri" w:cs="Calibri"/>
          <w:i/>
          <w:iCs/>
        </w:rPr>
        <w:t>et al.</w:t>
      </w:r>
      <w:r w:rsidRPr="00A35208">
        <w:rPr>
          <w:rFonts w:ascii="Calibri" w:hAnsi="Calibri" w:cs="Calibri"/>
        </w:rPr>
        <w:t xml:space="preserve"> (2003) ‘One- and two-item measures of pain beliefs and coping strategies’, </w:t>
      </w:r>
      <w:r w:rsidRPr="00A35208">
        <w:rPr>
          <w:rFonts w:ascii="Calibri" w:hAnsi="Calibri" w:cs="Calibri"/>
          <w:i/>
          <w:iCs/>
        </w:rPr>
        <w:t>Pain</w:t>
      </w:r>
      <w:r w:rsidRPr="00A35208">
        <w:rPr>
          <w:rFonts w:ascii="Calibri" w:hAnsi="Calibri" w:cs="Calibri"/>
        </w:rPr>
        <w:t>, 104(3), pp. 453–469. Available at: https://doi.org/10.1016/s0304-3959(03)00076-9.</w:t>
      </w:r>
    </w:p>
    <w:p w14:paraId="7E2FB17B" w14:textId="77777777" w:rsidR="00A35208" w:rsidRPr="00A35208" w:rsidRDefault="00A35208" w:rsidP="00A35208">
      <w:pPr>
        <w:pStyle w:val="Bibliography"/>
        <w:rPr>
          <w:rFonts w:ascii="Calibri" w:hAnsi="Calibri" w:cs="Calibri"/>
        </w:rPr>
      </w:pPr>
      <w:r w:rsidRPr="00A35208">
        <w:rPr>
          <w:rFonts w:ascii="Calibri" w:hAnsi="Calibri" w:cs="Calibri"/>
        </w:rPr>
        <w:lastRenderedPageBreak/>
        <w:t xml:space="preserve">Jiang, B. </w:t>
      </w:r>
      <w:r w:rsidRPr="00A35208">
        <w:rPr>
          <w:rFonts w:ascii="Calibri" w:hAnsi="Calibri" w:cs="Calibri"/>
          <w:i/>
          <w:iCs/>
        </w:rPr>
        <w:t>et al.</w:t>
      </w:r>
      <w:r w:rsidRPr="00A35208">
        <w:rPr>
          <w:rFonts w:ascii="Calibri" w:hAnsi="Calibri" w:cs="Calibri"/>
        </w:rPr>
        <w:t xml:space="preserve"> (2016) ‘A Dose-Response Curve Describing the Relationship Between Urban Tree Cover Density and Self-Reported Stress Recovery’, </w:t>
      </w:r>
      <w:r w:rsidRPr="00A35208">
        <w:rPr>
          <w:rFonts w:ascii="Calibri" w:hAnsi="Calibri" w:cs="Calibri"/>
          <w:i/>
          <w:iCs/>
        </w:rPr>
        <w:t>Environment and Behavior</w:t>
      </w:r>
      <w:r w:rsidRPr="00A35208">
        <w:rPr>
          <w:rFonts w:ascii="Calibri" w:hAnsi="Calibri" w:cs="Calibri"/>
        </w:rPr>
        <w:t>, 48(4), pp. 607–629. Available at: https://doi.org/10.1177/0013916514552321.</w:t>
      </w:r>
    </w:p>
    <w:p w14:paraId="06B8B299" w14:textId="77777777" w:rsidR="00A35208" w:rsidRPr="00A35208" w:rsidRDefault="00A35208" w:rsidP="00A35208">
      <w:pPr>
        <w:pStyle w:val="Bibliography"/>
        <w:rPr>
          <w:rFonts w:ascii="Calibri" w:hAnsi="Calibri" w:cs="Calibri"/>
        </w:rPr>
      </w:pPr>
      <w:r w:rsidRPr="00A35208">
        <w:rPr>
          <w:rFonts w:ascii="Calibri" w:hAnsi="Calibri" w:cs="Calibri"/>
        </w:rPr>
        <w:t xml:space="preserve">Jo, H. </w:t>
      </w:r>
      <w:r w:rsidRPr="00A35208">
        <w:rPr>
          <w:rFonts w:ascii="Calibri" w:hAnsi="Calibri" w:cs="Calibri"/>
          <w:i/>
          <w:iCs/>
        </w:rPr>
        <w:t>et al.</w:t>
      </w:r>
      <w:r w:rsidRPr="00A35208">
        <w:rPr>
          <w:rFonts w:ascii="Calibri" w:hAnsi="Calibri" w:cs="Calibri"/>
        </w:rPr>
        <w:t xml:space="preserve"> (2013) ‘Physiological and Psychological Response to Floral Scent’, </w:t>
      </w:r>
      <w:r w:rsidRPr="00A35208">
        <w:rPr>
          <w:rFonts w:ascii="Calibri" w:hAnsi="Calibri" w:cs="Calibri"/>
          <w:i/>
          <w:iCs/>
        </w:rPr>
        <w:t>HortScience</w:t>
      </w:r>
      <w:r w:rsidRPr="00A35208">
        <w:rPr>
          <w:rFonts w:ascii="Calibri" w:hAnsi="Calibri" w:cs="Calibri"/>
        </w:rPr>
        <w:t>, 48(1), pp. 82–88. Available at: https://doi.org/10.21273/HORTSCI.48.1.82.</w:t>
      </w:r>
    </w:p>
    <w:p w14:paraId="76A8553F" w14:textId="77777777" w:rsidR="00A35208" w:rsidRPr="00A35208" w:rsidRDefault="00A35208" w:rsidP="00A35208">
      <w:pPr>
        <w:pStyle w:val="Bibliography"/>
        <w:rPr>
          <w:rFonts w:ascii="Calibri" w:hAnsi="Calibri" w:cs="Calibri"/>
        </w:rPr>
      </w:pPr>
      <w:r w:rsidRPr="00A35208">
        <w:rPr>
          <w:rFonts w:ascii="Calibri" w:hAnsi="Calibri" w:cs="Calibri"/>
        </w:rPr>
        <w:t xml:space="preserve">Jo, H.I., Lee, K. and Jeon, J.Y. (2022) ‘Effect of noise sensitivity on psychophysiological response through monoscopic 360 video and stereoscopic sound environment experience: a randomized control trial’, </w:t>
      </w:r>
      <w:r w:rsidRPr="00A35208">
        <w:rPr>
          <w:rFonts w:ascii="Calibri" w:hAnsi="Calibri" w:cs="Calibri"/>
          <w:i/>
          <w:iCs/>
        </w:rPr>
        <w:t>Scientific Reports</w:t>
      </w:r>
      <w:r w:rsidRPr="00A35208">
        <w:rPr>
          <w:rFonts w:ascii="Calibri" w:hAnsi="Calibri" w:cs="Calibri"/>
        </w:rPr>
        <w:t>, 12(1). Available at: https://doi.org/10.1038/s41598-022-08374-y.</w:t>
      </w:r>
    </w:p>
    <w:p w14:paraId="32DB3E89" w14:textId="77777777" w:rsidR="00A35208" w:rsidRPr="00A35208" w:rsidRDefault="00A35208" w:rsidP="00A35208">
      <w:pPr>
        <w:pStyle w:val="Bibliography"/>
        <w:rPr>
          <w:rFonts w:ascii="Calibri" w:hAnsi="Calibri" w:cs="Calibri"/>
        </w:rPr>
      </w:pPr>
      <w:r w:rsidRPr="00A35208">
        <w:rPr>
          <w:rFonts w:ascii="Calibri" w:hAnsi="Calibri" w:cs="Calibri"/>
        </w:rPr>
        <w:t xml:space="preserve">Jo, S.-H., Park, J.-S. and Yeon, P.-S. (2021) ‘The Effect of Forest Video Using Virtual Reality on the Stress Reduction of University Students Focused on C University in Korea’, </w:t>
      </w:r>
      <w:r w:rsidRPr="00A35208">
        <w:rPr>
          <w:rFonts w:ascii="Calibri" w:hAnsi="Calibri" w:cs="Calibri"/>
          <w:i/>
          <w:iCs/>
        </w:rPr>
        <w:t>International Journal of Environmental Research and Public Health</w:t>
      </w:r>
      <w:r w:rsidRPr="00A35208">
        <w:rPr>
          <w:rFonts w:ascii="Calibri" w:hAnsi="Calibri" w:cs="Calibri"/>
        </w:rPr>
        <w:t>, 18(23). Available at: https://doi.org/10.3390/ijerph182312805.</w:t>
      </w:r>
    </w:p>
    <w:p w14:paraId="1FFACFEF" w14:textId="77777777" w:rsidR="00A35208" w:rsidRPr="00A35208" w:rsidRDefault="00A35208" w:rsidP="00A35208">
      <w:pPr>
        <w:pStyle w:val="Bibliography"/>
        <w:rPr>
          <w:rFonts w:ascii="Calibri" w:hAnsi="Calibri" w:cs="Calibri"/>
        </w:rPr>
      </w:pPr>
      <w:r w:rsidRPr="00A35208">
        <w:rPr>
          <w:rFonts w:ascii="Calibri" w:hAnsi="Calibri" w:cs="Calibri"/>
        </w:rPr>
        <w:t xml:space="preserve">Johansson, M. </w:t>
      </w:r>
      <w:r w:rsidRPr="00A35208">
        <w:rPr>
          <w:rFonts w:ascii="Calibri" w:hAnsi="Calibri" w:cs="Calibri"/>
          <w:i/>
          <w:iCs/>
        </w:rPr>
        <w:t>et al.</w:t>
      </w:r>
      <w:r w:rsidRPr="00A35208">
        <w:rPr>
          <w:rFonts w:ascii="Calibri" w:hAnsi="Calibri" w:cs="Calibri"/>
        </w:rPr>
        <w:t xml:space="preserve"> (2014) ‘Does biological quality matter? Direct and reflected appraisal of biodiversity in temperate deciduous broad-leaf forest’, </w:t>
      </w:r>
      <w:r w:rsidRPr="00A35208">
        <w:rPr>
          <w:rFonts w:ascii="Calibri" w:hAnsi="Calibri" w:cs="Calibri"/>
          <w:i/>
          <w:iCs/>
        </w:rPr>
        <w:t>Urban Forestry &amp; Urban Greening</w:t>
      </w:r>
      <w:r w:rsidRPr="00A35208">
        <w:rPr>
          <w:rFonts w:ascii="Calibri" w:hAnsi="Calibri" w:cs="Calibri"/>
        </w:rPr>
        <w:t>, 13(1), pp. 28–37. Available at: https://doi.org/10.1016/j.ufug.2013.10.009.</w:t>
      </w:r>
    </w:p>
    <w:p w14:paraId="7407C635" w14:textId="77777777" w:rsidR="00A35208" w:rsidRPr="00A35208" w:rsidRDefault="00A35208" w:rsidP="00A35208">
      <w:pPr>
        <w:pStyle w:val="Bibliography"/>
        <w:rPr>
          <w:rFonts w:ascii="Calibri" w:hAnsi="Calibri" w:cs="Calibri"/>
        </w:rPr>
      </w:pPr>
      <w:r w:rsidRPr="00A35208">
        <w:rPr>
          <w:rFonts w:ascii="Calibri" w:hAnsi="Calibri" w:cs="Calibri"/>
        </w:rPr>
        <w:t xml:space="preserve">Jorgensen, A., Hitchmough, J. and Dunnett, N. (2007) ‘Woodland as a setting for housing-appreciation and fear and the contribution to residential satisfaction and place identity in Warrington New Town, UK’, </w:t>
      </w:r>
      <w:r w:rsidRPr="00A35208">
        <w:rPr>
          <w:rFonts w:ascii="Calibri" w:hAnsi="Calibri" w:cs="Calibri"/>
          <w:i/>
          <w:iCs/>
        </w:rPr>
        <w:t>Landscape and Urban Planning</w:t>
      </w:r>
      <w:r w:rsidRPr="00A35208">
        <w:rPr>
          <w:rFonts w:ascii="Calibri" w:hAnsi="Calibri" w:cs="Calibri"/>
        </w:rPr>
        <w:t>, 79(3–4), pp. 273–287. Available at: https://doi.org/10.1016/j.landurbplan.2006.02.015.</w:t>
      </w:r>
    </w:p>
    <w:p w14:paraId="694BDCE8" w14:textId="77777777" w:rsidR="00A35208" w:rsidRPr="00A35208" w:rsidRDefault="00A35208" w:rsidP="00A35208">
      <w:pPr>
        <w:pStyle w:val="Bibliography"/>
        <w:rPr>
          <w:rFonts w:ascii="Calibri" w:hAnsi="Calibri" w:cs="Calibri"/>
        </w:rPr>
      </w:pPr>
      <w:r w:rsidRPr="00A35208">
        <w:rPr>
          <w:rFonts w:ascii="Calibri" w:hAnsi="Calibri" w:cs="Calibri"/>
        </w:rPr>
        <w:t xml:space="preserve">Joye, Y. and De Block, A. (2011) ‘“Nature and I are Two”: A Critical Examination of the Biophilia Hypothesis’, </w:t>
      </w:r>
      <w:r w:rsidRPr="00A35208">
        <w:rPr>
          <w:rFonts w:ascii="Calibri" w:hAnsi="Calibri" w:cs="Calibri"/>
          <w:i/>
          <w:iCs/>
        </w:rPr>
        <w:t>Environmental Values</w:t>
      </w:r>
      <w:r w:rsidRPr="00A35208">
        <w:rPr>
          <w:rFonts w:ascii="Calibri" w:hAnsi="Calibri" w:cs="Calibri"/>
        </w:rPr>
        <w:t>, 20(2), pp. 189–215. Available at: https://doi.org/10.3197/096327111X12997574391724.</w:t>
      </w:r>
    </w:p>
    <w:p w14:paraId="1E66A1A6" w14:textId="77777777" w:rsidR="00A35208" w:rsidRPr="00A35208" w:rsidRDefault="00A35208" w:rsidP="00A35208">
      <w:pPr>
        <w:pStyle w:val="Bibliography"/>
        <w:rPr>
          <w:rFonts w:ascii="Calibri" w:hAnsi="Calibri" w:cs="Calibri"/>
        </w:rPr>
      </w:pPr>
      <w:r w:rsidRPr="00A35208">
        <w:rPr>
          <w:rFonts w:ascii="Calibri" w:hAnsi="Calibri" w:cs="Calibri"/>
        </w:rPr>
        <w:t xml:space="preserve">Joye, Y. and Dewitte, S. (2018) ‘Nature’s broken path to restoration. A critical look at Attention Restoration Theory’, </w:t>
      </w:r>
      <w:r w:rsidRPr="00A35208">
        <w:rPr>
          <w:rFonts w:ascii="Calibri" w:hAnsi="Calibri" w:cs="Calibri"/>
          <w:i/>
          <w:iCs/>
        </w:rPr>
        <w:t>Journal of Environmental Psychology</w:t>
      </w:r>
      <w:r w:rsidRPr="00A35208">
        <w:rPr>
          <w:rFonts w:ascii="Calibri" w:hAnsi="Calibri" w:cs="Calibri"/>
        </w:rPr>
        <w:t>, 59, pp. 1–8. Available at: https://doi.org/10.1016/j.jenvp.2018.08.006.</w:t>
      </w:r>
    </w:p>
    <w:p w14:paraId="62543053" w14:textId="77777777" w:rsidR="00A35208" w:rsidRPr="00A35208" w:rsidRDefault="00A35208" w:rsidP="00A35208">
      <w:pPr>
        <w:pStyle w:val="Bibliography"/>
        <w:rPr>
          <w:rFonts w:ascii="Calibri" w:hAnsi="Calibri" w:cs="Calibri"/>
        </w:rPr>
      </w:pPr>
      <w:r w:rsidRPr="00A35208">
        <w:rPr>
          <w:rFonts w:ascii="Calibri" w:hAnsi="Calibri" w:cs="Calibri"/>
        </w:rPr>
        <w:t xml:space="preserve">Joye, Y. and Van den Berg, A. (2011) ‘Is love for green in our genes? A critical analysis of evolutionary assumptions in restorative environments research’, </w:t>
      </w:r>
      <w:r w:rsidRPr="00A35208">
        <w:rPr>
          <w:rFonts w:ascii="Calibri" w:hAnsi="Calibri" w:cs="Calibri"/>
          <w:i/>
          <w:iCs/>
        </w:rPr>
        <w:t>Urban Forestry &amp; Urban Greening</w:t>
      </w:r>
      <w:r w:rsidRPr="00A35208">
        <w:rPr>
          <w:rFonts w:ascii="Calibri" w:hAnsi="Calibri" w:cs="Calibri"/>
        </w:rPr>
        <w:t>, 10(4), pp. 261–268. Available at: https://doi.org/10.1016/j.ufug.2011.07.004.</w:t>
      </w:r>
    </w:p>
    <w:p w14:paraId="52CEC3E2" w14:textId="77777777" w:rsidR="00A35208" w:rsidRPr="00A35208" w:rsidRDefault="00A35208" w:rsidP="00A35208">
      <w:pPr>
        <w:pStyle w:val="Bibliography"/>
        <w:rPr>
          <w:rFonts w:ascii="Calibri" w:hAnsi="Calibri" w:cs="Calibri"/>
        </w:rPr>
      </w:pPr>
      <w:r w:rsidRPr="00A35208">
        <w:rPr>
          <w:rFonts w:ascii="Calibri" w:hAnsi="Calibri" w:cs="Calibri"/>
        </w:rPr>
        <w:t xml:space="preserve">Kabisch, N. and Haase, D. (2013) ‘Green spaces of European cities revisited for 1990–2006’, </w:t>
      </w:r>
      <w:r w:rsidRPr="00A35208">
        <w:rPr>
          <w:rFonts w:ascii="Calibri" w:hAnsi="Calibri" w:cs="Calibri"/>
          <w:i/>
          <w:iCs/>
        </w:rPr>
        <w:t>Landscape and urban planning</w:t>
      </w:r>
      <w:r w:rsidRPr="00A35208">
        <w:rPr>
          <w:rFonts w:ascii="Calibri" w:hAnsi="Calibri" w:cs="Calibri"/>
        </w:rPr>
        <w:t>, 110(1), pp. 113–122. Available at: https://doi.org/10.1016/j.landurbplan.2012.10.017.</w:t>
      </w:r>
    </w:p>
    <w:p w14:paraId="613D85DF" w14:textId="77777777" w:rsidR="00A35208" w:rsidRPr="00A35208" w:rsidRDefault="00A35208" w:rsidP="00A35208">
      <w:pPr>
        <w:pStyle w:val="Bibliography"/>
        <w:rPr>
          <w:rFonts w:ascii="Calibri" w:hAnsi="Calibri" w:cs="Calibri"/>
        </w:rPr>
      </w:pPr>
      <w:r w:rsidRPr="00A35208">
        <w:rPr>
          <w:rFonts w:ascii="Calibri" w:hAnsi="Calibri" w:cs="Calibri"/>
        </w:rPr>
        <w:t xml:space="preserve">Kaiser, D.A. (2005) ‘Basic Principles of Quantitative EEG’, </w:t>
      </w:r>
      <w:r w:rsidRPr="00A35208">
        <w:rPr>
          <w:rFonts w:ascii="Calibri" w:hAnsi="Calibri" w:cs="Calibri"/>
          <w:i/>
          <w:iCs/>
        </w:rPr>
        <w:t>Journal of Adult Development</w:t>
      </w:r>
      <w:r w:rsidRPr="00A35208">
        <w:rPr>
          <w:rFonts w:ascii="Calibri" w:hAnsi="Calibri" w:cs="Calibri"/>
        </w:rPr>
        <w:t>, 12(2), pp. 99–104. Available at: https://doi.org/10.1007/s10804-005-7025-9.</w:t>
      </w:r>
    </w:p>
    <w:p w14:paraId="1045B4E0" w14:textId="77777777" w:rsidR="00A35208" w:rsidRPr="00A35208" w:rsidRDefault="00A35208" w:rsidP="00A35208">
      <w:pPr>
        <w:pStyle w:val="Bibliography"/>
        <w:rPr>
          <w:rFonts w:ascii="Calibri" w:hAnsi="Calibri" w:cs="Calibri"/>
        </w:rPr>
      </w:pPr>
      <w:r w:rsidRPr="00A35208">
        <w:rPr>
          <w:rFonts w:ascii="Calibri" w:hAnsi="Calibri" w:cs="Calibri"/>
        </w:rPr>
        <w:t xml:space="preserve">Kaplan, R. and Kaplan, S. (1989) </w:t>
      </w:r>
      <w:r w:rsidRPr="00A35208">
        <w:rPr>
          <w:rFonts w:ascii="Calibri" w:hAnsi="Calibri" w:cs="Calibri"/>
          <w:i/>
          <w:iCs/>
        </w:rPr>
        <w:t>The experience of nature : a psychological perspective</w:t>
      </w:r>
      <w:r w:rsidRPr="00A35208">
        <w:rPr>
          <w:rFonts w:ascii="Calibri" w:hAnsi="Calibri" w:cs="Calibri"/>
        </w:rPr>
        <w:t>. Edited by S. Kaplan. Cambridge: Cambridge : Cambridge University Press, 1989.</w:t>
      </w:r>
    </w:p>
    <w:p w14:paraId="5D38A853" w14:textId="77777777" w:rsidR="00A35208" w:rsidRPr="00A35208" w:rsidRDefault="00A35208" w:rsidP="00A35208">
      <w:pPr>
        <w:pStyle w:val="Bibliography"/>
        <w:rPr>
          <w:rFonts w:ascii="Calibri" w:hAnsi="Calibri" w:cs="Calibri"/>
        </w:rPr>
      </w:pPr>
      <w:r w:rsidRPr="00A35208">
        <w:rPr>
          <w:rFonts w:ascii="Calibri" w:hAnsi="Calibri" w:cs="Calibri"/>
        </w:rPr>
        <w:lastRenderedPageBreak/>
        <w:t xml:space="preserve">Kaplan, S. (1995) ‘The restorative benefits of nature: Toward an integrative framework’, </w:t>
      </w:r>
      <w:r w:rsidRPr="00A35208">
        <w:rPr>
          <w:rFonts w:ascii="Calibri" w:hAnsi="Calibri" w:cs="Calibri"/>
          <w:i/>
          <w:iCs/>
        </w:rPr>
        <w:t>Journal of Environmental Psychology</w:t>
      </w:r>
      <w:r w:rsidRPr="00A35208">
        <w:rPr>
          <w:rFonts w:ascii="Calibri" w:hAnsi="Calibri" w:cs="Calibri"/>
        </w:rPr>
        <w:t>, 15(3), pp. 169–182. Available at: https://doi.org/10.1016/0272-4944(95)90001-2.</w:t>
      </w:r>
    </w:p>
    <w:p w14:paraId="619E65C5" w14:textId="77777777" w:rsidR="00A35208" w:rsidRPr="00A35208" w:rsidRDefault="00A35208" w:rsidP="00A35208">
      <w:pPr>
        <w:pStyle w:val="Bibliography"/>
        <w:rPr>
          <w:rFonts w:ascii="Calibri" w:hAnsi="Calibri" w:cs="Calibri"/>
        </w:rPr>
      </w:pPr>
      <w:r w:rsidRPr="00A35208">
        <w:rPr>
          <w:rFonts w:ascii="Calibri" w:hAnsi="Calibri" w:cs="Calibri"/>
        </w:rPr>
        <w:t xml:space="preserve">Kappas, A. (2011) ‘Emotion and Regulation are One!’, </w:t>
      </w:r>
      <w:r w:rsidRPr="00A35208">
        <w:rPr>
          <w:rFonts w:ascii="Calibri" w:hAnsi="Calibri" w:cs="Calibri"/>
          <w:i/>
          <w:iCs/>
        </w:rPr>
        <w:t>Emotion Review</w:t>
      </w:r>
      <w:r w:rsidRPr="00A35208">
        <w:rPr>
          <w:rFonts w:ascii="Calibri" w:hAnsi="Calibri" w:cs="Calibri"/>
        </w:rPr>
        <w:t>, 3(1), pp. 17–25. Available at: https://doi.org/10.1177/1754073910380971.</w:t>
      </w:r>
    </w:p>
    <w:p w14:paraId="14B32CCE" w14:textId="77777777" w:rsidR="00A35208" w:rsidRPr="00A35208" w:rsidRDefault="00A35208" w:rsidP="00A35208">
      <w:pPr>
        <w:pStyle w:val="Bibliography"/>
        <w:rPr>
          <w:rFonts w:ascii="Calibri" w:hAnsi="Calibri" w:cs="Calibri"/>
        </w:rPr>
      </w:pPr>
      <w:r w:rsidRPr="00A35208">
        <w:rPr>
          <w:rFonts w:ascii="Calibri" w:hAnsi="Calibri" w:cs="Calibri"/>
        </w:rPr>
        <w:t xml:space="preserve">Kellert, S.R. (1993) ‘The Biological Basis for Human Values of Nature’, in S.R. Kellert and E.O. Wilson (eds) </w:t>
      </w:r>
      <w:r w:rsidRPr="00A35208">
        <w:rPr>
          <w:rFonts w:ascii="Calibri" w:hAnsi="Calibri" w:cs="Calibri"/>
          <w:i/>
          <w:iCs/>
        </w:rPr>
        <w:t>The biophilia hypothesis</w:t>
      </w:r>
      <w:r w:rsidRPr="00A35208">
        <w:rPr>
          <w:rFonts w:ascii="Calibri" w:hAnsi="Calibri" w:cs="Calibri"/>
        </w:rPr>
        <w:t>. Washington, D.C.: Washington, D.C. : Island Press, 1993, pp. 42–69.</w:t>
      </w:r>
    </w:p>
    <w:p w14:paraId="38CAA670" w14:textId="77777777" w:rsidR="00A35208" w:rsidRPr="00A35208" w:rsidRDefault="00A35208" w:rsidP="00A35208">
      <w:pPr>
        <w:pStyle w:val="Bibliography"/>
        <w:rPr>
          <w:rFonts w:ascii="Calibri" w:hAnsi="Calibri" w:cs="Calibri"/>
        </w:rPr>
      </w:pPr>
      <w:r w:rsidRPr="00A35208">
        <w:rPr>
          <w:rFonts w:ascii="Calibri" w:hAnsi="Calibri" w:cs="Calibri"/>
        </w:rPr>
        <w:t>Kew (2021) ‘A new Guinness World Records title for London: Kew Gardens is now officially home to the largest living plant collection on earth’, 16 September. Available at: https://www.kew.org/about-us/press-media/new-guinness-world-records-title-for-kew (Accessed: 30 July 2024).</w:t>
      </w:r>
    </w:p>
    <w:p w14:paraId="515FFB17" w14:textId="77777777" w:rsidR="00A35208" w:rsidRPr="00A35208" w:rsidRDefault="00A35208" w:rsidP="00A35208">
      <w:pPr>
        <w:pStyle w:val="Bibliography"/>
        <w:rPr>
          <w:rFonts w:ascii="Calibri" w:hAnsi="Calibri" w:cs="Calibri"/>
        </w:rPr>
      </w:pPr>
      <w:r w:rsidRPr="00A35208">
        <w:rPr>
          <w:rFonts w:ascii="Calibri" w:hAnsi="Calibri" w:cs="Calibri"/>
        </w:rPr>
        <w:t xml:space="preserve">Kim, M., Cheon, S. and Kang, Y. (2019) ‘Use of Electroencephalography (EEG) for the Analysis of Emotional Perception and Fear to Nightscapes’, </w:t>
      </w:r>
      <w:r w:rsidRPr="00A35208">
        <w:rPr>
          <w:rFonts w:ascii="Calibri" w:hAnsi="Calibri" w:cs="Calibri"/>
          <w:i/>
          <w:iCs/>
        </w:rPr>
        <w:t>Sustainability</w:t>
      </w:r>
      <w:r w:rsidRPr="00A35208">
        <w:rPr>
          <w:rFonts w:ascii="Calibri" w:hAnsi="Calibri" w:cs="Calibri"/>
        </w:rPr>
        <w:t>, 11(1). Available at: https://doi.org/10.3390/su11010233.</w:t>
      </w:r>
    </w:p>
    <w:p w14:paraId="6A308A7A" w14:textId="77777777" w:rsidR="00A35208" w:rsidRPr="00A35208" w:rsidRDefault="00A35208" w:rsidP="00A35208">
      <w:pPr>
        <w:pStyle w:val="Bibliography"/>
        <w:rPr>
          <w:rFonts w:ascii="Calibri" w:hAnsi="Calibri" w:cs="Calibri"/>
        </w:rPr>
      </w:pPr>
      <w:r w:rsidRPr="00A35208">
        <w:rPr>
          <w:rFonts w:ascii="Calibri" w:hAnsi="Calibri" w:cs="Calibri"/>
        </w:rPr>
        <w:t xml:space="preserve">Kjellgren, A. and Buhrkall, H. (2010) ‘A comparison of the restorative effect of a natural environment with that of a simulated natural environment’, </w:t>
      </w:r>
      <w:r w:rsidRPr="00A35208">
        <w:rPr>
          <w:rFonts w:ascii="Calibri" w:hAnsi="Calibri" w:cs="Calibri"/>
          <w:i/>
          <w:iCs/>
        </w:rPr>
        <w:t>Journal of Environmental Psychology</w:t>
      </w:r>
      <w:r w:rsidRPr="00A35208">
        <w:rPr>
          <w:rFonts w:ascii="Calibri" w:hAnsi="Calibri" w:cs="Calibri"/>
        </w:rPr>
        <w:t>, 30(4), pp. 464–472. Available at: https://doi.org/10.1016/j.jenvp.2010.01.011.</w:t>
      </w:r>
    </w:p>
    <w:p w14:paraId="633D6474" w14:textId="77777777" w:rsidR="00A35208" w:rsidRPr="00A35208" w:rsidRDefault="00A35208" w:rsidP="00A35208">
      <w:pPr>
        <w:pStyle w:val="Bibliography"/>
        <w:rPr>
          <w:rFonts w:ascii="Calibri" w:hAnsi="Calibri" w:cs="Calibri"/>
        </w:rPr>
      </w:pPr>
      <w:r w:rsidRPr="00A35208">
        <w:rPr>
          <w:rFonts w:ascii="Calibri" w:hAnsi="Calibri" w:cs="Calibri"/>
        </w:rPr>
        <w:t xml:space="preserve">Knaust, T. </w:t>
      </w:r>
      <w:r w:rsidRPr="00A35208">
        <w:rPr>
          <w:rFonts w:ascii="Calibri" w:hAnsi="Calibri" w:cs="Calibri"/>
          <w:i/>
          <w:iCs/>
        </w:rPr>
        <w:t>et al.</w:t>
      </w:r>
      <w:r w:rsidRPr="00A35208">
        <w:rPr>
          <w:rFonts w:ascii="Calibri" w:hAnsi="Calibri" w:cs="Calibri"/>
        </w:rPr>
        <w:t xml:space="preserve"> (2022) ‘Exposure to virtual nature: the impact of different immersion levels on skin conductance level, heart rate, and perceived relaxation’, </w:t>
      </w:r>
      <w:r w:rsidRPr="00A35208">
        <w:rPr>
          <w:rFonts w:ascii="Calibri" w:hAnsi="Calibri" w:cs="Calibri"/>
          <w:i/>
          <w:iCs/>
        </w:rPr>
        <w:t>Virtual Reality</w:t>
      </w:r>
      <w:r w:rsidRPr="00A35208">
        <w:rPr>
          <w:rFonts w:ascii="Calibri" w:hAnsi="Calibri" w:cs="Calibri"/>
        </w:rPr>
        <w:t>, 26(3), pp. 925–938. Available at: https://doi.org/10.1007/s10055-021-00595-2.</w:t>
      </w:r>
    </w:p>
    <w:p w14:paraId="454392D4" w14:textId="77777777" w:rsidR="00A35208" w:rsidRPr="00A35208" w:rsidRDefault="00A35208" w:rsidP="00A35208">
      <w:pPr>
        <w:pStyle w:val="Bibliography"/>
        <w:rPr>
          <w:rFonts w:ascii="Calibri" w:hAnsi="Calibri" w:cs="Calibri"/>
        </w:rPr>
      </w:pPr>
      <w:r w:rsidRPr="00A35208">
        <w:rPr>
          <w:rFonts w:ascii="Calibri" w:hAnsi="Calibri" w:cs="Calibri"/>
        </w:rPr>
        <w:t xml:space="preserve">Kobayashi, H. </w:t>
      </w:r>
      <w:r w:rsidRPr="00A35208">
        <w:rPr>
          <w:rFonts w:ascii="Calibri" w:hAnsi="Calibri" w:cs="Calibri"/>
          <w:i/>
          <w:iCs/>
        </w:rPr>
        <w:t>et al.</w:t>
      </w:r>
      <w:r w:rsidRPr="00A35208">
        <w:rPr>
          <w:rFonts w:ascii="Calibri" w:hAnsi="Calibri" w:cs="Calibri"/>
        </w:rPr>
        <w:t xml:space="preserve"> (2015) ‘Analysis of Individual Variations in Autonomic Responses to Urban and Forest Environments’, </w:t>
      </w:r>
      <w:r w:rsidRPr="00A35208">
        <w:rPr>
          <w:rFonts w:ascii="Calibri" w:hAnsi="Calibri" w:cs="Calibri"/>
          <w:i/>
          <w:iCs/>
        </w:rPr>
        <w:t>Evidence-based Complementary and Alternative Medicine</w:t>
      </w:r>
      <w:r w:rsidRPr="00A35208">
        <w:rPr>
          <w:rFonts w:ascii="Calibri" w:hAnsi="Calibri" w:cs="Calibri"/>
        </w:rPr>
        <w:t>, 2015(November). Available at: https://doi.org/10.1155/2015/671094.</w:t>
      </w:r>
    </w:p>
    <w:p w14:paraId="4C649CF1" w14:textId="77777777" w:rsidR="00A35208" w:rsidRPr="00A35208" w:rsidRDefault="00A35208" w:rsidP="00A35208">
      <w:pPr>
        <w:pStyle w:val="Bibliography"/>
        <w:rPr>
          <w:rFonts w:ascii="Calibri" w:hAnsi="Calibri" w:cs="Calibri"/>
        </w:rPr>
      </w:pPr>
      <w:r w:rsidRPr="00A35208">
        <w:rPr>
          <w:rFonts w:ascii="Calibri" w:hAnsi="Calibri" w:cs="Calibri"/>
        </w:rPr>
        <w:t xml:space="preserve">Kondo, M.C. </w:t>
      </w:r>
      <w:r w:rsidRPr="00A35208">
        <w:rPr>
          <w:rFonts w:ascii="Calibri" w:hAnsi="Calibri" w:cs="Calibri"/>
          <w:i/>
          <w:iCs/>
        </w:rPr>
        <w:t>et al.</w:t>
      </w:r>
      <w:r w:rsidRPr="00A35208">
        <w:rPr>
          <w:rFonts w:ascii="Calibri" w:hAnsi="Calibri" w:cs="Calibri"/>
        </w:rPr>
        <w:t xml:space="preserve"> (2018) ‘Urban green space and its impact on human health’, </w:t>
      </w:r>
      <w:r w:rsidRPr="00A35208">
        <w:rPr>
          <w:rFonts w:ascii="Calibri" w:hAnsi="Calibri" w:cs="Calibri"/>
          <w:i/>
          <w:iCs/>
        </w:rPr>
        <w:t>International journal of environmental research and public health</w:t>
      </w:r>
      <w:r w:rsidRPr="00A35208">
        <w:rPr>
          <w:rFonts w:ascii="Calibri" w:hAnsi="Calibri" w:cs="Calibri"/>
        </w:rPr>
        <w:t>. Edited by M.C. Kondo, 15(3). Available at: https://doi.org/10.3390/ijerph15030445.</w:t>
      </w:r>
    </w:p>
    <w:p w14:paraId="4AE59FCB" w14:textId="77777777" w:rsidR="00A35208" w:rsidRPr="00A35208" w:rsidRDefault="00A35208" w:rsidP="00A35208">
      <w:pPr>
        <w:pStyle w:val="Bibliography"/>
        <w:rPr>
          <w:rFonts w:ascii="Calibri" w:hAnsi="Calibri" w:cs="Calibri"/>
        </w:rPr>
      </w:pPr>
      <w:r w:rsidRPr="00A35208">
        <w:rPr>
          <w:rFonts w:ascii="Calibri" w:hAnsi="Calibri" w:cs="Calibri"/>
        </w:rPr>
        <w:t xml:space="preserve">Kondo, M.C. </w:t>
      </w:r>
      <w:r w:rsidRPr="00A35208">
        <w:rPr>
          <w:rFonts w:ascii="Calibri" w:hAnsi="Calibri" w:cs="Calibri"/>
          <w:i/>
          <w:iCs/>
        </w:rPr>
        <w:t>et al.</w:t>
      </w:r>
      <w:r w:rsidRPr="00A35208">
        <w:rPr>
          <w:rFonts w:ascii="Calibri" w:hAnsi="Calibri" w:cs="Calibri"/>
        </w:rPr>
        <w:t xml:space="preserve"> (2020) ‘Momentary mood response to natural outdoor environments in four European cities’, </w:t>
      </w:r>
      <w:r w:rsidRPr="00A35208">
        <w:rPr>
          <w:rFonts w:ascii="Calibri" w:hAnsi="Calibri" w:cs="Calibri"/>
          <w:i/>
          <w:iCs/>
        </w:rPr>
        <w:t>Environment International</w:t>
      </w:r>
      <w:r w:rsidRPr="00A35208">
        <w:rPr>
          <w:rFonts w:ascii="Calibri" w:hAnsi="Calibri" w:cs="Calibri"/>
        </w:rPr>
        <w:t>, 134. Available at: https://doi.org/10.1016/j.envint.2019.105237.</w:t>
      </w:r>
    </w:p>
    <w:p w14:paraId="66300B35" w14:textId="77777777" w:rsidR="00A35208" w:rsidRPr="00A35208" w:rsidRDefault="00A35208" w:rsidP="00A35208">
      <w:pPr>
        <w:pStyle w:val="Bibliography"/>
        <w:rPr>
          <w:rFonts w:ascii="Calibri" w:hAnsi="Calibri" w:cs="Calibri"/>
        </w:rPr>
      </w:pPr>
      <w:r w:rsidRPr="00A35208">
        <w:rPr>
          <w:rFonts w:ascii="Calibri" w:hAnsi="Calibri" w:cs="Calibri"/>
        </w:rPr>
        <w:t xml:space="preserve">Kondo, M.C., Jacoby, S.F. and South, E.C. (2018) ‘Does spending time outdoors reduce stress? A review of real-time stress response to outdoor environments’, </w:t>
      </w:r>
      <w:r w:rsidRPr="00A35208">
        <w:rPr>
          <w:rFonts w:ascii="Calibri" w:hAnsi="Calibri" w:cs="Calibri"/>
          <w:i/>
          <w:iCs/>
        </w:rPr>
        <w:t>Health and Place</w:t>
      </w:r>
      <w:r w:rsidRPr="00A35208">
        <w:rPr>
          <w:rFonts w:ascii="Calibri" w:hAnsi="Calibri" w:cs="Calibri"/>
        </w:rPr>
        <w:t>, 51, pp. 136–150. Available at: https://doi.org/10.1016/j.healthplace.2018.03.001.</w:t>
      </w:r>
    </w:p>
    <w:p w14:paraId="5C2ACFA3" w14:textId="77777777" w:rsidR="00A35208" w:rsidRPr="00A35208" w:rsidRDefault="00A35208" w:rsidP="00A35208">
      <w:pPr>
        <w:pStyle w:val="Bibliography"/>
        <w:rPr>
          <w:rFonts w:ascii="Calibri" w:hAnsi="Calibri" w:cs="Calibri"/>
        </w:rPr>
      </w:pPr>
      <w:r w:rsidRPr="00A35208">
        <w:rPr>
          <w:rFonts w:ascii="Calibri" w:hAnsi="Calibri" w:cs="Calibri"/>
        </w:rPr>
        <w:lastRenderedPageBreak/>
        <w:t xml:space="preserve">Krigolson, O.E. </w:t>
      </w:r>
      <w:r w:rsidRPr="00A35208">
        <w:rPr>
          <w:rFonts w:ascii="Calibri" w:hAnsi="Calibri" w:cs="Calibri"/>
          <w:i/>
          <w:iCs/>
        </w:rPr>
        <w:t>et al.</w:t>
      </w:r>
      <w:r w:rsidRPr="00A35208">
        <w:rPr>
          <w:rFonts w:ascii="Calibri" w:hAnsi="Calibri" w:cs="Calibri"/>
        </w:rPr>
        <w:t xml:space="preserve"> (2017) ‘Choosing MUSE: Validation of a low-cost, portable EEG system for ERP research’, </w:t>
      </w:r>
      <w:r w:rsidRPr="00A35208">
        <w:rPr>
          <w:rFonts w:ascii="Calibri" w:hAnsi="Calibri" w:cs="Calibri"/>
          <w:i/>
          <w:iCs/>
        </w:rPr>
        <w:t>Frontiers in Neuroscience</w:t>
      </w:r>
      <w:r w:rsidRPr="00A35208">
        <w:rPr>
          <w:rFonts w:ascii="Calibri" w:hAnsi="Calibri" w:cs="Calibri"/>
        </w:rPr>
        <w:t>, 11(MAR), pp. 1–10. Available at: https://doi.org/10.3389/fnins.2017.00109.</w:t>
      </w:r>
    </w:p>
    <w:p w14:paraId="716C82D1" w14:textId="77777777" w:rsidR="00A35208" w:rsidRPr="00A35208" w:rsidRDefault="00A35208" w:rsidP="00A35208">
      <w:pPr>
        <w:pStyle w:val="Bibliography"/>
        <w:rPr>
          <w:rFonts w:ascii="Calibri" w:hAnsi="Calibri" w:cs="Calibri"/>
        </w:rPr>
      </w:pPr>
      <w:r w:rsidRPr="00A35208">
        <w:rPr>
          <w:rFonts w:ascii="Calibri" w:hAnsi="Calibri" w:cs="Calibri"/>
        </w:rPr>
        <w:t xml:space="preserve">Krippendorff, K. (2019) ‘Recording/coding.’, in pages 128-156, </w:t>
      </w:r>
      <w:r w:rsidRPr="00A35208">
        <w:rPr>
          <w:rFonts w:ascii="Calibri" w:hAnsi="Calibri" w:cs="Calibri"/>
          <w:i/>
          <w:iCs/>
        </w:rPr>
        <w:t>Content Analysis: An Introduction to Its Methodology</w:t>
      </w:r>
      <w:r w:rsidRPr="00A35208">
        <w:rPr>
          <w:rFonts w:ascii="Calibri" w:hAnsi="Calibri" w:cs="Calibri"/>
        </w:rPr>
        <w:t>. Fourth Edition. Thousand Oaks: SAGE Publications, Inc. Available at: https://doi.org/10.4135/9781071878781.</w:t>
      </w:r>
    </w:p>
    <w:p w14:paraId="6AE38DA0" w14:textId="77777777" w:rsidR="00A35208" w:rsidRPr="00A35208" w:rsidRDefault="00A35208" w:rsidP="00A35208">
      <w:pPr>
        <w:pStyle w:val="Bibliography"/>
        <w:rPr>
          <w:rFonts w:ascii="Calibri" w:hAnsi="Calibri" w:cs="Calibri"/>
        </w:rPr>
      </w:pPr>
      <w:r w:rsidRPr="00A35208">
        <w:rPr>
          <w:rFonts w:ascii="Calibri" w:hAnsi="Calibri" w:cs="Calibri"/>
        </w:rPr>
        <w:t xml:space="preserve">Kühn, S. </w:t>
      </w:r>
      <w:r w:rsidRPr="00A35208">
        <w:rPr>
          <w:rFonts w:ascii="Calibri" w:hAnsi="Calibri" w:cs="Calibri"/>
          <w:i/>
          <w:iCs/>
        </w:rPr>
        <w:t>et al.</w:t>
      </w:r>
      <w:r w:rsidRPr="00A35208">
        <w:rPr>
          <w:rFonts w:ascii="Calibri" w:hAnsi="Calibri" w:cs="Calibri"/>
        </w:rPr>
        <w:t xml:space="preserve"> (2017) ‘In search of features that constitute an “enriched environment” in humans: Associations between geographical properties and brain structure’, </w:t>
      </w:r>
      <w:r w:rsidRPr="00A35208">
        <w:rPr>
          <w:rFonts w:ascii="Calibri" w:hAnsi="Calibri" w:cs="Calibri"/>
          <w:i/>
          <w:iCs/>
        </w:rPr>
        <w:t>Scientific Reports</w:t>
      </w:r>
      <w:r w:rsidRPr="00A35208">
        <w:rPr>
          <w:rFonts w:ascii="Calibri" w:hAnsi="Calibri" w:cs="Calibri"/>
        </w:rPr>
        <w:t>, 7(1), p. 11920. Available at: https://doi.org/10.1038/s41598-017-12046-7.</w:t>
      </w:r>
    </w:p>
    <w:p w14:paraId="36BD1D26" w14:textId="77777777" w:rsidR="00A35208" w:rsidRPr="00A35208" w:rsidRDefault="00A35208" w:rsidP="00A35208">
      <w:pPr>
        <w:pStyle w:val="Bibliography"/>
        <w:rPr>
          <w:rFonts w:ascii="Calibri" w:hAnsi="Calibri" w:cs="Calibri"/>
        </w:rPr>
      </w:pPr>
      <w:r w:rsidRPr="00A35208">
        <w:rPr>
          <w:rFonts w:ascii="Calibri" w:hAnsi="Calibri" w:cs="Calibri"/>
        </w:rPr>
        <w:t>Kupferschmidt, K. (2023) ‘Twitter’s plan to cut off free data access evokes “fair amount of panic” among scientists’. Available at: https://doi.org/10.1126/science.adh0813.</w:t>
      </w:r>
    </w:p>
    <w:p w14:paraId="1014158C" w14:textId="77777777" w:rsidR="00A35208" w:rsidRPr="00A35208" w:rsidRDefault="00A35208" w:rsidP="00A35208">
      <w:pPr>
        <w:pStyle w:val="Bibliography"/>
        <w:rPr>
          <w:rFonts w:ascii="Calibri" w:hAnsi="Calibri" w:cs="Calibri"/>
        </w:rPr>
      </w:pPr>
      <w:r w:rsidRPr="00A35208">
        <w:rPr>
          <w:rFonts w:ascii="Calibri" w:hAnsi="Calibri" w:cs="Calibri"/>
        </w:rPr>
        <w:t xml:space="preserve">Laborde, S., Mosley, E. and Thayer, J.F. (2017) ‘Heart rate variability and cardiac vagal tone in psychophysiological research–recommendations for experiment planning, data analysis, and data reporting’, </w:t>
      </w:r>
      <w:r w:rsidRPr="00A35208">
        <w:rPr>
          <w:rFonts w:ascii="Calibri" w:hAnsi="Calibri" w:cs="Calibri"/>
          <w:i/>
          <w:iCs/>
        </w:rPr>
        <w:t>Frontiers in psychology</w:t>
      </w:r>
      <w:r w:rsidRPr="00A35208">
        <w:rPr>
          <w:rFonts w:ascii="Calibri" w:hAnsi="Calibri" w:cs="Calibri"/>
        </w:rPr>
        <w:t>, 8, p. 213.</w:t>
      </w:r>
    </w:p>
    <w:p w14:paraId="6D8B4E0F" w14:textId="77777777" w:rsidR="00A35208" w:rsidRPr="00A35208" w:rsidRDefault="00A35208" w:rsidP="00A35208">
      <w:pPr>
        <w:pStyle w:val="Bibliography"/>
        <w:rPr>
          <w:rFonts w:ascii="Calibri" w:hAnsi="Calibri" w:cs="Calibri"/>
        </w:rPr>
      </w:pPr>
      <w:r w:rsidRPr="00A35208">
        <w:rPr>
          <w:rFonts w:ascii="Calibri" w:hAnsi="Calibri" w:cs="Calibri"/>
        </w:rPr>
        <w:t xml:space="preserve">Lanki, T. </w:t>
      </w:r>
      <w:r w:rsidRPr="00A35208">
        <w:rPr>
          <w:rFonts w:ascii="Calibri" w:hAnsi="Calibri" w:cs="Calibri"/>
          <w:i/>
          <w:iCs/>
        </w:rPr>
        <w:t>et al.</w:t>
      </w:r>
      <w:r w:rsidRPr="00A35208">
        <w:rPr>
          <w:rFonts w:ascii="Calibri" w:hAnsi="Calibri" w:cs="Calibri"/>
        </w:rPr>
        <w:t xml:space="preserve"> (2017) ‘Acute effects of visits to urban green environments on cardiovascular physiology in women: A field experiment’, </w:t>
      </w:r>
      <w:r w:rsidRPr="00A35208">
        <w:rPr>
          <w:rFonts w:ascii="Calibri" w:hAnsi="Calibri" w:cs="Calibri"/>
          <w:i/>
          <w:iCs/>
        </w:rPr>
        <w:t>Environmental Research</w:t>
      </w:r>
      <w:r w:rsidRPr="00A35208">
        <w:rPr>
          <w:rFonts w:ascii="Calibri" w:hAnsi="Calibri" w:cs="Calibri"/>
        </w:rPr>
        <w:t>, 159, pp. 176–185. Available at: https://doi.org/10.1016/j.envres.2017.07.039.</w:t>
      </w:r>
    </w:p>
    <w:p w14:paraId="143E8A1E" w14:textId="77777777" w:rsidR="00A35208" w:rsidRPr="00A35208" w:rsidRDefault="00A35208" w:rsidP="00A35208">
      <w:pPr>
        <w:pStyle w:val="Bibliography"/>
        <w:rPr>
          <w:rFonts w:ascii="Calibri" w:hAnsi="Calibri" w:cs="Calibri"/>
        </w:rPr>
      </w:pPr>
      <w:r w:rsidRPr="00A35208">
        <w:rPr>
          <w:rFonts w:ascii="Calibri" w:hAnsi="Calibri" w:cs="Calibri"/>
        </w:rPr>
        <w:t xml:space="preserve">Largo-Wight, E., O’Hara, B.K. and Chen, W.W. (2016) ‘The Efficacy of a Brief Nature Sound Intervention on Muscle Tension, Pulse Rate, and Self-Reported Stress: Nature Contact Micro-Break in an Office or Waiting Room’, </w:t>
      </w:r>
      <w:r w:rsidRPr="00A35208">
        <w:rPr>
          <w:rFonts w:ascii="Calibri" w:hAnsi="Calibri" w:cs="Calibri"/>
          <w:i/>
          <w:iCs/>
        </w:rPr>
        <w:t>Health Environments Research &amp; Design Journal</w:t>
      </w:r>
      <w:r w:rsidRPr="00A35208">
        <w:rPr>
          <w:rFonts w:ascii="Calibri" w:hAnsi="Calibri" w:cs="Calibri"/>
        </w:rPr>
        <w:t>, 10(1), pp. 45–51. Available at: https://doi.org/10.1177/1937586715619741.</w:t>
      </w:r>
    </w:p>
    <w:p w14:paraId="3E454D55" w14:textId="77777777" w:rsidR="00A35208" w:rsidRPr="00A35208" w:rsidRDefault="00A35208" w:rsidP="00A35208">
      <w:pPr>
        <w:pStyle w:val="Bibliography"/>
        <w:rPr>
          <w:rFonts w:ascii="Calibri" w:hAnsi="Calibri" w:cs="Calibri"/>
        </w:rPr>
      </w:pPr>
      <w:r w:rsidRPr="00A35208">
        <w:rPr>
          <w:rFonts w:ascii="Calibri" w:hAnsi="Calibri" w:cs="Calibri"/>
        </w:rPr>
        <w:t xml:space="preserve">Leckie, G., Morris, T. and Steele, F. (2016) </w:t>
      </w:r>
      <w:r w:rsidRPr="00A35208">
        <w:rPr>
          <w:rFonts w:ascii="Calibri" w:hAnsi="Calibri" w:cs="Calibri"/>
          <w:i/>
          <w:iCs/>
        </w:rPr>
        <w:t>Single-level and Multilevel Models for Ordinal Responses - Stata Practical</w:t>
      </w:r>
      <w:r w:rsidRPr="00A35208">
        <w:rPr>
          <w:rFonts w:ascii="Calibri" w:hAnsi="Calibri" w:cs="Calibri"/>
        </w:rPr>
        <w:t xml:space="preserve">, </w:t>
      </w:r>
      <w:r w:rsidRPr="00A35208">
        <w:rPr>
          <w:rFonts w:ascii="Calibri" w:hAnsi="Calibri" w:cs="Calibri"/>
          <w:i/>
          <w:iCs/>
        </w:rPr>
        <w:t>LEMMA VLE Module 9</w:t>
      </w:r>
      <w:r w:rsidRPr="00A35208">
        <w:rPr>
          <w:rFonts w:ascii="Calibri" w:hAnsi="Calibri" w:cs="Calibri"/>
        </w:rPr>
        <w:t>. Available at: http://www.bristol.ac.uk/cmm/learning/online-course/.</w:t>
      </w:r>
    </w:p>
    <w:p w14:paraId="03B484B5" w14:textId="77777777" w:rsidR="00A35208" w:rsidRPr="00A35208" w:rsidRDefault="00A35208" w:rsidP="00A35208">
      <w:pPr>
        <w:pStyle w:val="Bibliography"/>
        <w:rPr>
          <w:rFonts w:ascii="Calibri" w:hAnsi="Calibri" w:cs="Calibri"/>
        </w:rPr>
      </w:pPr>
      <w:r w:rsidRPr="00A35208">
        <w:rPr>
          <w:rFonts w:ascii="Calibri" w:hAnsi="Calibri" w:cs="Calibri"/>
        </w:rPr>
        <w:t xml:space="preserve">Lee, J.-Y. and Lee, D.-C. (2014) ‘Cardiac and pulmonary benefits of forest walking versus city walking in elderly women: A randomised, controlled, open-label trial’, </w:t>
      </w:r>
      <w:r w:rsidRPr="00A35208">
        <w:rPr>
          <w:rFonts w:ascii="Calibri" w:hAnsi="Calibri" w:cs="Calibri"/>
          <w:i/>
          <w:iCs/>
        </w:rPr>
        <w:t>European Journal of Integrative Medicine</w:t>
      </w:r>
      <w:r w:rsidRPr="00A35208">
        <w:rPr>
          <w:rFonts w:ascii="Calibri" w:hAnsi="Calibri" w:cs="Calibri"/>
        </w:rPr>
        <w:t>, 6(1), pp. 5–11. Available at: https://doi.org/10.1016/j.eujim.2013.10.006.</w:t>
      </w:r>
    </w:p>
    <w:p w14:paraId="3F53CA87" w14:textId="77777777" w:rsidR="00A35208" w:rsidRPr="00A35208" w:rsidRDefault="00A35208" w:rsidP="00A35208">
      <w:pPr>
        <w:pStyle w:val="Bibliography"/>
        <w:rPr>
          <w:rFonts w:ascii="Calibri" w:hAnsi="Calibri" w:cs="Calibri"/>
        </w:rPr>
      </w:pPr>
      <w:r w:rsidRPr="00A35208">
        <w:rPr>
          <w:rFonts w:ascii="Calibri" w:hAnsi="Calibri" w:cs="Calibri"/>
        </w:rPr>
        <w:t xml:space="preserve">Lee, M. </w:t>
      </w:r>
      <w:r w:rsidRPr="00A35208">
        <w:rPr>
          <w:rFonts w:ascii="Calibri" w:hAnsi="Calibri" w:cs="Calibri"/>
          <w:i/>
          <w:iCs/>
        </w:rPr>
        <w:t>et al.</w:t>
      </w:r>
      <w:r w:rsidRPr="00A35208">
        <w:rPr>
          <w:rFonts w:ascii="Calibri" w:hAnsi="Calibri" w:cs="Calibri"/>
        </w:rPr>
        <w:t xml:space="preserve"> (2022) ‘Psychological Effects of Green Experiences in a Virtual Environment: A Systematic Review’, </w:t>
      </w:r>
      <w:r w:rsidRPr="00A35208">
        <w:rPr>
          <w:rFonts w:ascii="Calibri" w:hAnsi="Calibri" w:cs="Calibri"/>
          <w:i/>
          <w:iCs/>
        </w:rPr>
        <w:t>Forests</w:t>
      </w:r>
      <w:r w:rsidRPr="00A35208">
        <w:rPr>
          <w:rFonts w:ascii="Calibri" w:hAnsi="Calibri" w:cs="Calibri"/>
        </w:rPr>
        <w:t>, 13(10), p. 1625. Available at: https://doi.org/10.3390/f13101625.</w:t>
      </w:r>
    </w:p>
    <w:p w14:paraId="0C8D6E6B" w14:textId="77777777" w:rsidR="00A35208" w:rsidRPr="00A35208" w:rsidRDefault="00A35208" w:rsidP="00A35208">
      <w:pPr>
        <w:pStyle w:val="Bibliography"/>
        <w:rPr>
          <w:rFonts w:ascii="Calibri" w:hAnsi="Calibri" w:cs="Calibri"/>
        </w:rPr>
      </w:pPr>
      <w:r w:rsidRPr="00A35208">
        <w:rPr>
          <w:rFonts w:ascii="Calibri" w:hAnsi="Calibri" w:cs="Calibri"/>
        </w:rPr>
        <w:t xml:space="preserve">Leonardi, F. (2018) ‘The Definition of Health: Towards New Perspectives’, </w:t>
      </w:r>
      <w:r w:rsidRPr="00A35208">
        <w:rPr>
          <w:rFonts w:ascii="Calibri" w:hAnsi="Calibri" w:cs="Calibri"/>
          <w:i/>
          <w:iCs/>
        </w:rPr>
        <w:t>International Journal of Health Services</w:t>
      </w:r>
      <w:r w:rsidRPr="00A35208">
        <w:rPr>
          <w:rFonts w:ascii="Calibri" w:hAnsi="Calibri" w:cs="Calibri"/>
        </w:rPr>
        <w:t>, 48(4), pp. 735–748. Available at: https://doi.org/10.1177/0020731418782653.</w:t>
      </w:r>
    </w:p>
    <w:p w14:paraId="28D1BC64" w14:textId="77777777" w:rsidR="00A35208" w:rsidRPr="00A35208" w:rsidRDefault="00A35208" w:rsidP="00A35208">
      <w:pPr>
        <w:pStyle w:val="Bibliography"/>
        <w:rPr>
          <w:rFonts w:ascii="Calibri" w:hAnsi="Calibri" w:cs="Calibri"/>
        </w:rPr>
      </w:pPr>
      <w:r w:rsidRPr="00A35208">
        <w:rPr>
          <w:rFonts w:ascii="Calibri" w:hAnsi="Calibri" w:cs="Calibri"/>
        </w:rPr>
        <w:t xml:space="preserve">Liang, H. </w:t>
      </w:r>
      <w:r w:rsidRPr="00A35208">
        <w:rPr>
          <w:rFonts w:ascii="Calibri" w:hAnsi="Calibri" w:cs="Calibri"/>
          <w:i/>
          <w:iCs/>
        </w:rPr>
        <w:t>et al.</w:t>
      </w:r>
      <w:r w:rsidRPr="00A35208">
        <w:rPr>
          <w:rFonts w:ascii="Calibri" w:hAnsi="Calibri" w:cs="Calibri"/>
        </w:rPr>
        <w:t xml:space="preserve"> (2023) ‘The relationships among biodiversity, perceived biodiversity and recreational preference in urban green spaces–A case study in Xianyang, China’, </w:t>
      </w:r>
      <w:r w:rsidRPr="00A35208">
        <w:rPr>
          <w:rFonts w:ascii="Calibri" w:hAnsi="Calibri" w:cs="Calibri"/>
          <w:i/>
          <w:iCs/>
        </w:rPr>
        <w:t>Ecological Indicators</w:t>
      </w:r>
      <w:r w:rsidRPr="00A35208">
        <w:rPr>
          <w:rFonts w:ascii="Calibri" w:hAnsi="Calibri" w:cs="Calibri"/>
        </w:rPr>
        <w:t>, 146, p. 109916. Available at: https://doi.org/10.1016/j.ecolind.2023.109916.</w:t>
      </w:r>
    </w:p>
    <w:p w14:paraId="113500AD" w14:textId="77777777" w:rsidR="00A35208" w:rsidRPr="00A35208" w:rsidRDefault="00A35208" w:rsidP="00A35208">
      <w:pPr>
        <w:pStyle w:val="Bibliography"/>
        <w:rPr>
          <w:rFonts w:ascii="Calibri" w:hAnsi="Calibri" w:cs="Calibri"/>
        </w:rPr>
      </w:pPr>
      <w:r w:rsidRPr="00A35208">
        <w:rPr>
          <w:rFonts w:ascii="Calibri" w:hAnsi="Calibri" w:cs="Calibri"/>
        </w:rPr>
        <w:lastRenderedPageBreak/>
        <w:t xml:space="preserve">Liddicoat, C. </w:t>
      </w:r>
      <w:r w:rsidRPr="00A35208">
        <w:rPr>
          <w:rFonts w:ascii="Calibri" w:hAnsi="Calibri" w:cs="Calibri"/>
          <w:i/>
          <w:iCs/>
        </w:rPr>
        <w:t>et al.</w:t>
      </w:r>
      <w:r w:rsidRPr="00A35208">
        <w:rPr>
          <w:rFonts w:ascii="Calibri" w:hAnsi="Calibri" w:cs="Calibri"/>
        </w:rPr>
        <w:t xml:space="preserve"> (2020) ‘Naturally-diverse airborne environmental microbial exposures modulate the gut microbiome and may provide anxiolytic benefits in mice’, </w:t>
      </w:r>
      <w:r w:rsidRPr="00A35208">
        <w:rPr>
          <w:rFonts w:ascii="Calibri" w:hAnsi="Calibri" w:cs="Calibri"/>
          <w:i/>
          <w:iCs/>
        </w:rPr>
        <w:t>Science of the Total Environment</w:t>
      </w:r>
      <w:r w:rsidRPr="00A35208">
        <w:rPr>
          <w:rFonts w:ascii="Calibri" w:hAnsi="Calibri" w:cs="Calibri"/>
        </w:rPr>
        <w:t>, 701. Available at: https://doi.org/10.1016/j.scitotenv.2019.134684.</w:t>
      </w:r>
    </w:p>
    <w:p w14:paraId="3967B71A" w14:textId="77777777" w:rsidR="00A35208" w:rsidRPr="00A35208" w:rsidRDefault="00A35208" w:rsidP="00A35208">
      <w:pPr>
        <w:pStyle w:val="Bibliography"/>
        <w:rPr>
          <w:rFonts w:ascii="Calibri" w:hAnsi="Calibri" w:cs="Calibri"/>
        </w:rPr>
      </w:pPr>
      <w:r w:rsidRPr="00A35208">
        <w:rPr>
          <w:rFonts w:ascii="Calibri" w:hAnsi="Calibri" w:cs="Calibri"/>
        </w:rPr>
        <w:t xml:space="preserve">Lin, W. </w:t>
      </w:r>
      <w:r w:rsidRPr="00A35208">
        <w:rPr>
          <w:rFonts w:ascii="Calibri" w:hAnsi="Calibri" w:cs="Calibri"/>
          <w:i/>
          <w:iCs/>
        </w:rPr>
        <w:t>et al.</w:t>
      </w:r>
      <w:r w:rsidRPr="00A35208">
        <w:rPr>
          <w:rFonts w:ascii="Calibri" w:hAnsi="Calibri" w:cs="Calibri"/>
        </w:rPr>
        <w:t xml:space="preserve"> (2020) ‘Sitting or Walking? Analyzing the Neural Emotional Indicators of Urban Green Space Behavior with Mobile EEG’, </w:t>
      </w:r>
      <w:r w:rsidRPr="00A35208">
        <w:rPr>
          <w:rFonts w:ascii="Calibri" w:hAnsi="Calibri" w:cs="Calibri"/>
          <w:i/>
          <w:iCs/>
        </w:rPr>
        <w:t>Journal of Urban Health</w:t>
      </w:r>
      <w:r w:rsidRPr="00A35208">
        <w:rPr>
          <w:rFonts w:ascii="Calibri" w:hAnsi="Calibri" w:cs="Calibri"/>
        </w:rPr>
        <w:t>, 97(2), pp. 191–203. Available at: https://doi.org/10.1007/s11524-019-00407-8.</w:t>
      </w:r>
    </w:p>
    <w:p w14:paraId="5AE83A82" w14:textId="77777777" w:rsidR="00A35208" w:rsidRPr="00A35208" w:rsidRDefault="00A35208" w:rsidP="00A35208">
      <w:pPr>
        <w:pStyle w:val="Bibliography"/>
        <w:rPr>
          <w:rFonts w:ascii="Calibri" w:hAnsi="Calibri" w:cs="Calibri"/>
        </w:rPr>
      </w:pPr>
      <w:r w:rsidRPr="00A35208">
        <w:rPr>
          <w:rFonts w:ascii="Calibri" w:hAnsi="Calibri" w:cs="Calibri"/>
        </w:rPr>
        <w:t xml:space="preserve">Lindemann-Matthies, P. (2002) ‘The Influence of an Educational Program on Children’s Perception of Biodiversity’, </w:t>
      </w:r>
      <w:r w:rsidRPr="00A35208">
        <w:rPr>
          <w:rFonts w:ascii="Calibri" w:hAnsi="Calibri" w:cs="Calibri"/>
          <w:i/>
          <w:iCs/>
        </w:rPr>
        <w:t>The Journal of Environmental Education</w:t>
      </w:r>
      <w:r w:rsidRPr="00A35208">
        <w:rPr>
          <w:rFonts w:ascii="Calibri" w:hAnsi="Calibri" w:cs="Calibri"/>
        </w:rPr>
        <w:t>, 33(2), pp. 22–31. Available at: https://doi.org/10.1080/00958960209600805.</w:t>
      </w:r>
    </w:p>
    <w:p w14:paraId="1A1973CE" w14:textId="77777777" w:rsidR="00A35208" w:rsidRPr="00A35208" w:rsidRDefault="00A35208" w:rsidP="00A35208">
      <w:pPr>
        <w:pStyle w:val="Bibliography"/>
        <w:rPr>
          <w:rFonts w:ascii="Calibri" w:hAnsi="Calibri" w:cs="Calibri"/>
        </w:rPr>
      </w:pPr>
      <w:r w:rsidRPr="00A35208">
        <w:rPr>
          <w:rFonts w:ascii="Calibri" w:hAnsi="Calibri" w:cs="Calibri"/>
        </w:rPr>
        <w:t xml:space="preserve">Lindemann-Matthies, P. and Bose, E. (2008) ‘How Many Species Are There? Public Understanding and Awareness of Biodiversity in Switzerland’, </w:t>
      </w:r>
      <w:r w:rsidRPr="00A35208">
        <w:rPr>
          <w:rFonts w:ascii="Calibri" w:hAnsi="Calibri" w:cs="Calibri"/>
          <w:i/>
          <w:iCs/>
        </w:rPr>
        <w:t>Human Ecology</w:t>
      </w:r>
      <w:r w:rsidRPr="00A35208">
        <w:rPr>
          <w:rFonts w:ascii="Calibri" w:hAnsi="Calibri" w:cs="Calibri"/>
        </w:rPr>
        <w:t>, 36(5), pp. 731–742. Available at: https://doi.org/10.1007/s10745-008-9194-1.</w:t>
      </w:r>
    </w:p>
    <w:p w14:paraId="5D7C72DC" w14:textId="77777777" w:rsidR="00A35208" w:rsidRPr="00A35208" w:rsidRDefault="00A35208" w:rsidP="00A35208">
      <w:pPr>
        <w:pStyle w:val="Bibliography"/>
        <w:rPr>
          <w:rFonts w:ascii="Calibri" w:hAnsi="Calibri" w:cs="Calibri"/>
        </w:rPr>
      </w:pPr>
      <w:r w:rsidRPr="00A35208">
        <w:rPr>
          <w:rFonts w:ascii="Calibri" w:hAnsi="Calibri" w:cs="Calibri"/>
        </w:rPr>
        <w:t xml:space="preserve">Lindemann-Matthies, P. and Matthies, D. (2018) ‘The influence of plant species richness on stress recovery of humans’, </w:t>
      </w:r>
      <w:r w:rsidRPr="00A35208">
        <w:rPr>
          <w:rFonts w:ascii="Calibri" w:hAnsi="Calibri" w:cs="Calibri"/>
          <w:i/>
          <w:iCs/>
        </w:rPr>
        <w:t>Web Ecol.</w:t>
      </w:r>
      <w:r w:rsidRPr="00A35208">
        <w:rPr>
          <w:rFonts w:ascii="Calibri" w:hAnsi="Calibri" w:cs="Calibri"/>
        </w:rPr>
        <w:t>, 18(2), pp. 121–128. Available at: https://doi.org/10.5194/we-18-121-2018.</w:t>
      </w:r>
    </w:p>
    <w:p w14:paraId="0A4F57A3" w14:textId="77777777" w:rsidR="00A35208" w:rsidRPr="00A35208" w:rsidRDefault="00A35208" w:rsidP="00A35208">
      <w:pPr>
        <w:pStyle w:val="Bibliography"/>
        <w:rPr>
          <w:rFonts w:ascii="Calibri" w:hAnsi="Calibri" w:cs="Calibri"/>
        </w:rPr>
      </w:pPr>
      <w:r w:rsidRPr="00A35208">
        <w:rPr>
          <w:rFonts w:ascii="Calibri" w:hAnsi="Calibri" w:cs="Calibri"/>
        </w:rPr>
        <w:t xml:space="preserve">Linton, M.-J., Dieppe, P. and Medina-Lara, A. (2016) ‘Review of 99 self-report measures for assessing well-being in adults: exploring dimensions of well-being and developments over time’, </w:t>
      </w:r>
      <w:r w:rsidRPr="00A35208">
        <w:rPr>
          <w:rFonts w:ascii="Calibri" w:hAnsi="Calibri" w:cs="Calibri"/>
          <w:i/>
          <w:iCs/>
        </w:rPr>
        <w:t>BMJ Open</w:t>
      </w:r>
      <w:r w:rsidRPr="00A35208">
        <w:rPr>
          <w:rFonts w:ascii="Calibri" w:hAnsi="Calibri" w:cs="Calibri"/>
        </w:rPr>
        <w:t>, 6(7), p. e010641. Available at: https://doi.org/10.1136/bmjopen-2015-010641.</w:t>
      </w:r>
    </w:p>
    <w:p w14:paraId="20E1C968" w14:textId="77777777" w:rsidR="00A35208" w:rsidRPr="00A35208" w:rsidRDefault="00A35208" w:rsidP="00A35208">
      <w:pPr>
        <w:pStyle w:val="Bibliography"/>
        <w:rPr>
          <w:rFonts w:ascii="Calibri" w:hAnsi="Calibri" w:cs="Calibri"/>
        </w:rPr>
      </w:pPr>
      <w:r w:rsidRPr="00A35208">
        <w:rPr>
          <w:rFonts w:ascii="Calibri" w:hAnsi="Calibri" w:cs="Calibri"/>
        </w:rPr>
        <w:t xml:space="preserve">Liu, J. </w:t>
      </w:r>
      <w:r w:rsidRPr="00A35208">
        <w:rPr>
          <w:rFonts w:ascii="Calibri" w:hAnsi="Calibri" w:cs="Calibri"/>
          <w:i/>
          <w:iCs/>
        </w:rPr>
        <w:t>et al.</w:t>
      </w:r>
      <w:r w:rsidRPr="00A35208">
        <w:rPr>
          <w:rFonts w:ascii="Calibri" w:hAnsi="Calibri" w:cs="Calibri"/>
        </w:rPr>
        <w:t xml:space="preserve"> (2023) ‘Awe of nature and well-being: Roles of nature connectedness and powerlessness’, </w:t>
      </w:r>
      <w:r w:rsidRPr="00A35208">
        <w:rPr>
          <w:rFonts w:ascii="Calibri" w:hAnsi="Calibri" w:cs="Calibri"/>
          <w:i/>
          <w:iCs/>
        </w:rPr>
        <w:t>Personality and Individual Differences</w:t>
      </w:r>
      <w:r w:rsidRPr="00A35208">
        <w:rPr>
          <w:rFonts w:ascii="Calibri" w:hAnsi="Calibri" w:cs="Calibri"/>
        </w:rPr>
        <w:t>, 201, p. 111946. Available at: https://doi.org/10.1016/j.paid.2022.111946.</w:t>
      </w:r>
    </w:p>
    <w:p w14:paraId="10F84F4F" w14:textId="77777777" w:rsidR="00A35208" w:rsidRPr="00A35208" w:rsidRDefault="00A35208" w:rsidP="00A35208">
      <w:pPr>
        <w:pStyle w:val="Bibliography"/>
        <w:rPr>
          <w:rFonts w:ascii="Calibri" w:hAnsi="Calibri" w:cs="Calibri"/>
        </w:rPr>
      </w:pPr>
      <w:r w:rsidRPr="00A35208">
        <w:rPr>
          <w:rFonts w:ascii="Calibri" w:hAnsi="Calibri" w:cs="Calibri"/>
        </w:rPr>
        <w:t xml:space="preserve">Liu, J.-D. </w:t>
      </w:r>
      <w:r w:rsidRPr="00A35208">
        <w:rPr>
          <w:rFonts w:ascii="Calibri" w:hAnsi="Calibri" w:cs="Calibri"/>
          <w:i/>
          <w:iCs/>
        </w:rPr>
        <w:t>et al.</w:t>
      </w:r>
      <w:r w:rsidRPr="00A35208">
        <w:rPr>
          <w:rFonts w:ascii="Calibri" w:hAnsi="Calibri" w:cs="Calibri"/>
        </w:rPr>
        <w:t xml:space="preserve"> (2020) ‘Chinese version of the international positive and negative affect schedule short form: factor structure and measurement invariance’, </w:t>
      </w:r>
      <w:r w:rsidRPr="00A35208">
        <w:rPr>
          <w:rFonts w:ascii="Calibri" w:hAnsi="Calibri" w:cs="Calibri"/>
          <w:i/>
          <w:iCs/>
        </w:rPr>
        <w:t>Health and Quality of Life Outcomes</w:t>
      </w:r>
      <w:r w:rsidRPr="00A35208">
        <w:rPr>
          <w:rFonts w:ascii="Calibri" w:hAnsi="Calibri" w:cs="Calibri"/>
        </w:rPr>
        <w:t>, 18(1), p. 285. Available at: https://doi.org/10.1186/s12955-020-01526-6.</w:t>
      </w:r>
    </w:p>
    <w:p w14:paraId="210749D7" w14:textId="77777777" w:rsidR="00A35208" w:rsidRPr="00A35208" w:rsidRDefault="00A35208" w:rsidP="00A35208">
      <w:pPr>
        <w:pStyle w:val="Bibliography"/>
        <w:rPr>
          <w:rFonts w:ascii="Calibri" w:hAnsi="Calibri" w:cs="Calibri"/>
        </w:rPr>
      </w:pPr>
      <w:r w:rsidRPr="00A35208">
        <w:rPr>
          <w:rFonts w:ascii="Calibri" w:hAnsi="Calibri" w:cs="Calibri"/>
        </w:rPr>
        <w:t xml:space="preserve">Liu, J.J.W. </w:t>
      </w:r>
      <w:r w:rsidRPr="00A35208">
        <w:rPr>
          <w:rFonts w:ascii="Calibri" w:hAnsi="Calibri" w:cs="Calibri"/>
          <w:i/>
          <w:iCs/>
        </w:rPr>
        <w:t>et al.</w:t>
      </w:r>
      <w:r w:rsidRPr="00A35208">
        <w:rPr>
          <w:rFonts w:ascii="Calibri" w:hAnsi="Calibri" w:cs="Calibri"/>
        </w:rPr>
        <w:t xml:space="preserve"> (2017) ‘Re-conceptualizing stress: Shifting views on the consequences of stress and its effects on stress reactivity’, </w:t>
      </w:r>
      <w:r w:rsidRPr="00A35208">
        <w:rPr>
          <w:rFonts w:ascii="Calibri" w:hAnsi="Calibri" w:cs="Calibri"/>
          <w:i/>
          <w:iCs/>
        </w:rPr>
        <w:t>PLOS ONE</w:t>
      </w:r>
      <w:r w:rsidRPr="00A35208">
        <w:rPr>
          <w:rFonts w:ascii="Calibri" w:hAnsi="Calibri" w:cs="Calibri"/>
        </w:rPr>
        <w:t>, 12(3), p. e0173188.</w:t>
      </w:r>
    </w:p>
    <w:p w14:paraId="2FA8832A" w14:textId="77777777" w:rsidR="00A35208" w:rsidRPr="00A35208" w:rsidRDefault="00A35208" w:rsidP="00A35208">
      <w:pPr>
        <w:pStyle w:val="Bibliography"/>
        <w:rPr>
          <w:rFonts w:ascii="Calibri" w:hAnsi="Calibri" w:cs="Calibri"/>
        </w:rPr>
      </w:pPr>
      <w:r w:rsidRPr="00A35208">
        <w:rPr>
          <w:rFonts w:ascii="Calibri" w:hAnsi="Calibri" w:cs="Calibri"/>
        </w:rPr>
        <w:t xml:space="preserve">Liu, L. </w:t>
      </w:r>
      <w:r w:rsidRPr="00A35208">
        <w:rPr>
          <w:rFonts w:ascii="Calibri" w:hAnsi="Calibri" w:cs="Calibri"/>
          <w:i/>
          <w:iCs/>
        </w:rPr>
        <w:t>et al.</w:t>
      </w:r>
      <w:r w:rsidRPr="00A35208">
        <w:rPr>
          <w:rFonts w:ascii="Calibri" w:hAnsi="Calibri" w:cs="Calibri"/>
        </w:rPr>
        <w:t xml:space="preserve"> (2022) ‘Restorative benefits of urban green space: Physiological, psychological restoration and eye movement analysis’, </w:t>
      </w:r>
      <w:r w:rsidRPr="00A35208">
        <w:rPr>
          <w:rFonts w:ascii="Calibri" w:hAnsi="Calibri" w:cs="Calibri"/>
          <w:i/>
          <w:iCs/>
        </w:rPr>
        <w:t>Journal of Environmental Management</w:t>
      </w:r>
      <w:r w:rsidRPr="00A35208">
        <w:rPr>
          <w:rFonts w:ascii="Calibri" w:hAnsi="Calibri" w:cs="Calibri"/>
        </w:rPr>
        <w:t>, 301, p. 113930. Available at: https://doi.org/10.1016/j.jenvman.2021.113930.</w:t>
      </w:r>
    </w:p>
    <w:p w14:paraId="6EBCB5BA" w14:textId="77777777" w:rsidR="00A35208" w:rsidRPr="00A35208" w:rsidRDefault="00A35208" w:rsidP="00A35208">
      <w:pPr>
        <w:pStyle w:val="Bibliography"/>
        <w:rPr>
          <w:rFonts w:ascii="Calibri" w:hAnsi="Calibri" w:cs="Calibri"/>
        </w:rPr>
      </w:pPr>
      <w:r w:rsidRPr="00A35208">
        <w:rPr>
          <w:rFonts w:ascii="Calibri" w:hAnsi="Calibri" w:cs="Calibri"/>
        </w:rPr>
        <w:t xml:space="preserve">Liu, M. and Wronski, L. (2018) ‘Examining Completion Rates in Web Surveys via Over 25,000 Real-World Surveys’, </w:t>
      </w:r>
      <w:r w:rsidRPr="00A35208">
        <w:rPr>
          <w:rFonts w:ascii="Calibri" w:hAnsi="Calibri" w:cs="Calibri"/>
          <w:i/>
          <w:iCs/>
        </w:rPr>
        <w:t>Social Science Computer Review</w:t>
      </w:r>
      <w:r w:rsidRPr="00A35208">
        <w:rPr>
          <w:rFonts w:ascii="Calibri" w:hAnsi="Calibri" w:cs="Calibri"/>
        </w:rPr>
        <w:t>, 36(1), pp. 116–124. Available at: https://doi.org/10.1177/0894439317695581.</w:t>
      </w:r>
    </w:p>
    <w:p w14:paraId="589487BF" w14:textId="77777777" w:rsidR="00A35208" w:rsidRPr="00A35208" w:rsidRDefault="00A35208" w:rsidP="00A35208">
      <w:pPr>
        <w:pStyle w:val="Bibliography"/>
        <w:rPr>
          <w:rFonts w:ascii="Calibri" w:hAnsi="Calibri" w:cs="Calibri"/>
        </w:rPr>
      </w:pPr>
      <w:r w:rsidRPr="00A35208">
        <w:rPr>
          <w:rFonts w:ascii="Calibri" w:hAnsi="Calibri" w:cs="Calibri"/>
        </w:rPr>
        <w:t xml:space="preserve">Lopez, K.L. </w:t>
      </w:r>
      <w:r w:rsidRPr="00A35208">
        <w:rPr>
          <w:rFonts w:ascii="Calibri" w:hAnsi="Calibri" w:cs="Calibri"/>
          <w:i/>
          <w:iCs/>
        </w:rPr>
        <w:t>et al.</w:t>
      </w:r>
      <w:r w:rsidRPr="00A35208">
        <w:rPr>
          <w:rFonts w:ascii="Calibri" w:hAnsi="Calibri" w:cs="Calibri"/>
        </w:rPr>
        <w:t xml:space="preserve"> (2022) ‘HAPPILEE: HAPPE In Low Electrode Electroencephalography, a standardized pre-processing software for lower density recordings’, </w:t>
      </w:r>
      <w:r w:rsidRPr="00A35208">
        <w:rPr>
          <w:rFonts w:ascii="Calibri" w:hAnsi="Calibri" w:cs="Calibri"/>
          <w:i/>
          <w:iCs/>
        </w:rPr>
        <w:t>NeuroImage</w:t>
      </w:r>
      <w:r w:rsidRPr="00A35208">
        <w:rPr>
          <w:rFonts w:ascii="Calibri" w:hAnsi="Calibri" w:cs="Calibri"/>
        </w:rPr>
        <w:t>, 260, p. 119390. Available at: https://doi.org/10.1016/j.neuroimage.2022.119390.</w:t>
      </w:r>
    </w:p>
    <w:p w14:paraId="552888DF" w14:textId="77777777" w:rsidR="00A35208" w:rsidRPr="00A35208" w:rsidRDefault="00A35208" w:rsidP="00A35208">
      <w:pPr>
        <w:pStyle w:val="Bibliography"/>
        <w:rPr>
          <w:rFonts w:ascii="Calibri" w:hAnsi="Calibri" w:cs="Calibri"/>
        </w:rPr>
      </w:pPr>
      <w:r w:rsidRPr="00A35208">
        <w:rPr>
          <w:rFonts w:ascii="Calibri" w:hAnsi="Calibri" w:cs="Calibri"/>
        </w:rPr>
        <w:lastRenderedPageBreak/>
        <w:t xml:space="preserve">Lorimer, J. (2015) </w:t>
      </w:r>
      <w:r w:rsidRPr="00A35208">
        <w:rPr>
          <w:rFonts w:ascii="Calibri" w:hAnsi="Calibri" w:cs="Calibri"/>
          <w:i/>
          <w:iCs/>
        </w:rPr>
        <w:t>Wildlife in the Anthropocene: conservation after nature</w:t>
      </w:r>
      <w:r w:rsidRPr="00A35208">
        <w:rPr>
          <w:rFonts w:ascii="Calibri" w:hAnsi="Calibri" w:cs="Calibri"/>
        </w:rPr>
        <w:t>. Minneapolis, Minnesota: Minneapolis, Minnesota.</w:t>
      </w:r>
    </w:p>
    <w:p w14:paraId="0F17AEBA" w14:textId="77777777" w:rsidR="00A35208" w:rsidRPr="00A35208" w:rsidRDefault="00A35208" w:rsidP="00A35208">
      <w:pPr>
        <w:pStyle w:val="Bibliography"/>
        <w:rPr>
          <w:rFonts w:ascii="Calibri" w:hAnsi="Calibri" w:cs="Calibri"/>
        </w:rPr>
      </w:pPr>
      <w:r w:rsidRPr="00A35208">
        <w:rPr>
          <w:rFonts w:ascii="Calibri" w:hAnsi="Calibri" w:cs="Calibri"/>
        </w:rPr>
        <w:t xml:space="preserve">Lovell, R. </w:t>
      </w:r>
      <w:r w:rsidRPr="00A35208">
        <w:rPr>
          <w:rFonts w:ascii="Calibri" w:hAnsi="Calibri" w:cs="Calibri"/>
          <w:i/>
          <w:iCs/>
        </w:rPr>
        <w:t>et al.</w:t>
      </w:r>
      <w:r w:rsidRPr="00A35208">
        <w:rPr>
          <w:rFonts w:ascii="Calibri" w:hAnsi="Calibri" w:cs="Calibri"/>
        </w:rPr>
        <w:t xml:space="preserve"> (2014) ‘A Systematic Review of the Health and Well-Being Benefits of Biodiverse Environments’, </w:t>
      </w:r>
      <w:r w:rsidRPr="00A35208">
        <w:rPr>
          <w:rFonts w:ascii="Calibri" w:hAnsi="Calibri" w:cs="Calibri"/>
          <w:i/>
          <w:iCs/>
        </w:rPr>
        <w:t>Journal of Toxicology and Environmental Health - Part B: Critical Reviews</w:t>
      </w:r>
      <w:r w:rsidRPr="00A35208">
        <w:rPr>
          <w:rFonts w:ascii="Calibri" w:hAnsi="Calibri" w:cs="Calibri"/>
        </w:rPr>
        <w:t>, 17(1), pp. 1–20. Available at: https://doi.org/10.1080/10937404.2013.856361.</w:t>
      </w:r>
    </w:p>
    <w:p w14:paraId="1A96D5A3" w14:textId="77777777" w:rsidR="00A35208" w:rsidRPr="00A35208" w:rsidRDefault="00A35208" w:rsidP="00A35208">
      <w:pPr>
        <w:pStyle w:val="Bibliography"/>
        <w:rPr>
          <w:rFonts w:ascii="Calibri" w:hAnsi="Calibri" w:cs="Calibri"/>
        </w:rPr>
      </w:pPr>
      <w:r w:rsidRPr="00A35208">
        <w:rPr>
          <w:rFonts w:ascii="Calibri" w:hAnsi="Calibri" w:cs="Calibri"/>
        </w:rPr>
        <w:t xml:space="preserve">Luo, J., Wang, M. and Chen, L. (2021) ‘The Effects of Using a Nature-Sound Mobile Application on Psychological Well-Being and Cognitive Performance Among University Students’, </w:t>
      </w:r>
      <w:r w:rsidRPr="00A35208">
        <w:rPr>
          <w:rFonts w:ascii="Calibri" w:hAnsi="Calibri" w:cs="Calibri"/>
          <w:i/>
          <w:iCs/>
        </w:rPr>
        <w:t>Frontiers in Psychology</w:t>
      </w:r>
      <w:r w:rsidRPr="00A35208">
        <w:rPr>
          <w:rFonts w:ascii="Calibri" w:hAnsi="Calibri" w:cs="Calibri"/>
        </w:rPr>
        <w:t>, 12, p. 699908. Available at: https://doi.org/10.3389/fpsyg.2021.699908.</w:t>
      </w:r>
    </w:p>
    <w:p w14:paraId="278E8D4E" w14:textId="77777777" w:rsidR="00A35208" w:rsidRPr="00A35208" w:rsidRDefault="00A35208" w:rsidP="00A35208">
      <w:pPr>
        <w:pStyle w:val="Bibliography"/>
        <w:rPr>
          <w:rFonts w:ascii="Calibri" w:hAnsi="Calibri" w:cs="Calibri"/>
        </w:rPr>
      </w:pPr>
      <w:r w:rsidRPr="00A35208">
        <w:rPr>
          <w:rFonts w:ascii="Calibri" w:hAnsi="Calibri" w:cs="Calibri"/>
        </w:rPr>
        <w:t xml:space="preserve">Macdonald, E.A. </w:t>
      </w:r>
      <w:r w:rsidRPr="00A35208">
        <w:rPr>
          <w:rFonts w:ascii="Calibri" w:hAnsi="Calibri" w:cs="Calibri"/>
          <w:i/>
          <w:iCs/>
        </w:rPr>
        <w:t>et al.</w:t>
      </w:r>
      <w:r w:rsidRPr="00A35208">
        <w:rPr>
          <w:rFonts w:ascii="Calibri" w:hAnsi="Calibri" w:cs="Calibri"/>
        </w:rPr>
        <w:t xml:space="preserve"> (2015) ‘Conservation inequality and the charismatic cat: Felis felicis’, </w:t>
      </w:r>
      <w:r w:rsidRPr="00A35208">
        <w:rPr>
          <w:rFonts w:ascii="Calibri" w:hAnsi="Calibri" w:cs="Calibri"/>
          <w:i/>
          <w:iCs/>
        </w:rPr>
        <w:t>Global Ecology and Conservation</w:t>
      </w:r>
      <w:r w:rsidRPr="00A35208">
        <w:rPr>
          <w:rFonts w:ascii="Calibri" w:hAnsi="Calibri" w:cs="Calibri"/>
        </w:rPr>
        <w:t>, 3, pp. 851–866. Available at: https://doi.org/10.1016/j.gecco.2015.04.006.</w:t>
      </w:r>
    </w:p>
    <w:p w14:paraId="22CFC0EE" w14:textId="77777777" w:rsidR="00A35208" w:rsidRPr="00A35208" w:rsidRDefault="00A35208" w:rsidP="00A35208">
      <w:pPr>
        <w:pStyle w:val="Bibliography"/>
        <w:rPr>
          <w:rFonts w:ascii="Calibri" w:hAnsi="Calibri" w:cs="Calibri"/>
        </w:rPr>
      </w:pPr>
      <w:r w:rsidRPr="00A35208">
        <w:rPr>
          <w:rFonts w:ascii="Calibri" w:hAnsi="Calibri" w:cs="Calibri"/>
        </w:rPr>
        <w:t xml:space="preserve">MacKinnon, M. </w:t>
      </w:r>
      <w:r w:rsidRPr="00A35208">
        <w:rPr>
          <w:rFonts w:ascii="Calibri" w:hAnsi="Calibri" w:cs="Calibri"/>
          <w:i/>
          <w:iCs/>
        </w:rPr>
        <w:t>et al.</w:t>
      </w:r>
      <w:r w:rsidRPr="00A35208">
        <w:rPr>
          <w:rFonts w:ascii="Calibri" w:hAnsi="Calibri" w:cs="Calibri"/>
        </w:rPr>
        <w:t xml:space="preserve"> (2022) ‘Urgent Biophilia: Green Space Visits in Wellington, New Zealand, during the COVID-19 Lockdowns’, </w:t>
      </w:r>
      <w:r w:rsidRPr="00A35208">
        <w:rPr>
          <w:rFonts w:ascii="Calibri" w:hAnsi="Calibri" w:cs="Calibri"/>
          <w:i/>
          <w:iCs/>
        </w:rPr>
        <w:t>Land</w:t>
      </w:r>
      <w:r w:rsidRPr="00A35208">
        <w:rPr>
          <w:rFonts w:ascii="Calibri" w:hAnsi="Calibri" w:cs="Calibri"/>
        </w:rPr>
        <w:t>, 11(6), p. 793. Available at: https://doi.org/10.3390/land11060793.</w:t>
      </w:r>
    </w:p>
    <w:p w14:paraId="17292AE7" w14:textId="77777777" w:rsidR="00A35208" w:rsidRPr="00A35208" w:rsidRDefault="00A35208" w:rsidP="00A35208">
      <w:pPr>
        <w:pStyle w:val="Bibliography"/>
        <w:rPr>
          <w:rFonts w:ascii="Calibri" w:hAnsi="Calibri" w:cs="Calibri"/>
        </w:rPr>
      </w:pPr>
      <w:r w:rsidRPr="00A35208">
        <w:rPr>
          <w:rFonts w:ascii="Calibri" w:hAnsi="Calibri" w:cs="Calibri"/>
        </w:rPr>
        <w:t xml:space="preserve">Mammola, S. </w:t>
      </w:r>
      <w:r w:rsidRPr="00A35208">
        <w:rPr>
          <w:rFonts w:ascii="Calibri" w:hAnsi="Calibri" w:cs="Calibri"/>
          <w:i/>
          <w:iCs/>
        </w:rPr>
        <w:t>et al.</w:t>
      </w:r>
      <w:r w:rsidRPr="00A35208">
        <w:rPr>
          <w:rFonts w:ascii="Calibri" w:hAnsi="Calibri" w:cs="Calibri"/>
        </w:rPr>
        <w:t xml:space="preserve"> (2023) ‘How much biodiversity is concealed in the word “biodiversity”?’, </w:t>
      </w:r>
      <w:r w:rsidRPr="00A35208">
        <w:rPr>
          <w:rFonts w:ascii="Calibri" w:hAnsi="Calibri" w:cs="Calibri"/>
          <w:i/>
          <w:iCs/>
        </w:rPr>
        <w:t>Current Biology</w:t>
      </w:r>
      <w:r w:rsidRPr="00A35208">
        <w:rPr>
          <w:rFonts w:ascii="Calibri" w:hAnsi="Calibri" w:cs="Calibri"/>
        </w:rPr>
        <w:t>, 33(2), pp. R59–R60. Available at: https://doi.org/10.1016/j.cub.2022.12.003.</w:t>
      </w:r>
    </w:p>
    <w:p w14:paraId="215F9B7D" w14:textId="77777777" w:rsidR="00A35208" w:rsidRPr="00A35208" w:rsidRDefault="00A35208" w:rsidP="00A35208">
      <w:pPr>
        <w:pStyle w:val="Bibliography"/>
        <w:rPr>
          <w:rFonts w:ascii="Calibri" w:hAnsi="Calibri" w:cs="Calibri"/>
        </w:rPr>
      </w:pPr>
      <w:r w:rsidRPr="00A35208">
        <w:rPr>
          <w:rFonts w:ascii="Calibri" w:hAnsi="Calibri" w:cs="Calibri"/>
        </w:rPr>
        <w:t xml:space="preserve">Markevych, I. </w:t>
      </w:r>
      <w:r w:rsidRPr="00A35208">
        <w:rPr>
          <w:rFonts w:ascii="Calibri" w:hAnsi="Calibri" w:cs="Calibri"/>
          <w:i/>
          <w:iCs/>
        </w:rPr>
        <w:t>et al.</w:t>
      </w:r>
      <w:r w:rsidRPr="00A35208">
        <w:rPr>
          <w:rFonts w:ascii="Calibri" w:hAnsi="Calibri" w:cs="Calibri"/>
        </w:rPr>
        <w:t xml:space="preserve"> (2017) ‘Exploring pathways linking greenspace to health: Theoretical and methodological guidance’, </w:t>
      </w:r>
      <w:r w:rsidRPr="00A35208">
        <w:rPr>
          <w:rFonts w:ascii="Calibri" w:hAnsi="Calibri" w:cs="Calibri"/>
          <w:i/>
          <w:iCs/>
        </w:rPr>
        <w:t>Environmental Research</w:t>
      </w:r>
      <w:r w:rsidRPr="00A35208">
        <w:rPr>
          <w:rFonts w:ascii="Calibri" w:hAnsi="Calibri" w:cs="Calibri"/>
        </w:rPr>
        <w:t>, 158. Available at: https://doi.org/10.1016/j.envres.2017.06.028.</w:t>
      </w:r>
    </w:p>
    <w:p w14:paraId="6BDCCD65" w14:textId="77777777" w:rsidR="00A35208" w:rsidRPr="00A35208" w:rsidRDefault="00A35208" w:rsidP="00A35208">
      <w:pPr>
        <w:pStyle w:val="Bibliography"/>
        <w:rPr>
          <w:rFonts w:ascii="Calibri" w:hAnsi="Calibri" w:cs="Calibri"/>
        </w:rPr>
      </w:pPr>
      <w:r w:rsidRPr="00A35208">
        <w:rPr>
          <w:rFonts w:ascii="Calibri" w:hAnsi="Calibri" w:cs="Calibri"/>
        </w:rPr>
        <w:t xml:space="preserve">Marselle, M.R. </w:t>
      </w:r>
      <w:r w:rsidRPr="00A35208">
        <w:rPr>
          <w:rFonts w:ascii="Calibri" w:hAnsi="Calibri" w:cs="Calibri"/>
          <w:i/>
          <w:iCs/>
        </w:rPr>
        <w:t>et al.</w:t>
      </w:r>
      <w:r w:rsidRPr="00A35208">
        <w:rPr>
          <w:rFonts w:ascii="Calibri" w:hAnsi="Calibri" w:cs="Calibri"/>
        </w:rPr>
        <w:t xml:space="preserve"> (2019) ‘Review of the Mental Health and Well-being Benefits of Biodiversity’, in M.R. Marselle et al. (eds) </w:t>
      </w:r>
      <w:r w:rsidRPr="00A35208">
        <w:rPr>
          <w:rFonts w:ascii="Calibri" w:hAnsi="Calibri" w:cs="Calibri"/>
          <w:i/>
          <w:iCs/>
        </w:rPr>
        <w:t>Biodiversity and Health in the Face of Climate Change</w:t>
      </w:r>
      <w:r w:rsidRPr="00A35208">
        <w:rPr>
          <w:rFonts w:ascii="Calibri" w:hAnsi="Calibri" w:cs="Calibri"/>
        </w:rPr>
        <w:t>. Cham: Springer International Publishing, pp. 175–211. Available at: https://doi.org/10.1007/978-3-030-02318-8_9.</w:t>
      </w:r>
    </w:p>
    <w:p w14:paraId="10C0845F" w14:textId="77777777" w:rsidR="00A35208" w:rsidRPr="00A35208" w:rsidRDefault="00A35208" w:rsidP="00A35208">
      <w:pPr>
        <w:pStyle w:val="Bibliography"/>
        <w:rPr>
          <w:rFonts w:ascii="Calibri" w:hAnsi="Calibri" w:cs="Calibri"/>
        </w:rPr>
      </w:pPr>
      <w:r w:rsidRPr="00A35208">
        <w:rPr>
          <w:rFonts w:ascii="Calibri" w:hAnsi="Calibri" w:cs="Calibri"/>
        </w:rPr>
        <w:t xml:space="preserve">Marselle, M.R. </w:t>
      </w:r>
      <w:r w:rsidRPr="00A35208">
        <w:rPr>
          <w:rFonts w:ascii="Calibri" w:hAnsi="Calibri" w:cs="Calibri"/>
          <w:i/>
          <w:iCs/>
        </w:rPr>
        <w:t>et al.</w:t>
      </w:r>
      <w:r w:rsidRPr="00A35208">
        <w:rPr>
          <w:rFonts w:ascii="Calibri" w:hAnsi="Calibri" w:cs="Calibri"/>
        </w:rPr>
        <w:t xml:space="preserve"> (2021) ‘Pathways linking biodiversity to human health: A conceptual framework’, </w:t>
      </w:r>
      <w:r w:rsidRPr="00A35208">
        <w:rPr>
          <w:rFonts w:ascii="Calibri" w:hAnsi="Calibri" w:cs="Calibri"/>
          <w:i/>
          <w:iCs/>
        </w:rPr>
        <w:t>Environment International</w:t>
      </w:r>
      <w:r w:rsidRPr="00A35208">
        <w:rPr>
          <w:rFonts w:ascii="Calibri" w:hAnsi="Calibri" w:cs="Calibri"/>
        </w:rPr>
        <w:t>, 150, p. 106420. Available at: https://doi.org/10.1016/j.envint.2021.106420.</w:t>
      </w:r>
    </w:p>
    <w:p w14:paraId="44A2DA8C" w14:textId="77777777" w:rsidR="00A35208" w:rsidRPr="00A35208" w:rsidRDefault="00A35208" w:rsidP="00A35208">
      <w:pPr>
        <w:pStyle w:val="Bibliography"/>
        <w:rPr>
          <w:rFonts w:ascii="Calibri" w:hAnsi="Calibri" w:cs="Calibri"/>
        </w:rPr>
      </w:pPr>
      <w:r w:rsidRPr="00A35208">
        <w:rPr>
          <w:rFonts w:ascii="Calibri" w:hAnsi="Calibri" w:cs="Calibri"/>
        </w:rPr>
        <w:t xml:space="preserve">Mayer, F.S. </w:t>
      </w:r>
      <w:r w:rsidRPr="00A35208">
        <w:rPr>
          <w:rFonts w:ascii="Calibri" w:hAnsi="Calibri" w:cs="Calibri"/>
          <w:i/>
          <w:iCs/>
        </w:rPr>
        <w:t>et al.</w:t>
      </w:r>
      <w:r w:rsidRPr="00A35208">
        <w:rPr>
          <w:rFonts w:ascii="Calibri" w:hAnsi="Calibri" w:cs="Calibri"/>
        </w:rPr>
        <w:t xml:space="preserve"> (2009) ‘Why Is Nature Beneficial?: The Role of Connectedness to Nature’, </w:t>
      </w:r>
      <w:r w:rsidRPr="00A35208">
        <w:rPr>
          <w:rFonts w:ascii="Calibri" w:hAnsi="Calibri" w:cs="Calibri"/>
          <w:i/>
          <w:iCs/>
        </w:rPr>
        <w:t>Environment and Behavior</w:t>
      </w:r>
      <w:r w:rsidRPr="00A35208">
        <w:rPr>
          <w:rFonts w:ascii="Calibri" w:hAnsi="Calibri" w:cs="Calibri"/>
        </w:rPr>
        <w:t>, 41(5), pp. 607–643. Available at: https://doi.org/10.1177/0013916508319745.</w:t>
      </w:r>
    </w:p>
    <w:p w14:paraId="36A702E1" w14:textId="77777777" w:rsidR="00A35208" w:rsidRPr="00A35208" w:rsidRDefault="00A35208" w:rsidP="00A35208">
      <w:pPr>
        <w:pStyle w:val="Bibliography"/>
        <w:rPr>
          <w:rFonts w:ascii="Calibri" w:hAnsi="Calibri" w:cs="Calibri"/>
        </w:rPr>
      </w:pPr>
      <w:r w:rsidRPr="00A35208">
        <w:rPr>
          <w:rFonts w:ascii="Calibri" w:hAnsi="Calibri" w:cs="Calibri"/>
        </w:rPr>
        <w:t xml:space="preserve">Mayer, F.S. and Frantz, C.M. (2004) ‘The connectedness to nature scale: A measure of individuals’ feeling in community with nature’, </w:t>
      </w:r>
      <w:r w:rsidRPr="00A35208">
        <w:rPr>
          <w:rFonts w:ascii="Calibri" w:hAnsi="Calibri" w:cs="Calibri"/>
          <w:i/>
          <w:iCs/>
        </w:rPr>
        <w:t>Journal of Environmental Psychology</w:t>
      </w:r>
      <w:r w:rsidRPr="00A35208">
        <w:rPr>
          <w:rFonts w:ascii="Calibri" w:hAnsi="Calibri" w:cs="Calibri"/>
        </w:rPr>
        <w:t>, 24(4), pp. 503–515. Available at: https://doi.org/10.1016/j.jenvp.2004.10.001.</w:t>
      </w:r>
    </w:p>
    <w:p w14:paraId="4026394C" w14:textId="77777777" w:rsidR="00A35208" w:rsidRPr="00A35208" w:rsidRDefault="00A35208" w:rsidP="00A35208">
      <w:pPr>
        <w:pStyle w:val="Bibliography"/>
        <w:rPr>
          <w:rFonts w:ascii="Calibri" w:hAnsi="Calibri" w:cs="Calibri"/>
        </w:rPr>
      </w:pPr>
      <w:r w:rsidRPr="00A35208">
        <w:rPr>
          <w:rFonts w:ascii="Calibri" w:hAnsi="Calibri" w:cs="Calibri"/>
        </w:rPr>
        <w:t xml:space="preserve">McAllister, E., Bhullar, N. and Schutte, N.S. (2017) ‘Into the Woods or a Stroll in the Park: How Virtual Contact with Nature Impacts Positive and Negative Affect’, </w:t>
      </w:r>
      <w:r w:rsidRPr="00A35208">
        <w:rPr>
          <w:rFonts w:ascii="Calibri" w:hAnsi="Calibri" w:cs="Calibri"/>
          <w:i/>
          <w:iCs/>
        </w:rPr>
        <w:t>International Journal of Environmental Research and Public Health</w:t>
      </w:r>
      <w:r w:rsidRPr="00A35208">
        <w:rPr>
          <w:rFonts w:ascii="Calibri" w:hAnsi="Calibri" w:cs="Calibri"/>
        </w:rPr>
        <w:t>, 14(7), p. 786. Available at: https://doi.org/10.3390/ijerph14070786.</w:t>
      </w:r>
    </w:p>
    <w:p w14:paraId="1570DDFF" w14:textId="77777777" w:rsidR="00A35208" w:rsidRPr="00A35208" w:rsidRDefault="00A35208" w:rsidP="00A35208">
      <w:pPr>
        <w:pStyle w:val="Bibliography"/>
        <w:rPr>
          <w:rFonts w:ascii="Calibri" w:hAnsi="Calibri" w:cs="Calibri"/>
        </w:rPr>
      </w:pPr>
      <w:r w:rsidRPr="00A35208">
        <w:rPr>
          <w:rFonts w:ascii="Calibri" w:hAnsi="Calibri" w:cs="Calibri"/>
        </w:rPr>
        <w:lastRenderedPageBreak/>
        <w:t xml:space="preserve">McDonald, R.I. </w:t>
      </w:r>
      <w:r w:rsidRPr="00A35208">
        <w:rPr>
          <w:rFonts w:ascii="Calibri" w:hAnsi="Calibri" w:cs="Calibri"/>
          <w:i/>
          <w:iCs/>
        </w:rPr>
        <w:t>et al.</w:t>
      </w:r>
      <w:r w:rsidRPr="00A35208">
        <w:rPr>
          <w:rFonts w:ascii="Calibri" w:hAnsi="Calibri" w:cs="Calibri"/>
        </w:rPr>
        <w:t xml:space="preserve"> (2019) ‘Research gaps in knowledge of the impact of urban growth on biodiversity’, </w:t>
      </w:r>
      <w:r w:rsidRPr="00A35208">
        <w:rPr>
          <w:rFonts w:ascii="Calibri" w:hAnsi="Calibri" w:cs="Calibri"/>
          <w:i/>
          <w:iCs/>
        </w:rPr>
        <w:t>Nature Sustainability</w:t>
      </w:r>
      <w:r w:rsidRPr="00A35208">
        <w:rPr>
          <w:rFonts w:ascii="Calibri" w:hAnsi="Calibri" w:cs="Calibri"/>
        </w:rPr>
        <w:t>, 3(1), pp. 16–24. Available at: https://doi.org/10.1038/s41893-019-0436-6.</w:t>
      </w:r>
    </w:p>
    <w:p w14:paraId="26013AC2" w14:textId="77777777" w:rsidR="00A35208" w:rsidRPr="00A35208" w:rsidRDefault="00A35208" w:rsidP="00A35208">
      <w:pPr>
        <w:pStyle w:val="Bibliography"/>
        <w:rPr>
          <w:rFonts w:ascii="Calibri" w:hAnsi="Calibri" w:cs="Calibri"/>
        </w:rPr>
      </w:pPr>
      <w:r w:rsidRPr="00A35208">
        <w:rPr>
          <w:rFonts w:ascii="Calibri" w:hAnsi="Calibri" w:cs="Calibri"/>
        </w:rPr>
        <w:t xml:space="preserve">McEwan, K. </w:t>
      </w:r>
      <w:r w:rsidRPr="00A35208">
        <w:rPr>
          <w:rFonts w:ascii="Calibri" w:hAnsi="Calibri" w:cs="Calibri"/>
          <w:i/>
          <w:iCs/>
        </w:rPr>
        <w:t>et al.</w:t>
      </w:r>
      <w:r w:rsidRPr="00A35208">
        <w:rPr>
          <w:rFonts w:ascii="Calibri" w:hAnsi="Calibri" w:cs="Calibri"/>
        </w:rPr>
        <w:t xml:space="preserve"> (2019) ‘A smartphone app for improving mental health through connecting with urban nature’, </w:t>
      </w:r>
      <w:r w:rsidRPr="00A35208">
        <w:rPr>
          <w:rFonts w:ascii="Calibri" w:hAnsi="Calibri" w:cs="Calibri"/>
          <w:i/>
          <w:iCs/>
        </w:rPr>
        <w:t>International Journal of Environmental Research and Public Health</w:t>
      </w:r>
      <w:r w:rsidRPr="00A35208">
        <w:rPr>
          <w:rFonts w:ascii="Calibri" w:hAnsi="Calibri" w:cs="Calibri"/>
        </w:rPr>
        <w:t>, 16(18), pp. 1–15. Available at: https://doi.org/10.3390/ijerph16183373.</w:t>
      </w:r>
    </w:p>
    <w:p w14:paraId="1837E405" w14:textId="77777777" w:rsidR="00A35208" w:rsidRPr="00A35208" w:rsidRDefault="00A35208" w:rsidP="00A35208">
      <w:pPr>
        <w:pStyle w:val="Bibliography"/>
        <w:rPr>
          <w:rFonts w:ascii="Calibri" w:hAnsi="Calibri" w:cs="Calibri"/>
        </w:rPr>
      </w:pPr>
      <w:r w:rsidRPr="00A35208">
        <w:rPr>
          <w:rFonts w:ascii="Calibri" w:hAnsi="Calibri" w:cs="Calibri"/>
        </w:rPr>
        <w:t xml:space="preserve">McEwan, K., Richardson, M., </w:t>
      </w:r>
      <w:r w:rsidRPr="00A35208">
        <w:rPr>
          <w:rFonts w:ascii="Calibri" w:hAnsi="Calibri" w:cs="Calibri"/>
          <w:i/>
          <w:iCs/>
        </w:rPr>
        <w:t>et al.</w:t>
      </w:r>
      <w:r w:rsidRPr="00A35208">
        <w:rPr>
          <w:rFonts w:ascii="Calibri" w:hAnsi="Calibri" w:cs="Calibri"/>
        </w:rPr>
        <w:t xml:space="preserve"> (2020) ‘Shmapped: development of an app to record and promote the well-being benefits of noticing urban nature’, </w:t>
      </w:r>
      <w:r w:rsidRPr="00A35208">
        <w:rPr>
          <w:rFonts w:ascii="Calibri" w:hAnsi="Calibri" w:cs="Calibri"/>
          <w:i/>
          <w:iCs/>
        </w:rPr>
        <w:t>Translational Behavioral Medicine</w:t>
      </w:r>
      <w:r w:rsidRPr="00A35208">
        <w:rPr>
          <w:rFonts w:ascii="Calibri" w:hAnsi="Calibri" w:cs="Calibri"/>
        </w:rPr>
        <w:t>, 10(3), pp. 723–733. Available at: https://doi.org/10.1093/tbm/ibz027.</w:t>
      </w:r>
    </w:p>
    <w:p w14:paraId="3333487E" w14:textId="77777777" w:rsidR="00A35208" w:rsidRPr="00A35208" w:rsidRDefault="00A35208" w:rsidP="00A35208">
      <w:pPr>
        <w:pStyle w:val="Bibliography"/>
        <w:rPr>
          <w:rFonts w:ascii="Calibri" w:hAnsi="Calibri" w:cs="Calibri"/>
        </w:rPr>
      </w:pPr>
      <w:r w:rsidRPr="00A35208">
        <w:rPr>
          <w:rFonts w:ascii="Calibri" w:hAnsi="Calibri" w:cs="Calibri"/>
        </w:rPr>
        <w:t xml:space="preserve">McEwan, K., Ferguson, F.J., </w:t>
      </w:r>
      <w:r w:rsidRPr="00A35208">
        <w:rPr>
          <w:rFonts w:ascii="Calibri" w:hAnsi="Calibri" w:cs="Calibri"/>
          <w:i/>
          <w:iCs/>
        </w:rPr>
        <w:t>et al.</w:t>
      </w:r>
      <w:r w:rsidRPr="00A35208">
        <w:rPr>
          <w:rFonts w:ascii="Calibri" w:hAnsi="Calibri" w:cs="Calibri"/>
        </w:rPr>
        <w:t xml:space="preserve"> (2020) ‘The good things in urban nature: A thematic framework for optimising urban planning for nature connectedness’, </w:t>
      </w:r>
      <w:r w:rsidRPr="00A35208">
        <w:rPr>
          <w:rFonts w:ascii="Calibri" w:hAnsi="Calibri" w:cs="Calibri"/>
          <w:i/>
          <w:iCs/>
        </w:rPr>
        <w:t>Landscape and Urban Planning</w:t>
      </w:r>
      <w:r w:rsidRPr="00A35208">
        <w:rPr>
          <w:rFonts w:ascii="Calibri" w:hAnsi="Calibri" w:cs="Calibri"/>
        </w:rPr>
        <w:t>, 194(October 2019), p. 103687. Available at: https://doi.org/10.1016/j.landurbplan.2019.103687.</w:t>
      </w:r>
    </w:p>
    <w:p w14:paraId="5170D7D9" w14:textId="77777777" w:rsidR="00A35208" w:rsidRPr="00A35208" w:rsidRDefault="00A35208" w:rsidP="00A35208">
      <w:pPr>
        <w:pStyle w:val="Bibliography"/>
        <w:rPr>
          <w:rFonts w:ascii="Calibri" w:hAnsi="Calibri" w:cs="Calibri"/>
        </w:rPr>
      </w:pPr>
      <w:r w:rsidRPr="00A35208">
        <w:rPr>
          <w:rFonts w:ascii="Calibri" w:hAnsi="Calibri" w:cs="Calibri"/>
        </w:rPr>
        <w:t xml:space="preserve">McEwan, K. </w:t>
      </w:r>
      <w:r w:rsidRPr="00A35208">
        <w:rPr>
          <w:rFonts w:ascii="Calibri" w:hAnsi="Calibri" w:cs="Calibri"/>
          <w:i/>
          <w:iCs/>
        </w:rPr>
        <w:t>et al.</w:t>
      </w:r>
      <w:r w:rsidRPr="00A35208">
        <w:rPr>
          <w:rFonts w:ascii="Calibri" w:hAnsi="Calibri" w:cs="Calibri"/>
        </w:rPr>
        <w:t xml:space="preserve"> (2021) ‘A pragmatic controlled trial of forest bathing compared with compassionate mind training in the UK: Impacts on self-reported wellbeing and heart rate variability’, </w:t>
      </w:r>
      <w:r w:rsidRPr="00A35208">
        <w:rPr>
          <w:rFonts w:ascii="Calibri" w:hAnsi="Calibri" w:cs="Calibri"/>
          <w:i/>
          <w:iCs/>
        </w:rPr>
        <w:t>Sustainability (Switzerland)</w:t>
      </w:r>
      <w:r w:rsidRPr="00A35208">
        <w:rPr>
          <w:rFonts w:ascii="Calibri" w:hAnsi="Calibri" w:cs="Calibri"/>
        </w:rPr>
        <w:t>, 13(3), pp. 1–20. Available at: https://doi.org/10.3390/su13031380.</w:t>
      </w:r>
    </w:p>
    <w:p w14:paraId="71158402" w14:textId="77777777" w:rsidR="00A35208" w:rsidRPr="00A35208" w:rsidRDefault="00A35208" w:rsidP="00A35208">
      <w:pPr>
        <w:pStyle w:val="Bibliography"/>
        <w:rPr>
          <w:rFonts w:ascii="Calibri" w:hAnsi="Calibri" w:cs="Calibri"/>
        </w:rPr>
      </w:pPr>
      <w:r w:rsidRPr="00A35208">
        <w:rPr>
          <w:rFonts w:ascii="Calibri" w:hAnsi="Calibri" w:cs="Calibri"/>
        </w:rPr>
        <w:t xml:space="preserve">McEwan, K. </w:t>
      </w:r>
      <w:r w:rsidRPr="00A35208">
        <w:rPr>
          <w:rFonts w:ascii="Calibri" w:hAnsi="Calibri" w:cs="Calibri"/>
          <w:i/>
          <w:iCs/>
        </w:rPr>
        <w:t>et al.</w:t>
      </w:r>
      <w:r w:rsidRPr="00A35208">
        <w:rPr>
          <w:rFonts w:ascii="Calibri" w:hAnsi="Calibri" w:cs="Calibri"/>
        </w:rPr>
        <w:t xml:space="preserve"> (2023) ‘Virtual Forest Bathing Programming as Experienced by Disabled Adults with Mobility Impairments and/or Low Energy: A Qualitative Study’, </w:t>
      </w:r>
      <w:r w:rsidRPr="00A35208">
        <w:rPr>
          <w:rFonts w:ascii="Calibri" w:hAnsi="Calibri" w:cs="Calibri"/>
          <w:i/>
          <w:iCs/>
        </w:rPr>
        <w:t>Forests</w:t>
      </w:r>
      <w:r w:rsidRPr="00A35208">
        <w:rPr>
          <w:rFonts w:ascii="Calibri" w:hAnsi="Calibri" w:cs="Calibri"/>
        </w:rPr>
        <w:t>, 14(5), p. 1033. Available at: https://doi.org/10.3390/f14051033.</w:t>
      </w:r>
    </w:p>
    <w:p w14:paraId="61763B4F" w14:textId="77777777" w:rsidR="00A35208" w:rsidRPr="00A35208" w:rsidRDefault="00A35208" w:rsidP="00A35208">
      <w:pPr>
        <w:pStyle w:val="Bibliography"/>
        <w:rPr>
          <w:rFonts w:ascii="Calibri" w:hAnsi="Calibri" w:cs="Calibri"/>
        </w:rPr>
      </w:pPr>
      <w:r w:rsidRPr="00A35208">
        <w:rPr>
          <w:rFonts w:ascii="Calibri" w:hAnsi="Calibri" w:cs="Calibri"/>
        </w:rPr>
        <w:t xml:space="preserve">McGinlay, J. </w:t>
      </w:r>
      <w:r w:rsidRPr="00A35208">
        <w:rPr>
          <w:rFonts w:ascii="Calibri" w:hAnsi="Calibri" w:cs="Calibri"/>
          <w:i/>
          <w:iCs/>
        </w:rPr>
        <w:t>et al.</w:t>
      </w:r>
      <w:r w:rsidRPr="00A35208">
        <w:rPr>
          <w:rFonts w:ascii="Calibri" w:hAnsi="Calibri" w:cs="Calibri"/>
        </w:rPr>
        <w:t xml:space="preserve"> (2017) ‘Do charismatic species groups generate more cultural ecosystem service benefits?’, </w:t>
      </w:r>
      <w:r w:rsidRPr="00A35208">
        <w:rPr>
          <w:rFonts w:ascii="Calibri" w:hAnsi="Calibri" w:cs="Calibri"/>
          <w:i/>
          <w:iCs/>
        </w:rPr>
        <w:t>Ecosystem Services</w:t>
      </w:r>
      <w:r w:rsidRPr="00A35208">
        <w:rPr>
          <w:rFonts w:ascii="Calibri" w:hAnsi="Calibri" w:cs="Calibri"/>
        </w:rPr>
        <w:t>, 27(PA), pp. 15–24. Available at: https://doi.org/10.1016/j.ecoser.2017.07.007.</w:t>
      </w:r>
    </w:p>
    <w:p w14:paraId="0FCE25D6" w14:textId="77777777" w:rsidR="00A35208" w:rsidRPr="00A35208" w:rsidRDefault="00A35208" w:rsidP="00A35208">
      <w:pPr>
        <w:pStyle w:val="Bibliography"/>
        <w:rPr>
          <w:rFonts w:ascii="Calibri" w:hAnsi="Calibri" w:cs="Calibri"/>
        </w:rPr>
      </w:pPr>
      <w:r w:rsidRPr="00A35208">
        <w:rPr>
          <w:rFonts w:ascii="Calibri" w:hAnsi="Calibri" w:cs="Calibri"/>
        </w:rPr>
        <w:t xml:space="preserve">Mcmahan, E.A. and Estes, D. (2015) ‘The effect of contact with natural environments on positive and negative affect: A meta-analysis’, </w:t>
      </w:r>
      <w:r w:rsidRPr="00A35208">
        <w:rPr>
          <w:rFonts w:ascii="Calibri" w:hAnsi="Calibri" w:cs="Calibri"/>
          <w:i/>
          <w:iCs/>
        </w:rPr>
        <w:t>The Journal of Positive Psychology</w:t>
      </w:r>
      <w:r w:rsidRPr="00A35208">
        <w:rPr>
          <w:rFonts w:ascii="Calibri" w:hAnsi="Calibri" w:cs="Calibri"/>
        </w:rPr>
        <w:t>, 10(6), pp. 507–519. Available at: https://doi.org/10.1080/17439760.2014.994224.</w:t>
      </w:r>
    </w:p>
    <w:p w14:paraId="728E37F0" w14:textId="77777777" w:rsidR="00A35208" w:rsidRPr="00A35208" w:rsidRDefault="00A35208" w:rsidP="00A35208">
      <w:pPr>
        <w:pStyle w:val="Bibliography"/>
        <w:rPr>
          <w:rFonts w:ascii="Calibri" w:hAnsi="Calibri" w:cs="Calibri"/>
        </w:rPr>
      </w:pPr>
      <w:r w:rsidRPr="00A35208">
        <w:rPr>
          <w:rFonts w:ascii="Calibri" w:hAnsi="Calibri" w:cs="Calibri"/>
        </w:rPr>
        <w:t xml:space="preserve">McMahan, E.A. and Estes, D. (2015) ‘The effect of contact with natural environments on positive and negative affect: A meta-analysis’, </w:t>
      </w:r>
      <w:r w:rsidRPr="00A35208">
        <w:rPr>
          <w:rFonts w:ascii="Calibri" w:hAnsi="Calibri" w:cs="Calibri"/>
          <w:i/>
          <w:iCs/>
        </w:rPr>
        <w:t>The Journal of Positive Psychology</w:t>
      </w:r>
      <w:r w:rsidRPr="00A35208">
        <w:rPr>
          <w:rFonts w:ascii="Calibri" w:hAnsi="Calibri" w:cs="Calibri"/>
        </w:rPr>
        <w:t>, 10(6), pp. 507–519. Available at: https://doi.org/10.1080/17439760.2014.994224.</w:t>
      </w:r>
    </w:p>
    <w:p w14:paraId="5504F10A" w14:textId="77777777" w:rsidR="00A35208" w:rsidRPr="00A35208" w:rsidRDefault="00A35208" w:rsidP="00A35208">
      <w:pPr>
        <w:pStyle w:val="Bibliography"/>
        <w:rPr>
          <w:rFonts w:ascii="Calibri" w:hAnsi="Calibri" w:cs="Calibri"/>
        </w:rPr>
      </w:pPr>
      <w:r w:rsidRPr="00A35208">
        <w:rPr>
          <w:rFonts w:ascii="Calibri" w:hAnsi="Calibri" w:cs="Calibri"/>
        </w:rPr>
        <w:t xml:space="preserve">McManus, M.D., Siegel, J.T. and Nakamura, J. (2019) ‘The predictive power of low-arousal positive affect’, </w:t>
      </w:r>
      <w:r w:rsidRPr="00A35208">
        <w:rPr>
          <w:rFonts w:ascii="Calibri" w:hAnsi="Calibri" w:cs="Calibri"/>
          <w:i/>
          <w:iCs/>
        </w:rPr>
        <w:t>Motivation and Emotion</w:t>
      </w:r>
      <w:r w:rsidRPr="00A35208">
        <w:rPr>
          <w:rFonts w:ascii="Calibri" w:hAnsi="Calibri" w:cs="Calibri"/>
        </w:rPr>
        <w:t>, 43(1), pp. 130–144. Available at: https://doi.org/10.1007/s11031-018-9719-x.</w:t>
      </w:r>
    </w:p>
    <w:p w14:paraId="399FFA67" w14:textId="77777777" w:rsidR="00A35208" w:rsidRPr="00A35208" w:rsidRDefault="00A35208" w:rsidP="00A35208">
      <w:pPr>
        <w:pStyle w:val="Bibliography"/>
        <w:rPr>
          <w:rFonts w:ascii="Calibri" w:hAnsi="Calibri" w:cs="Calibri"/>
        </w:rPr>
      </w:pPr>
      <w:r w:rsidRPr="00A35208">
        <w:rPr>
          <w:rFonts w:ascii="Calibri" w:hAnsi="Calibri" w:cs="Calibri"/>
        </w:rPr>
        <w:t xml:space="preserve">McNemar, Q. (1946) ‘Opinion-attitude methodology.’, </w:t>
      </w:r>
      <w:r w:rsidRPr="00A35208">
        <w:rPr>
          <w:rFonts w:ascii="Calibri" w:hAnsi="Calibri" w:cs="Calibri"/>
          <w:i/>
          <w:iCs/>
        </w:rPr>
        <w:t>Psychological Bulletin</w:t>
      </w:r>
      <w:r w:rsidRPr="00A35208">
        <w:rPr>
          <w:rFonts w:ascii="Calibri" w:hAnsi="Calibri" w:cs="Calibri"/>
        </w:rPr>
        <w:t>, 43(4), pp. 289–374. Available at: https://doi.org/10.1037/h0060985.</w:t>
      </w:r>
    </w:p>
    <w:p w14:paraId="49561F3A" w14:textId="77777777" w:rsidR="00A35208" w:rsidRPr="00A35208" w:rsidRDefault="00A35208" w:rsidP="00A35208">
      <w:pPr>
        <w:pStyle w:val="Bibliography"/>
        <w:rPr>
          <w:rFonts w:ascii="Calibri" w:hAnsi="Calibri" w:cs="Calibri"/>
        </w:rPr>
      </w:pPr>
      <w:r w:rsidRPr="00A35208">
        <w:rPr>
          <w:rFonts w:ascii="Calibri" w:hAnsi="Calibri" w:cs="Calibri"/>
        </w:rPr>
        <w:t xml:space="preserve">Methorst, J. </w:t>
      </w:r>
      <w:r w:rsidRPr="00A35208">
        <w:rPr>
          <w:rFonts w:ascii="Calibri" w:hAnsi="Calibri" w:cs="Calibri"/>
          <w:i/>
          <w:iCs/>
        </w:rPr>
        <w:t>et al.</w:t>
      </w:r>
      <w:r w:rsidRPr="00A35208">
        <w:rPr>
          <w:rFonts w:ascii="Calibri" w:hAnsi="Calibri" w:cs="Calibri"/>
        </w:rPr>
        <w:t xml:space="preserve"> (2021) ‘The importance of species diversity for human well-being in Europe’, </w:t>
      </w:r>
      <w:r w:rsidRPr="00A35208">
        <w:rPr>
          <w:rFonts w:ascii="Calibri" w:hAnsi="Calibri" w:cs="Calibri"/>
          <w:i/>
          <w:iCs/>
        </w:rPr>
        <w:t>Ecological Economics</w:t>
      </w:r>
      <w:r w:rsidRPr="00A35208">
        <w:rPr>
          <w:rFonts w:ascii="Calibri" w:hAnsi="Calibri" w:cs="Calibri"/>
        </w:rPr>
        <w:t>, 181. Available at: https://doi.org/10.1016/j.ecolecon.2020.106917.</w:t>
      </w:r>
    </w:p>
    <w:p w14:paraId="07F8DDCC" w14:textId="77777777" w:rsidR="00A35208" w:rsidRPr="00A35208" w:rsidRDefault="00A35208" w:rsidP="00A35208">
      <w:pPr>
        <w:pStyle w:val="Bibliography"/>
        <w:rPr>
          <w:rFonts w:ascii="Calibri" w:hAnsi="Calibri" w:cs="Calibri"/>
        </w:rPr>
      </w:pPr>
      <w:r w:rsidRPr="00A35208">
        <w:rPr>
          <w:rFonts w:ascii="Calibri" w:hAnsi="Calibri" w:cs="Calibri"/>
        </w:rPr>
        <w:lastRenderedPageBreak/>
        <w:t xml:space="preserve">Misselbrook, D. (2014) ‘W is for Wellbeing and the WHO definition of health’, </w:t>
      </w:r>
      <w:r w:rsidRPr="00A35208">
        <w:rPr>
          <w:rFonts w:ascii="Calibri" w:hAnsi="Calibri" w:cs="Calibri"/>
          <w:i/>
          <w:iCs/>
        </w:rPr>
        <w:t>British Journal of General Practice</w:t>
      </w:r>
      <w:r w:rsidRPr="00A35208">
        <w:rPr>
          <w:rFonts w:ascii="Calibri" w:hAnsi="Calibri" w:cs="Calibri"/>
        </w:rPr>
        <w:t>, 64(628), pp. 582–582. Available at: https://doi.org/10.3399/bjgp14X682381.</w:t>
      </w:r>
    </w:p>
    <w:p w14:paraId="716199E6" w14:textId="77777777" w:rsidR="00A35208" w:rsidRPr="00A35208" w:rsidRDefault="00A35208" w:rsidP="00A35208">
      <w:pPr>
        <w:pStyle w:val="Bibliography"/>
        <w:rPr>
          <w:rFonts w:ascii="Calibri" w:hAnsi="Calibri" w:cs="Calibri"/>
        </w:rPr>
      </w:pPr>
      <w:r w:rsidRPr="00A35208">
        <w:rPr>
          <w:rFonts w:ascii="Calibri" w:hAnsi="Calibri" w:cs="Calibri"/>
        </w:rPr>
        <w:t xml:space="preserve">Montgomery, L.N. </w:t>
      </w:r>
      <w:r w:rsidRPr="00A35208">
        <w:rPr>
          <w:rFonts w:ascii="Calibri" w:hAnsi="Calibri" w:cs="Calibri"/>
          <w:i/>
          <w:iCs/>
        </w:rPr>
        <w:t>et al.</w:t>
      </w:r>
      <w:r w:rsidRPr="00A35208">
        <w:rPr>
          <w:rFonts w:ascii="Calibri" w:hAnsi="Calibri" w:cs="Calibri"/>
        </w:rPr>
        <w:t xml:space="preserve"> (2022) ‘Children’s perception of biodiversity in their school grounds and its influence on their wellbeing and resilience’, </w:t>
      </w:r>
      <w:r w:rsidRPr="00A35208">
        <w:rPr>
          <w:rFonts w:ascii="Calibri" w:hAnsi="Calibri" w:cs="Calibri"/>
          <w:i/>
          <w:iCs/>
        </w:rPr>
        <w:t>Journal of Adventure Education and Outdoor Learning</w:t>
      </w:r>
      <w:r w:rsidRPr="00A35208">
        <w:rPr>
          <w:rFonts w:ascii="Calibri" w:hAnsi="Calibri" w:cs="Calibri"/>
        </w:rPr>
        <w:t>, pp. 1–15. Available at: https://doi.org/10.1080/14729679.2022.2100801.</w:t>
      </w:r>
    </w:p>
    <w:p w14:paraId="4859EEA3" w14:textId="77777777" w:rsidR="00A35208" w:rsidRPr="00A35208" w:rsidRDefault="00A35208" w:rsidP="00A35208">
      <w:pPr>
        <w:pStyle w:val="Bibliography"/>
        <w:rPr>
          <w:rFonts w:ascii="Calibri" w:hAnsi="Calibri" w:cs="Calibri"/>
        </w:rPr>
      </w:pPr>
      <w:r w:rsidRPr="00A35208">
        <w:rPr>
          <w:rFonts w:ascii="Calibri" w:hAnsi="Calibri" w:cs="Calibri"/>
        </w:rPr>
        <w:t xml:space="preserve">Morikawa, T., Miyazaki, Y. and Kobayashi, S. (1998) ‘Time-series variations of blood pressure due to contact with wood’, </w:t>
      </w:r>
      <w:r w:rsidRPr="00A35208">
        <w:rPr>
          <w:rFonts w:ascii="Calibri" w:hAnsi="Calibri" w:cs="Calibri"/>
          <w:i/>
          <w:iCs/>
        </w:rPr>
        <w:t>Journal of Wood Science</w:t>
      </w:r>
      <w:r w:rsidRPr="00A35208">
        <w:rPr>
          <w:rFonts w:ascii="Calibri" w:hAnsi="Calibri" w:cs="Calibri"/>
        </w:rPr>
        <w:t>, 44(6), pp. 495–497. Available at: https://doi.org/10.1007/BF00833417.</w:t>
      </w:r>
    </w:p>
    <w:p w14:paraId="3D24B436" w14:textId="77777777" w:rsidR="00A35208" w:rsidRPr="00A35208" w:rsidRDefault="00A35208" w:rsidP="00A35208">
      <w:pPr>
        <w:pStyle w:val="Bibliography"/>
        <w:rPr>
          <w:rFonts w:ascii="Calibri" w:hAnsi="Calibri" w:cs="Calibri"/>
        </w:rPr>
      </w:pPr>
      <w:r w:rsidRPr="00A35208">
        <w:rPr>
          <w:rFonts w:ascii="Calibri" w:hAnsi="Calibri" w:cs="Calibri"/>
        </w:rPr>
        <w:t xml:space="preserve">Morrone-Strupinsky, J.V. and Depue, R.A. (2005) ‘A neurobehavioral model of affiliative bonding: Implications for conceptualizing a human trait of affiliation’, </w:t>
      </w:r>
      <w:r w:rsidRPr="00A35208">
        <w:rPr>
          <w:rFonts w:ascii="Calibri" w:hAnsi="Calibri" w:cs="Calibri"/>
          <w:i/>
          <w:iCs/>
        </w:rPr>
        <w:t>Behavioral and Brain Sciences</w:t>
      </w:r>
      <w:r w:rsidRPr="00A35208">
        <w:rPr>
          <w:rFonts w:ascii="Calibri" w:hAnsi="Calibri" w:cs="Calibri"/>
        </w:rPr>
        <w:t>, 28(3), pp. 313-+.</w:t>
      </w:r>
    </w:p>
    <w:p w14:paraId="44226305" w14:textId="77777777" w:rsidR="00A35208" w:rsidRPr="00A35208" w:rsidRDefault="00A35208" w:rsidP="00A35208">
      <w:pPr>
        <w:pStyle w:val="Bibliography"/>
        <w:rPr>
          <w:rFonts w:ascii="Calibri" w:hAnsi="Calibri" w:cs="Calibri"/>
        </w:rPr>
      </w:pPr>
      <w:r w:rsidRPr="00A35208">
        <w:rPr>
          <w:rFonts w:ascii="Calibri" w:hAnsi="Calibri" w:cs="Calibri"/>
        </w:rPr>
        <w:t xml:space="preserve">Navon, D. (1977) ‘Forest before trees: The precedence of global features in visual perception’, </w:t>
      </w:r>
      <w:r w:rsidRPr="00A35208">
        <w:rPr>
          <w:rFonts w:ascii="Calibri" w:hAnsi="Calibri" w:cs="Calibri"/>
          <w:i/>
          <w:iCs/>
        </w:rPr>
        <w:t>Cognitive Psychology</w:t>
      </w:r>
      <w:r w:rsidRPr="00A35208">
        <w:rPr>
          <w:rFonts w:ascii="Calibri" w:hAnsi="Calibri" w:cs="Calibri"/>
        </w:rPr>
        <w:t>, 9(3), pp. 353–383. Available at: https://doi.org/10.1016/0010-0285(77)90012-3.</w:t>
      </w:r>
    </w:p>
    <w:p w14:paraId="763D83C4" w14:textId="77777777" w:rsidR="00A35208" w:rsidRPr="00A35208" w:rsidRDefault="00A35208" w:rsidP="00A35208">
      <w:pPr>
        <w:pStyle w:val="Bibliography"/>
        <w:rPr>
          <w:rFonts w:ascii="Calibri" w:hAnsi="Calibri" w:cs="Calibri"/>
        </w:rPr>
      </w:pPr>
      <w:r w:rsidRPr="00A35208">
        <w:rPr>
          <w:rFonts w:ascii="Calibri" w:hAnsi="Calibri" w:cs="Calibri"/>
        </w:rPr>
        <w:t>Neuendorf, K.A. (2017) ‘The Content Analysis Guidebook’. Thousand Oaks, California. Available at: https://doi.org/10.4135/9781071802878.</w:t>
      </w:r>
    </w:p>
    <w:p w14:paraId="30F4E4F3" w14:textId="77777777" w:rsidR="00A35208" w:rsidRPr="00A35208" w:rsidRDefault="00A35208" w:rsidP="00A35208">
      <w:pPr>
        <w:pStyle w:val="Bibliography"/>
        <w:rPr>
          <w:rFonts w:ascii="Calibri" w:hAnsi="Calibri" w:cs="Calibri"/>
        </w:rPr>
      </w:pPr>
      <w:r w:rsidRPr="00A35208">
        <w:rPr>
          <w:rFonts w:ascii="Calibri" w:hAnsi="Calibri" w:cs="Calibri"/>
        </w:rPr>
        <w:t xml:space="preserve">Newman, L. and Dale, A. (2013) ‘Celebrating the Mundane: Nature and the Built Environment’, </w:t>
      </w:r>
      <w:r w:rsidRPr="00A35208">
        <w:rPr>
          <w:rFonts w:ascii="Calibri" w:hAnsi="Calibri" w:cs="Calibri"/>
          <w:i/>
          <w:iCs/>
        </w:rPr>
        <w:t>Environmental Values</w:t>
      </w:r>
      <w:r w:rsidRPr="00A35208">
        <w:rPr>
          <w:rFonts w:ascii="Calibri" w:hAnsi="Calibri" w:cs="Calibri"/>
        </w:rPr>
        <w:t>, 22(3), pp. 401–413. Available at: https://doi.org/10.3197/096327113X13648087563827.</w:t>
      </w:r>
    </w:p>
    <w:p w14:paraId="3E0003BC" w14:textId="77777777" w:rsidR="00A35208" w:rsidRPr="00A35208" w:rsidRDefault="00A35208" w:rsidP="00A35208">
      <w:pPr>
        <w:pStyle w:val="Bibliography"/>
        <w:rPr>
          <w:rFonts w:ascii="Calibri" w:hAnsi="Calibri" w:cs="Calibri"/>
        </w:rPr>
      </w:pPr>
      <w:r w:rsidRPr="00A35208">
        <w:rPr>
          <w:rFonts w:ascii="Calibri" w:hAnsi="Calibri" w:cs="Calibri"/>
        </w:rPr>
        <w:t xml:space="preserve">Nghiem, T.P.L. </w:t>
      </w:r>
      <w:r w:rsidRPr="00A35208">
        <w:rPr>
          <w:rFonts w:ascii="Calibri" w:hAnsi="Calibri" w:cs="Calibri"/>
          <w:i/>
          <w:iCs/>
        </w:rPr>
        <w:t>et al.</w:t>
      </w:r>
      <w:r w:rsidRPr="00A35208">
        <w:rPr>
          <w:rFonts w:ascii="Calibri" w:hAnsi="Calibri" w:cs="Calibri"/>
        </w:rPr>
        <w:t xml:space="preserve"> (2021) ‘Biodiverse urban forests, happy people: experimental evidence linking perceived biodiversity, restoration, and emotional wellbeing’, </w:t>
      </w:r>
      <w:r w:rsidRPr="00A35208">
        <w:rPr>
          <w:rFonts w:ascii="Calibri" w:hAnsi="Calibri" w:cs="Calibri"/>
          <w:i/>
          <w:iCs/>
        </w:rPr>
        <w:t>Urban Forestry &amp; Urban Greening</w:t>
      </w:r>
      <w:r w:rsidRPr="00A35208">
        <w:rPr>
          <w:rFonts w:ascii="Calibri" w:hAnsi="Calibri" w:cs="Calibri"/>
        </w:rPr>
        <w:t>, 59(September 2020), p. 127030. Available at: https://doi.org/10.1016/j.ufug.2021.127030.</w:t>
      </w:r>
    </w:p>
    <w:p w14:paraId="219C2BC0" w14:textId="77777777" w:rsidR="00A35208" w:rsidRPr="00A35208" w:rsidRDefault="00A35208" w:rsidP="00A35208">
      <w:pPr>
        <w:pStyle w:val="Bibliography"/>
        <w:rPr>
          <w:rFonts w:ascii="Calibri" w:hAnsi="Calibri" w:cs="Calibri"/>
        </w:rPr>
      </w:pPr>
      <w:r w:rsidRPr="00A35208">
        <w:rPr>
          <w:rFonts w:ascii="Calibri" w:hAnsi="Calibri" w:cs="Calibri"/>
        </w:rPr>
        <w:t xml:space="preserve">Nisbet, E. and Zelenski, J. (2013) ‘The NR-6: a new brief measure of nature relatedness   ’, </w:t>
      </w:r>
      <w:r w:rsidRPr="00A35208">
        <w:rPr>
          <w:rFonts w:ascii="Calibri" w:hAnsi="Calibri" w:cs="Calibri"/>
          <w:i/>
          <w:iCs/>
        </w:rPr>
        <w:t xml:space="preserve">Frontiers in Psychology  </w:t>
      </w:r>
      <w:r w:rsidRPr="00A35208">
        <w:rPr>
          <w:rFonts w:ascii="Calibri" w:hAnsi="Calibri" w:cs="Calibri"/>
        </w:rPr>
        <w:t>, p. 813.</w:t>
      </w:r>
    </w:p>
    <w:p w14:paraId="7F47202A" w14:textId="77777777" w:rsidR="00A35208" w:rsidRPr="00A35208" w:rsidRDefault="00A35208" w:rsidP="00A35208">
      <w:pPr>
        <w:pStyle w:val="Bibliography"/>
        <w:rPr>
          <w:rFonts w:ascii="Calibri" w:hAnsi="Calibri" w:cs="Calibri"/>
        </w:rPr>
      </w:pPr>
      <w:r w:rsidRPr="00A35208">
        <w:rPr>
          <w:rFonts w:ascii="Calibri" w:hAnsi="Calibri" w:cs="Calibri"/>
        </w:rPr>
        <w:t xml:space="preserve">Nisbet, E.K., Zelenski, J.M. and Murphy, S.A. (2009) ‘The nature relatedness scale: Linking individuals’ connection with nature to environmental concern and behavior’, </w:t>
      </w:r>
      <w:r w:rsidRPr="00A35208">
        <w:rPr>
          <w:rFonts w:ascii="Calibri" w:hAnsi="Calibri" w:cs="Calibri"/>
          <w:i/>
          <w:iCs/>
        </w:rPr>
        <w:t>Environment and behavior</w:t>
      </w:r>
      <w:r w:rsidRPr="00A35208">
        <w:rPr>
          <w:rFonts w:ascii="Calibri" w:hAnsi="Calibri" w:cs="Calibri"/>
        </w:rPr>
        <w:t>, 41(5), pp. 715–740.</w:t>
      </w:r>
    </w:p>
    <w:p w14:paraId="66A9ED08" w14:textId="77777777" w:rsidR="00A35208" w:rsidRPr="00A35208" w:rsidRDefault="00A35208" w:rsidP="00A35208">
      <w:pPr>
        <w:pStyle w:val="Bibliography"/>
        <w:rPr>
          <w:rFonts w:ascii="Calibri" w:hAnsi="Calibri" w:cs="Calibri"/>
        </w:rPr>
      </w:pPr>
      <w:r w:rsidRPr="00A35208">
        <w:rPr>
          <w:rFonts w:ascii="Calibri" w:hAnsi="Calibri" w:cs="Calibri"/>
        </w:rPr>
        <w:t xml:space="preserve">Nisbet, E.K., Zelenski, J.M. and Murphy, S.A. (2011) ‘Happiness is in our nature: Exploring nature relatedness as a contributor to subjective well-being’, </w:t>
      </w:r>
      <w:r w:rsidRPr="00A35208">
        <w:rPr>
          <w:rFonts w:ascii="Calibri" w:hAnsi="Calibri" w:cs="Calibri"/>
          <w:i/>
          <w:iCs/>
        </w:rPr>
        <w:t>Journal of Happiness Studies</w:t>
      </w:r>
      <w:r w:rsidRPr="00A35208">
        <w:rPr>
          <w:rFonts w:ascii="Calibri" w:hAnsi="Calibri" w:cs="Calibri"/>
        </w:rPr>
        <w:t>, 12(2), pp. 303–322.</w:t>
      </w:r>
    </w:p>
    <w:p w14:paraId="1FF73CD3" w14:textId="77777777" w:rsidR="00A35208" w:rsidRPr="00A35208" w:rsidRDefault="00A35208" w:rsidP="00A35208">
      <w:pPr>
        <w:pStyle w:val="Bibliography"/>
        <w:rPr>
          <w:rFonts w:ascii="Calibri" w:hAnsi="Calibri" w:cs="Calibri"/>
        </w:rPr>
      </w:pPr>
      <w:r w:rsidRPr="00A35208">
        <w:rPr>
          <w:rFonts w:ascii="Calibri" w:hAnsi="Calibri" w:cs="Calibri"/>
        </w:rPr>
        <w:t xml:space="preserve">Nukarinen, T. </w:t>
      </w:r>
      <w:r w:rsidRPr="00A35208">
        <w:rPr>
          <w:rFonts w:ascii="Calibri" w:hAnsi="Calibri" w:cs="Calibri"/>
          <w:i/>
          <w:iCs/>
        </w:rPr>
        <w:t>et al.</w:t>
      </w:r>
      <w:r w:rsidRPr="00A35208">
        <w:rPr>
          <w:rFonts w:ascii="Calibri" w:hAnsi="Calibri" w:cs="Calibri"/>
        </w:rPr>
        <w:t xml:space="preserve"> (2022) ‘Measures and modalities in restorative virtual natural environments: An integrative narrative review’, </w:t>
      </w:r>
      <w:r w:rsidRPr="00A35208">
        <w:rPr>
          <w:rFonts w:ascii="Calibri" w:hAnsi="Calibri" w:cs="Calibri"/>
          <w:i/>
          <w:iCs/>
        </w:rPr>
        <w:t>Computers in Human Behavior</w:t>
      </w:r>
      <w:r w:rsidRPr="00A35208">
        <w:rPr>
          <w:rFonts w:ascii="Calibri" w:hAnsi="Calibri" w:cs="Calibri"/>
        </w:rPr>
        <w:t>, 126, p. 107008. Available at: https://doi.org/10.1016/j.chb.2021.107008.</w:t>
      </w:r>
    </w:p>
    <w:p w14:paraId="6AE53A39" w14:textId="77777777" w:rsidR="00A35208" w:rsidRPr="00A35208" w:rsidRDefault="00A35208" w:rsidP="00A35208">
      <w:pPr>
        <w:pStyle w:val="Bibliography"/>
        <w:rPr>
          <w:rFonts w:ascii="Calibri" w:hAnsi="Calibri" w:cs="Calibri"/>
        </w:rPr>
      </w:pPr>
      <w:r w:rsidRPr="00A35208">
        <w:rPr>
          <w:rFonts w:ascii="Calibri" w:hAnsi="Calibri" w:cs="Calibri"/>
        </w:rPr>
        <w:lastRenderedPageBreak/>
        <w:t xml:space="preserve">Nutsford, D. </w:t>
      </w:r>
      <w:r w:rsidRPr="00A35208">
        <w:rPr>
          <w:rFonts w:ascii="Calibri" w:hAnsi="Calibri" w:cs="Calibri"/>
          <w:i/>
          <w:iCs/>
        </w:rPr>
        <w:t>et al.</w:t>
      </w:r>
      <w:r w:rsidRPr="00A35208">
        <w:rPr>
          <w:rFonts w:ascii="Calibri" w:hAnsi="Calibri" w:cs="Calibri"/>
        </w:rPr>
        <w:t xml:space="preserve"> (2016) ‘Residential exposure to visible blue space (but not green space) associated with lower psychological distress in a capital city’, </w:t>
      </w:r>
      <w:r w:rsidRPr="00A35208">
        <w:rPr>
          <w:rFonts w:ascii="Calibri" w:hAnsi="Calibri" w:cs="Calibri"/>
          <w:i/>
          <w:iCs/>
        </w:rPr>
        <w:t>Health and Place</w:t>
      </w:r>
      <w:r w:rsidRPr="00A35208">
        <w:rPr>
          <w:rFonts w:ascii="Calibri" w:hAnsi="Calibri" w:cs="Calibri"/>
        </w:rPr>
        <w:t>, 39, pp. 70–78. Available at: https://doi.org/10.1016/j.healthplace.2016.03.002.</w:t>
      </w:r>
    </w:p>
    <w:p w14:paraId="76F79929" w14:textId="77777777" w:rsidR="00A35208" w:rsidRPr="00A35208" w:rsidRDefault="00A35208" w:rsidP="00A35208">
      <w:pPr>
        <w:pStyle w:val="Bibliography"/>
        <w:rPr>
          <w:rFonts w:ascii="Calibri" w:hAnsi="Calibri" w:cs="Calibri"/>
        </w:rPr>
      </w:pPr>
      <w:r w:rsidRPr="00A35208">
        <w:rPr>
          <w:rFonts w:ascii="Calibri" w:hAnsi="Calibri" w:cs="Calibri"/>
        </w:rPr>
        <w:t xml:space="preserve">Ohly, H. </w:t>
      </w:r>
      <w:r w:rsidRPr="00A35208">
        <w:rPr>
          <w:rFonts w:ascii="Calibri" w:hAnsi="Calibri" w:cs="Calibri"/>
          <w:i/>
          <w:iCs/>
        </w:rPr>
        <w:t>et al.</w:t>
      </w:r>
      <w:r w:rsidRPr="00A35208">
        <w:rPr>
          <w:rFonts w:ascii="Calibri" w:hAnsi="Calibri" w:cs="Calibri"/>
        </w:rPr>
        <w:t xml:space="preserve"> (2016) ‘Attention Restoration Theory: A systematic review of the attention restoration potential of exposure to natural environments’, </w:t>
      </w:r>
      <w:r w:rsidRPr="00A35208">
        <w:rPr>
          <w:rFonts w:ascii="Calibri" w:hAnsi="Calibri" w:cs="Calibri"/>
          <w:i/>
          <w:iCs/>
        </w:rPr>
        <w:t>J Toxicol Environ Health B Crit Rev</w:t>
      </w:r>
      <w:r w:rsidRPr="00A35208">
        <w:rPr>
          <w:rFonts w:ascii="Calibri" w:hAnsi="Calibri" w:cs="Calibri"/>
        </w:rPr>
        <w:t>, 19(7), pp. 305–343. Available at: https://doi.org/10.1080/10937404.2016.1196155.</w:t>
      </w:r>
    </w:p>
    <w:p w14:paraId="13BBAEDC" w14:textId="77777777" w:rsidR="00A35208" w:rsidRPr="00A35208" w:rsidRDefault="00A35208" w:rsidP="00A35208">
      <w:pPr>
        <w:pStyle w:val="Bibliography"/>
        <w:rPr>
          <w:rFonts w:ascii="Calibri" w:hAnsi="Calibri" w:cs="Calibri"/>
        </w:rPr>
      </w:pPr>
      <w:r w:rsidRPr="00A35208">
        <w:rPr>
          <w:rFonts w:ascii="Calibri" w:hAnsi="Calibri" w:cs="Calibri"/>
        </w:rPr>
        <w:t xml:space="preserve">Özgüner, H. (2011) ‘Cultural Differences in Attitudes towards Urban Parks and Green Spaces’, </w:t>
      </w:r>
      <w:r w:rsidRPr="00A35208">
        <w:rPr>
          <w:rFonts w:ascii="Calibri" w:hAnsi="Calibri" w:cs="Calibri"/>
          <w:i/>
          <w:iCs/>
        </w:rPr>
        <w:t>Landscape Research</w:t>
      </w:r>
      <w:r w:rsidRPr="00A35208">
        <w:rPr>
          <w:rFonts w:ascii="Calibri" w:hAnsi="Calibri" w:cs="Calibri"/>
        </w:rPr>
        <w:t>, 36(5), pp. 599–620. Available at: https://doi.org/10.1080/01426397.2011.560474.</w:t>
      </w:r>
    </w:p>
    <w:p w14:paraId="222FF63B" w14:textId="77777777" w:rsidR="00A35208" w:rsidRPr="00A35208" w:rsidRDefault="00A35208" w:rsidP="00A35208">
      <w:pPr>
        <w:pStyle w:val="Bibliography"/>
        <w:rPr>
          <w:rFonts w:ascii="Calibri" w:hAnsi="Calibri" w:cs="Calibri"/>
        </w:rPr>
      </w:pPr>
      <w:r w:rsidRPr="00A35208">
        <w:rPr>
          <w:rFonts w:ascii="Calibri" w:hAnsi="Calibri" w:cs="Calibri"/>
        </w:rPr>
        <w:t xml:space="preserve">Palliwoda, J., Kowarik, I. and von der Lippe, M. (2017) ‘Human-biodiversity interactions in urban parks: The species level matters’, </w:t>
      </w:r>
      <w:r w:rsidRPr="00A35208">
        <w:rPr>
          <w:rFonts w:ascii="Calibri" w:hAnsi="Calibri" w:cs="Calibri"/>
          <w:i/>
          <w:iCs/>
        </w:rPr>
        <w:t>Landscape and Urban Planning</w:t>
      </w:r>
      <w:r w:rsidRPr="00A35208">
        <w:rPr>
          <w:rFonts w:ascii="Calibri" w:hAnsi="Calibri" w:cs="Calibri"/>
        </w:rPr>
        <w:t>, 157, pp. 394–406. Available at: https://doi.org/10.1016/j.landurbplan.2016.09.003.</w:t>
      </w:r>
    </w:p>
    <w:p w14:paraId="2505F3C7" w14:textId="77777777" w:rsidR="00A35208" w:rsidRPr="00A35208" w:rsidRDefault="00A35208" w:rsidP="00A35208">
      <w:pPr>
        <w:pStyle w:val="Bibliography"/>
        <w:rPr>
          <w:rFonts w:ascii="Calibri" w:hAnsi="Calibri" w:cs="Calibri"/>
        </w:rPr>
      </w:pPr>
      <w:r w:rsidRPr="00A35208">
        <w:rPr>
          <w:rFonts w:ascii="Calibri" w:hAnsi="Calibri" w:cs="Calibri"/>
        </w:rPr>
        <w:t xml:space="preserve">Pálsdóttir, A.M. </w:t>
      </w:r>
      <w:r w:rsidRPr="00A35208">
        <w:rPr>
          <w:rFonts w:ascii="Calibri" w:hAnsi="Calibri" w:cs="Calibri"/>
          <w:i/>
          <w:iCs/>
        </w:rPr>
        <w:t>et al.</w:t>
      </w:r>
      <w:r w:rsidRPr="00A35208">
        <w:rPr>
          <w:rFonts w:ascii="Calibri" w:hAnsi="Calibri" w:cs="Calibri"/>
        </w:rPr>
        <w:t xml:space="preserve"> (2021) ‘Garden Smellscape–Experiences of Plant Scents in a Nature-Based Intervention’, </w:t>
      </w:r>
      <w:r w:rsidRPr="00A35208">
        <w:rPr>
          <w:rFonts w:ascii="Calibri" w:hAnsi="Calibri" w:cs="Calibri"/>
          <w:i/>
          <w:iCs/>
        </w:rPr>
        <w:t>Frontiers in Psychology</w:t>
      </w:r>
      <w:r w:rsidRPr="00A35208">
        <w:rPr>
          <w:rFonts w:ascii="Calibri" w:hAnsi="Calibri" w:cs="Calibri"/>
        </w:rPr>
        <w:t>, 12. Available at: https://www.frontiersin.org/articles/10.3389/fpsyg.2021.667957.</w:t>
      </w:r>
    </w:p>
    <w:p w14:paraId="7065D190" w14:textId="77777777" w:rsidR="00A35208" w:rsidRPr="00A35208" w:rsidRDefault="00A35208" w:rsidP="00A35208">
      <w:pPr>
        <w:pStyle w:val="Bibliography"/>
        <w:rPr>
          <w:rFonts w:ascii="Calibri" w:hAnsi="Calibri" w:cs="Calibri"/>
        </w:rPr>
      </w:pPr>
      <w:r w:rsidRPr="00A35208">
        <w:rPr>
          <w:rFonts w:ascii="Calibri" w:hAnsi="Calibri" w:cs="Calibri"/>
        </w:rPr>
        <w:t xml:space="preserve">Panksepp, J. (2010) ‘Affective neuroscience of the emotional BrainMind: evolutionary perspectives and implications for understanding depression’, </w:t>
      </w:r>
      <w:r w:rsidRPr="00A35208">
        <w:rPr>
          <w:rFonts w:ascii="Calibri" w:hAnsi="Calibri" w:cs="Calibri"/>
          <w:i/>
          <w:iCs/>
        </w:rPr>
        <w:t>Dialogues in Clinical Neuroscience</w:t>
      </w:r>
      <w:r w:rsidRPr="00A35208">
        <w:rPr>
          <w:rFonts w:ascii="Calibri" w:hAnsi="Calibri" w:cs="Calibri"/>
        </w:rPr>
        <w:t>, 12(4), pp. 533–545. Available at: https://doi.org/10.31887/DCNS.2010.12.4/jpanksepp.</w:t>
      </w:r>
    </w:p>
    <w:p w14:paraId="0D256AF7" w14:textId="77777777" w:rsidR="00A35208" w:rsidRPr="00A35208" w:rsidRDefault="00A35208" w:rsidP="00A35208">
      <w:pPr>
        <w:pStyle w:val="Bibliography"/>
        <w:rPr>
          <w:rFonts w:ascii="Calibri" w:hAnsi="Calibri" w:cs="Calibri"/>
        </w:rPr>
      </w:pPr>
      <w:r w:rsidRPr="00A35208">
        <w:rPr>
          <w:rFonts w:ascii="Calibri" w:hAnsi="Calibri" w:cs="Calibri"/>
        </w:rPr>
        <w:t xml:space="preserve">Panksepp, J. </w:t>
      </w:r>
      <w:r w:rsidRPr="00A35208">
        <w:rPr>
          <w:rFonts w:ascii="Calibri" w:hAnsi="Calibri" w:cs="Calibri"/>
          <w:i/>
          <w:iCs/>
        </w:rPr>
        <w:t>et al.</w:t>
      </w:r>
      <w:r w:rsidRPr="00A35208">
        <w:rPr>
          <w:rFonts w:ascii="Calibri" w:hAnsi="Calibri" w:cs="Calibri"/>
        </w:rPr>
        <w:t xml:space="preserve"> (2017) ‘Reconciling cognitive and affective neuroscience perspectives on the brain basis of emotional experience’, </w:t>
      </w:r>
      <w:r w:rsidRPr="00A35208">
        <w:rPr>
          <w:rFonts w:ascii="Calibri" w:hAnsi="Calibri" w:cs="Calibri"/>
          <w:i/>
          <w:iCs/>
        </w:rPr>
        <w:t>Neuroscience &amp; Biobehavioral Reviews</w:t>
      </w:r>
      <w:r w:rsidRPr="00A35208">
        <w:rPr>
          <w:rFonts w:ascii="Calibri" w:hAnsi="Calibri" w:cs="Calibri"/>
        </w:rPr>
        <w:t>, 76, pp. 187–215. Available at: https://doi.org/10.1016/j.neubiorev.2016.09.010.</w:t>
      </w:r>
    </w:p>
    <w:p w14:paraId="6F853DB3" w14:textId="77777777" w:rsidR="00A35208" w:rsidRPr="00A35208" w:rsidRDefault="00A35208" w:rsidP="00A35208">
      <w:pPr>
        <w:pStyle w:val="Bibliography"/>
        <w:rPr>
          <w:rFonts w:ascii="Calibri" w:hAnsi="Calibri" w:cs="Calibri"/>
        </w:rPr>
      </w:pPr>
      <w:r w:rsidRPr="00A35208">
        <w:rPr>
          <w:rFonts w:ascii="Calibri" w:hAnsi="Calibri" w:cs="Calibri"/>
        </w:rPr>
        <w:t xml:space="preserve">Parkes, L. </w:t>
      </w:r>
      <w:r w:rsidRPr="00A35208">
        <w:rPr>
          <w:rFonts w:ascii="Calibri" w:hAnsi="Calibri" w:cs="Calibri"/>
          <w:i/>
          <w:iCs/>
        </w:rPr>
        <w:t>et al.</w:t>
      </w:r>
      <w:r w:rsidRPr="00A35208">
        <w:rPr>
          <w:rFonts w:ascii="Calibri" w:hAnsi="Calibri" w:cs="Calibri"/>
        </w:rPr>
        <w:t xml:space="preserve"> (2001) ‘Compulsory averaging of crowded orientation signals in human vision’, </w:t>
      </w:r>
      <w:r w:rsidRPr="00A35208">
        <w:rPr>
          <w:rFonts w:ascii="Calibri" w:hAnsi="Calibri" w:cs="Calibri"/>
          <w:i/>
          <w:iCs/>
        </w:rPr>
        <w:t>Nature Neuroscience</w:t>
      </w:r>
      <w:r w:rsidRPr="00A35208">
        <w:rPr>
          <w:rFonts w:ascii="Calibri" w:hAnsi="Calibri" w:cs="Calibri"/>
        </w:rPr>
        <w:t>, 4(7), pp. 739–744. Available at: https://doi.org/10.1038/89532.</w:t>
      </w:r>
    </w:p>
    <w:p w14:paraId="659CF02A" w14:textId="77777777" w:rsidR="00A35208" w:rsidRPr="00A35208" w:rsidRDefault="00A35208" w:rsidP="00A35208">
      <w:pPr>
        <w:pStyle w:val="Bibliography"/>
        <w:rPr>
          <w:rFonts w:ascii="Calibri" w:hAnsi="Calibri" w:cs="Calibri"/>
        </w:rPr>
      </w:pPr>
      <w:r w:rsidRPr="00A35208">
        <w:rPr>
          <w:rFonts w:ascii="Calibri" w:hAnsi="Calibri" w:cs="Calibri"/>
        </w:rPr>
        <w:t xml:space="preserve">Passmore, H.-A. and Holder, M.D. (2017) ‘Noticing nature: Individual and social benefits of a two-week intervention’, </w:t>
      </w:r>
      <w:r w:rsidRPr="00A35208">
        <w:rPr>
          <w:rFonts w:ascii="Calibri" w:hAnsi="Calibri" w:cs="Calibri"/>
          <w:i/>
          <w:iCs/>
        </w:rPr>
        <w:t>The Journal of Positive Psychology</w:t>
      </w:r>
      <w:r w:rsidRPr="00A35208">
        <w:rPr>
          <w:rFonts w:ascii="Calibri" w:hAnsi="Calibri" w:cs="Calibri"/>
        </w:rPr>
        <w:t>, 12(6), pp. 537–546. Available at: https://doi.org/10.1080/17439760.2016.1221126.</w:t>
      </w:r>
    </w:p>
    <w:p w14:paraId="50B66A13" w14:textId="77777777" w:rsidR="00A35208" w:rsidRPr="00A35208" w:rsidRDefault="00A35208" w:rsidP="00A35208">
      <w:pPr>
        <w:pStyle w:val="Bibliography"/>
        <w:rPr>
          <w:rFonts w:ascii="Calibri" w:hAnsi="Calibri" w:cs="Calibri"/>
        </w:rPr>
      </w:pPr>
      <w:r w:rsidRPr="00A35208">
        <w:rPr>
          <w:rFonts w:ascii="Calibri" w:hAnsi="Calibri" w:cs="Calibri"/>
        </w:rPr>
        <w:t xml:space="preserve">Passmore, H.-A., Yang, Y. and Sabine, S. (2022) ‘An Extended Replication Study of the Well-Being Intervention, the Noticing Nature Intervention (NNI)’, </w:t>
      </w:r>
      <w:r w:rsidRPr="00A35208">
        <w:rPr>
          <w:rFonts w:ascii="Calibri" w:hAnsi="Calibri" w:cs="Calibri"/>
          <w:i/>
          <w:iCs/>
        </w:rPr>
        <w:t>Journal of Happiness Studies</w:t>
      </w:r>
      <w:r w:rsidRPr="00A35208">
        <w:rPr>
          <w:rFonts w:ascii="Calibri" w:hAnsi="Calibri" w:cs="Calibri"/>
        </w:rPr>
        <w:t>, 23(6), pp. 2663–2683. Available at: https://doi.org/10.1007/s10902-022-00516-3.</w:t>
      </w:r>
    </w:p>
    <w:p w14:paraId="01104D8C" w14:textId="77777777" w:rsidR="00A35208" w:rsidRPr="00A35208" w:rsidRDefault="00A35208" w:rsidP="00A35208">
      <w:pPr>
        <w:pStyle w:val="Bibliography"/>
        <w:rPr>
          <w:rFonts w:ascii="Calibri" w:hAnsi="Calibri" w:cs="Calibri"/>
        </w:rPr>
      </w:pPr>
      <w:r w:rsidRPr="00A35208">
        <w:rPr>
          <w:rFonts w:ascii="Calibri" w:hAnsi="Calibri" w:cs="Calibri"/>
        </w:rPr>
        <w:t xml:space="preserve">Peckham, E. </w:t>
      </w:r>
      <w:r w:rsidRPr="00A35208">
        <w:rPr>
          <w:rFonts w:ascii="Calibri" w:hAnsi="Calibri" w:cs="Calibri"/>
          <w:i/>
          <w:iCs/>
        </w:rPr>
        <w:t>et al.</w:t>
      </w:r>
      <w:r w:rsidRPr="00A35208">
        <w:rPr>
          <w:rFonts w:ascii="Calibri" w:hAnsi="Calibri" w:cs="Calibri"/>
        </w:rPr>
        <w:t xml:space="preserve"> (2015) ‘The use of unequal randomisation in clinical trials — An update’, </w:t>
      </w:r>
      <w:r w:rsidRPr="00A35208">
        <w:rPr>
          <w:rFonts w:ascii="Calibri" w:hAnsi="Calibri" w:cs="Calibri"/>
          <w:i/>
          <w:iCs/>
        </w:rPr>
        <w:t>Contemporary Clinical Trials</w:t>
      </w:r>
      <w:r w:rsidRPr="00A35208">
        <w:rPr>
          <w:rFonts w:ascii="Calibri" w:hAnsi="Calibri" w:cs="Calibri"/>
        </w:rPr>
        <w:t>, 45, pp. 113–122. Available at: https://doi.org/10.1016/j.cct.2015.05.017.</w:t>
      </w:r>
    </w:p>
    <w:p w14:paraId="697BA3E3" w14:textId="77777777" w:rsidR="00A35208" w:rsidRPr="00A35208" w:rsidRDefault="00A35208" w:rsidP="00A35208">
      <w:pPr>
        <w:pStyle w:val="Bibliography"/>
        <w:rPr>
          <w:rFonts w:ascii="Calibri" w:hAnsi="Calibri" w:cs="Calibri"/>
        </w:rPr>
      </w:pPr>
      <w:r w:rsidRPr="00A35208">
        <w:rPr>
          <w:rFonts w:ascii="Calibri" w:hAnsi="Calibri" w:cs="Calibri"/>
        </w:rPr>
        <w:t xml:space="preserve">Pett, T.J. </w:t>
      </w:r>
      <w:r w:rsidRPr="00A35208">
        <w:rPr>
          <w:rFonts w:ascii="Calibri" w:hAnsi="Calibri" w:cs="Calibri"/>
          <w:i/>
          <w:iCs/>
        </w:rPr>
        <w:t>et al.</w:t>
      </w:r>
      <w:r w:rsidRPr="00A35208">
        <w:rPr>
          <w:rFonts w:ascii="Calibri" w:hAnsi="Calibri" w:cs="Calibri"/>
        </w:rPr>
        <w:t xml:space="preserve"> (2016) ‘Unpacking the people-biodiversity paradox: A conceptual framework’, </w:t>
      </w:r>
      <w:r w:rsidRPr="00A35208">
        <w:rPr>
          <w:rFonts w:ascii="Calibri" w:hAnsi="Calibri" w:cs="Calibri"/>
          <w:i/>
          <w:iCs/>
        </w:rPr>
        <w:t>BioScience</w:t>
      </w:r>
      <w:r w:rsidRPr="00A35208">
        <w:rPr>
          <w:rFonts w:ascii="Calibri" w:hAnsi="Calibri" w:cs="Calibri"/>
        </w:rPr>
        <w:t>, 66(7), pp. 576–583. Available at: https://doi.org/10.1093/biosci/biw036.</w:t>
      </w:r>
    </w:p>
    <w:p w14:paraId="474B25DD" w14:textId="77777777" w:rsidR="00A35208" w:rsidRPr="00A35208" w:rsidRDefault="00A35208" w:rsidP="00A35208">
      <w:pPr>
        <w:pStyle w:val="Bibliography"/>
        <w:rPr>
          <w:rFonts w:ascii="Calibri" w:hAnsi="Calibri" w:cs="Calibri"/>
        </w:rPr>
      </w:pPr>
      <w:r w:rsidRPr="00A35208">
        <w:rPr>
          <w:rFonts w:ascii="Calibri" w:hAnsi="Calibri" w:cs="Calibri"/>
        </w:rPr>
        <w:lastRenderedPageBreak/>
        <w:t xml:space="preserve">Peugh, J.L. (2010) ‘A practical guide to multilevel modeling’, </w:t>
      </w:r>
      <w:r w:rsidRPr="00A35208">
        <w:rPr>
          <w:rFonts w:ascii="Calibri" w:hAnsi="Calibri" w:cs="Calibri"/>
          <w:i/>
          <w:iCs/>
        </w:rPr>
        <w:t>Journal of School Psychology</w:t>
      </w:r>
      <w:r w:rsidRPr="00A35208">
        <w:rPr>
          <w:rFonts w:ascii="Calibri" w:hAnsi="Calibri" w:cs="Calibri"/>
        </w:rPr>
        <w:t>, 48(1), pp. 85–112. Available at: https://doi.org/10.1016/j.jsp.2009.09.002.</w:t>
      </w:r>
    </w:p>
    <w:p w14:paraId="28F871E4" w14:textId="77777777" w:rsidR="00A35208" w:rsidRPr="00A35208" w:rsidRDefault="00A35208" w:rsidP="00A35208">
      <w:pPr>
        <w:pStyle w:val="Bibliography"/>
        <w:rPr>
          <w:rFonts w:ascii="Calibri" w:hAnsi="Calibri" w:cs="Calibri"/>
        </w:rPr>
      </w:pPr>
      <w:r w:rsidRPr="00A35208">
        <w:rPr>
          <w:rFonts w:ascii="Calibri" w:hAnsi="Calibri" w:cs="Calibri"/>
        </w:rPr>
        <w:t xml:space="preserve">Pilotti, M. </w:t>
      </w:r>
      <w:r w:rsidRPr="00A35208">
        <w:rPr>
          <w:rFonts w:ascii="Calibri" w:hAnsi="Calibri" w:cs="Calibri"/>
          <w:i/>
          <w:iCs/>
        </w:rPr>
        <w:t>et al.</w:t>
      </w:r>
      <w:r w:rsidRPr="00A35208">
        <w:rPr>
          <w:rFonts w:ascii="Calibri" w:hAnsi="Calibri" w:cs="Calibri"/>
        </w:rPr>
        <w:t xml:space="preserve"> (2015) ‘Is Viewing a Nature Video After Work Restorative? Effects on Blood Pressure, Task Performance, and Long-Term Memory’, </w:t>
      </w:r>
      <w:r w:rsidRPr="00A35208">
        <w:rPr>
          <w:rFonts w:ascii="Calibri" w:hAnsi="Calibri" w:cs="Calibri"/>
          <w:i/>
          <w:iCs/>
        </w:rPr>
        <w:t>Environment and Behavior</w:t>
      </w:r>
      <w:r w:rsidRPr="00A35208">
        <w:rPr>
          <w:rFonts w:ascii="Calibri" w:hAnsi="Calibri" w:cs="Calibri"/>
        </w:rPr>
        <w:t>, 47(9), pp. 947–969. Available at: https://doi.org/10.1177/0013916514533187.</w:t>
      </w:r>
    </w:p>
    <w:p w14:paraId="5E36132A" w14:textId="77777777" w:rsidR="00A35208" w:rsidRPr="00A35208" w:rsidRDefault="00A35208" w:rsidP="00A35208">
      <w:pPr>
        <w:pStyle w:val="Bibliography"/>
        <w:rPr>
          <w:rFonts w:ascii="Calibri" w:hAnsi="Calibri" w:cs="Calibri"/>
        </w:rPr>
      </w:pPr>
      <w:r w:rsidRPr="00A35208">
        <w:rPr>
          <w:rFonts w:ascii="Calibri" w:hAnsi="Calibri" w:cs="Calibri"/>
        </w:rPr>
        <w:t xml:space="preserve">Polosan, M. </w:t>
      </w:r>
      <w:r w:rsidRPr="00A35208">
        <w:rPr>
          <w:rFonts w:ascii="Calibri" w:hAnsi="Calibri" w:cs="Calibri"/>
          <w:i/>
          <w:iCs/>
        </w:rPr>
        <w:t>et al.</w:t>
      </w:r>
      <w:r w:rsidRPr="00A35208">
        <w:rPr>
          <w:rFonts w:ascii="Calibri" w:hAnsi="Calibri" w:cs="Calibri"/>
        </w:rPr>
        <w:t xml:space="preserve"> (2019) ‘Affective modulation of the associative-limbic subthalamic nucleus: deep brain stimulation in obsessive–compulsive disorder’, </w:t>
      </w:r>
      <w:r w:rsidRPr="00A35208">
        <w:rPr>
          <w:rFonts w:ascii="Calibri" w:hAnsi="Calibri" w:cs="Calibri"/>
          <w:i/>
          <w:iCs/>
        </w:rPr>
        <w:t>Translational Psychiatry</w:t>
      </w:r>
      <w:r w:rsidRPr="00A35208">
        <w:rPr>
          <w:rFonts w:ascii="Calibri" w:hAnsi="Calibri" w:cs="Calibri"/>
        </w:rPr>
        <w:t>, 9(1), p. 73. Available at: https://doi.org/10.1038/s41398-019-0404-y.</w:t>
      </w:r>
    </w:p>
    <w:p w14:paraId="5B8A1C34" w14:textId="77777777" w:rsidR="00A35208" w:rsidRPr="00A35208" w:rsidRDefault="00A35208" w:rsidP="00A35208">
      <w:pPr>
        <w:pStyle w:val="Bibliography"/>
        <w:rPr>
          <w:rFonts w:ascii="Calibri" w:hAnsi="Calibri" w:cs="Calibri"/>
        </w:rPr>
      </w:pPr>
      <w:r w:rsidRPr="00A35208">
        <w:rPr>
          <w:rFonts w:ascii="Calibri" w:hAnsi="Calibri" w:cs="Calibri"/>
        </w:rPr>
        <w:t xml:space="preserve">Porges, S.W. (1995) ‘Orienting in a defensive world: Mammalian modifications of our evolutionary heritage. A polyvagal theory’, </w:t>
      </w:r>
      <w:r w:rsidRPr="00A35208">
        <w:rPr>
          <w:rFonts w:ascii="Calibri" w:hAnsi="Calibri" w:cs="Calibri"/>
          <w:i/>
          <w:iCs/>
        </w:rPr>
        <w:t>Psychophysiology</w:t>
      </w:r>
      <w:r w:rsidRPr="00A35208">
        <w:rPr>
          <w:rFonts w:ascii="Calibri" w:hAnsi="Calibri" w:cs="Calibri"/>
        </w:rPr>
        <w:t>, 32(4), pp. 301–318.</w:t>
      </w:r>
    </w:p>
    <w:p w14:paraId="5C68F0F3" w14:textId="77777777" w:rsidR="00A35208" w:rsidRPr="00A35208" w:rsidRDefault="00A35208" w:rsidP="00A35208">
      <w:pPr>
        <w:pStyle w:val="Bibliography"/>
        <w:rPr>
          <w:rFonts w:ascii="Calibri" w:hAnsi="Calibri" w:cs="Calibri"/>
        </w:rPr>
      </w:pPr>
      <w:r w:rsidRPr="00A35208">
        <w:rPr>
          <w:rFonts w:ascii="Calibri" w:hAnsi="Calibri" w:cs="Calibri"/>
        </w:rPr>
        <w:t xml:space="preserve">Porges, S.W. (2007) ‘The polyvagal perspective’, </w:t>
      </w:r>
      <w:r w:rsidRPr="00A35208">
        <w:rPr>
          <w:rFonts w:ascii="Calibri" w:hAnsi="Calibri" w:cs="Calibri"/>
          <w:i/>
          <w:iCs/>
        </w:rPr>
        <w:t>Biological Psychology</w:t>
      </w:r>
      <w:r w:rsidRPr="00A35208">
        <w:rPr>
          <w:rFonts w:ascii="Calibri" w:hAnsi="Calibri" w:cs="Calibri"/>
        </w:rPr>
        <w:t>, 74(2), pp. 116–143. Available at: https://doi.org/10.1016/j.biopsycho.2006.06.009.</w:t>
      </w:r>
    </w:p>
    <w:p w14:paraId="40F06FFF" w14:textId="77777777" w:rsidR="00A35208" w:rsidRPr="00A35208" w:rsidRDefault="00A35208" w:rsidP="00A35208">
      <w:pPr>
        <w:pStyle w:val="Bibliography"/>
        <w:rPr>
          <w:rFonts w:ascii="Calibri" w:hAnsi="Calibri" w:cs="Calibri"/>
        </w:rPr>
      </w:pPr>
      <w:r w:rsidRPr="00A35208">
        <w:rPr>
          <w:rFonts w:ascii="Calibri" w:hAnsi="Calibri" w:cs="Calibri"/>
        </w:rPr>
        <w:t xml:space="preserve">Posner, J., Russel, J.A. and Peterson, B.S. (2005) ‘The circumplex model of affect: An integrative approach to affective neuroscience, cognitive development, and psychopathology’, </w:t>
      </w:r>
      <w:r w:rsidRPr="00A35208">
        <w:rPr>
          <w:rFonts w:ascii="Calibri" w:hAnsi="Calibri" w:cs="Calibri"/>
          <w:i/>
          <w:iCs/>
        </w:rPr>
        <w:t>Development and Psychopathology</w:t>
      </w:r>
      <w:r w:rsidRPr="00A35208">
        <w:rPr>
          <w:rFonts w:ascii="Calibri" w:hAnsi="Calibri" w:cs="Calibri"/>
        </w:rPr>
        <w:t>, 17(3), pp. 715–734. Available at: https://doi.org/DOI: 10.1017/S0954579405050340.</w:t>
      </w:r>
    </w:p>
    <w:p w14:paraId="63055BAE" w14:textId="77777777" w:rsidR="00A35208" w:rsidRPr="00A35208" w:rsidRDefault="00A35208" w:rsidP="00A35208">
      <w:pPr>
        <w:pStyle w:val="Bibliography"/>
        <w:rPr>
          <w:rFonts w:ascii="Calibri" w:hAnsi="Calibri" w:cs="Calibri"/>
        </w:rPr>
      </w:pPr>
      <w:r w:rsidRPr="00A35208">
        <w:rPr>
          <w:rFonts w:ascii="Calibri" w:hAnsi="Calibri" w:cs="Calibri"/>
        </w:rPr>
        <w:t xml:space="preserve">Pritchard, A. </w:t>
      </w:r>
      <w:r w:rsidRPr="00A35208">
        <w:rPr>
          <w:rFonts w:ascii="Calibri" w:hAnsi="Calibri" w:cs="Calibri"/>
          <w:i/>
          <w:iCs/>
        </w:rPr>
        <w:t>et al.</w:t>
      </w:r>
      <w:r w:rsidRPr="00A35208">
        <w:rPr>
          <w:rFonts w:ascii="Calibri" w:hAnsi="Calibri" w:cs="Calibri"/>
        </w:rPr>
        <w:t xml:space="preserve"> (2020) ‘The Relationship Between Nature Connectedness and Eudaimonic Well-Being: A Meta-analysis’, </w:t>
      </w:r>
      <w:r w:rsidRPr="00A35208">
        <w:rPr>
          <w:rFonts w:ascii="Calibri" w:hAnsi="Calibri" w:cs="Calibri"/>
          <w:i/>
          <w:iCs/>
        </w:rPr>
        <w:t>Journal of Happiness Studies</w:t>
      </w:r>
      <w:r w:rsidRPr="00A35208">
        <w:rPr>
          <w:rFonts w:ascii="Calibri" w:hAnsi="Calibri" w:cs="Calibri"/>
        </w:rPr>
        <w:t>, 21(3), pp. 1145–1167. Available at: https://doi.org/10.1007/s10902-019-00118-6.</w:t>
      </w:r>
    </w:p>
    <w:p w14:paraId="5F9B1E71" w14:textId="77777777" w:rsidR="00A35208" w:rsidRPr="00A35208" w:rsidRDefault="00A35208" w:rsidP="00A35208">
      <w:pPr>
        <w:pStyle w:val="Bibliography"/>
        <w:rPr>
          <w:rFonts w:ascii="Calibri" w:hAnsi="Calibri" w:cs="Calibri"/>
        </w:rPr>
      </w:pPr>
      <w:r w:rsidRPr="00A35208">
        <w:rPr>
          <w:rFonts w:ascii="Calibri" w:hAnsi="Calibri" w:cs="Calibri"/>
        </w:rPr>
        <w:t xml:space="preserve">Qi, Y. </w:t>
      </w:r>
      <w:r w:rsidRPr="00A35208">
        <w:rPr>
          <w:rFonts w:ascii="Calibri" w:hAnsi="Calibri" w:cs="Calibri"/>
          <w:i/>
          <w:iCs/>
        </w:rPr>
        <w:t>et al.</w:t>
      </w:r>
      <w:r w:rsidRPr="00A35208">
        <w:rPr>
          <w:rFonts w:ascii="Calibri" w:hAnsi="Calibri" w:cs="Calibri"/>
        </w:rPr>
        <w:t xml:space="preserve"> (2022) ‘Comparative study on birdsong and its multi-sensory combinational effects on physio-psychological restoration’, </w:t>
      </w:r>
      <w:r w:rsidRPr="00A35208">
        <w:rPr>
          <w:rFonts w:ascii="Calibri" w:hAnsi="Calibri" w:cs="Calibri"/>
          <w:i/>
          <w:iCs/>
        </w:rPr>
        <w:t>Journal of Environmental Psychology</w:t>
      </w:r>
      <w:r w:rsidRPr="00A35208">
        <w:rPr>
          <w:rFonts w:ascii="Calibri" w:hAnsi="Calibri" w:cs="Calibri"/>
        </w:rPr>
        <w:t>, 83, p. 101879. Available at: https://doi.org/10.1016/j.jenvp.2022.101879.</w:t>
      </w:r>
    </w:p>
    <w:p w14:paraId="5CEBB508" w14:textId="77777777" w:rsidR="00A35208" w:rsidRPr="00A35208" w:rsidRDefault="00A35208" w:rsidP="00A35208">
      <w:pPr>
        <w:pStyle w:val="Bibliography"/>
        <w:rPr>
          <w:rFonts w:ascii="Calibri" w:hAnsi="Calibri" w:cs="Calibri"/>
        </w:rPr>
      </w:pPr>
      <w:r w:rsidRPr="00A35208">
        <w:rPr>
          <w:rFonts w:ascii="Calibri" w:hAnsi="Calibri" w:cs="Calibri"/>
        </w:rPr>
        <w:t xml:space="preserve">Qiu, L., Lindberg, S. and Nielsen, A.B. (2013) ‘Is biodiversity attractive?—On-site perception of recreational and biodiversity values in urban green space’, </w:t>
      </w:r>
      <w:r w:rsidRPr="00A35208">
        <w:rPr>
          <w:rFonts w:ascii="Calibri" w:hAnsi="Calibri" w:cs="Calibri"/>
          <w:i/>
          <w:iCs/>
        </w:rPr>
        <w:t>Landscape and Urban Planning</w:t>
      </w:r>
      <w:r w:rsidRPr="00A35208">
        <w:rPr>
          <w:rFonts w:ascii="Calibri" w:hAnsi="Calibri" w:cs="Calibri"/>
        </w:rPr>
        <w:t>, 119, pp. 136–146. Available at: https://doi.org/10.1016/j.landurbplan.2013.07.007.</w:t>
      </w:r>
    </w:p>
    <w:p w14:paraId="598CE7E5" w14:textId="77777777" w:rsidR="00A35208" w:rsidRPr="00A35208" w:rsidRDefault="00A35208" w:rsidP="00A35208">
      <w:pPr>
        <w:pStyle w:val="Bibliography"/>
        <w:rPr>
          <w:rFonts w:ascii="Calibri" w:hAnsi="Calibri" w:cs="Calibri"/>
        </w:rPr>
      </w:pPr>
      <w:r w:rsidRPr="00A35208">
        <w:rPr>
          <w:rFonts w:ascii="Calibri" w:hAnsi="Calibri" w:cs="Calibri"/>
        </w:rPr>
        <w:t>Ramirez, R. and Vamvakousis, Z. (2012) ‘Detecting Emotion from EEG Signals Using the Emotive Epoc Device BT - Brain Informatics’, in F.M. Zanzotto et al. (eds). Berlin, Heidelberg: Springer Berlin Heidelberg, pp. 175–184.</w:t>
      </w:r>
    </w:p>
    <w:p w14:paraId="0DA91CED" w14:textId="77777777" w:rsidR="00A35208" w:rsidRPr="00A35208" w:rsidRDefault="00A35208" w:rsidP="00A35208">
      <w:pPr>
        <w:pStyle w:val="Bibliography"/>
        <w:rPr>
          <w:rFonts w:ascii="Calibri" w:hAnsi="Calibri" w:cs="Calibri"/>
        </w:rPr>
      </w:pPr>
      <w:r w:rsidRPr="00A35208">
        <w:rPr>
          <w:rFonts w:ascii="Calibri" w:hAnsi="Calibri" w:cs="Calibri"/>
        </w:rPr>
        <w:t xml:space="preserve">Rantakokko, M. </w:t>
      </w:r>
      <w:r w:rsidRPr="00A35208">
        <w:rPr>
          <w:rFonts w:ascii="Calibri" w:hAnsi="Calibri" w:cs="Calibri"/>
          <w:i/>
          <w:iCs/>
        </w:rPr>
        <w:t>et al.</w:t>
      </w:r>
      <w:r w:rsidRPr="00A35208">
        <w:rPr>
          <w:rFonts w:ascii="Calibri" w:hAnsi="Calibri" w:cs="Calibri"/>
        </w:rPr>
        <w:t xml:space="preserve"> (2018) ‘Nature diversity and well-being in old age’, </w:t>
      </w:r>
      <w:r w:rsidRPr="00A35208">
        <w:rPr>
          <w:rFonts w:ascii="Calibri" w:hAnsi="Calibri" w:cs="Calibri"/>
          <w:i/>
          <w:iCs/>
        </w:rPr>
        <w:t>Aging Clinical and Experimental Research</w:t>
      </w:r>
      <w:r w:rsidRPr="00A35208">
        <w:rPr>
          <w:rFonts w:ascii="Calibri" w:hAnsi="Calibri" w:cs="Calibri"/>
        </w:rPr>
        <w:t>, 30(5), pp. 527–532. Available at: https://doi.org/10.1007/s40520-017-0797-5.</w:t>
      </w:r>
    </w:p>
    <w:p w14:paraId="2BC776AF" w14:textId="77777777" w:rsidR="00A35208" w:rsidRPr="00A35208" w:rsidRDefault="00A35208" w:rsidP="00A35208">
      <w:pPr>
        <w:pStyle w:val="Bibliography"/>
        <w:rPr>
          <w:rFonts w:ascii="Calibri" w:hAnsi="Calibri" w:cs="Calibri"/>
        </w:rPr>
      </w:pPr>
      <w:r w:rsidRPr="00A35208">
        <w:rPr>
          <w:rFonts w:ascii="Calibri" w:hAnsi="Calibri" w:cs="Calibri"/>
        </w:rPr>
        <w:t xml:space="preserve">Rapuano, M. </w:t>
      </w:r>
      <w:r w:rsidRPr="00A35208">
        <w:rPr>
          <w:rFonts w:ascii="Calibri" w:hAnsi="Calibri" w:cs="Calibri"/>
          <w:i/>
          <w:iCs/>
        </w:rPr>
        <w:t>et al.</w:t>
      </w:r>
      <w:r w:rsidRPr="00A35208">
        <w:rPr>
          <w:rFonts w:ascii="Calibri" w:hAnsi="Calibri" w:cs="Calibri"/>
        </w:rPr>
        <w:t xml:space="preserve"> (2022) ‘Spaces for relaxing, spaces for recharging: How parks affect people’s emotions’, </w:t>
      </w:r>
      <w:r w:rsidRPr="00A35208">
        <w:rPr>
          <w:rFonts w:ascii="Calibri" w:hAnsi="Calibri" w:cs="Calibri"/>
          <w:i/>
          <w:iCs/>
        </w:rPr>
        <w:t>Journal of Environmental Psychology</w:t>
      </w:r>
      <w:r w:rsidRPr="00A35208">
        <w:rPr>
          <w:rFonts w:ascii="Calibri" w:hAnsi="Calibri" w:cs="Calibri"/>
        </w:rPr>
        <w:t>, 81, p. 101809. Available at: https://doi.org/10.1016/j.jenvp.2022.101809.</w:t>
      </w:r>
    </w:p>
    <w:p w14:paraId="1E20CF19" w14:textId="77777777" w:rsidR="00A35208" w:rsidRPr="00A35208" w:rsidRDefault="00A35208" w:rsidP="00A35208">
      <w:pPr>
        <w:pStyle w:val="Bibliography"/>
        <w:rPr>
          <w:rFonts w:ascii="Calibri" w:hAnsi="Calibri" w:cs="Calibri"/>
        </w:rPr>
      </w:pPr>
      <w:r w:rsidRPr="00A35208">
        <w:rPr>
          <w:rFonts w:ascii="Calibri" w:hAnsi="Calibri" w:cs="Calibri"/>
        </w:rPr>
        <w:lastRenderedPageBreak/>
        <w:t xml:space="preserve">Ratcliffe, E., Gatersleben, B. and Sowden, P.T. (2013) ‘Bird sounds and their contributions to perceived attention restoration and stress recovery’, </w:t>
      </w:r>
      <w:r w:rsidRPr="00A35208">
        <w:rPr>
          <w:rFonts w:ascii="Calibri" w:hAnsi="Calibri" w:cs="Calibri"/>
          <w:i/>
          <w:iCs/>
        </w:rPr>
        <w:t>Journal of Environmental Psychology</w:t>
      </w:r>
      <w:r w:rsidRPr="00A35208">
        <w:rPr>
          <w:rFonts w:ascii="Calibri" w:hAnsi="Calibri" w:cs="Calibri"/>
        </w:rPr>
        <w:t>, 36, pp. 221–228. Available at: https://doi.org/10.1016/j.jenvp.2013.08.004.</w:t>
      </w:r>
    </w:p>
    <w:p w14:paraId="6BB5BC69" w14:textId="77777777" w:rsidR="00A35208" w:rsidRPr="00A35208" w:rsidRDefault="00A35208" w:rsidP="00A35208">
      <w:pPr>
        <w:pStyle w:val="Bibliography"/>
        <w:rPr>
          <w:rFonts w:ascii="Calibri" w:hAnsi="Calibri" w:cs="Calibri"/>
        </w:rPr>
      </w:pPr>
      <w:r w:rsidRPr="00A35208">
        <w:rPr>
          <w:rFonts w:ascii="Calibri" w:hAnsi="Calibri" w:cs="Calibri"/>
        </w:rPr>
        <w:t xml:space="preserve">Rathmann, J. </w:t>
      </w:r>
      <w:r w:rsidRPr="00A35208">
        <w:rPr>
          <w:rFonts w:ascii="Calibri" w:hAnsi="Calibri" w:cs="Calibri"/>
          <w:i/>
          <w:iCs/>
        </w:rPr>
        <w:t>et al.</w:t>
      </w:r>
      <w:r w:rsidRPr="00A35208">
        <w:rPr>
          <w:rFonts w:ascii="Calibri" w:hAnsi="Calibri" w:cs="Calibri"/>
        </w:rPr>
        <w:t xml:space="preserve"> (2020) ‘Using the visitor-employed photography method to analyse deadwood perceptions of forest visitors: a case study from Bavarian Forest National Park, Germany’, </w:t>
      </w:r>
      <w:r w:rsidRPr="00A35208">
        <w:rPr>
          <w:rFonts w:ascii="Calibri" w:hAnsi="Calibri" w:cs="Calibri"/>
          <w:i/>
          <w:iCs/>
        </w:rPr>
        <w:t>European Journal of Forest Research</w:t>
      </w:r>
      <w:r w:rsidRPr="00A35208">
        <w:rPr>
          <w:rFonts w:ascii="Calibri" w:hAnsi="Calibri" w:cs="Calibri"/>
        </w:rPr>
        <w:t>, 139(3), pp. 431–442. Available at: https://doi.org/10.1007/s10342-020-01260-0.</w:t>
      </w:r>
    </w:p>
    <w:p w14:paraId="3609E92D" w14:textId="77777777" w:rsidR="00A35208" w:rsidRPr="00A35208" w:rsidRDefault="00A35208" w:rsidP="00A35208">
      <w:pPr>
        <w:pStyle w:val="Bibliography"/>
        <w:rPr>
          <w:rFonts w:ascii="Calibri" w:hAnsi="Calibri" w:cs="Calibri"/>
        </w:rPr>
      </w:pPr>
      <w:r w:rsidRPr="00A35208">
        <w:rPr>
          <w:rFonts w:ascii="Calibri" w:hAnsi="Calibri" w:cs="Calibri"/>
        </w:rPr>
        <w:t xml:space="preserve">Redondo-Bermúdez, M.D.C. </w:t>
      </w:r>
      <w:r w:rsidRPr="00A35208">
        <w:rPr>
          <w:rFonts w:ascii="Calibri" w:hAnsi="Calibri" w:cs="Calibri"/>
          <w:i/>
          <w:iCs/>
        </w:rPr>
        <w:t>et al.</w:t>
      </w:r>
      <w:r w:rsidRPr="00A35208">
        <w:rPr>
          <w:rFonts w:ascii="Calibri" w:hAnsi="Calibri" w:cs="Calibri"/>
        </w:rPr>
        <w:t xml:space="preserve"> (2021) ‘“Green barriers” for air pollutant capture: Leaf micromorphology as a mechanism to explain plants capacity to capture particulate matter’, </w:t>
      </w:r>
      <w:r w:rsidRPr="00A35208">
        <w:rPr>
          <w:rFonts w:ascii="Calibri" w:hAnsi="Calibri" w:cs="Calibri"/>
          <w:i/>
          <w:iCs/>
        </w:rPr>
        <w:t>Environmental Pollution</w:t>
      </w:r>
      <w:r w:rsidRPr="00A35208">
        <w:rPr>
          <w:rFonts w:ascii="Calibri" w:hAnsi="Calibri" w:cs="Calibri"/>
        </w:rPr>
        <w:t>, 288, p. 117809. Available at: https://doi.org/10.1016/j.envpol.2021.117809.</w:t>
      </w:r>
    </w:p>
    <w:p w14:paraId="354345E1" w14:textId="77777777" w:rsidR="00A35208" w:rsidRPr="00A35208" w:rsidRDefault="00A35208" w:rsidP="00A35208">
      <w:pPr>
        <w:pStyle w:val="Bibliography"/>
        <w:rPr>
          <w:rFonts w:ascii="Calibri" w:hAnsi="Calibri" w:cs="Calibri"/>
        </w:rPr>
      </w:pPr>
      <w:r w:rsidRPr="00A35208">
        <w:rPr>
          <w:rFonts w:ascii="Calibri" w:hAnsi="Calibri" w:cs="Calibri"/>
        </w:rPr>
        <w:t xml:space="preserve">Reece, R. </w:t>
      </w:r>
      <w:r w:rsidRPr="00A35208">
        <w:rPr>
          <w:rFonts w:ascii="Calibri" w:hAnsi="Calibri" w:cs="Calibri"/>
          <w:i/>
          <w:iCs/>
        </w:rPr>
        <w:t>et al.</w:t>
      </w:r>
      <w:r w:rsidRPr="00A35208">
        <w:rPr>
          <w:rFonts w:ascii="Calibri" w:hAnsi="Calibri" w:cs="Calibri"/>
        </w:rPr>
        <w:t xml:space="preserve"> (2022) ‘Exposure to Green, Blue and Historic Environments and Mental Well-Being: A Comparison between Virtual Reality Head-Mounted Display and Flat Screen Exposure’, </w:t>
      </w:r>
      <w:r w:rsidRPr="00A35208">
        <w:rPr>
          <w:rFonts w:ascii="Calibri" w:hAnsi="Calibri" w:cs="Calibri"/>
          <w:i/>
          <w:iCs/>
        </w:rPr>
        <w:t>International Journal of Environmental Research and Public Health</w:t>
      </w:r>
      <w:r w:rsidRPr="00A35208">
        <w:rPr>
          <w:rFonts w:ascii="Calibri" w:hAnsi="Calibri" w:cs="Calibri"/>
        </w:rPr>
        <w:t>, 19(15), p. 9457. Available at: https://doi.org/10.3390/ijerph19159457.</w:t>
      </w:r>
    </w:p>
    <w:p w14:paraId="70DC9D1B" w14:textId="77777777" w:rsidR="00A35208" w:rsidRPr="00A35208" w:rsidRDefault="00A35208" w:rsidP="00A35208">
      <w:pPr>
        <w:pStyle w:val="Bibliography"/>
        <w:rPr>
          <w:rFonts w:ascii="Calibri" w:hAnsi="Calibri" w:cs="Calibri"/>
        </w:rPr>
      </w:pPr>
      <w:r w:rsidRPr="00A35208">
        <w:rPr>
          <w:rFonts w:ascii="Calibri" w:hAnsi="Calibri" w:cs="Calibri"/>
        </w:rPr>
        <w:t xml:space="preserve">Reining, C.E., Lemieux, C.J. and Doherty, S.T. (2021) ‘Linking restorative human health outcomes to protected area ecosystem diversity and integrity’, </w:t>
      </w:r>
      <w:r w:rsidRPr="00A35208">
        <w:rPr>
          <w:rFonts w:ascii="Calibri" w:hAnsi="Calibri" w:cs="Calibri"/>
          <w:i/>
          <w:iCs/>
        </w:rPr>
        <w:t>Journal of Environmental Planning and Management</w:t>
      </w:r>
      <w:r w:rsidRPr="00A35208">
        <w:rPr>
          <w:rFonts w:ascii="Calibri" w:hAnsi="Calibri" w:cs="Calibri"/>
        </w:rPr>
        <w:t>, 64(13), pp. 2300–2325. Available at: https://doi.org/10.1080/09640568.2020.1857227.</w:t>
      </w:r>
    </w:p>
    <w:p w14:paraId="5A8402E1" w14:textId="77777777" w:rsidR="00A35208" w:rsidRPr="00A35208" w:rsidRDefault="00A35208" w:rsidP="00A35208">
      <w:pPr>
        <w:pStyle w:val="Bibliography"/>
        <w:rPr>
          <w:rFonts w:ascii="Calibri" w:hAnsi="Calibri" w:cs="Calibri"/>
        </w:rPr>
      </w:pPr>
      <w:r w:rsidRPr="00A35208">
        <w:rPr>
          <w:rFonts w:ascii="Calibri" w:hAnsi="Calibri" w:cs="Calibri"/>
        </w:rPr>
        <w:t xml:space="preserve">Richards, D.R., Tunçer, B. and Tunçer, B. (2018) ‘Using image recognition to automate assessment of cultural ecosystem services from social media photographs’, </w:t>
      </w:r>
      <w:r w:rsidRPr="00A35208">
        <w:rPr>
          <w:rFonts w:ascii="Calibri" w:hAnsi="Calibri" w:cs="Calibri"/>
          <w:i/>
          <w:iCs/>
        </w:rPr>
        <w:t>Ecosystem Services</w:t>
      </w:r>
      <w:r w:rsidRPr="00A35208">
        <w:rPr>
          <w:rFonts w:ascii="Calibri" w:hAnsi="Calibri" w:cs="Calibri"/>
        </w:rPr>
        <w:t>, 31, pp. 318–325. Available at: https://doi.org/10.1016/j.ecoser.2017.09.004.</w:t>
      </w:r>
    </w:p>
    <w:p w14:paraId="156F4523" w14:textId="77777777" w:rsidR="00A35208" w:rsidRPr="00A35208" w:rsidRDefault="00A35208" w:rsidP="00A35208">
      <w:pPr>
        <w:pStyle w:val="Bibliography"/>
        <w:rPr>
          <w:rFonts w:ascii="Calibri" w:hAnsi="Calibri" w:cs="Calibri"/>
        </w:rPr>
      </w:pPr>
      <w:r w:rsidRPr="00A35208">
        <w:rPr>
          <w:rFonts w:ascii="Calibri" w:hAnsi="Calibri" w:cs="Calibri"/>
        </w:rPr>
        <w:t xml:space="preserve">Richardson, M., Cormack, A., </w:t>
      </w:r>
      <w:r w:rsidRPr="00A35208">
        <w:rPr>
          <w:rFonts w:ascii="Calibri" w:hAnsi="Calibri" w:cs="Calibri"/>
          <w:i/>
          <w:iCs/>
        </w:rPr>
        <w:t>et al.</w:t>
      </w:r>
      <w:r w:rsidRPr="00A35208">
        <w:rPr>
          <w:rFonts w:ascii="Calibri" w:hAnsi="Calibri" w:cs="Calibri"/>
        </w:rPr>
        <w:t xml:space="preserve"> (2016) ‘30 days wild: Development and evaluation of a large-scale nature engagement campaign to improve well-being’, </w:t>
      </w:r>
      <w:r w:rsidRPr="00A35208">
        <w:rPr>
          <w:rFonts w:ascii="Calibri" w:hAnsi="Calibri" w:cs="Calibri"/>
          <w:i/>
          <w:iCs/>
        </w:rPr>
        <w:t>PloS one</w:t>
      </w:r>
      <w:r w:rsidRPr="00A35208">
        <w:rPr>
          <w:rFonts w:ascii="Calibri" w:hAnsi="Calibri" w:cs="Calibri"/>
        </w:rPr>
        <w:t>, 11(2), p. e0149777.</w:t>
      </w:r>
    </w:p>
    <w:p w14:paraId="68BC098F" w14:textId="77777777" w:rsidR="00A35208" w:rsidRPr="00A35208" w:rsidRDefault="00A35208" w:rsidP="00A35208">
      <w:pPr>
        <w:pStyle w:val="Bibliography"/>
        <w:rPr>
          <w:rFonts w:ascii="Calibri" w:hAnsi="Calibri" w:cs="Calibri"/>
        </w:rPr>
      </w:pPr>
      <w:r w:rsidRPr="00A35208">
        <w:rPr>
          <w:rFonts w:ascii="Calibri" w:hAnsi="Calibri" w:cs="Calibri"/>
        </w:rPr>
        <w:t xml:space="preserve">Richardson, M., McEwan, K., </w:t>
      </w:r>
      <w:r w:rsidRPr="00A35208">
        <w:rPr>
          <w:rFonts w:ascii="Calibri" w:hAnsi="Calibri" w:cs="Calibri"/>
          <w:i/>
          <w:iCs/>
        </w:rPr>
        <w:t>et al.</w:t>
      </w:r>
      <w:r w:rsidRPr="00A35208">
        <w:rPr>
          <w:rFonts w:ascii="Calibri" w:hAnsi="Calibri" w:cs="Calibri"/>
        </w:rPr>
        <w:t xml:space="preserve"> (2016) ‘Joy and Calm: How an Evolutionary Functional Model of Affect Regulation Informs Positive Emotions in Nature’, </w:t>
      </w:r>
      <w:r w:rsidRPr="00A35208">
        <w:rPr>
          <w:rFonts w:ascii="Calibri" w:hAnsi="Calibri" w:cs="Calibri"/>
          <w:i/>
          <w:iCs/>
        </w:rPr>
        <w:t>Evolutionary Psychological Science</w:t>
      </w:r>
      <w:r w:rsidRPr="00A35208">
        <w:rPr>
          <w:rFonts w:ascii="Calibri" w:hAnsi="Calibri" w:cs="Calibri"/>
        </w:rPr>
        <w:t>, 2(4), pp. 308–320. Available at: https://doi.org/10.1007/s40806-016-0065-5.</w:t>
      </w:r>
    </w:p>
    <w:p w14:paraId="10C7957C" w14:textId="77777777" w:rsidR="00A35208" w:rsidRPr="00A35208" w:rsidRDefault="00A35208" w:rsidP="00A35208">
      <w:pPr>
        <w:pStyle w:val="Bibliography"/>
        <w:rPr>
          <w:rFonts w:ascii="Calibri" w:hAnsi="Calibri" w:cs="Calibri"/>
        </w:rPr>
      </w:pPr>
      <w:r w:rsidRPr="00A35208">
        <w:rPr>
          <w:rFonts w:ascii="Calibri" w:hAnsi="Calibri" w:cs="Calibri"/>
        </w:rPr>
        <w:t xml:space="preserve">Richardson, M. </w:t>
      </w:r>
      <w:r w:rsidRPr="00A35208">
        <w:rPr>
          <w:rFonts w:ascii="Calibri" w:hAnsi="Calibri" w:cs="Calibri"/>
          <w:i/>
          <w:iCs/>
        </w:rPr>
        <w:t>et al.</w:t>
      </w:r>
      <w:r w:rsidRPr="00A35208">
        <w:rPr>
          <w:rFonts w:ascii="Calibri" w:hAnsi="Calibri" w:cs="Calibri"/>
        </w:rPr>
        <w:t xml:space="preserve"> (2020) ‘Data from a smartphone app for improving mental health through urban nature 2016-2019’. UK Data Service. Available at: https://doi.org/10.5255/UKDA-SN-854203.</w:t>
      </w:r>
    </w:p>
    <w:p w14:paraId="53BE640D" w14:textId="77777777" w:rsidR="00A35208" w:rsidRPr="00A35208" w:rsidRDefault="00A35208" w:rsidP="00A35208">
      <w:pPr>
        <w:pStyle w:val="Bibliography"/>
        <w:rPr>
          <w:rFonts w:ascii="Calibri" w:hAnsi="Calibri" w:cs="Calibri"/>
        </w:rPr>
      </w:pPr>
      <w:r w:rsidRPr="00A35208">
        <w:rPr>
          <w:rFonts w:ascii="Calibri" w:hAnsi="Calibri" w:cs="Calibri"/>
        </w:rPr>
        <w:t xml:space="preserve">Richardson, M., Hallam, J. and Lumber, R. (2015) ‘One thousand good things in nature: Aspects of nearby nature associated with improved connection to nature’, </w:t>
      </w:r>
      <w:r w:rsidRPr="00A35208">
        <w:rPr>
          <w:rFonts w:ascii="Calibri" w:hAnsi="Calibri" w:cs="Calibri"/>
          <w:i/>
          <w:iCs/>
        </w:rPr>
        <w:t>Environmental Values</w:t>
      </w:r>
      <w:r w:rsidRPr="00A35208">
        <w:rPr>
          <w:rFonts w:ascii="Calibri" w:hAnsi="Calibri" w:cs="Calibri"/>
        </w:rPr>
        <w:t>, 24(5), pp. 603–619. Available at: https://doi.org/10.3197/096327115X14384223590131.</w:t>
      </w:r>
    </w:p>
    <w:p w14:paraId="4A1134CB" w14:textId="77777777" w:rsidR="00A35208" w:rsidRPr="00A35208" w:rsidRDefault="00A35208" w:rsidP="00A35208">
      <w:pPr>
        <w:pStyle w:val="Bibliography"/>
        <w:rPr>
          <w:rFonts w:ascii="Calibri" w:hAnsi="Calibri" w:cs="Calibri"/>
        </w:rPr>
      </w:pPr>
      <w:r w:rsidRPr="00A35208">
        <w:rPr>
          <w:rFonts w:ascii="Calibri" w:hAnsi="Calibri" w:cs="Calibri"/>
        </w:rPr>
        <w:t xml:space="preserve">van Riper, C.J. </w:t>
      </w:r>
      <w:r w:rsidRPr="00A35208">
        <w:rPr>
          <w:rFonts w:ascii="Calibri" w:hAnsi="Calibri" w:cs="Calibri"/>
          <w:i/>
          <w:iCs/>
        </w:rPr>
        <w:t>et al.</w:t>
      </w:r>
      <w:r w:rsidRPr="00A35208">
        <w:rPr>
          <w:rFonts w:ascii="Calibri" w:hAnsi="Calibri" w:cs="Calibri"/>
        </w:rPr>
        <w:t xml:space="preserve"> (2017) ‘Toward an integrated understanding of perceived biodiversity values and environmental conditions in a national park’, </w:t>
      </w:r>
      <w:r w:rsidRPr="00A35208">
        <w:rPr>
          <w:rFonts w:ascii="Calibri" w:hAnsi="Calibri" w:cs="Calibri"/>
          <w:i/>
          <w:iCs/>
        </w:rPr>
        <w:t>Ecological Indicators</w:t>
      </w:r>
      <w:r w:rsidRPr="00A35208">
        <w:rPr>
          <w:rFonts w:ascii="Calibri" w:hAnsi="Calibri" w:cs="Calibri"/>
        </w:rPr>
        <w:t>, 72, pp. 278–287. Available at: https://doi.org/10.1016/j.ecolind.2016.07.029.</w:t>
      </w:r>
    </w:p>
    <w:p w14:paraId="11232312" w14:textId="77777777" w:rsidR="00A35208" w:rsidRPr="00A35208" w:rsidRDefault="00A35208" w:rsidP="00A35208">
      <w:pPr>
        <w:pStyle w:val="Bibliography"/>
        <w:rPr>
          <w:rFonts w:ascii="Calibri" w:hAnsi="Calibri" w:cs="Calibri"/>
        </w:rPr>
      </w:pPr>
      <w:r w:rsidRPr="00A35208">
        <w:rPr>
          <w:rFonts w:ascii="Calibri" w:hAnsi="Calibri" w:cs="Calibri"/>
        </w:rPr>
        <w:lastRenderedPageBreak/>
        <w:t xml:space="preserve">Robinson, J.M. and Barrable, A. (2023) ‘Optimising Early Childhood Educational Settings for Health Using Nature-Based Solutions: The Microbiome Aspect’, </w:t>
      </w:r>
      <w:r w:rsidRPr="00A35208">
        <w:rPr>
          <w:rFonts w:ascii="Calibri" w:hAnsi="Calibri" w:cs="Calibri"/>
          <w:i/>
          <w:iCs/>
        </w:rPr>
        <w:t>Education Sciences</w:t>
      </w:r>
      <w:r w:rsidRPr="00A35208">
        <w:rPr>
          <w:rFonts w:ascii="Calibri" w:hAnsi="Calibri" w:cs="Calibri"/>
        </w:rPr>
        <w:t>, 13(2), p. 211. Available at: https://doi.org/10.3390/educsci13020211.</w:t>
      </w:r>
    </w:p>
    <w:p w14:paraId="0C051C6B" w14:textId="77777777" w:rsidR="00A35208" w:rsidRPr="00A35208" w:rsidRDefault="00A35208" w:rsidP="00A35208">
      <w:pPr>
        <w:pStyle w:val="Bibliography"/>
        <w:rPr>
          <w:rFonts w:ascii="Calibri" w:hAnsi="Calibri" w:cs="Calibri"/>
        </w:rPr>
      </w:pPr>
      <w:r w:rsidRPr="00A35208">
        <w:rPr>
          <w:rFonts w:ascii="Calibri" w:hAnsi="Calibri" w:cs="Calibri"/>
        </w:rPr>
        <w:t xml:space="preserve">Robotham, D. and Julian, C. (2006) ‘Stress and the higher education student: a critical review of the literature’, </w:t>
      </w:r>
      <w:r w:rsidRPr="00A35208">
        <w:rPr>
          <w:rFonts w:ascii="Calibri" w:hAnsi="Calibri" w:cs="Calibri"/>
          <w:i/>
          <w:iCs/>
        </w:rPr>
        <w:t>Journal of Further and Higher Education</w:t>
      </w:r>
      <w:r w:rsidRPr="00A35208">
        <w:rPr>
          <w:rFonts w:ascii="Calibri" w:hAnsi="Calibri" w:cs="Calibri"/>
        </w:rPr>
        <w:t>, 30(2), pp. 107–117. Available at: https://doi.org/10.1080/03098770600617513.</w:t>
      </w:r>
    </w:p>
    <w:p w14:paraId="3B1FF529" w14:textId="77777777" w:rsidR="00A35208" w:rsidRPr="00A35208" w:rsidRDefault="00A35208" w:rsidP="00A35208">
      <w:pPr>
        <w:pStyle w:val="Bibliography"/>
        <w:rPr>
          <w:rFonts w:ascii="Calibri" w:hAnsi="Calibri" w:cs="Calibri"/>
        </w:rPr>
      </w:pPr>
      <w:r w:rsidRPr="00A35208">
        <w:rPr>
          <w:rFonts w:ascii="Calibri" w:hAnsi="Calibri" w:cs="Calibri"/>
        </w:rPr>
        <w:t xml:space="preserve">Rodríguez, A. </w:t>
      </w:r>
      <w:r w:rsidRPr="00A35208">
        <w:rPr>
          <w:rFonts w:ascii="Calibri" w:hAnsi="Calibri" w:cs="Calibri"/>
          <w:i/>
          <w:iCs/>
        </w:rPr>
        <w:t>et al.</w:t>
      </w:r>
      <w:r w:rsidRPr="00A35208">
        <w:rPr>
          <w:rFonts w:ascii="Calibri" w:hAnsi="Calibri" w:cs="Calibri"/>
        </w:rPr>
        <w:t xml:space="preserve"> (2015) ‘Assessing brain activations associated with emotional regulation during virtual reality mood induction procedures’, </w:t>
      </w:r>
      <w:r w:rsidRPr="00A35208">
        <w:rPr>
          <w:rFonts w:ascii="Calibri" w:hAnsi="Calibri" w:cs="Calibri"/>
          <w:i/>
          <w:iCs/>
        </w:rPr>
        <w:t>Expert Systems with Applications</w:t>
      </w:r>
      <w:r w:rsidRPr="00A35208">
        <w:rPr>
          <w:rFonts w:ascii="Calibri" w:hAnsi="Calibri" w:cs="Calibri"/>
        </w:rPr>
        <w:t>, 42(3), pp. 1699–1709. Available at: https://doi.org/10.1016/j.eswa.2014.10.006.</w:t>
      </w:r>
    </w:p>
    <w:p w14:paraId="540CF9E3" w14:textId="77777777" w:rsidR="00A35208" w:rsidRPr="00A35208" w:rsidRDefault="00A35208" w:rsidP="00A35208">
      <w:pPr>
        <w:pStyle w:val="Bibliography"/>
        <w:rPr>
          <w:rFonts w:ascii="Calibri" w:hAnsi="Calibri" w:cs="Calibri"/>
        </w:rPr>
      </w:pPr>
      <w:r w:rsidRPr="00A35208">
        <w:rPr>
          <w:rFonts w:ascii="Calibri" w:hAnsi="Calibri" w:cs="Calibri"/>
        </w:rPr>
        <w:t xml:space="preserve">Roe, J. </w:t>
      </w:r>
      <w:r w:rsidRPr="00A35208">
        <w:rPr>
          <w:rFonts w:ascii="Calibri" w:hAnsi="Calibri" w:cs="Calibri"/>
          <w:i/>
          <w:iCs/>
        </w:rPr>
        <w:t>et al.</w:t>
      </w:r>
      <w:r w:rsidRPr="00A35208">
        <w:rPr>
          <w:rFonts w:ascii="Calibri" w:hAnsi="Calibri" w:cs="Calibri"/>
        </w:rPr>
        <w:t xml:space="preserve"> (2020) ‘The Urban Built Environment, Walking and Mental Health Outcomes Among Older Adults: A Pilot Study’, </w:t>
      </w:r>
      <w:r w:rsidRPr="00A35208">
        <w:rPr>
          <w:rFonts w:ascii="Calibri" w:hAnsi="Calibri" w:cs="Calibri"/>
          <w:i/>
          <w:iCs/>
        </w:rPr>
        <w:t>Frontiers in Public Health</w:t>
      </w:r>
      <w:r w:rsidRPr="00A35208">
        <w:rPr>
          <w:rFonts w:ascii="Calibri" w:hAnsi="Calibri" w:cs="Calibri"/>
        </w:rPr>
        <w:t>, 8, p. 575946. Available at: https://doi.org/10.3389/fpubh.2020.575946.</w:t>
      </w:r>
    </w:p>
    <w:p w14:paraId="10DB6B0F" w14:textId="77777777" w:rsidR="00A35208" w:rsidRPr="00A35208" w:rsidRDefault="00A35208" w:rsidP="00A35208">
      <w:pPr>
        <w:pStyle w:val="Bibliography"/>
        <w:rPr>
          <w:rFonts w:ascii="Calibri" w:hAnsi="Calibri" w:cs="Calibri"/>
        </w:rPr>
      </w:pPr>
      <w:r w:rsidRPr="00A35208">
        <w:rPr>
          <w:rFonts w:ascii="Calibri" w:hAnsi="Calibri" w:cs="Calibri"/>
        </w:rPr>
        <w:t xml:space="preserve">Roe, J.J. </w:t>
      </w:r>
      <w:r w:rsidRPr="00A35208">
        <w:rPr>
          <w:rFonts w:ascii="Calibri" w:hAnsi="Calibri" w:cs="Calibri"/>
          <w:i/>
          <w:iCs/>
        </w:rPr>
        <w:t>et al.</w:t>
      </w:r>
      <w:r w:rsidRPr="00A35208">
        <w:rPr>
          <w:rFonts w:ascii="Calibri" w:hAnsi="Calibri" w:cs="Calibri"/>
        </w:rPr>
        <w:t xml:space="preserve"> (2013) ‘Engaging the brain: The impact of natural versus urban scenes using novel EEG methods in an experimental setting’, </w:t>
      </w:r>
      <w:r w:rsidRPr="00A35208">
        <w:rPr>
          <w:rFonts w:ascii="Calibri" w:hAnsi="Calibri" w:cs="Calibri"/>
          <w:i/>
          <w:iCs/>
        </w:rPr>
        <w:t>Environ. Sci</w:t>
      </w:r>
      <w:r w:rsidRPr="00A35208">
        <w:rPr>
          <w:rFonts w:ascii="Calibri" w:hAnsi="Calibri" w:cs="Calibri"/>
        </w:rPr>
        <w:t>, 1(2), pp. 93–104.</w:t>
      </w:r>
    </w:p>
    <w:p w14:paraId="4CA6E003" w14:textId="77777777" w:rsidR="00A35208" w:rsidRPr="00A35208" w:rsidRDefault="00A35208" w:rsidP="00A35208">
      <w:pPr>
        <w:pStyle w:val="Bibliography"/>
        <w:rPr>
          <w:rFonts w:ascii="Calibri" w:hAnsi="Calibri" w:cs="Calibri"/>
        </w:rPr>
      </w:pPr>
      <w:r w:rsidRPr="00A35208">
        <w:rPr>
          <w:rFonts w:ascii="Calibri" w:hAnsi="Calibri" w:cs="Calibri"/>
        </w:rPr>
        <w:t xml:space="preserve">Roque, A.D. </w:t>
      </w:r>
      <w:r w:rsidRPr="00A35208">
        <w:rPr>
          <w:rFonts w:ascii="Calibri" w:hAnsi="Calibri" w:cs="Calibri"/>
          <w:i/>
          <w:iCs/>
        </w:rPr>
        <w:t>et al.</w:t>
      </w:r>
      <w:r w:rsidRPr="00A35208">
        <w:rPr>
          <w:rFonts w:ascii="Calibri" w:hAnsi="Calibri" w:cs="Calibri"/>
        </w:rPr>
        <w:t xml:space="preserve"> (2020) ‘Stress-induced cortisol reactivity as a predictor of success in treatment for affective dimensions’, </w:t>
      </w:r>
      <w:r w:rsidRPr="00A35208">
        <w:rPr>
          <w:rFonts w:ascii="Calibri" w:hAnsi="Calibri" w:cs="Calibri"/>
          <w:i/>
          <w:iCs/>
        </w:rPr>
        <w:t>Psychoneuroendocrinology</w:t>
      </w:r>
      <w:r w:rsidRPr="00A35208">
        <w:rPr>
          <w:rFonts w:ascii="Calibri" w:hAnsi="Calibri" w:cs="Calibri"/>
        </w:rPr>
        <w:t>, 116(January), p. 104646. Available at: https://doi.org/10.1016/j.psyneuen.2020.104646.</w:t>
      </w:r>
    </w:p>
    <w:p w14:paraId="38ECAA75" w14:textId="77777777" w:rsidR="00A35208" w:rsidRPr="00A35208" w:rsidRDefault="00A35208" w:rsidP="00A35208">
      <w:pPr>
        <w:pStyle w:val="Bibliography"/>
        <w:rPr>
          <w:rFonts w:ascii="Calibri" w:hAnsi="Calibri" w:cs="Calibri"/>
        </w:rPr>
      </w:pPr>
      <w:r w:rsidRPr="00A35208">
        <w:rPr>
          <w:rFonts w:ascii="Calibri" w:hAnsi="Calibri" w:cs="Calibri"/>
        </w:rPr>
        <w:t xml:space="preserve">Russell, J.A. (1980) ‘A circumplex model of affect.’, </w:t>
      </w:r>
      <w:r w:rsidRPr="00A35208">
        <w:rPr>
          <w:rFonts w:ascii="Calibri" w:hAnsi="Calibri" w:cs="Calibri"/>
          <w:i/>
          <w:iCs/>
        </w:rPr>
        <w:t>Journal of Personality and Social Psychology</w:t>
      </w:r>
      <w:r w:rsidRPr="00A35208">
        <w:rPr>
          <w:rFonts w:ascii="Calibri" w:hAnsi="Calibri" w:cs="Calibri"/>
        </w:rPr>
        <w:t>, 39(6), pp. 1161–1178. Available at: https://doi.org/10.1037/h0077714.</w:t>
      </w:r>
    </w:p>
    <w:p w14:paraId="6A541C66" w14:textId="77777777" w:rsidR="00A35208" w:rsidRPr="00A35208" w:rsidRDefault="00A35208" w:rsidP="00A35208">
      <w:pPr>
        <w:pStyle w:val="Bibliography"/>
        <w:rPr>
          <w:rFonts w:ascii="Calibri" w:hAnsi="Calibri" w:cs="Calibri"/>
        </w:rPr>
      </w:pPr>
      <w:r w:rsidRPr="00A35208">
        <w:rPr>
          <w:rFonts w:ascii="Calibri" w:hAnsi="Calibri" w:cs="Calibri"/>
        </w:rPr>
        <w:t xml:space="preserve">Ryff, C.D., Boylan, J.M. and Kirsch, J.A. (2021) ‘Eudaimonic and Hedonic Well-Being: An Integrative Perspective with Linkages to Sociodemographic Factors and Health’, in M.T. Lee, L.D. Kubzansky, and T.J. VanderWeele (eds) </w:t>
      </w:r>
      <w:r w:rsidRPr="00A35208">
        <w:rPr>
          <w:rFonts w:ascii="Calibri" w:hAnsi="Calibri" w:cs="Calibri"/>
          <w:i/>
          <w:iCs/>
        </w:rPr>
        <w:t>Measuring Well-Being: Interdisciplinary Perspectives from the Social Sciences and the Humanities</w:t>
      </w:r>
      <w:r w:rsidRPr="00A35208">
        <w:rPr>
          <w:rFonts w:ascii="Calibri" w:hAnsi="Calibri" w:cs="Calibri"/>
        </w:rPr>
        <w:t>. Oxford University Press, p. 0. Available at: https://doi.org/10.1093/oso/9780197512531.003.0005.</w:t>
      </w:r>
    </w:p>
    <w:p w14:paraId="37D2635A" w14:textId="77777777" w:rsidR="00A35208" w:rsidRPr="00A35208" w:rsidRDefault="00A35208" w:rsidP="00A35208">
      <w:pPr>
        <w:pStyle w:val="Bibliography"/>
        <w:rPr>
          <w:rFonts w:ascii="Calibri" w:hAnsi="Calibri" w:cs="Calibri"/>
        </w:rPr>
      </w:pPr>
      <w:r w:rsidRPr="00A35208">
        <w:rPr>
          <w:rFonts w:ascii="Calibri" w:hAnsi="Calibri" w:cs="Calibri"/>
        </w:rPr>
        <w:t xml:space="preserve">San Juan, C., Subiza-Pérez, M. and Vozmediano, L. (2017) ‘Restoration and the City: The Role of Public Urban Squares’, </w:t>
      </w:r>
      <w:r w:rsidRPr="00A35208">
        <w:rPr>
          <w:rFonts w:ascii="Calibri" w:hAnsi="Calibri" w:cs="Calibri"/>
          <w:i/>
          <w:iCs/>
        </w:rPr>
        <w:t>Frontiers in Psychology</w:t>
      </w:r>
      <w:r w:rsidRPr="00A35208">
        <w:rPr>
          <w:rFonts w:ascii="Calibri" w:hAnsi="Calibri" w:cs="Calibri"/>
        </w:rPr>
        <w:t>, 8, p. 2093. Available at: https://doi.org/10.3389/fpsyg.2017.02093.</w:t>
      </w:r>
    </w:p>
    <w:p w14:paraId="1D3A358F" w14:textId="77777777" w:rsidR="00A35208" w:rsidRPr="00A35208" w:rsidRDefault="00A35208" w:rsidP="00A35208">
      <w:pPr>
        <w:pStyle w:val="Bibliography"/>
        <w:rPr>
          <w:rFonts w:ascii="Calibri" w:hAnsi="Calibri" w:cs="Calibri"/>
        </w:rPr>
      </w:pPr>
      <w:r w:rsidRPr="00A35208">
        <w:rPr>
          <w:rFonts w:ascii="Calibri" w:hAnsi="Calibri" w:cs="Calibri"/>
        </w:rPr>
        <w:t xml:space="preserve">Sandifer, P.A., Sutton-Grier, A.E. and Ward, B.P. (2015) ‘Exploring connections among nature, biodiversity, ecosystem services, and human health and well-being: Opportunities to enhance health and biodiversity conservation’, </w:t>
      </w:r>
      <w:r w:rsidRPr="00A35208">
        <w:rPr>
          <w:rFonts w:ascii="Calibri" w:hAnsi="Calibri" w:cs="Calibri"/>
          <w:i/>
          <w:iCs/>
        </w:rPr>
        <w:t>Ecosystem Services</w:t>
      </w:r>
      <w:r w:rsidRPr="00A35208">
        <w:rPr>
          <w:rFonts w:ascii="Calibri" w:hAnsi="Calibri" w:cs="Calibri"/>
        </w:rPr>
        <w:t>, 12, pp. 1–15. Available at: https://doi.org/10.1016/j.ecoser.2014.12.007.</w:t>
      </w:r>
    </w:p>
    <w:p w14:paraId="5D257BD3" w14:textId="77777777" w:rsidR="00A35208" w:rsidRPr="00A35208" w:rsidRDefault="00A35208" w:rsidP="00A35208">
      <w:pPr>
        <w:pStyle w:val="Bibliography"/>
        <w:rPr>
          <w:rFonts w:ascii="Calibri" w:hAnsi="Calibri" w:cs="Calibri"/>
        </w:rPr>
      </w:pPr>
      <w:r w:rsidRPr="00A35208">
        <w:rPr>
          <w:rFonts w:ascii="Calibri" w:hAnsi="Calibri" w:cs="Calibri"/>
        </w:rPr>
        <w:t xml:space="preserve">Schebella, M.F. </w:t>
      </w:r>
      <w:r w:rsidRPr="00A35208">
        <w:rPr>
          <w:rFonts w:ascii="Calibri" w:hAnsi="Calibri" w:cs="Calibri"/>
          <w:i/>
          <w:iCs/>
        </w:rPr>
        <w:t>et al.</w:t>
      </w:r>
      <w:r w:rsidRPr="00A35208">
        <w:rPr>
          <w:rFonts w:ascii="Calibri" w:hAnsi="Calibri" w:cs="Calibri"/>
        </w:rPr>
        <w:t xml:space="preserve"> (2019) ‘In Pursuit of Urban Sustainability: Predicting Public Perceptions of Park Biodiversity Using Simple Assessment Tools’, </w:t>
      </w:r>
      <w:r w:rsidRPr="00A35208">
        <w:rPr>
          <w:rFonts w:ascii="Calibri" w:hAnsi="Calibri" w:cs="Calibri"/>
          <w:i/>
          <w:iCs/>
        </w:rPr>
        <w:t>International Journal of Environmental Research</w:t>
      </w:r>
      <w:r w:rsidRPr="00A35208">
        <w:rPr>
          <w:rFonts w:ascii="Calibri" w:hAnsi="Calibri" w:cs="Calibri"/>
        </w:rPr>
        <w:t>, 13(4), pp. 707–720. Available at: https://doi.org/10.1007/s41742-019-00200-0.</w:t>
      </w:r>
    </w:p>
    <w:p w14:paraId="020C356F" w14:textId="77777777" w:rsidR="00A35208" w:rsidRPr="00A35208" w:rsidRDefault="00A35208" w:rsidP="00A35208">
      <w:pPr>
        <w:pStyle w:val="Bibliography"/>
        <w:rPr>
          <w:rFonts w:ascii="Calibri" w:hAnsi="Calibri" w:cs="Calibri"/>
        </w:rPr>
      </w:pPr>
      <w:r w:rsidRPr="00A35208">
        <w:rPr>
          <w:rFonts w:ascii="Calibri" w:hAnsi="Calibri" w:cs="Calibri"/>
        </w:rPr>
        <w:lastRenderedPageBreak/>
        <w:t xml:space="preserve">Schebella, M.F. </w:t>
      </w:r>
      <w:r w:rsidRPr="00A35208">
        <w:rPr>
          <w:rFonts w:ascii="Calibri" w:hAnsi="Calibri" w:cs="Calibri"/>
          <w:i/>
          <w:iCs/>
        </w:rPr>
        <w:t>et al.</w:t>
      </w:r>
      <w:r w:rsidRPr="00A35208">
        <w:rPr>
          <w:rFonts w:ascii="Calibri" w:hAnsi="Calibri" w:cs="Calibri"/>
        </w:rPr>
        <w:t xml:space="preserve"> (2020) ‘The Nature of Reality: Human Stress Recovery during Exposure to Biodiverse, Multisensory Virtual Environments’, </w:t>
      </w:r>
      <w:r w:rsidRPr="00A35208">
        <w:rPr>
          <w:rFonts w:ascii="Calibri" w:hAnsi="Calibri" w:cs="Calibri"/>
          <w:i/>
          <w:iCs/>
        </w:rPr>
        <w:t>International Journal of Environmental Research and Public Health</w:t>
      </w:r>
      <w:r w:rsidRPr="00A35208">
        <w:rPr>
          <w:rFonts w:ascii="Calibri" w:hAnsi="Calibri" w:cs="Calibri"/>
        </w:rPr>
        <w:t>, 17(1). Available at: https://doi.org/10.3390/ijerph17010056.</w:t>
      </w:r>
    </w:p>
    <w:p w14:paraId="296A8664" w14:textId="77777777" w:rsidR="00A35208" w:rsidRPr="00A35208" w:rsidRDefault="00A35208" w:rsidP="00A35208">
      <w:pPr>
        <w:pStyle w:val="Bibliography"/>
        <w:rPr>
          <w:rFonts w:ascii="Calibri" w:hAnsi="Calibri" w:cs="Calibri"/>
        </w:rPr>
      </w:pPr>
      <w:r w:rsidRPr="00A35208">
        <w:rPr>
          <w:rFonts w:ascii="Calibri" w:hAnsi="Calibri" w:cs="Calibri"/>
        </w:rPr>
        <w:t xml:space="preserve">Schramme, T. (2023) ‘Health as Complete Well-Being: The WHO Definition and Beyond’, </w:t>
      </w:r>
      <w:r w:rsidRPr="00A35208">
        <w:rPr>
          <w:rFonts w:ascii="Calibri" w:hAnsi="Calibri" w:cs="Calibri"/>
          <w:i/>
          <w:iCs/>
        </w:rPr>
        <w:t>Public Health Ethics</w:t>
      </w:r>
      <w:r w:rsidRPr="00A35208">
        <w:rPr>
          <w:rFonts w:ascii="Calibri" w:hAnsi="Calibri" w:cs="Calibri"/>
        </w:rPr>
        <w:t>, p. phad017. Available at: https://doi.org/10.1093/phe/phad017.</w:t>
      </w:r>
    </w:p>
    <w:p w14:paraId="76B28477" w14:textId="77777777" w:rsidR="00A35208" w:rsidRPr="00A35208" w:rsidRDefault="00A35208" w:rsidP="00A35208">
      <w:pPr>
        <w:pStyle w:val="Bibliography"/>
        <w:rPr>
          <w:rFonts w:ascii="Calibri" w:hAnsi="Calibri" w:cs="Calibri"/>
        </w:rPr>
      </w:pPr>
      <w:r w:rsidRPr="00A35208">
        <w:rPr>
          <w:rFonts w:ascii="Calibri" w:hAnsi="Calibri" w:cs="Calibri"/>
        </w:rPr>
        <w:t xml:space="preserve">Schreuder, E. </w:t>
      </w:r>
      <w:r w:rsidRPr="00A35208">
        <w:rPr>
          <w:rFonts w:ascii="Calibri" w:hAnsi="Calibri" w:cs="Calibri"/>
          <w:i/>
          <w:iCs/>
        </w:rPr>
        <w:t>et al.</w:t>
      </w:r>
      <w:r w:rsidRPr="00A35208">
        <w:rPr>
          <w:rFonts w:ascii="Calibri" w:hAnsi="Calibri" w:cs="Calibri"/>
        </w:rPr>
        <w:t xml:space="preserve"> (2016) ‘Emotional Responses to Multisensory Environmental Stimuli: A Conceptual Framework and Literature Review’, </w:t>
      </w:r>
      <w:r w:rsidRPr="00A35208">
        <w:rPr>
          <w:rFonts w:ascii="Calibri" w:hAnsi="Calibri" w:cs="Calibri"/>
          <w:i/>
          <w:iCs/>
        </w:rPr>
        <w:t>SAGE Open</w:t>
      </w:r>
      <w:r w:rsidRPr="00A35208">
        <w:rPr>
          <w:rFonts w:ascii="Calibri" w:hAnsi="Calibri" w:cs="Calibri"/>
        </w:rPr>
        <w:t>, 6(1), p. 215824401663059. Available at: https://doi.org/10.1177/2158244016630591.</w:t>
      </w:r>
    </w:p>
    <w:p w14:paraId="3990CDC8" w14:textId="77777777" w:rsidR="00A35208" w:rsidRPr="00A35208" w:rsidRDefault="00A35208" w:rsidP="00A35208">
      <w:pPr>
        <w:pStyle w:val="Bibliography"/>
        <w:rPr>
          <w:rFonts w:ascii="Calibri" w:hAnsi="Calibri" w:cs="Calibri"/>
        </w:rPr>
      </w:pPr>
      <w:r w:rsidRPr="00A35208">
        <w:rPr>
          <w:rFonts w:ascii="Calibri" w:hAnsi="Calibri" w:cs="Calibri"/>
        </w:rPr>
        <w:t xml:space="preserve">Schultz, P.W. (2002) ‘Inclusion with Nature: The Psychology Of Human-Nature Relations’, in P. Schmuck and W.P. Schultz (eds) </w:t>
      </w:r>
      <w:r w:rsidRPr="00A35208">
        <w:rPr>
          <w:rFonts w:ascii="Calibri" w:hAnsi="Calibri" w:cs="Calibri"/>
          <w:i/>
          <w:iCs/>
        </w:rPr>
        <w:t>Psychology of Sustainable Development</w:t>
      </w:r>
      <w:r w:rsidRPr="00A35208">
        <w:rPr>
          <w:rFonts w:ascii="Calibri" w:hAnsi="Calibri" w:cs="Calibri"/>
        </w:rPr>
        <w:t>. Boston, MA: Springer US, pp. 61–78. Available at: https://doi.org/10.1007/978-1-4615-0995-0_4.</w:t>
      </w:r>
    </w:p>
    <w:p w14:paraId="03333193" w14:textId="77777777" w:rsidR="00A35208" w:rsidRPr="00A35208" w:rsidRDefault="00A35208" w:rsidP="00A35208">
      <w:pPr>
        <w:pStyle w:val="Bibliography"/>
        <w:rPr>
          <w:rFonts w:ascii="Calibri" w:hAnsi="Calibri" w:cs="Calibri"/>
        </w:rPr>
      </w:pPr>
      <w:r w:rsidRPr="00A35208">
        <w:rPr>
          <w:rFonts w:ascii="Calibri" w:hAnsi="Calibri" w:cs="Calibri"/>
        </w:rPr>
        <w:t xml:space="preserve">Schwabe, L. and Schächinger, H. (2018) ‘Ten years of research with the Socially Evaluated Cold Pressor Test: Data from the past and guidelines for the future’, </w:t>
      </w:r>
      <w:r w:rsidRPr="00A35208">
        <w:rPr>
          <w:rFonts w:ascii="Calibri" w:hAnsi="Calibri" w:cs="Calibri"/>
          <w:i/>
          <w:iCs/>
        </w:rPr>
        <w:t>Psychoneuroendocrinology</w:t>
      </w:r>
      <w:r w:rsidRPr="00A35208">
        <w:rPr>
          <w:rFonts w:ascii="Calibri" w:hAnsi="Calibri" w:cs="Calibri"/>
        </w:rPr>
        <w:t>, 92, pp. 155–161. Available at: https://doi.org/10.1016/j.psyneuen.2018.03.010.</w:t>
      </w:r>
    </w:p>
    <w:p w14:paraId="5E01858E" w14:textId="77777777" w:rsidR="00A35208" w:rsidRPr="00A35208" w:rsidRDefault="00A35208" w:rsidP="00A35208">
      <w:pPr>
        <w:pStyle w:val="Bibliography"/>
        <w:rPr>
          <w:rFonts w:ascii="Calibri" w:hAnsi="Calibri" w:cs="Calibri"/>
        </w:rPr>
      </w:pPr>
      <w:r w:rsidRPr="00A35208">
        <w:rPr>
          <w:rFonts w:ascii="Calibri" w:hAnsi="Calibri" w:cs="Calibri"/>
        </w:rPr>
        <w:t xml:space="preserve">Sedgwick, P. (2013) ‘Convenience sampling’, </w:t>
      </w:r>
      <w:r w:rsidRPr="00A35208">
        <w:rPr>
          <w:rFonts w:ascii="Calibri" w:hAnsi="Calibri" w:cs="Calibri"/>
          <w:i/>
          <w:iCs/>
        </w:rPr>
        <w:t>BMJ</w:t>
      </w:r>
      <w:r w:rsidRPr="00A35208">
        <w:rPr>
          <w:rFonts w:ascii="Calibri" w:hAnsi="Calibri" w:cs="Calibri"/>
        </w:rPr>
        <w:t>, 347(oct25 2), pp. f6304–f6304. Available at: https://doi.org/10.1136/bmj.f6304.</w:t>
      </w:r>
    </w:p>
    <w:p w14:paraId="7B6D786B" w14:textId="77777777" w:rsidR="00A35208" w:rsidRPr="00A35208" w:rsidRDefault="00A35208" w:rsidP="00A35208">
      <w:pPr>
        <w:pStyle w:val="Bibliography"/>
        <w:rPr>
          <w:rFonts w:ascii="Calibri" w:hAnsi="Calibri" w:cs="Calibri"/>
        </w:rPr>
      </w:pPr>
      <w:r w:rsidRPr="00A35208">
        <w:rPr>
          <w:rFonts w:ascii="Calibri" w:hAnsi="Calibri" w:cs="Calibri"/>
        </w:rPr>
        <w:t xml:space="preserve">Shaffer, F., McCraty, R. and Zerr, C.L. (2014) ‘A healthy heart is not a metronome: an integrative review of the heart’s anatomy and heart rate variability’, </w:t>
      </w:r>
      <w:r w:rsidRPr="00A35208">
        <w:rPr>
          <w:rFonts w:ascii="Calibri" w:hAnsi="Calibri" w:cs="Calibri"/>
          <w:i/>
          <w:iCs/>
        </w:rPr>
        <w:t>Frontiers in psychology</w:t>
      </w:r>
      <w:r w:rsidRPr="00A35208">
        <w:rPr>
          <w:rFonts w:ascii="Calibri" w:hAnsi="Calibri" w:cs="Calibri"/>
        </w:rPr>
        <w:t>, 5, p. 1040. Available at: https://doi.org/10.3389/fpsyg.2014.01040.</w:t>
      </w:r>
    </w:p>
    <w:p w14:paraId="31B19DED" w14:textId="77777777" w:rsidR="00A35208" w:rsidRPr="00A35208" w:rsidRDefault="00A35208" w:rsidP="00A35208">
      <w:pPr>
        <w:pStyle w:val="Bibliography"/>
        <w:rPr>
          <w:rFonts w:ascii="Calibri" w:hAnsi="Calibri" w:cs="Calibri"/>
        </w:rPr>
      </w:pPr>
      <w:r w:rsidRPr="00A35208">
        <w:rPr>
          <w:rFonts w:ascii="Calibri" w:hAnsi="Calibri" w:cs="Calibri"/>
        </w:rPr>
        <w:t xml:space="preserve">Shan, X. </w:t>
      </w:r>
      <w:r w:rsidRPr="00A35208">
        <w:rPr>
          <w:rFonts w:ascii="Calibri" w:hAnsi="Calibri" w:cs="Calibri"/>
          <w:i/>
          <w:iCs/>
        </w:rPr>
        <w:t>et al.</w:t>
      </w:r>
      <w:r w:rsidRPr="00A35208">
        <w:rPr>
          <w:rFonts w:ascii="Calibri" w:hAnsi="Calibri" w:cs="Calibri"/>
        </w:rPr>
        <w:t xml:space="preserve"> (2018) ‘Human-building interaction under various indoor temperatures through neural-signal electroencephalogram (EEG) methods’, </w:t>
      </w:r>
      <w:r w:rsidRPr="00A35208">
        <w:rPr>
          <w:rFonts w:ascii="Calibri" w:hAnsi="Calibri" w:cs="Calibri"/>
          <w:i/>
          <w:iCs/>
        </w:rPr>
        <w:t>Building and Environment</w:t>
      </w:r>
      <w:r w:rsidRPr="00A35208">
        <w:rPr>
          <w:rFonts w:ascii="Calibri" w:hAnsi="Calibri" w:cs="Calibri"/>
        </w:rPr>
        <w:t>, 129, pp. 46–53. Available at: https://doi.org/10.1016/j.buildenv.2017.12.004.</w:t>
      </w:r>
    </w:p>
    <w:p w14:paraId="06046D16" w14:textId="77777777" w:rsidR="00A35208" w:rsidRPr="00A35208" w:rsidRDefault="00A35208" w:rsidP="00A35208">
      <w:pPr>
        <w:pStyle w:val="Bibliography"/>
        <w:rPr>
          <w:rFonts w:ascii="Calibri" w:hAnsi="Calibri" w:cs="Calibri"/>
        </w:rPr>
      </w:pPr>
      <w:r w:rsidRPr="00A35208">
        <w:rPr>
          <w:rFonts w:ascii="Calibri" w:hAnsi="Calibri" w:cs="Calibri"/>
        </w:rPr>
        <w:t xml:space="preserve">Shanahan, D.F. </w:t>
      </w:r>
      <w:r w:rsidRPr="00A35208">
        <w:rPr>
          <w:rFonts w:ascii="Calibri" w:hAnsi="Calibri" w:cs="Calibri"/>
          <w:i/>
          <w:iCs/>
        </w:rPr>
        <w:t>et al.</w:t>
      </w:r>
      <w:r w:rsidRPr="00A35208">
        <w:rPr>
          <w:rFonts w:ascii="Calibri" w:hAnsi="Calibri" w:cs="Calibri"/>
        </w:rPr>
        <w:t xml:space="preserve"> (2016) ‘Health Benefits from Nature Experiences Depend on Dose’, </w:t>
      </w:r>
      <w:r w:rsidRPr="00A35208">
        <w:rPr>
          <w:rFonts w:ascii="Calibri" w:hAnsi="Calibri" w:cs="Calibri"/>
          <w:i/>
          <w:iCs/>
        </w:rPr>
        <w:t>Scientific Reports</w:t>
      </w:r>
      <w:r w:rsidRPr="00A35208">
        <w:rPr>
          <w:rFonts w:ascii="Calibri" w:hAnsi="Calibri" w:cs="Calibri"/>
        </w:rPr>
        <w:t>, 6. Available at: https://doi.org/10.1038/srep28551.</w:t>
      </w:r>
    </w:p>
    <w:p w14:paraId="72D98C40" w14:textId="77777777" w:rsidR="00A35208" w:rsidRPr="00A35208" w:rsidRDefault="00A35208" w:rsidP="00A35208">
      <w:pPr>
        <w:pStyle w:val="Bibliography"/>
        <w:rPr>
          <w:rFonts w:ascii="Calibri" w:hAnsi="Calibri" w:cs="Calibri"/>
        </w:rPr>
      </w:pPr>
      <w:r w:rsidRPr="00A35208">
        <w:rPr>
          <w:rFonts w:ascii="Calibri" w:hAnsi="Calibri" w:cs="Calibri"/>
        </w:rPr>
        <w:t xml:space="preserve">Sheller, M. (2004) ‘Automotive Emotions: Feeling the Car’, </w:t>
      </w:r>
      <w:r w:rsidRPr="00A35208">
        <w:rPr>
          <w:rFonts w:ascii="Calibri" w:hAnsi="Calibri" w:cs="Calibri"/>
          <w:i/>
          <w:iCs/>
        </w:rPr>
        <w:t>Theory, Culture &amp; Society</w:t>
      </w:r>
      <w:r w:rsidRPr="00A35208">
        <w:rPr>
          <w:rFonts w:ascii="Calibri" w:hAnsi="Calibri" w:cs="Calibri"/>
        </w:rPr>
        <w:t>, 21(4–5), pp. 221–242. Available at: https://doi.org/10.1177/0263276404046068.</w:t>
      </w:r>
    </w:p>
    <w:p w14:paraId="1EE67A59" w14:textId="77777777" w:rsidR="00A35208" w:rsidRPr="00A35208" w:rsidRDefault="00A35208" w:rsidP="00A35208">
      <w:pPr>
        <w:pStyle w:val="Bibliography"/>
        <w:rPr>
          <w:rFonts w:ascii="Calibri" w:hAnsi="Calibri" w:cs="Calibri"/>
        </w:rPr>
      </w:pPr>
      <w:r w:rsidRPr="00A35208">
        <w:rPr>
          <w:rFonts w:ascii="Calibri" w:hAnsi="Calibri" w:cs="Calibri"/>
        </w:rPr>
        <w:t xml:space="preserve">Shiloh, S., Sorek†, G. and Terkel, J. (2003) ‘REDUCTION OF STATE-ANXIETY BY PETTING ANIMALS IN A CONTROLLED LABORATORY EXPERIMENT’, </w:t>
      </w:r>
      <w:r w:rsidRPr="00A35208">
        <w:rPr>
          <w:rFonts w:ascii="Calibri" w:hAnsi="Calibri" w:cs="Calibri"/>
          <w:i/>
          <w:iCs/>
        </w:rPr>
        <w:t>Anxiety, Stress &amp; Coping</w:t>
      </w:r>
      <w:r w:rsidRPr="00A35208">
        <w:rPr>
          <w:rFonts w:ascii="Calibri" w:hAnsi="Calibri" w:cs="Calibri"/>
        </w:rPr>
        <w:t>, 16(4), pp. 387–395. Available at: https://doi.org/10.1080/1061580031000091582.</w:t>
      </w:r>
    </w:p>
    <w:p w14:paraId="0AF06EFE" w14:textId="77777777" w:rsidR="00A35208" w:rsidRPr="00A35208" w:rsidRDefault="00A35208" w:rsidP="00A35208">
      <w:pPr>
        <w:pStyle w:val="Bibliography"/>
        <w:rPr>
          <w:rFonts w:ascii="Calibri" w:hAnsi="Calibri" w:cs="Calibri"/>
        </w:rPr>
      </w:pPr>
      <w:r w:rsidRPr="00A35208">
        <w:rPr>
          <w:rFonts w:ascii="Calibri" w:hAnsi="Calibri" w:cs="Calibri"/>
        </w:rPr>
        <w:t xml:space="preserve">Shin, W.S. </w:t>
      </w:r>
      <w:r w:rsidRPr="00A35208">
        <w:rPr>
          <w:rFonts w:ascii="Calibri" w:hAnsi="Calibri" w:cs="Calibri"/>
          <w:i/>
          <w:iCs/>
        </w:rPr>
        <w:t>et al.</w:t>
      </w:r>
      <w:r w:rsidRPr="00A35208">
        <w:rPr>
          <w:rFonts w:ascii="Calibri" w:hAnsi="Calibri" w:cs="Calibri"/>
        </w:rPr>
        <w:t xml:space="preserve"> (2011) ‘The influence of interaction with forest on cognitive function’, </w:t>
      </w:r>
      <w:r w:rsidRPr="00A35208">
        <w:rPr>
          <w:rFonts w:ascii="Calibri" w:hAnsi="Calibri" w:cs="Calibri"/>
          <w:i/>
          <w:iCs/>
        </w:rPr>
        <w:t>Scandinavian Journal of Forest Research</w:t>
      </w:r>
      <w:r w:rsidRPr="00A35208">
        <w:rPr>
          <w:rFonts w:ascii="Calibri" w:hAnsi="Calibri" w:cs="Calibri"/>
        </w:rPr>
        <w:t>, 26(6), pp. 595–598. Available at: https://doi.org/10.1080/02827581.2011.585996.</w:t>
      </w:r>
    </w:p>
    <w:p w14:paraId="44DEC4C3" w14:textId="77777777" w:rsidR="00A35208" w:rsidRPr="00A35208" w:rsidRDefault="00A35208" w:rsidP="00A35208">
      <w:pPr>
        <w:pStyle w:val="Bibliography"/>
        <w:rPr>
          <w:rFonts w:ascii="Calibri" w:hAnsi="Calibri" w:cs="Calibri"/>
        </w:rPr>
      </w:pPr>
      <w:r w:rsidRPr="00A35208">
        <w:rPr>
          <w:rFonts w:ascii="Calibri" w:hAnsi="Calibri" w:cs="Calibri"/>
        </w:rPr>
        <w:lastRenderedPageBreak/>
        <w:t xml:space="preserve">Shwartz, Assaf </w:t>
      </w:r>
      <w:r w:rsidRPr="00A35208">
        <w:rPr>
          <w:rFonts w:ascii="Calibri" w:hAnsi="Calibri" w:cs="Calibri"/>
          <w:i/>
          <w:iCs/>
        </w:rPr>
        <w:t>et al.</w:t>
      </w:r>
      <w:r w:rsidRPr="00A35208">
        <w:rPr>
          <w:rFonts w:ascii="Calibri" w:hAnsi="Calibri" w:cs="Calibri"/>
        </w:rPr>
        <w:t xml:space="preserve"> (2014) ‘Enhancing urban biodiversity and its influence on city-dwellers: An experiment’, </w:t>
      </w:r>
      <w:r w:rsidRPr="00A35208">
        <w:rPr>
          <w:rFonts w:ascii="Calibri" w:hAnsi="Calibri" w:cs="Calibri"/>
          <w:i/>
          <w:iCs/>
        </w:rPr>
        <w:t>Biological Conservation</w:t>
      </w:r>
      <w:r w:rsidRPr="00A35208">
        <w:rPr>
          <w:rFonts w:ascii="Calibri" w:hAnsi="Calibri" w:cs="Calibri"/>
        </w:rPr>
        <w:t>, 171, pp. 82–90. Available at: https://doi.org/10.1016/j.biocon.2014.01.009.</w:t>
      </w:r>
    </w:p>
    <w:p w14:paraId="312F596A" w14:textId="77777777" w:rsidR="00A35208" w:rsidRPr="00A35208" w:rsidRDefault="00A35208" w:rsidP="00A35208">
      <w:pPr>
        <w:pStyle w:val="Bibliography"/>
        <w:rPr>
          <w:rFonts w:ascii="Calibri" w:hAnsi="Calibri" w:cs="Calibri"/>
        </w:rPr>
      </w:pPr>
      <w:r w:rsidRPr="00A35208">
        <w:rPr>
          <w:rFonts w:ascii="Calibri" w:hAnsi="Calibri" w:cs="Calibri"/>
        </w:rPr>
        <w:t xml:space="preserve">Shwartz, A. </w:t>
      </w:r>
      <w:r w:rsidRPr="00A35208">
        <w:rPr>
          <w:rFonts w:ascii="Calibri" w:hAnsi="Calibri" w:cs="Calibri"/>
          <w:i/>
          <w:iCs/>
        </w:rPr>
        <w:t>et al.</w:t>
      </w:r>
      <w:r w:rsidRPr="00A35208">
        <w:rPr>
          <w:rFonts w:ascii="Calibri" w:hAnsi="Calibri" w:cs="Calibri"/>
        </w:rPr>
        <w:t xml:space="preserve"> (2014) ‘Outstanding challenges for urban conservation research and action’, </w:t>
      </w:r>
      <w:r w:rsidRPr="00A35208">
        <w:rPr>
          <w:rFonts w:ascii="Calibri" w:hAnsi="Calibri" w:cs="Calibri"/>
          <w:i/>
          <w:iCs/>
        </w:rPr>
        <w:t>Global Environmental Change</w:t>
      </w:r>
      <w:r w:rsidRPr="00A35208">
        <w:rPr>
          <w:rFonts w:ascii="Calibri" w:hAnsi="Calibri" w:cs="Calibri"/>
        </w:rPr>
        <w:t>, 28(1), pp. 39–49. Available at: https://doi.org/10.1016/j.gloenvcha.2014.06.002.</w:t>
      </w:r>
    </w:p>
    <w:p w14:paraId="0085F28E" w14:textId="77777777" w:rsidR="00A35208" w:rsidRPr="00A35208" w:rsidRDefault="00A35208" w:rsidP="00A35208">
      <w:pPr>
        <w:pStyle w:val="Bibliography"/>
        <w:rPr>
          <w:rFonts w:ascii="Calibri" w:hAnsi="Calibri" w:cs="Calibri"/>
        </w:rPr>
      </w:pPr>
      <w:r w:rsidRPr="00A35208">
        <w:rPr>
          <w:rFonts w:ascii="Calibri" w:hAnsi="Calibri" w:cs="Calibri"/>
        </w:rPr>
        <w:t xml:space="preserve">Simberloff, D. (1998) ‘Flagships, umbrellas, and keystones: Is single-species management passé in the landscape era?’, </w:t>
      </w:r>
      <w:r w:rsidRPr="00A35208">
        <w:rPr>
          <w:rFonts w:ascii="Calibri" w:hAnsi="Calibri" w:cs="Calibri"/>
          <w:i/>
          <w:iCs/>
        </w:rPr>
        <w:t>Biological Conservation</w:t>
      </w:r>
      <w:r w:rsidRPr="00A35208">
        <w:rPr>
          <w:rFonts w:ascii="Calibri" w:hAnsi="Calibri" w:cs="Calibri"/>
        </w:rPr>
        <w:t>, 83(3), pp. 247–257. Available at: https://doi.org/10.1016/S0006-3207(97)00081-5.</w:t>
      </w:r>
    </w:p>
    <w:p w14:paraId="2DB6EA29" w14:textId="77777777" w:rsidR="00A35208" w:rsidRPr="00A35208" w:rsidRDefault="00A35208" w:rsidP="00A35208">
      <w:pPr>
        <w:pStyle w:val="Bibliography"/>
        <w:rPr>
          <w:rFonts w:ascii="Calibri" w:hAnsi="Calibri" w:cs="Calibri"/>
        </w:rPr>
      </w:pPr>
      <w:r w:rsidRPr="00A35208">
        <w:rPr>
          <w:rFonts w:ascii="Calibri" w:hAnsi="Calibri" w:cs="Calibri"/>
        </w:rPr>
        <w:t xml:space="preserve">Simkin, J., Ojala, A. and Tyrväinen, L. (2020) ‘Restorative effects of mature and young commercial forests, pristine old-growth forest and urban recreation forest - A field experiment’, </w:t>
      </w:r>
      <w:r w:rsidRPr="00A35208">
        <w:rPr>
          <w:rFonts w:ascii="Calibri" w:hAnsi="Calibri" w:cs="Calibri"/>
          <w:i/>
          <w:iCs/>
        </w:rPr>
        <w:t>Urban Forestry &amp; Urban Greening</w:t>
      </w:r>
      <w:r w:rsidRPr="00A35208">
        <w:rPr>
          <w:rFonts w:ascii="Calibri" w:hAnsi="Calibri" w:cs="Calibri"/>
        </w:rPr>
        <w:t>, 48, p. 126567. Available at: https://doi.org/10.1016/j.ufug.2019.126567.</w:t>
      </w:r>
    </w:p>
    <w:p w14:paraId="5D41DFB1" w14:textId="77777777" w:rsidR="00A35208" w:rsidRPr="00A35208" w:rsidRDefault="00A35208" w:rsidP="00A35208">
      <w:pPr>
        <w:pStyle w:val="Bibliography"/>
        <w:rPr>
          <w:rFonts w:ascii="Calibri" w:hAnsi="Calibri" w:cs="Calibri"/>
        </w:rPr>
      </w:pPr>
      <w:r w:rsidRPr="00A35208">
        <w:rPr>
          <w:rFonts w:ascii="Calibri" w:hAnsi="Calibri" w:cs="Calibri"/>
        </w:rPr>
        <w:t xml:space="preserve">Simpson, J. </w:t>
      </w:r>
      <w:r w:rsidRPr="00A35208">
        <w:rPr>
          <w:rFonts w:ascii="Calibri" w:hAnsi="Calibri" w:cs="Calibri"/>
          <w:i/>
          <w:iCs/>
        </w:rPr>
        <w:t>et al.</w:t>
      </w:r>
      <w:r w:rsidRPr="00A35208">
        <w:rPr>
          <w:rFonts w:ascii="Calibri" w:hAnsi="Calibri" w:cs="Calibri"/>
        </w:rPr>
        <w:t xml:space="preserve"> (2019) ‘Visual engagement with urban street edges: insights using mobile eye-tracking’, </w:t>
      </w:r>
      <w:r w:rsidRPr="00A35208">
        <w:rPr>
          <w:rFonts w:ascii="Calibri" w:hAnsi="Calibri" w:cs="Calibri"/>
          <w:i/>
          <w:iCs/>
        </w:rPr>
        <w:t>Journal of Urbanism: International Research on Placemaking and Urban Sustainability</w:t>
      </w:r>
      <w:r w:rsidRPr="00A35208">
        <w:rPr>
          <w:rFonts w:ascii="Calibri" w:hAnsi="Calibri" w:cs="Calibri"/>
        </w:rPr>
        <w:t>, 12(3), pp. 259–278. Available at: https://doi.org/10.1080/17549175.2018.1552884.</w:t>
      </w:r>
    </w:p>
    <w:p w14:paraId="432F6281" w14:textId="77777777" w:rsidR="00A35208" w:rsidRPr="00A35208" w:rsidRDefault="00A35208" w:rsidP="00A35208">
      <w:pPr>
        <w:pStyle w:val="Bibliography"/>
        <w:rPr>
          <w:rFonts w:ascii="Calibri" w:hAnsi="Calibri" w:cs="Calibri"/>
        </w:rPr>
      </w:pPr>
      <w:r w:rsidRPr="00A35208">
        <w:rPr>
          <w:rFonts w:ascii="Calibri" w:hAnsi="Calibri" w:cs="Calibri"/>
        </w:rPr>
        <w:t xml:space="preserve">Sims, V. </w:t>
      </w:r>
      <w:r w:rsidRPr="00A35208">
        <w:rPr>
          <w:rFonts w:ascii="Calibri" w:hAnsi="Calibri" w:cs="Calibri"/>
          <w:i/>
          <w:iCs/>
        </w:rPr>
        <w:t>et al.</w:t>
      </w:r>
      <w:r w:rsidRPr="00A35208">
        <w:rPr>
          <w:rFonts w:ascii="Calibri" w:hAnsi="Calibri" w:cs="Calibri"/>
        </w:rPr>
        <w:t xml:space="preserve"> (2008) ‘Avian assemblage structure and domestic cat densities in urban environments’, </w:t>
      </w:r>
      <w:r w:rsidRPr="00A35208">
        <w:rPr>
          <w:rFonts w:ascii="Calibri" w:hAnsi="Calibri" w:cs="Calibri"/>
          <w:i/>
          <w:iCs/>
        </w:rPr>
        <w:t>Diversity and Distributions</w:t>
      </w:r>
      <w:r w:rsidRPr="00A35208">
        <w:rPr>
          <w:rFonts w:ascii="Calibri" w:hAnsi="Calibri" w:cs="Calibri"/>
        </w:rPr>
        <w:t>, 14(2), pp. 387–399. Available at: https://doi.org/10.1111/j.1472-4642.2007.00444.x.</w:t>
      </w:r>
    </w:p>
    <w:p w14:paraId="0BE2BEE4" w14:textId="77777777" w:rsidR="00A35208" w:rsidRPr="00A35208" w:rsidRDefault="00A35208" w:rsidP="00A35208">
      <w:pPr>
        <w:pStyle w:val="Bibliography"/>
        <w:rPr>
          <w:rFonts w:ascii="Calibri" w:hAnsi="Calibri" w:cs="Calibri"/>
        </w:rPr>
      </w:pPr>
      <w:r w:rsidRPr="00A35208">
        <w:rPr>
          <w:rFonts w:ascii="Calibri" w:hAnsi="Calibri" w:cs="Calibri"/>
        </w:rPr>
        <w:t xml:space="preserve">Soga, M. </w:t>
      </w:r>
      <w:r w:rsidRPr="00A35208">
        <w:rPr>
          <w:rFonts w:ascii="Calibri" w:hAnsi="Calibri" w:cs="Calibri"/>
          <w:i/>
          <w:iCs/>
        </w:rPr>
        <w:t>et al.</w:t>
      </w:r>
      <w:r w:rsidRPr="00A35208">
        <w:rPr>
          <w:rFonts w:ascii="Calibri" w:hAnsi="Calibri" w:cs="Calibri"/>
        </w:rPr>
        <w:t xml:space="preserve"> (2023) ‘The vicious cycle of biophobia’, </w:t>
      </w:r>
      <w:r w:rsidRPr="00A35208">
        <w:rPr>
          <w:rFonts w:ascii="Calibri" w:hAnsi="Calibri" w:cs="Calibri"/>
          <w:i/>
          <w:iCs/>
        </w:rPr>
        <w:t>Trends in Ecology &amp; Evolution</w:t>
      </w:r>
      <w:r w:rsidRPr="00A35208">
        <w:rPr>
          <w:rFonts w:ascii="Calibri" w:hAnsi="Calibri" w:cs="Calibri"/>
        </w:rPr>
        <w:t>, 38(6), pp. 512–520. Available at: https://doi.org/10.1016/j.tree.2022.12.012.</w:t>
      </w:r>
    </w:p>
    <w:p w14:paraId="14C1E402" w14:textId="77777777" w:rsidR="00A35208" w:rsidRPr="00A35208" w:rsidRDefault="00A35208" w:rsidP="00A35208">
      <w:pPr>
        <w:pStyle w:val="Bibliography"/>
        <w:rPr>
          <w:rFonts w:ascii="Calibri" w:hAnsi="Calibri" w:cs="Calibri"/>
        </w:rPr>
      </w:pPr>
      <w:r w:rsidRPr="00A35208">
        <w:rPr>
          <w:rFonts w:ascii="Calibri" w:hAnsi="Calibri" w:cs="Calibri"/>
        </w:rPr>
        <w:t xml:space="preserve">Soga, M. and Gaston, K.J. (2016) ‘Extinction of experience: The loss of human-nature interactions’, </w:t>
      </w:r>
      <w:r w:rsidRPr="00A35208">
        <w:rPr>
          <w:rFonts w:ascii="Calibri" w:hAnsi="Calibri" w:cs="Calibri"/>
          <w:i/>
          <w:iCs/>
        </w:rPr>
        <w:t>Frontiers in Ecology and the Environment</w:t>
      </w:r>
      <w:r w:rsidRPr="00A35208">
        <w:rPr>
          <w:rFonts w:ascii="Calibri" w:hAnsi="Calibri" w:cs="Calibri"/>
        </w:rPr>
        <w:t>, 14(2), pp. 94–101. Available at: https://doi.org/10.1002/fee.1225.</w:t>
      </w:r>
    </w:p>
    <w:p w14:paraId="6D54D686" w14:textId="77777777" w:rsidR="00A35208" w:rsidRPr="00A35208" w:rsidRDefault="00A35208" w:rsidP="00A35208">
      <w:pPr>
        <w:pStyle w:val="Bibliography"/>
        <w:rPr>
          <w:rFonts w:ascii="Calibri" w:hAnsi="Calibri" w:cs="Calibri"/>
        </w:rPr>
      </w:pPr>
      <w:r w:rsidRPr="00A35208">
        <w:rPr>
          <w:rFonts w:ascii="Calibri" w:hAnsi="Calibri" w:cs="Calibri"/>
        </w:rPr>
        <w:t xml:space="preserve">Soga, M. and Gaston, K.J. (2018) ‘Shifting baseline syndrome: causes, consequences, and implications’, </w:t>
      </w:r>
      <w:r w:rsidRPr="00A35208">
        <w:rPr>
          <w:rFonts w:ascii="Calibri" w:hAnsi="Calibri" w:cs="Calibri"/>
          <w:i/>
          <w:iCs/>
        </w:rPr>
        <w:t>Frontiers in Ecology and the Environment</w:t>
      </w:r>
      <w:r w:rsidRPr="00A35208">
        <w:rPr>
          <w:rFonts w:ascii="Calibri" w:hAnsi="Calibri" w:cs="Calibri"/>
        </w:rPr>
        <w:t>, 16(4), pp. 222–230. Available at: https://doi.org/10.1002/fee.1794.</w:t>
      </w:r>
    </w:p>
    <w:p w14:paraId="6AB6BC8D" w14:textId="77777777" w:rsidR="00A35208" w:rsidRPr="00A35208" w:rsidRDefault="00A35208" w:rsidP="00A35208">
      <w:pPr>
        <w:pStyle w:val="Bibliography"/>
        <w:rPr>
          <w:rFonts w:ascii="Calibri" w:hAnsi="Calibri" w:cs="Calibri"/>
        </w:rPr>
      </w:pPr>
      <w:r w:rsidRPr="00A35208">
        <w:rPr>
          <w:rFonts w:ascii="Calibri" w:hAnsi="Calibri" w:cs="Calibri"/>
        </w:rPr>
        <w:t xml:space="preserve">Sol, D. </w:t>
      </w:r>
      <w:r w:rsidRPr="00A35208">
        <w:rPr>
          <w:rFonts w:ascii="Calibri" w:hAnsi="Calibri" w:cs="Calibri"/>
          <w:i/>
          <w:iCs/>
        </w:rPr>
        <w:t>et al.</w:t>
      </w:r>
      <w:r w:rsidRPr="00A35208">
        <w:rPr>
          <w:rFonts w:ascii="Calibri" w:hAnsi="Calibri" w:cs="Calibri"/>
        </w:rPr>
        <w:t xml:space="preserve"> (2014) ‘Urbanisation tolerance and the loss of avian diversity’, </w:t>
      </w:r>
      <w:r w:rsidRPr="00A35208">
        <w:rPr>
          <w:rFonts w:ascii="Calibri" w:hAnsi="Calibri" w:cs="Calibri"/>
          <w:i/>
          <w:iCs/>
        </w:rPr>
        <w:t>Ecology Letters</w:t>
      </w:r>
      <w:r w:rsidRPr="00A35208">
        <w:rPr>
          <w:rFonts w:ascii="Calibri" w:hAnsi="Calibri" w:cs="Calibri"/>
        </w:rPr>
        <w:t>. Edited by D. Mouillot, 17(8), pp. 942–950. Available at: https://doi.org/10.1111/ele.12297.</w:t>
      </w:r>
    </w:p>
    <w:p w14:paraId="7F6C6062" w14:textId="77777777" w:rsidR="00A35208" w:rsidRPr="00A35208" w:rsidRDefault="00A35208" w:rsidP="00A35208">
      <w:pPr>
        <w:pStyle w:val="Bibliography"/>
        <w:rPr>
          <w:rFonts w:ascii="Calibri" w:hAnsi="Calibri" w:cs="Calibri"/>
        </w:rPr>
      </w:pPr>
      <w:r w:rsidRPr="00A35208">
        <w:rPr>
          <w:rFonts w:ascii="Calibri" w:hAnsi="Calibri" w:cs="Calibri"/>
        </w:rPr>
        <w:t xml:space="preserve">Song, C. </w:t>
      </w:r>
      <w:r w:rsidRPr="00A35208">
        <w:rPr>
          <w:rFonts w:ascii="Calibri" w:hAnsi="Calibri" w:cs="Calibri"/>
          <w:i/>
          <w:iCs/>
        </w:rPr>
        <w:t>et al.</w:t>
      </w:r>
      <w:r w:rsidRPr="00A35208">
        <w:rPr>
          <w:rFonts w:ascii="Calibri" w:hAnsi="Calibri" w:cs="Calibri"/>
        </w:rPr>
        <w:t xml:space="preserve"> (2015) ‘Physiological and psychological effects of a walk in Urban parks in fall’, </w:t>
      </w:r>
      <w:r w:rsidRPr="00A35208">
        <w:rPr>
          <w:rFonts w:ascii="Calibri" w:hAnsi="Calibri" w:cs="Calibri"/>
          <w:i/>
          <w:iCs/>
        </w:rPr>
        <w:t>Int J Environ Res Public Health</w:t>
      </w:r>
      <w:r w:rsidRPr="00A35208">
        <w:rPr>
          <w:rFonts w:ascii="Calibri" w:hAnsi="Calibri" w:cs="Calibri"/>
        </w:rPr>
        <w:t>, 12(11), pp. 14216–14228. Available at: https://doi.org/10.3390/ijerph121114216.</w:t>
      </w:r>
    </w:p>
    <w:p w14:paraId="7BBA96C5" w14:textId="77777777" w:rsidR="00A35208" w:rsidRPr="00A35208" w:rsidRDefault="00A35208" w:rsidP="00A35208">
      <w:pPr>
        <w:pStyle w:val="Bibliography"/>
        <w:rPr>
          <w:rFonts w:ascii="Calibri" w:hAnsi="Calibri" w:cs="Calibri"/>
        </w:rPr>
      </w:pPr>
      <w:r w:rsidRPr="00A35208">
        <w:rPr>
          <w:rFonts w:ascii="Calibri" w:hAnsi="Calibri" w:cs="Calibri"/>
        </w:rPr>
        <w:t xml:space="preserve">Song, C. </w:t>
      </w:r>
      <w:r w:rsidRPr="00A35208">
        <w:rPr>
          <w:rFonts w:ascii="Calibri" w:hAnsi="Calibri" w:cs="Calibri"/>
          <w:i/>
          <w:iCs/>
        </w:rPr>
        <w:t>et al.</w:t>
      </w:r>
      <w:r w:rsidRPr="00A35208">
        <w:rPr>
          <w:rFonts w:ascii="Calibri" w:hAnsi="Calibri" w:cs="Calibri"/>
        </w:rPr>
        <w:t xml:space="preserve"> (2019) ‘Physiological and psychological effects of viewing forests on young women’, </w:t>
      </w:r>
      <w:r w:rsidRPr="00A35208">
        <w:rPr>
          <w:rFonts w:ascii="Calibri" w:hAnsi="Calibri" w:cs="Calibri"/>
          <w:i/>
          <w:iCs/>
        </w:rPr>
        <w:t>Forests</w:t>
      </w:r>
      <w:r w:rsidRPr="00A35208">
        <w:rPr>
          <w:rFonts w:ascii="Calibri" w:hAnsi="Calibri" w:cs="Calibri"/>
        </w:rPr>
        <w:t>, 10(8). Available at: https://doi.org/10.3390/f10080635.</w:t>
      </w:r>
    </w:p>
    <w:p w14:paraId="4036F77B" w14:textId="77777777" w:rsidR="00A35208" w:rsidRPr="00A35208" w:rsidRDefault="00A35208" w:rsidP="00A35208">
      <w:pPr>
        <w:pStyle w:val="Bibliography"/>
        <w:rPr>
          <w:rFonts w:ascii="Calibri" w:hAnsi="Calibri" w:cs="Calibri"/>
        </w:rPr>
      </w:pPr>
      <w:r w:rsidRPr="00A35208">
        <w:rPr>
          <w:rFonts w:ascii="Calibri" w:hAnsi="Calibri" w:cs="Calibri"/>
        </w:rPr>
        <w:lastRenderedPageBreak/>
        <w:t xml:space="preserve">Song, C., Ikei, H. and Miyazaki, Y. (2021) ‘Effects of forest-derived visual, auditory, and combined stimuli’, </w:t>
      </w:r>
      <w:r w:rsidRPr="00A35208">
        <w:rPr>
          <w:rFonts w:ascii="Calibri" w:hAnsi="Calibri" w:cs="Calibri"/>
          <w:i/>
          <w:iCs/>
        </w:rPr>
        <w:t>Urban Forestry &amp; Urban Greening</w:t>
      </w:r>
      <w:r w:rsidRPr="00A35208">
        <w:rPr>
          <w:rFonts w:ascii="Calibri" w:hAnsi="Calibri" w:cs="Calibri"/>
        </w:rPr>
        <w:t>, 64, p. 127253. Available at: https://doi.org/10.1016/j.ufug.2021.127253.</w:t>
      </w:r>
    </w:p>
    <w:p w14:paraId="17C10387" w14:textId="77777777" w:rsidR="00A35208" w:rsidRPr="00A35208" w:rsidRDefault="00A35208" w:rsidP="00A35208">
      <w:pPr>
        <w:pStyle w:val="Bibliography"/>
        <w:rPr>
          <w:rFonts w:ascii="Calibri" w:hAnsi="Calibri" w:cs="Calibri"/>
        </w:rPr>
      </w:pPr>
      <w:r w:rsidRPr="00A35208">
        <w:rPr>
          <w:rFonts w:ascii="Calibri" w:hAnsi="Calibri" w:cs="Calibri"/>
        </w:rPr>
        <w:t xml:space="preserve">Sousa, R. </w:t>
      </w:r>
      <w:r w:rsidRPr="00A35208">
        <w:rPr>
          <w:rFonts w:ascii="Calibri" w:hAnsi="Calibri" w:cs="Calibri"/>
          <w:i/>
          <w:iCs/>
        </w:rPr>
        <w:t>et al.</w:t>
      </w:r>
      <w:r w:rsidRPr="00A35208">
        <w:rPr>
          <w:rFonts w:ascii="Calibri" w:hAnsi="Calibri" w:cs="Calibri"/>
        </w:rPr>
        <w:t xml:space="preserve"> (2021) ‘HRV patterns associated with different affect regulation systems: Sex differences in adolescents’, </w:t>
      </w:r>
      <w:r w:rsidRPr="00A35208">
        <w:rPr>
          <w:rFonts w:ascii="Calibri" w:hAnsi="Calibri" w:cs="Calibri"/>
          <w:i/>
          <w:iCs/>
        </w:rPr>
        <w:t>International Journal of Psychophysiology</w:t>
      </w:r>
      <w:r w:rsidRPr="00A35208">
        <w:rPr>
          <w:rFonts w:ascii="Calibri" w:hAnsi="Calibri" w:cs="Calibri"/>
        </w:rPr>
        <w:t>, 170, pp. 156–167. Available at: https://doi.org/10.1016/j.ijpsycho.2021.10.009.</w:t>
      </w:r>
    </w:p>
    <w:p w14:paraId="62B0FD5A" w14:textId="77777777" w:rsidR="00A35208" w:rsidRPr="00A35208" w:rsidRDefault="00A35208" w:rsidP="00A35208">
      <w:pPr>
        <w:pStyle w:val="Bibliography"/>
        <w:rPr>
          <w:rFonts w:ascii="Calibri" w:hAnsi="Calibri" w:cs="Calibri"/>
        </w:rPr>
      </w:pPr>
      <w:r w:rsidRPr="00A35208">
        <w:rPr>
          <w:rFonts w:ascii="Calibri" w:hAnsi="Calibri" w:cs="Calibri"/>
        </w:rPr>
        <w:t xml:space="preserve">Southon, G.E. </w:t>
      </w:r>
      <w:r w:rsidRPr="00A35208">
        <w:rPr>
          <w:rFonts w:ascii="Calibri" w:hAnsi="Calibri" w:cs="Calibri"/>
          <w:i/>
          <w:iCs/>
        </w:rPr>
        <w:t>et al.</w:t>
      </w:r>
      <w:r w:rsidRPr="00A35208">
        <w:rPr>
          <w:rFonts w:ascii="Calibri" w:hAnsi="Calibri" w:cs="Calibri"/>
        </w:rPr>
        <w:t xml:space="preserve"> (2017) ‘Biodiverse perennial meadows have aesthetic value and increase residents’ perceptions of site quality in urban green-space’, </w:t>
      </w:r>
      <w:r w:rsidRPr="00A35208">
        <w:rPr>
          <w:rFonts w:ascii="Calibri" w:hAnsi="Calibri" w:cs="Calibri"/>
          <w:i/>
          <w:iCs/>
        </w:rPr>
        <w:t>Landscape and Urban Planning</w:t>
      </w:r>
      <w:r w:rsidRPr="00A35208">
        <w:rPr>
          <w:rFonts w:ascii="Calibri" w:hAnsi="Calibri" w:cs="Calibri"/>
        </w:rPr>
        <w:t>, 158, pp. 105–118. Available at: https://doi.org/10.1016/j.landurbplan.2016.08.003.</w:t>
      </w:r>
    </w:p>
    <w:p w14:paraId="3AF43F16" w14:textId="77777777" w:rsidR="00A35208" w:rsidRPr="00A35208" w:rsidRDefault="00A35208" w:rsidP="00A35208">
      <w:pPr>
        <w:pStyle w:val="Bibliography"/>
        <w:rPr>
          <w:rFonts w:ascii="Calibri" w:hAnsi="Calibri" w:cs="Calibri"/>
        </w:rPr>
      </w:pPr>
      <w:r w:rsidRPr="00A35208">
        <w:rPr>
          <w:rFonts w:ascii="Calibri" w:hAnsi="Calibri" w:cs="Calibri"/>
        </w:rPr>
        <w:t xml:space="preserve">Speak, A. </w:t>
      </w:r>
      <w:r w:rsidRPr="00A35208">
        <w:rPr>
          <w:rFonts w:ascii="Calibri" w:hAnsi="Calibri" w:cs="Calibri"/>
          <w:i/>
          <w:iCs/>
        </w:rPr>
        <w:t>et al.</w:t>
      </w:r>
      <w:r w:rsidRPr="00A35208">
        <w:rPr>
          <w:rFonts w:ascii="Calibri" w:hAnsi="Calibri" w:cs="Calibri"/>
        </w:rPr>
        <w:t xml:space="preserve"> (2020) ‘The influence of tree traits on urban ground surface shade cooling’, </w:t>
      </w:r>
      <w:r w:rsidRPr="00A35208">
        <w:rPr>
          <w:rFonts w:ascii="Calibri" w:hAnsi="Calibri" w:cs="Calibri"/>
          <w:i/>
          <w:iCs/>
        </w:rPr>
        <w:t>Landscape and Urban Planning</w:t>
      </w:r>
      <w:r w:rsidRPr="00A35208">
        <w:rPr>
          <w:rFonts w:ascii="Calibri" w:hAnsi="Calibri" w:cs="Calibri"/>
        </w:rPr>
        <w:t>, 197, p. 103748. Available at: https://doi.org/10.1016/j.landurbplan.2020.103748.</w:t>
      </w:r>
    </w:p>
    <w:p w14:paraId="4724FD38" w14:textId="77777777" w:rsidR="00A35208" w:rsidRPr="00A35208" w:rsidRDefault="00A35208" w:rsidP="00A35208">
      <w:pPr>
        <w:pStyle w:val="Bibliography"/>
        <w:rPr>
          <w:rFonts w:ascii="Calibri" w:hAnsi="Calibri" w:cs="Calibri"/>
        </w:rPr>
      </w:pPr>
      <w:r w:rsidRPr="00A35208">
        <w:rPr>
          <w:rFonts w:ascii="Calibri" w:hAnsi="Calibri" w:cs="Calibri"/>
        </w:rPr>
        <w:t xml:space="preserve">Spotswood, E.N. </w:t>
      </w:r>
      <w:r w:rsidRPr="00A35208">
        <w:rPr>
          <w:rFonts w:ascii="Calibri" w:hAnsi="Calibri" w:cs="Calibri"/>
          <w:i/>
          <w:iCs/>
        </w:rPr>
        <w:t>et al.</w:t>
      </w:r>
      <w:r w:rsidRPr="00A35208">
        <w:rPr>
          <w:rFonts w:ascii="Calibri" w:hAnsi="Calibri" w:cs="Calibri"/>
        </w:rPr>
        <w:t xml:space="preserve"> (2021) ‘The Biological Deserts Fallacy: Cities in Their Landscapes Contribute More than We Think to Regional Biodiversity’, </w:t>
      </w:r>
      <w:r w:rsidRPr="00A35208">
        <w:rPr>
          <w:rFonts w:ascii="Calibri" w:hAnsi="Calibri" w:cs="Calibri"/>
          <w:i/>
          <w:iCs/>
        </w:rPr>
        <w:t>BioScience</w:t>
      </w:r>
      <w:r w:rsidRPr="00A35208">
        <w:rPr>
          <w:rFonts w:ascii="Calibri" w:hAnsi="Calibri" w:cs="Calibri"/>
        </w:rPr>
        <w:t>, 71(2), pp. 148–160. Available at: https://doi.org/10.1093/biosci/biaa155.</w:t>
      </w:r>
    </w:p>
    <w:p w14:paraId="71131918" w14:textId="77777777" w:rsidR="00A35208" w:rsidRPr="00A35208" w:rsidRDefault="00A35208" w:rsidP="00A35208">
      <w:pPr>
        <w:pStyle w:val="Bibliography"/>
        <w:rPr>
          <w:rFonts w:ascii="Calibri" w:hAnsi="Calibri" w:cs="Calibri"/>
        </w:rPr>
      </w:pPr>
      <w:r w:rsidRPr="00A35208">
        <w:rPr>
          <w:rFonts w:ascii="Calibri" w:hAnsi="Calibri" w:cs="Calibri"/>
        </w:rPr>
        <w:t xml:space="preserve">Staats, H. </w:t>
      </w:r>
      <w:r w:rsidRPr="00A35208">
        <w:rPr>
          <w:rFonts w:ascii="Calibri" w:hAnsi="Calibri" w:cs="Calibri"/>
          <w:i/>
          <w:iCs/>
        </w:rPr>
        <w:t>et al.</w:t>
      </w:r>
      <w:r w:rsidRPr="00A35208">
        <w:rPr>
          <w:rFonts w:ascii="Calibri" w:hAnsi="Calibri" w:cs="Calibri"/>
        </w:rPr>
        <w:t xml:space="preserve"> (2016) ‘Urban options for psychological restoration: Common strategies in everyday situations’, </w:t>
      </w:r>
      <w:r w:rsidRPr="00A35208">
        <w:rPr>
          <w:rFonts w:ascii="Calibri" w:hAnsi="Calibri" w:cs="Calibri"/>
          <w:i/>
          <w:iCs/>
        </w:rPr>
        <w:t>PLoS ONE</w:t>
      </w:r>
      <w:r w:rsidRPr="00A35208">
        <w:rPr>
          <w:rFonts w:ascii="Calibri" w:hAnsi="Calibri" w:cs="Calibri"/>
        </w:rPr>
        <w:t>, 11(1). Available at: https://doi.org/10.1371/journal.pone.0146213.</w:t>
      </w:r>
    </w:p>
    <w:p w14:paraId="04B6A010" w14:textId="77777777" w:rsidR="00A35208" w:rsidRPr="00A35208" w:rsidRDefault="00A35208" w:rsidP="00A35208">
      <w:pPr>
        <w:pStyle w:val="Bibliography"/>
        <w:rPr>
          <w:rFonts w:ascii="Calibri" w:hAnsi="Calibri" w:cs="Calibri"/>
        </w:rPr>
      </w:pPr>
      <w:r w:rsidRPr="00A35208">
        <w:rPr>
          <w:rFonts w:ascii="Calibri" w:hAnsi="Calibri" w:cs="Calibri"/>
        </w:rPr>
        <w:t xml:space="preserve">Statistics, O. of N. (2016) </w:t>
      </w:r>
      <w:r w:rsidRPr="00A35208">
        <w:rPr>
          <w:rFonts w:ascii="Calibri" w:hAnsi="Calibri" w:cs="Calibri"/>
          <w:i/>
          <w:iCs/>
        </w:rPr>
        <w:t>Ethnic group, national identity and religion</w:t>
      </w:r>
      <w:r w:rsidRPr="00A35208">
        <w:rPr>
          <w:rFonts w:ascii="Calibri" w:hAnsi="Calibri" w:cs="Calibri"/>
        </w:rPr>
        <w:t xml:space="preserve">, </w:t>
      </w:r>
      <w:r w:rsidRPr="00A35208">
        <w:rPr>
          <w:rFonts w:ascii="Calibri" w:hAnsi="Calibri" w:cs="Calibri"/>
          <w:i/>
          <w:iCs/>
        </w:rPr>
        <w:t>Ons.Gov.Uk</w:t>
      </w:r>
      <w:r w:rsidRPr="00A35208">
        <w:rPr>
          <w:rFonts w:ascii="Calibri" w:hAnsi="Calibri" w:cs="Calibri"/>
        </w:rPr>
        <w:t>. Available at: https://www.ons.gov.uk/methodology/classificationsandstandards/measuringequality/ethnicgroupnationalidentityandreligion (Accessed: 3 August 2021).</w:t>
      </w:r>
    </w:p>
    <w:p w14:paraId="6D27407B" w14:textId="77777777" w:rsidR="00A35208" w:rsidRPr="00A35208" w:rsidRDefault="00A35208" w:rsidP="00A35208">
      <w:pPr>
        <w:pStyle w:val="Bibliography"/>
        <w:rPr>
          <w:rFonts w:ascii="Calibri" w:hAnsi="Calibri" w:cs="Calibri"/>
        </w:rPr>
      </w:pPr>
      <w:r w:rsidRPr="00A35208">
        <w:rPr>
          <w:rFonts w:ascii="Calibri" w:hAnsi="Calibri" w:cs="Calibri"/>
        </w:rPr>
        <w:t xml:space="preserve">Steele, F. (2011) ‘Module 9: single-level and multilevel models for ordinal responses concepts’, </w:t>
      </w:r>
      <w:r w:rsidRPr="00A35208">
        <w:rPr>
          <w:rFonts w:ascii="Calibri" w:hAnsi="Calibri" w:cs="Calibri"/>
          <w:i/>
          <w:iCs/>
        </w:rPr>
        <w:t>Centre for Multilevel Modelling, University of Bristol</w:t>
      </w:r>
      <w:r w:rsidRPr="00A35208">
        <w:rPr>
          <w:rFonts w:ascii="Calibri" w:hAnsi="Calibri" w:cs="Calibri"/>
        </w:rPr>
        <w:t xml:space="preserve"> [Preprint].</w:t>
      </w:r>
    </w:p>
    <w:p w14:paraId="15E19124" w14:textId="77777777" w:rsidR="00A35208" w:rsidRPr="00A35208" w:rsidRDefault="00A35208" w:rsidP="00A35208">
      <w:pPr>
        <w:pStyle w:val="Bibliography"/>
        <w:rPr>
          <w:rFonts w:ascii="Calibri" w:hAnsi="Calibri" w:cs="Calibri"/>
        </w:rPr>
      </w:pPr>
      <w:r w:rsidRPr="00A35208">
        <w:rPr>
          <w:rFonts w:ascii="Calibri" w:hAnsi="Calibri" w:cs="Calibri"/>
        </w:rPr>
        <w:t xml:space="preserve">Stevenson, M.P., Schilhab, T. and Bentsen, P. (2018) ‘Attention Restoration Theory II: a systematic review to clarify attention processes affected by exposure to natural environments’, </w:t>
      </w:r>
      <w:r w:rsidRPr="00A35208">
        <w:rPr>
          <w:rFonts w:ascii="Calibri" w:hAnsi="Calibri" w:cs="Calibri"/>
          <w:i/>
          <w:iCs/>
        </w:rPr>
        <w:t>J Toxicol Environ Health B Crit Rev</w:t>
      </w:r>
      <w:r w:rsidRPr="00A35208">
        <w:rPr>
          <w:rFonts w:ascii="Calibri" w:hAnsi="Calibri" w:cs="Calibri"/>
        </w:rPr>
        <w:t>, 21(4), pp. 227–268. Available at: https://doi.org/10.1080/10937404.2018.1505571.</w:t>
      </w:r>
    </w:p>
    <w:p w14:paraId="0989DFA2" w14:textId="77777777" w:rsidR="00A35208" w:rsidRPr="00A35208" w:rsidRDefault="00A35208" w:rsidP="00A35208">
      <w:pPr>
        <w:pStyle w:val="Bibliography"/>
        <w:rPr>
          <w:rFonts w:ascii="Calibri" w:hAnsi="Calibri" w:cs="Calibri"/>
        </w:rPr>
      </w:pPr>
      <w:r w:rsidRPr="00A35208">
        <w:rPr>
          <w:rFonts w:ascii="Calibri" w:hAnsi="Calibri" w:cs="Calibri"/>
        </w:rPr>
        <w:t xml:space="preserve">Stigsdotter, U.K. </w:t>
      </w:r>
      <w:r w:rsidRPr="00A35208">
        <w:rPr>
          <w:rFonts w:ascii="Calibri" w:hAnsi="Calibri" w:cs="Calibri"/>
          <w:i/>
          <w:iCs/>
        </w:rPr>
        <w:t>et al.</w:t>
      </w:r>
      <w:r w:rsidRPr="00A35208">
        <w:rPr>
          <w:rFonts w:ascii="Calibri" w:hAnsi="Calibri" w:cs="Calibri"/>
        </w:rPr>
        <w:t xml:space="preserve"> (2017) ‘It is not all bad for the grey city – A crossover study on physiological and psychological restoration in a forest and an urban environment’, </w:t>
      </w:r>
      <w:r w:rsidRPr="00A35208">
        <w:rPr>
          <w:rFonts w:ascii="Calibri" w:hAnsi="Calibri" w:cs="Calibri"/>
          <w:i/>
          <w:iCs/>
        </w:rPr>
        <w:t>Health and Place</w:t>
      </w:r>
      <w:r w:rsidRPr="00A35208">
        <w:rPr>
          <w:rFonts w:ascii="Calibri" w:hAnsi="Calibri" w:cs="Calibri"/>
        </w:rPr>
        <w:t>, 46, pp. 145–154. Available at: https://doi.org/10.1016/j.healthplace.2017.05.007.</w:t>
      </w:r>
    </w:p>
    <w:p w14:paraId="0954FD42" w14:textId="77777777" w:rsidR="00A35208" w:rsidRPr="00A35208" w:rsidRDefault="00A35208" w:rsidP="00A35208">
      <w:pPr>
        <w:pStyle w:val="Bibliography"/>
        <w:rPr>
          <w:rFonts w:ascii="Calibri" w:hAnsi="Calibri" w:cs="Calibri"/>
        </w:rPr>
      </w:pPr>
      <w:r w:rsidRPr="00A35208">
        <w:rPr>
          <w:rFonts w:ascii="Calibri" w:hAnsi="Calibri" w:cs="Calibri"/>
        </w:rPr>
        <w:t xml:space="preserve">Stoltzfus, J.C. (2011) ‘Logistic Regression: A Brief Primer’, </w:t>
      </w:r>
      <w:r w:rsidRPr="00A35208">
        <w:rPr>
          <w:rFonts w:ascii="Calibri" w:hAnsi="Calibri" w:cs="Calibri"/>
          <w:i/>
          <w:iCs/>
        </w:rPr>
        <w:t>Acad Emerg Med</w:t>
      </w:r>
      <w:r w:rsidRPr="00A35208">
        <w:rPr>
          <w:rFonts w:ascii="Calibri" w:hAnsi="Calibri" w:cs="Calibri"/>
        </w:rPr>
        <w:t>, 18(10), pp. 1099–1104. Available at: https://doi.org/10.1111/j.1553-2712.2011.01185.x.</w:t>
      </w:r>
    </w:p>
    <w:p w14:paraId="1C847152" w14:textId="77777777" w:rsidR="00A35208" w:rsidRPr="00A35208" w:rsidRDefault="00A35208" w:rsidP="00A35208">
      <w:pPr>
        <w:pStyle w:val="Bibliography"/>
        <w:rPr>
          <w:rFonts w:ascii="Calibri" w:hAnsi="Calibri" w:cs="Calibri"/>
        </w:rPr>
      </w:pPr>
      <w:r w:rsidRPr="00A35208">
        <w:rPr>
          <w:rFonts w:ascii="Calibri" w:hAnsi="Calibri" w:cs="Calibri"/>
        </w:rPr>
        <w:t xml:space="preserve">Subiza-Pérez, M., Vozmediano, L. and San Juan, C. (2019) ‘Pretest-posttest field studies on psychological restoration: a descriptive review and reflections for the future’, </w:t>
      </w:r>
      <w:r w:rsidRPr="00A35208">
        <w:rPr>
          <w:rFonts w:ascii="Calibri" w:hAnsi="Calibri" w:cs="Calibri"/>
          <w:i/>
          <w:iCs/>
        </w:rPr>
        <w:t>Landscape Research</w:t>
      </w:r>
      <w:r w:rsidRPr="00A35208">
        <w:rPr>
          <w:rFonts w:ascii="Calibri" w:hAnsi="Calibri" w:cs="Calibri"/>
        </w:rPr>
        <w:t>, 44(4), pp. 493–505. Available at: https://doi.org/10.1080/01426397.2018.1493443.</w:t>
      </w:r>
    </w:p>
    <w:p w14:paraId="1FFC0DF0" w14:textId="77777777" w:rsidR="00A35208" w:rsidRPr="00A35208" w:rsidRDefault="00A35208" w:rsidP="00A35208">
      <w:pPr>
        <w:pStyle w:val="Bibliography"/>
        <w:rPr>
          <w:rFonts w:ascii="Calibri" w:hAnsi="Calibri" w:cs="Calibri"/>
        </w:rPr>
      </w:pPr>
      <w:r w:rsidRPr="00A35208">
        <w:rPr>
          <w:rFonts w:ascii="Calibri" w:hAnsi="Calibri" w:cs="Calibri"/>
        </w:rPr>
        <w:lastRenderedPageBreak/>
        <w:t xml:space="preserve">Suko, Y. </w:t>
      </w:r>
      <w:r w:rsidRPr="00A35208">
        <w:rPr>
          <w:rFonts w:ascii="Calibri" w:hAnsi="Calibri" w:cs="Calibri"/>
          <w:i/>
          <w:iCs/>
        </w:rPr>
        <w:t>et al.</w:t>
      </w:r>
      <w:r w:rsidRPr="00A35208">
        <w:rPr>
          <w:rFonts w:ascii="Calibri" w:hAnsi="Calibri" w:cs="Calibri"/>
        </w:rPr>
        <w:t xml:space="preserve"> (2022) ‘Alleviating Surgeons’ Stress through Listening to Natural Sounds in a Half-Encapsulated Rest Space after an Operation: A Pilot, Longitudinal Field Study’, </w:t>
      </w:r>
      <w:r w:rsidRPr="00A35208">
        <w:rPr>
          <w:rFonts w:ascii="Calibri" w:hAnsi="Calibri" w:cs="Calibri"/>
          <w:i/>
          <w:iCs/>
        </w:rPr>
        <w:t>International Journal of Environmental Research and Public Health</w:t>
      </w:r>
      <w:r w:rsidRPr="00A35208">
        <w:rPr>
          <w:rFonts w:ascii="Calibri" w:hAnsi="Calibri" w:cs="Calibri"/>
        </w:rPr>
        <w:t>, 19(19), p. 12736. Available at: https://doi.org/10.3390/ijerph191912736.</w:t>
      </w:r>
    </w:p>
    <w:p w14:paraId="23AF7E0A" w14:textId="77777777" w:rsidR="00A35208" w:rsidRPr="00A35208" w:rsidRDefault="00A35208" w:rsidP="00A35208">
      <w:pPr>
        <w:pStyle w:val="Bibliography"/>
        <w:rPr>
          <w:rFonts w:ascii="Calibri" w:hAnsi="Calibri" w:cs="Calibri"/>
        </w:rPr>
      </w:pPr>
      <w:r w:rsidRPr="00A35208">
        <w:rPr>
          <w:rFonts w:ascii="Calibri" w:hAnsi="Calibri" w:cs="Calibri"/>
        </w:rPr>
        <w:t xml:space="preserve">Sun, Y. </w:t>
      </w:r>
      <w:r w:rsidRPr="00A35208">
        <w:rPr>
          <w:rFonts w:ascii="Calibri" w:hAnsi="Calibri" w:cs="Calibri"/>
          <w:i/>
          <w:iCs/>
        </w:rPr>
        <w:t>et al.</w:t>
      </w:r>
      <w:r w:rsidRPr="00A35208">
        <w:rPr>
          <w:rFonts w:ascii="Calibri" w:hAnsi="Calibri" w:cs="Calibri"/>
        </w:rPr>
        <w:t xml:space="preserve"> (2023) ‘Physiological and affective responses to green space virtual reality among pregnant women’, </w:t>
      </w:r>
      <w:r w:rsidRPr="00A35208">
        <w:rPr>
          <w:rFonts w:ascii="Calibri" w:hAnsi="Calibri" w:cs="Calibri"/>
          <w:i/>
          <w:iCs/>
        </w:rPr>
        <w:t>Environmental Research</w:t>
      </w:r>
      <w:r w:rsidRPr="00A35208">
        <w:rPr>
          <w:rFonts w:ascii="Calibri" w:hAnsi="Calibri" w:cs="Calibri"/>
        </w:rPr>
        <w:t>, 216, p. 114499. Available at: https://doi.org/10.1016/j.envres.2022.114499.</w:t>
      </w:r>
    </w:p>
    <w:p w14:paraId="1E8314E9" w14:textId="77777777" w:rsidR="00A35208" w:rsidRPr="00A35208" w:rsidRDefault="00A35208" w:rsidP="00A35208">
      <w:pPr>
        <w:pStyle w:val="Bibliography"/>
        <w:rPr>
          <w:rFonts w:ascii="Calibri" w:hAnsi="Calibri" w:cs="Calibri"/>
        </w:rPr>
      </w:pPr>
      <w:r w:rsidRPr="00A35208">
        <w:rPr>
          <w:rFonts w:ascii="Calibri" w:hAnsi="Calibri" w:cs="Calibri"/>
        </w:rPr>
        <w:t xml:space="preserve">Sverdlov, O. and Ryeznik, Y. (2019) ‘Implementing unequal randomization in clinical trials with heterogeneous treatment costs’, </w:t>
      </w:r>
      <w:r w:rsidRPr="00A35208">
        <w:rPr>
          <w:rFonts w:ascii="Calibri" w:hAnsi="Calibri" w:cs="Calibri"/>
          <w:i/>
          <w:iCs/>
        </w:rPr>
        <w:t>Statistics in Medicine</w:t>
      </w:r>
      <w:r w:rsidRPr="00A35208">
        <w:rPr>
          <w:rFonts w:ascii="Calibri" w:hAnsi="Calibri" w:cs="Calibri"/>
        </w:rPr>
        <w:t>, 38(16), pp. 2905–2927. Available at: https://doi.org/10.1002/sim.8160.</w:t>
      </w:r>
    </w:p>
    <w:p w14:paraId="25C5E8DE" w14:textId="77777777" w:rsidR="00A35208" w:rsidRPr="00A35208" w:rsidRDefault="00A35208" w:rsidP="00A35208">
      <w:pPr>
        <w:pStyle w:val="Bibliography"/>
        <w:rPr>
          <w:rFonts w:ascii="Calibri" w:hAnsi="Calibri" w:cs="Calibri"/>
        </w:rPr>
      </w:pPr>
      <w:r w:rsidRPr="00A35208">
        <w:rPr>
          <w:rFonts w:ascii="Calibri" w:hAnsi="Calibri" w:cs="Calibri"/>
        </w:rPr>
        <w:t xml:space="preserve">Tam, K.-P. (2013) ‘Concepts and measures related to connection to nature: Similarities and differences’, </w:t>
      </w:r>
      <w:r w:rsidRPr="00A35208">
        <w:rPr>
          <w:rFonts w:ascii="Calibri" w:hAnsi="Calibri" w:cs="Calibri"/>
          <w:i/>
          <w:iCs/>
        </w:rPr>
        <w:t>Journal of Environmental Psychology</w:t>
      </w:r>
      <w:r w:rsidRPr="00A35208">
        <w:rPr>
          <w:rFonts w:ascii="Calibri" w:hAnsi="Calibri" w:cs="Calibri"/>
        </w:rPr>
        <w:t>, 34, pp. 64–78. Available at: https://doi.org/10.1016/j.jenvp.2013.01.004.</w:t>
      </w:r>
    </w:p>
    <w:p w14:paraId="3483454C" w14:textId="77777777" w:rsidR="00A35208" w:rsidRPr="00A35208" w:rsidRDefault="00A35208" w:rsidP="00A35208">
      <w:pPr>
        <w:pStyle w:val="Bibliography"/>
        <w:rPr>
          <w:rFonts w:ascii="Calibri" w:hAnsi="Calibri" w:cs="Calibri"/>
        </w:rPr>
      </w:pPr>
      <w:r w:rsidRPr="00A35208">
        <w:rPr>
          <w:rFonts w:ascii="Calibri" w:hAnsi="Calibri" w:cs="Calibri"/>
        </w:rPr>
        <w:t xml:space="preserve">Taylor, L. and Hochuli, D.F. (2017) ‘Defining greenspace: Multiple uses across multiple disciplines’, </w:t>
      </w:r>
      <w:r w:rsidRPr="00A35208">
        <w:rPr>
          <w:rFonts w:ascii="Calibri" w:hAnsi="Calibri" w:cs="Calibri"/>
          <w:i/>
          <w:iCs/>
        </w:rPr>
        <w:t>Landscape and Urban Planning</w:t>
      </w:r>
      <w:r w:rsidRPr="00A35208">
        <w:rPr>
          <w:rFonts w:ascii="Calibri" w:hAnsi="Calibri" w:cs="Calibri"/>
        </w:rPr>
        <w:t>, 158, pp. 25–38. Available at: https://doi.org/10.1016/j.landurbplan.2016.09.024.</w:t>
      </w:r>
    </w:p>
    <w:p w14:paraId="2B063460" w14:textId="77777777" w:rsidR="00A35208" w:rsidRPr="00A35208" w:rsidRDefault="00A35208" w:rsidP="00A35208">
      <w:pPr>
        <w:pStyle w:val="Bibliography"/>
        <w:rPr>
          <w:rFonts w:ascii="Calibri" w:hAnsi="Calibri" w:cs="Calibri"/>
        </w:rPr>
      </w:pPr>
      <w:r w:rsidRPr="00A35208">
        <w:rPr>
          <w:rFonts w:ascii="Calibri" w:hAnsi="Calibri" w:cs="Calibri"/>
        </w:rPr>
        <w:t xml:space="preserve">Thomas, R.L., Baker, P.J. and Fellowes, M.D.E. (2014) ‘Ranging characteristics of the domestic cat (Felis catus) in an urban environment’, </w:t>
      </w:r>
      <w:r w:rsidRPr="00A35208">
        <w:rPr>
          <w:rFonts w:ascii="Calibri" w:hAnsi="Calibri" w:cs="Calibri"/>
          <w:i/>
          <w:iCs/>
        </w:rPr>
        <w:t>Urban Ecosystems</w:t>
      </w:r>
      <w:r w:rsidRPr="00A35208">
        <w:rPr>
          <w:rFonts w:ascii="Calibri" w:hAnsi="Calibri" w:cs="Calibri"/>
        </w:rPr>
        <w:t>, 17(4), pp. 911–921. Available at: https://doi.org/10.1007/s11252-014-0360-5.</w:t>
      </w:r>
    </w:p>
    <w:p w14:paraId="28141075" w14:textId="77777777" w:rsidR="00A35208" w:rsidRPr="00A35208" w:rsidRDefault="00A35208" w:rsidP="00A35208">
      <w:pPr>
        <w:pStyle w:val="Bibliography"/>
        <w:rPr>
          <w:rFonts w:ascii="Calibri" w:hAnsi="Calibri" w:cs="Calibri"/>
        </w:rPr>
      </w:pPr>
      <w:r w:rsidRPr="00A35208">
        <w:rPr>
          <w:rFonts w:ascii="Calibri" w:hAnsi="Calibri" w:cs="Calibri"/>
        </w:rPr>
        <w:t xml:space="preserve">Thomas, R.L., Fellowes, M.D.E. and Baker, P.J. (2012) ‘Spatio-Temporal Variation in Predation by Urban Domestic Cats (Felis catus) and the Acceptability of Possible Management Actions in the UK’, </w:t>
      </w:r>
      <w:r w:rsidRPr="00A35208">
        <w:rPr>
          <w:rFonts w:ascii="Calibri" w:hAnsi="Calibri" w:cs="Calibri"/>
          <w:i/>
          <w:iCs/>
        </w:rPr>
        <w:t>PLoS ONE</w:t>
      </w:r>
      <w:r w:rsidRPr="00A35208">
        <w:rPr>
          <w:rFonts w:ascii="Calibri" w:hAnsi="Calibri" w:cs="Calibri"/>
        </w:rPr>
        <w:t>. Edited by M. Hayward, 7(11), p. e49369. Available at: https://doi.org/10.1371/journal.pone.0049369.</w:t>
      </w:r>
    </w:p>
    <w:p w14:paraId="24C81A38" w14:textId="77777777" w:rsidR="00A35208" w:rsidRPr="00A35208" w:rsidRDefault="00A35208" w:rsidP="00A35208">
      <w:pPr>
        <w:pStyle w:val="Bibliography"/>
        <w:rPr>
          <w:rFonts w:ascii="Calibri" w:hAnsi="Calibri" w:cs="Calibri"/>
        </w:rPr>
      </w:pPr>
      <w:r w:rsidRPr="00A35208">
        <w:rPr>
          <w:rFonts w:ascii="Calibri" w:hAnsi="Calibri" w:cs="Calibri"/>
        </w:rPr>
        <w:t xml:space="preserve">Thompson, E.R. (2007) ‘Development and validation of an internationally reliable short-form of the Positive and Negative Affect Schedule (PANAS)’, </w:t>
      </w:r>
      <w:r w:rsidRPr="00A35208">
        <w:rPr>
          <w:rFonts w:ascii="Calibri" w:hAnsi="Calibri" w:cs="Calibri"/>
          <w:i/>
          <w:iCs/>
        </w:rPr>
        <w:t>Journal of Cross-Cultural Psychology</w:t>
      </w:r>
      <w:r w:rsidRPr="00A35208">
        <w:rPr>
          <w:rFonts w:ascii="Calibri" w:hAnsi="Calibri" w:cs="Calibri"/>
        </w:rPr>
        <w:t>, 38(2), pp. 227–242. Available at: https://doi.org/10.1177/0022022106297301.</w:t>
      </w:r>
    </w:p>
    <w:p w14:paraId="2BA29549" w14:textId="77777777" w:rsidR="00A35208" w:rsidRPr="00A35208" w:rsidRDefault="00A35208" w:rsidP="00A35208">
      <w:pPr>
        <w:pStyle w:val="Bibliography"/>
        <w:rPr>
          <w:rFonts w:ascii="Calibri" w:hAnsi="Calibri" w:cs="Calibri"/>
        </w:rPr>
      </w:pPr>
      <w:r w:rsidRPr="00A35208">
        <w:rPr>
          <w:rFonts w:ascii="Calibri" w:hAnsi="Calibri" w:cs="Calibri"/>
        </w:rPr>
        <w:t xml:space="preserve">Tian, Y., Jim, C.Y. and Wang, H. (2014) ‘Assessing the landscape and ecological quality of urban green spaces in a compact city’, </w:t>
      </w:r>
      <w:r w:rsidRPr="00A35208">
        <w:rPr>
          <w:rFonts w:ascii="Calibri" w:hAnsi="Calibri" w:cs="Calibri"/>
          <w:i/>
          <w:iCs/>
        </w:rPr>
        <w:t>Landscape and Urban Planning</w:t>
      </w:r>
      <w:r w:rsidRPr="00A35208">
        <w:rPr>
          <w:rFonts w:ascii="Calibri" w:hAnsi="Calibri" w:cs="Calibri"/>
        </w:rPr>
        <w:t>, 121, pp. 97–108. Available at: https://doi.org/10.1016/j.landurbplan.2013.10.001.</w:t>
      </w:r>
    </w:p>
    <w:p w14:paraId="1745DB2D" w14:textId="77777777" w:rsidR="00A35208" w:rsidRPr="00A35208" w:rsidRDefault="00A35208" w:rsidP="00A35208">
      <w:pPr>
        <w:pStyle w:val="Bibliography"/>
        <w:rPr>
          <w:rFonts w:ascii="Calibri" w:hAnsi="Calibri" w:cs="Calibri"/>
        </w:rPr>
      </w:pPr>
      <w:r w:rsidRPr="00A35208">
        <w:rPr>
          <w:rFonts w:ascii="Calibri" w:hAnsi="Calibri" w:cs="Calibri"/>
        </w:rPr>
        <w:t xml:space="preserve">Tilman, D. </w:t>
      </w:r>
      <w:r w:rsidRPr="00A35208">
        <w:rPr>
          <w:rFonts w:ascii="Calibri" w:hAnsi="Calibri" w:cs="Calibri"/>
          <w:i/>
          <w:iCs/>
        </w:rPr>
        <w:t>et al.</w:t>
      </w:r>
      <w:r w:rsidRPr="00A35208">
        <w:rPr>
          <w:rFonts w:ascii="Calibri" w:hAnsi="Calibri" w:cs="Calibri"/>
        </w:rPr>
        <w:t xml:space="preserve"> (2017) ‘Future threats to biodiversity and pathways to their prevention’, </w:t>
      </w:r>
      <w:r w:rsidRPr="00A35208">
        <w:rPr>
          <w:rFonts w:ascii="Calibri" w:hAnsi="Calibri" w:cs="Calibri"/>
          <w:i/>
          <w:iCs/>
        </w:rPr>
        <w:t>Nature</w:t>
      </w:r>
      <w:r w:rsidRPr="00A35208">
        <w:rPr>
          <w:rFonts w:ascii="Calibri" w:hAnsi="Calibri" w:cs="Calibri"/>
        </w:rPr>
        <w:t>, 546(7656), pp. 73–81. Available at: https://doi.org/10.1038/nature22900.</w:t>
      </w:r>
    </w:p>
    <w:p w14:paraId="6DF61607" w14:textId="77777777" w:rsidR="00A35208" w:rsidRPr="00A35208" w:rsidRDefault="00A35208" w:rsidP="00A35208">
      <w:pPr>
        <w:pStyle w:val="Bibliography"/>
        <w:rPr>
          <w:rFonts w:ascii="Calibri" w:hAnsi="Calibri" w:cs="Calibri"/>
        </w:rPr>
      </w:pPr>
      <w:r w:rsidRPr="00A35208">
        <w:rPr>
          <w:rFonts w:ascii="Calibri" w:hAnsi="Calibri" w:cs="Calibri"/>
        </w:rPr>
        <w:t xml:space="preserve">Tsunetsugu, Y. and Ishibashi, K. (2019) ‘Heart rate and heart rate variability in infants during olfactory stimulation’, </w:t>
      </w:r>
      <w:r w:rsidRPr="00A35208">
        <w:rPr>
          <w:rFonts w:ascii="Calibri" w:hAnsi="Calibri" w:cs="Calibri"/>
          <w:i/>
          <w:iCs/>
        </w:rPr>
        <w:t>Annals of Human Biology</w:t>
      </w:r>
      <w:r w:rsidRPr="00A35208">
        <w:rPr>
          <w:rFonts w:ascii="Calibri" w:hAnsi="Calibri" w:cs="Calibri"/>
        </w:rPr>
        <w:t>, 46(4), pp. 347–353. Available at: https://doi.org/10.1080/03014460.2019.1622775.</w:t>
      </w:r>
    </w:p>
    <w:p w14:paraId="14B7EBBA" w14:textId="77777777" w:rsidR="00A35208" w:rsidRPr="00A35208" w:rsidRDefault="00A35208" w:rsidP="00A35208">
      <w:pPr>
        <w:pStyle w:val="Bibliography"/>
        <w:rPr>
          <w:rFonts w:ascii="Calibri" w:hAnsi="Calibri" w:cs="Calibri"/>
        </w:rPr>
      </w:pPr>
      <w:r w:rsidRPr="00A35208">
        <w:rPr>
          <w:rFonts w:ascii="Calibri" w:hAnsi="Calibri" w:cs="Calibri"/>
        </w:rPr>
        <w:lastRenderedPageBreak/>
        <w:t xml:space="preserve">Tsunetsugu, Y. and Sugiyama, M. (2021) ‘Heat transfer, physiological responses, and subjective perceptions during short contact time with wood or other materials’, </w:t>
      </w:r>
      <w:r w:rsidRPr="00A35208">
        <w:rPr>
          <w:rFonts w:ascii="Calibri" w:hAnsi="Calibri" w:cs="Calibri"/>
          <w:i/>
          <w:iCs/>
        </w:rPr>
        <w:t>Journal of Wood Science</w:t>
      </w:r>
      <w:r w:rsidRPr="00A35208">
        <w:rPr>
          <w:rFonts w:ascii="Calibri" w:hAnsi="Calibri" w:cs="Calibri"/>
        </w:rPr>
        <w:t>, 67(1), p. 27. Available at: https://doi.org/10.1186/s10086-021-01960-0.</w:t>
      </w:r>
    </w:p>
    <w:p w14:paraId="6EDB08AC" w14:textId="77777777" w:rsidR="00A35208" w:rsidRPr="00A35208" w:rsidRDefault="00A35208" w:rsidP="00A35208">
      <w:pPr>
        <w:pStyle w:val="Bibliography"/>
        <w:rPr>
          <w:rFonts w:ascii="Calibri" w:hAnsi="Calibri" w:cs="Calibri"/>
        </w:rPr>
      </w:pPr>
      <w:r w:rsidRPr="00A35208">
        <w:rPr>
          <w:rFonts w:ascii="Calibri" w:hAnsi="Calibri" w:cs="Calibri"/>
        </w:rPr>
        <w:t xml:space="preserve">Tversky, A. and Kahneman, D. (1992) ‘Advances in prospect theory: Cumulative representation of uncertainty’, </w:t>
      </w:r>
      <w:r w:rsidRPr="00A35208">
        <w:rPr>
          <w:rFonts w:ascii="Calibri" w:hAnsi="Calibri" w:cs="Calibri"/>
          <w:i/>
          <w:iCs/>
        </w:rPr>
        <w:t>Journal of Risk and Uncertainty</w:t>
      </w:r>
      <w:r w:rsidRPr="00A35208">
        <w:rPr>
          <w:rFonts w:ascii="Calibri" w:hAnsi="Calibri" w:cs="Calibri"/>
        </w:rPr>
        <w:t>, 5(4), pp. 297–323. Available at: https://doi.org/10.1007/BF00122574.</w:t>
      </w:r>
    </w:p>
    <w:p w14:paraId="63E8A0F9" w14:textId="77777777" w:rsidR="00A35208" w:rsidRPr="00A35208" w:rsidRDefault="00A35208" w:rsidP="00A35208">
      <w:pPr>
        <w:pStyle w:val="Bibliography"/>
        <w:rPr>
          <w:rFonts w:ascii="Calibri" w:hAnsi="Calibri" w:cs="Calibri"/>
        </w:rPr>
      </w:pPr>
      <w:r w:rsidRPr="00A35208">
        <w:rPr>
          <w:rFonts w:ascii="Calibri" w:hAnsi="Calibri" w:cs="Calibri"/>
        </w:rPr>
        <w:t xml:space="preserve">Twohig-Bennett, C. and Jones, A. (2018) ‘The health benefits of the great outdoors: A systematic review and meta-analysis of greenspace exposure and health outcomes’, </w:t>
      </w:r>
      <w:r w:rsidRPr="00A35208">
        <w:rPr>
          <w:rFonts w:ascii="Calibri" w:hAnsi="Calibri" w:cs="Calibri"/>
          <w:i/>
          <w:iCs/>
        </w:rPr>
        <w:t>Environmental Research</w:t>
      </w:r>
      <w:r w:rsidRPr="00A35208">
        <w:rPr>
          <w:rFonts w:ascii="Calibri" w:hAnsi="Calibri" w:cs="Calibri"/>
        </w:rPr>
        <w:t>, 166(July), pp. 628–637. Available at: https://doi.org/10.1016/j.envres.2018.06.030.</w:t>
      </w:r>
    </w:p>
    <w:p w14:paraId="6E745F46" w14:textId="77777777" w:rsidR="00A35208" w:rsidRPr="00A35208" w:rsidRDefault="00A35208" w:rsidP="00A35208">
      <w:pPr>
        <w:pStyle w:val="Bibliography"/>
        <w:rPr>
          <w:rFonts w:ascii="Calibri" w:hAnsi="Calibri" w:cs="Calibri"/>
        </w:rPr>
      </w:pPr>
      <w:r w:rsidRPr="00A35208">
        <w:rPr>
          <w:rFonts w:ascii="Calibri" w:hAnsi="Calibri" w:cs="Calibri"/>
        </w:rPr>
        <w:t xml:space="preserve">Tzoulas, K. </w:t>
      </w:r>
      <w:r w:rsidRPr="00A35208">
        <w:rPr>
          <w:rFonts w:ascii="Calibri" w:hAnsi="Calibri" w:cs="Calibri"/>
          <w:i/>
          <w:iCs/>
        </w:rPr>
        <w:t>et al.</w:t>
      </w:r>
      <w:r w:rsidRPr="00A35208">
        <w:rPr>
          <w:rFonts w:ascii="Calibri" w:hAnsi="Calibri" w:cs="Calibri"/>
        </w:rPr>
        <w:t xml:space="preserve"> (2007) ‘Promoting ecosystem and human health in urban areas using Green Infrastructure: A literature review’, </w:t>
      </w:r>
      <w:r w:rsidRPr="00A35208">
        <w:rPr>
          <w:rFonts w:ascii="Calibri" w:hAnsi="Calibri" w:cs="Calibri"/>
          <w:i/>
          <w:iCs/>
        </w:rPr>
        <w:t>Landscape and Urban Planning</w:t>
      </w:r>
      <w:r w:rsidRPr="00A35208">
        <w:rPr>
          <w:rFonts w:ascii="Calibri" w:hAnsi="Calibri" w:cs="Calibri"/>
        </w:rPr>
        <w:t>, 81(3), pp. 167–178. Available at: https://doi.org/10.1016/j.landurbplan.2007.02.001.</w:t>
      </w:r>
    </w:p>
    <w:p w14:paraId="0177F313" w14:textId="77777777" w:rsidR="00A35208" w:rsidRPr="00A35208" w:rsidRDefault="00A35208" w:rsidP="00A35208">
      <w:pPr>
        <w:pStyle w:val="Bibliography"/>
        <w:rPr>
          <w:rFonts w:ascii="Calibri" w:hAnsi="Calibri" w:cs="Calibri"/>
        </w:rPr>
      </w:pPr>
      <w:r w:rsidRPr="00A35208">
        <w:rPr>
          <w:rFonts w:ascii="Calibri" w:hAnsi="Calibri" w:cs="Calibri"/>
        </w:rPr>
        <w:t xml:space="preserve">Uebel, K. </w:t>
      </w:r>
      <w:r w:rsidRPr="00A35208">
        <w:rPr>
          <w:rFonts w:ascii="Calibri" w:hAnsi="Calibri" w:cs="Calibri"/>
          <w:i/>
          <w:iCs/>
        </w:rPr>
        <w:t>et al.</w:t>
      </w:r>
      <w:r w:rsidRPr="00A35208">
        <w:rPr>
          <w:rFonts w:ascii="Calibri" w:hAnsi="Calibri" w:cs="Calibri"/>
        </w:rPr>
        <w:t xml:space="preserve"> (2021) ‘Urban green space soundscapes and their perceived restorativeness’, </w:t>
      </w:r>
      <w:r w:rsidRPr="00A35208">
        <w:rPr>
          <w:rFonts w:ascii="Calibri" w:hAnsi="Calibri" w:cs="Calibri"/>
          <w:i/>
          <w:iCs/>
        </w:rPr>
        <w:t>People and Nature</w:t>
      </w:r>
      <w:r w:rsidRPr="00A35208">
        <w:rPr>
          <w:rFonts w:ascii="Calibri" w:hAnsi="Calibri" w:cs="Calibri"/>
        </w:rPr>
        <w:t>, 3(3), pp. 756–769. Available at: https://doi.org/10.1002/pan3.10215.</w:t>
      </w:r>
    </w:p>
    <w:p w14:paraId="71B4D014" w14:textId="77777777" w:rsidR="00A35208" w:rsidRPr="00A35208" w:rsidRDefault="00A35208" w:rsidP="00A35208">
      <w:pPr>
        <w:pStyle w:val="Bibliography"/>
        <w:rPr>
          <w:rFonts w:ascii="Calibri" w:hAnsi="Calibri" w:cs="Calibri"/>
        </w:rPr>
      </w:pPr>
      <w:r w:rsidRPr="00A35208">
        <w:rPr>
          <w:rFonts w:ascii="Calibri" w:hAnsi="Calibri" w:cs="Calibri"/>
        </w:rPr>
        <w:t xml:space="preserve">Ulrich, R.S. (1983) ‘Aesthetic and affective response to natural environment’, in I. Altman and J. Wohlwill (eds) </w:t>
      </w:r>
      <w:r w:rsidRPr="00A35208">
        <w:rPr>
          <w:rFonts w:ascii="Calibri" w:hAnsi="Calibri" w:cs="Calibri"/>
          <w:i/>
          <w:iCs/>
        </w:rPr>
        <w:t>Behavior and the natural environment</w:t>
      </w:r>
      <w:r w:rsidRPr="00A35208">
        <w:rPr>
          <w:rFonts w:ascii="Calibri" w:hAnsi="Calibri" w:cs="Calibri"/>
        </w:rPr>
        <w:t>. New York: Springer, pp. 85–125.</w:t>
      </w:r>
    </w:p>
    <w:p w14:paraId="409F879A" w14:textId="77777777" w:rsidR="00A35208" w:rsidRPr="00A35208" w:rsidRDefault="00A35208" w:rsidP="00A35208">
      <w:pPr>
        <w:pStyle w:val="Bibliography"/>
        <w:rPr>
          <w:rFonts w:ascii="Calibri" w:hAnsi="Calibri" w:cs="Calibri"/>
        </w:rPr>
      </w:pPr>
      <w:r w:rsidRPr="00A35208">
        <w:rPr>
          <w:rFonts w:ascii="Calibri" w:hAnsi="Calibri" w:cs="Calibri"/>
        </w:rPr>
        <w:t xml:space="preserve">Ulrich, R.S. (1984) ‘View through a window may influence recovery from surgery’, </w:t>
      </w:r>
      <w:r w:rsidRPr="00A35208">
        <w:rPr>
          <w:rFonts w:ascii="Calibri" w:hAnsi="Calibri" w:cs="Calibri"/>
          <w:i/>
          <w:iCs/>
        </w:rPr>
        <w:t>science</w:t>
      </w:r>
      <w:r w:rsidRPr="00A35208">
        <w:rPr>
          <w:rFonts w:ascii="Calibri" w:hAnsi="Calibri" w:cs="Calibri"/>
        </w:rPr>
        <w:t>, 224(4647), pp. 420–421.</w:t>
      </w:r>
    </w:p>
    <w:p w14:paraId="4321F962" w14:textId="77777777" w:rsidR="00A35208" w:rsidRPr="00A35208" w:rsidRDefault="00A35208" w:rsidP="00A35208">
      <w:pPr>
        <w:pStyle w:val="Bibliography"/>
        <w:rPr>
          <w:rFonts w:ascii="Calibri" w:hAnsi="Calibri" w:cs="Calibri"/>
        </w:rPr>
      </w:pPr>
      <w:r w:rsidRPr="00A35208">
        <w:rPr>
          <w:rFonts w:ascii="Calibri" w:hAnsi="Calibri" w:cs="Calibri"/>
        </w:rPr>
        <w:t xml:space="preserve">Ulrich, R.S. </w:t>
      </w:r>
      <w:r w:rsidRPr="00A35208">
        <w:rPr>
          <w:rFonts w:ascii="Calibri" w:hAnsi="Calibri" w:cs="Calibri"/>
          <w:i/>
          <w:iCs/>
        </w:rPr>
        <w:t>et al.</w:t>
      </w:r>
      <w:r w:rsidRPr="00A35208">
        <w:rPr>
          <w:rFonts w:ascii="Calibri" w:hAnsi="Calibri" w:cs="Calibri"/>
        </w:rPr>
        <w:t xml:space="preserve"> (1991) ‘Stress recovery during exposure to natural and urban environments’, </w:t>
      </w:r>
      <w:r w:rsidRPr="00A35208">
        <w:rPr>
          <w:rFonts w:ascii="Calibri" w:hAnsi="Calibri" w:cs="Calibri"/>
          <w:i/>
          <w:iCs/>
        </w:rPr>
        <w:t>Journal of Environmental Psychology</w:t>
      </w:r>
      <w:r w:rsidRPr="00A35208">
        <w:rPr>
          <w:rFonts w:ascii="Calibri" w:hAnsi="Calibri" w:cs="Calibri"/>
        </w:rPr>
        <w:t>, 11(3), pp. 201–230. Available at: https://doi.org/10.1016/S0272-4944(05)80184-7.</w:t>
      </w:r>
    </w:p>
    <w:p w14:paraId="096907A9" w14:textId="77777777" w:rsidR="00A35208" w:rsidRPr="00A35208" w:rsidRDefault="00A35208" w:rsidP="00A35208">
      <w:pPr>
        <w:pStyle w:val="Bibliography"/>
        <w:rPr>
          <w:rFonts w:ascii="Calibri" w:hAnsi="Calibri" w:cs="Calibri"/>
        </w:rPr>
      </w:pPr>
      <w:r w:rsidRPr="00A35208">
        <w:rPr>
          <w:rFonts w:ascii="Calibri" w:hAnsi="Calibri" w:cs="Calibri"/>
        </w:rPr>
        <w:t xml:space="preserve">Ulrich, R.S. (1993) ‘Biophilia, biophobia, and natural landscapes’, in S.R. Kellert and E.O. Wilson (eds) </w:t>
      </w:r>
      <w:r w:rsidRPr="00A35208">
        <w:rPr>
          <w:rFonts w:ascii="Calibri" w:hAnsi="Calibri" w:cs="Calibri"/>
          <w:i/>
          <w:iCs/>
        </w:rPr>
        <w:t>The biophilia hypothesis</w:t>
      </w:r>
      <w:r w:rsidRPr="00A35208">
        <w:rPr>
          <w:rFonts w:ascii="Calibri" w:hAnsi="Calibri" w:cs="Calibri"/>
        </w:rPr>
        <w:t>. Washington, D.C.: Washington, D.C. : Island Press, 1993, pp. 73–137.</w:t>
      </w:r>
    </w:p>
    <w:p w14:paraId="1D5796D1" w14:textId="77777777" w:rsidR="00A35208" w:rsidRPr="00A35208" w:rsidRDefault="00A35208" w:rsidP="00A35208">
      <w:pPr>
        <w:pStyle w:val="Bibliography"/>
        <w:rPr>
          <w:rFonts w:ascii="Calibri" w:hAnsi="Calibri" w:cs="Calibri"/>
        </w:rPr>
      </w:pPr>
      <w:r w:rsidRPr="00A35208">
        <w:rPr>
          <w:rFonts w:ascii="Calibri" w:hAnsi="Calibri" w:cs="Calibri"/>
        </w:rPr>
        <w:t>United Nations (1992) ‘Convention on Biological Diversity’. United Nations.</w:t>
      </w:r>
    </w:p>
    <w:p w14:paraId="4441A126" w14:textId="77777777" w:rsidR="00A35208" w:rsidRPr="00A35208" w:rsidRDefault="00A35208" w:rsidP="00A35208">
      <w:pPr>
        <w:pStyle w:val="Bibliography"/>
        <w:rPr>
          <w:rFonts w:ascii="Calibri" w:hAnsi="Calibri" w:cs="Calibri"/>
        </w:rPr>
      </w:pPr>
      <w:r w:rsidRPr="00A35208">
        <w:rPr>
          <w:rFonts w:ascii="Calibri" w:hAnsi="Calibri" w:cs="Calibri"/>
        </w:rPr>
        <w:t xml:space="preserve">Upreti, G. (2023) ‘Biodiversity and Ecosystem Destruction’, in Upreti, G., </w:t>
      </w:r>
      <w:r w:rsidRPr="00A35208">
        <w:rPr>
          <w:rFonts w:ascii="Calibri" w:hAnsi="Calibri" w:cs="Calibri"/>
          <w:i/>
          <w:iCs/>
        </w:rPr>
        <w:t>Ecosociocentrism</w:t>
      </w:r>
      <w:r w:rsidRPr="00A35208">
        <w:rPr>
          <w:rFonts w:ascii="Calibri" w:hAnsi="Calibri" w:cs="Calibri"/>
        </w:rPr>
        <w:t>. Cham: Springer Nature Switzerland, pp. 31–64. Available at: https://doi.org/10.1007/978-3-031-41754-2_3.</w:t>
      </w:r>
    </w:p>
    <w:p w14:paraId="24D004C0" w14:textId="77777777" w:rsidR="00A35208" w:rsidRPr="00A35208" w:rsidRDefault="00A35208" w:rsidP="00A35208">
      <w:pPr>
        <w:pStyle w:val="Bibliography"/>
        <w:rPr>
          <w:rFonts w:ascii="Calibri" w:hAnsi="Calibri" w:cs="Calibri"/>
        </w:rPr>
      </w:pPr>
      <w:r w:rsidRPr="00A35208">
        <w:rPr>
          <w:rFonts w:ascii="Calibri" w:hAnsi="Calibri" w:cs="Calibri"/>
        </w:rPr>
        <w:t xml:space="preserve">Van Den Berg, A.E. and Custers, M.H.G. (2011) ‘Gardening Promotes Neuroendocrine and Affective Restoration from Stress’, </w:t>
      </w:r>
      <w:r w:rsidRPr="00A35208">
        <w:rPr>
          <w:rFonts w:ascii="Calibri" w:hAnsi="Calibri" w:cs="Calibri"/>
          <w:i/>
          <w:iCs/>
        </w:rPr>
        <w:t>Journal of Health Psychology</w:t>
      </w:r>
      <w:r w:rsidRPr="00A35208">
        <w:rPr>
          <w:rFonts w:ascii="Calibri" w:hAnsi="Calibri" w:cs="Calibri"/>
        </w:rPr>
        <w:t>, 16(1), pp. 3–11. Available at: https://doi.org/10.1177/1359105310365577.</w:t>
      </w:r>
    </w:p>
    <w:p w14:paraId="5B52FA56" w14:textId="77777777" w:rsidR="00A35208" w:rsidRPr="00A35208" w:rsidRDefault="00A35208" w:rsidP="00A35208">
      <w:pPr>
        <w:pStyle w:val="Bibliography"/>
        <w:rPr>
          <w:rFonts w:ascii="Calibri" w:hAnsi="Calibri" w:cs="Calibri"/>
        </w:rPr>
      </w:pPr>
      <w:r w:rsidRPr="00A35208">
        <w:rPr>
          <w:rFonts w:ascii="Calibri" w:hAnsi="Calibri" w:cs="Calibri"/>
        </w:rPr>
        <w:t xml:space="preserve">Van Den Berg, A.E., Jorgensen, A. and Wilson, E.R. (2014) ‘Evaluating restoration in urban green spaces: Does setting type make a difference?’, </w:t>
      </w:r>
      <w:r w:rsidRPr="00A35208">
        <w:rPr>
          <w:rFonts w:ascii="Calibri" w:hAnsi="Calibri" w:cs="Calibri"/>
          <w:i/>
          <w:iCs/>
        </w:rPr>
        <w:t>Landscape and Urban Planning</w:t>
      </w:r>
      <w:r w:rsidRPr="00A35208">
        <w:rPr>
          <w:rFonts w:ascii="Calibri" w:hAnsi="Calibri" w:cs="Calibri"/>
        </w:rPr>
        <w:t>, 127(C), pp. 173–181. Available at: https://doi.org/10.1016/j.landurbplan.2014.04.012.</w:t>
      </w:r>
    </w:p>
    <w:p w14:paraId="195AA51D" w14:textId="77777777" w:rsidR="00A35208" w:rsidRPr="00A35208" w:rsidRDefault="00A35208" w:rsidP="00A35208">
      <w:pPr>
        <w:pStyle w:val="Bibliography"/>
        <w:rPr>
          <w:rFonts w:ascii="Calibri" w:hAnsi="Calibri" w:cs="Calibri"/>
        </w:rPr>
      </w:pPr>
      <w:r w:rsidRPr="00A35208">
        <w:rPr>
          <w:rFonts w:ascii="Calibri" w:hAnsi="Calibri" w:cs="Calibri"/>
        </w:rPr>
        <w:lastRenderedPageBreak/>
        <w:t xml:space="preserve">Van Den Bogerd, N. </w:t>
      </w:r>
      <w:r w:rsidRPr="00A35208">
        <w:rPr>
          <w:rFonts w:ascii="Calibri" w:hAnsi="Calibri" w:cs="Calibri"/>
          <w:i/>
          <w:iCs/>
        </w:rPr>
        <w:t>et al.</w:t>
      </w:r>
      <w:r w:rsidRPr="00A35208">
        <w:rPr>
          <w:rFonts w:ascii="Calibri" w:hAnsi="Calibri" w:cs="Calibri"/>
        </w:rPr>
        <w:t xml:space="preserve"> (2018) ‘Greenery in the university environment: Students’ preferences and perceived restoration likelihood’, </w:t>
      </w:r>
      <w:r w:rsidRPr="00A35208">
        <w:rPr>
          <w:rFonts w:ascii="Calibri" w:hAnsi="Calibri" w:cs="Calibri"/>
          <w:i/>
          <w:iCs/>
        </w:rPr>
        <w:t>PLoS ONE</w:t>
      </w:r>
      <w:r w:rsidRPr="00A35208">
        <w:rPr>
          <w:rFonts w:ascii="Calibri" w:hAnsi="Calibri" w:cs="Calibri"/>
        </w:rPr>
        <w:t>, 13(2). Available at: https://doi.org/10.1371/journal.pone.0192429.</w:t>
      </w:r>
    </w:p>
    <w:p w14:paraId="457D0447" w14:textId="77777777" w:rsidR="00A35208" w:rsidRPr="00A35208" w:rsidRDefault="00A35208" w:rsidP="00A35208">
      <w:pPr>
        <w:pStyle w:val="Bibliography"/>
        <w:rPr>
          <w:rFonts w:ascii="Calibri" w:hAnsi="Calibri" w:cs="Calibri"/>
        </w:rPr>
      </w:pPr>
      <w:r w:rsidRPr="00A35208">
        <w:rPr>
          <w:rFonts w:ascii="Calibri" w:hAnsi="Calibri" w:cs="Calibri"/>
        </w:rPr>
        <w:t xml:space="preserve">Van Hedger, S.C. </w:t>
      </w:r>
      <w:r w:rsidRPr="00A35208">
        <w:rPr>
          <w:rFonts w:ascii="Calibri" w:hAnsi="Calibri" w:cs="Calibri"/>
          <w:i/>
          <w:iCs/>
        </w:rPr>
        <w:t>et al.</w:t>
      </w:r>
      <w:r w:rsidRPr="00A35208">
        <w:rPr>
          <w:rFonts w:ascii="Calibri" w:hAnsi="Calibri" w:cs="Calibri"/>
        </w:rPr>
        <w:t xml:space="preserve"> (2019) ‘The Aesthetic Preference for Nature Sounds Depends on Sound Object Recognition’, </w:t>
      </w:r>
      <w:r w:rsidRPr="00A35208">
        <w:rPr>
          <w:rFonts w:ascii="Calibri" w:hAnsi="Calibri" w:cs="Calibri"/>
          <w:i/>
          <w:iCs/>
        </w:rPr>
        <w:t>Cognitive Science</w:t>
      </w:r>
      <w:r w:rsidRPr="00A35208">
        <w:rPr>
          <w:rFonts w:ascii="Calibri" w:hAnsi="Calibri" w:cs="Calibri"/>
        </w:rPr>
        <w:t>, 43(5), p. e12734. Available at: https://doi.org/10.1111/cogs.12734.</w:t>
      </w:r>
    </w:p>
    <w:p w14:paraId="681A0137" w14:textId="77777777" w:rsidR="00A35208" w:rsidRPr="00A35208" w:rsidRDefault="00A35208" w:rsidP="00A35208">
      <w:pPr>
        <w:pStyle w:val="Bibliography"/>
        <w:rPr>
          <w:rFonts w:ascii="Calibri" w:hAnsi="Calibri" w:cs="Calibri"/>
        </w:rPr>
      </w:pPr>
      <w:r w:rsidRPr="00A35208">
        <w:rPr>
          <w:rFonts w:ascii="Calibri" w:hAnsi="Calibri" w:cs="Calibri"/>
        </w:rPr>
        <w:t xml:space="preserve">Vogdrup-Schmidt, M., Strange, N. and Thorsen, B.J. (2019) ‘Support for Transnational Conservation in a Gain-Loss Context’, </w:t>
      </w:r>
      <w:r w:rsidRPr="00A35208">
        <w:rPr>
          <w:rFonts w:ascii="Calibri" w:hAnsi="Calibri" w:cs="Calibri"/>
          <w:i/>
          <w:iCs/>
        </w:rPr>
        <w:t>Ecological Economics</w:t>
      </w:r>
      <w:r w:rsidRPr="00A35208">
        <w:rPr>
          <w:rFonts w:ascii="Calibri" w:hAnsi="Calibri" w:cs="Calibri"/>
        </w:rPr>
        <w:t>, 162, pp. 49–58. Available at: https://doi.org/10.1016/j.ecolecon.2019.04.026.</w:t>
      </w:r>
    </w:p>
    <w:p w14:paraId="48AD8AA0" w14:textId="77777777" w:rsidR="00A35208" w:rsidRPr="00A35208" w:rsidRDefault="00A35208" w:rsidP="00A35208">
      <w:pPr>
        <w:pStyle w:val="Bibliography"/>
        <w:rPr>
          <w:rFonts w:ascii="Calibri" w:hAnsi="Calibri" w:cs="Calibri"/>
        </w:rPr>
      </w:pPr>
      <w:r w:rsidRPr="00A35208">
        <w:rPr>
          <w:rFonts w:ascii="Calibri" w:hAnsi="Calibri" w:cs="Calibri"/>
        </w:rPr>
        <w:t xml:space="preserve">Wang, X. </w:t>
      </w:r>
      <w:r w:rsidRPr="00A35208">
        <w:rPr>
          <w:rFonts w:ascii="Calibri" w:hAnsi="Calibri" w:cs="Calibri"/>
          <w:i/>
          <w:iCs/>
        </w:rPr>
        <w:t>et al.</w:t>
      </w:r>
      <w:r w:rsidRPr="00A35208">
        <w:rPr>
          <w:rFonts w:ascii="Calibri" w:hAnsi="Calibri" w:cs="Calibri"/>
        </w:rPr>
        <w:t xml:space="preserve"> (2016) ‘Stress recovery and restorative effects of viewing different urban park scenes in Shanghai, China’, </w:t>
      </w:r>
      <w:r w:rsidRPr="00A35208">
        <w:rPr>
          <w:rFonts w:ascii="Calibri" w:hAnsi="Calibri" w:cs="Calibri"/>
          <w:i/>
          <w:iCs/>
        </w:rPr>
        <w:t>Urban Forestry and Urban Greening</w:t>
      </w:r>
      <w:r w:rsidRPr="00A35208">
        <w:rPr>
          <w:rFonts w:ascii="Calibri" w:hAnsi="Calibri" w:cs="Calibri"/>
        </w:rPr>
        <w:t>, 15, pp. 112–122. Available at: https://doi.org/10.1016/j.ufug.2015.12.003.</w:t>
      </w:r>
    </w:p>
    <w:p w14:paraId="44ABE854" w14:textId="77777777" w:rsidR="00A35208" w:rsidRPr="00A35208" w:rsidRDefault="00A35208" w:rsidP="00A35208">
      <w:pPr>
        <w:pStyle w:val="Bibliography"/>
        <w:rPr>
          <w:rFonts w:ascii="Calibri" w:hAnsi="Calibri" w:cs="Calibri"/>
        </w:rPr>
      </w:pPr>
      <w:r w:rsidRPr="00A35208">
        <w:rPr>
          <w:rFonts w:ascii="Calibri" w:hAnsi="Calibri" w:cs="Calibri"/>
        </w:rPr>
        <w:t xml:space="preserve">Watson, D. and Clark, L.A. (1992) ‘On Traits and Temperament: General and Specific Factors of Emotional Experience and Their Relation to the Five‐Factor Model’, </w:t>
      </w:r>
      <w:r w:rsidRPr="00A35208">
        <w:rPr>
          <w:rFonts w:ascii="Calibri" w:hAnsi="Calibri" w:cs="Calibri"/>
          <w:i/>
          <w:iCs/>
        </w:rPr>
        <w:t>Journal of Personality</w:t>
      </w:r>
      <w:r w:rsidRPr="00A35208">
        <w:rPr>
          <w:rFonts w:ascii="Calibri" w:hAnsi="Calibri" w:cs="Calibri"/>
        </w:rPr>
        <w:t>, 60(2), pp. 441–476. Available at: https://doi.org/10.1111/j.1467-6494.1992.tb00980.x.</w:t>
      </w:r>
    </w:p>
    <w:p w14:paraId="11FCADF1" w14:textId="77777777" w:rsidR="00A35208" w:rsidRPr="00A35208" w:rsidRDefault="00A35208" w:rsidP="00A35208">
      <w:pPr>
        <w:pStyle w:val="Bibliography"/>
        <w:rPr>
          <w:rFonts w:ascii="Calibri" w:hAnsi="Calibri" w:cs="Calibri"/>
        </w:rPr>
      </w:pPr>
      <w:r w:rsidRPr="00A35208">
        <w:rPr>
          <w:rFonts w:ascii="Calibri" w:hAnsi="Calibri" w:cs="Calibri"/>
        </w:rPr>
        <w:t>Watson, D. and Clark, L.A. (1994) ‘The PANAS-X Manual for the Positive and Negative Affect Schedule - Expanded Form’.</w:t>
      </w:r>
    </w:p>
    <w:p w14:paraId="25A9BEB5" w14:textId="77777777" w:rsidR="00A35208" w:rsidRPr="00A35208" w:rsidRDefault="00A35208" w:rsidP="00A35208">
      <w:pPr>
        <w:pStyle w:val="Bibliography"/>
        <w:rPr>
          <w:rFonts w:ascii="Calibri" w:hAnsi="Calibri" w:cs="Calibri"/>
        </w:rPr>
      </w:pPr>
      <w:r w:rsidRPr="00A35208">
        <w:rPr>
          <w:rFonts w:ascii="Calibri" w:hAnsi="Calibri" w:cs="Calibri"/>
        </w:rPr>
        <w:t xml:space="preserve">Watson, D., Clark, L.A. and Tellegen, A. (1988) ‘Development and validation of brief measures of positive and negative affect: the PANAS scales.’, </w:t>
      </w:r>
      <w:r w:rsidRPr="00A35208">
        <w:rPr>
          <w:rFonts w:ascii="Calibri" w:hAnsi="Calibri" w:cs="Calibri"/>
          <w:i/>
          <w:iCs/>
        </w:rPr>
        <w:t>Journal of personality and social psychology</w:t>
      </w:r>
      <w:r w:rsidRPr="00A35208">
        <w:rPr>
          <w:rFonts w:ascii="Calibri" w:hAnsi="Calibri" w:cs="Calibri"/>
        </w:rPr>
        <w:t>, 54(6), p. 1063.</w:t>
      </w:r>
    </w:p>
    <w:p w14:paraId="7C05FC84" w14:textId="77777777" w:rsidR="00A35208" w:rsidRPr="00A35208" w:rsidRDefault="00A35208" w:rsidP="00A35208">
      <w:pPr>
        <w:pStyle w:val="Bibliography"/>
        <w:rPr>
          <w:rFonts w:ascii="Calibri" w:hAnsi="Calibri" w:cs="Calibri"/>
        </w:rPr>
      </w:pPr>
      <w:r w:rsidRPr="00A35208">
        <w:rPr>
          <w:rFonts w:ascii="Calibri" w:hAnsi="Calibri" w:cs="Calibri"/>
        </w:rPr>
        <w:t xml:space="preserve">Wen, Y. </w:t>
      </w:r>
      <w:r w:rsidRPr="00A35208">
        <w:rPr>
          <w:rFonts w:ascii="Calibri" w:hAnsi="Calibri" w:cs="Calibri"/>
          <w:i/>
          <w:iCs/>
        </w:rPr>
        <w:t>et al.</w:t>
      </w:r>
      <w:r w:rsidRPr="00A35208">
        <w:rPr>
          <w:rFonts w:ascii="Calibri" w:hAnsi="Calibri" w:cs="Calibri"/>
        </w:rPr>
        <w:t xml:space="preserve"> (2019) ‘Medical empirical research on forest bathing (Shinrin-yoku): A systematic review’, </w:t>
      </w:r>
      <w:r w:rsidRPr="00A35208">
        <w:rPr>
          <w:rFonts w:ascii="Calibri" w:hAnsi="Calibri" w:cs="Calibri"/>
          <w:i/>
          <w:iCs/>
        </w:rPr>
        <w:t>Environmental Health and Preventive Medicine</w:t>
      </w:r>
      <w:r w:rsidRPr="00A35208">
        <w:rPr>
          <w:rFonts w:ascii="Calibri" w:hAnsi="Calibri" w:cs="Calibri"/>
        </w:rPr>
        <w:t>, 24(1), pp. 1–21. Available at: https://doi.org/10.1186/s12199-019-0822-8.</w:t>
      </w:r>
    </w:p>
    <w:p w14:paraId="0CB56132" w14:textId="77777777" w:rsidR="00A35208" w:rsidRPr="00A35208" w:rsidRDefault="00A35208" w:rsidP="00A35208">
      <w:pPr>
        <w:pStyle w:val="Bibliography"/>
        <w:rPr>
          <w:rFonts w:ascii="Calibri" w:hAnsi="Calibri" w:cs="Calibri"/>
        </w:rPr>
      </w:pPr>
      <w:r w:rsidRPr="00A35208">
        <w:rPr>
          <w:rFonts w:ascii="Calibri" w:hAnsi="Calibri" w:cs="Calibri"/>
        </w:rPr>
        <w:t xml:space="preserve">White, M. </w:t>
      </w:r>
      <w:r w:rsidRPr="00A35208">
        <w:rPr>
          <w:rFonts w:ascii="Calibri" w:hAnsi="Calibri" w:cs="Calibri"/>
          <w:i/>
          <w:iCs/>
        </w:rPr>
        <w:t>et al.</w:t>
      </w:r>
      <w:r w:rsidRPr="00A35208">
        <w:rPr>
          <w:rFonts w:ascii="Calibri" w:hAnsi="Calibri" w:cs="Calibri"/>
        </w:rPr>
        <w:t xml:space="preserve"> (2010) ‘Blue space: The importance of water for preference, affect, and restorativeness ratings of natural and built scenes’, </w:t>
      </w:r>
      <w:r w:rsidRPr="00A35208">
        <w:rPr>
          <w:rFonts w:ascii="Calibri" w:hAnsi="Calibri" w:cs="Calibri"/>
          <w:i/>
          <w:iCs/>
        </w:rPr>
        <w:t>Journal of Environmental Psychology</w:t>
      </w:r>
      <w:r w:rsidRPr="00A35208">
        <w:rPr>
          <w:rFonts w:ascii="Calibri" w:hAnsi="Calibri" w:cs="Calibri"/>
        </w:rPr>
        <w:t>, 30(4), pp. 482–493. Available at: https://doi.org/10.1016/j.jenvp.2010.04.004.</w:t>
      </w:r>
    </w:p>
    <w:p w14:paraId="255E7DC7" w14:textId="77777777" w:rsidR="00A35208" w:rsidRPr="00A35208" w:rsidRDefault="00A35208" w:rsidP="00A35208">
      <w:pPr>
        <w:pStyle w:val="Bibliography"/>
        <w:rPr>
          <w:rFonts w:ascii="Calibri" w:hAnsi="Calibri" w:cs="Calibri"/>
        </w:rPr>
      </w:pPr>
      <w:r w:rsidRPr="00A35208">
        <w:rPr>
          <w:rFonts w:ascii="Calibri" w:hAnsi="Calibri" w:cs="Calibri"/>
        </w:rPr>
        <w:t xml:space="preserve">Wilkie, S. and Clouston, L. (2015) ‘Environment preference and environment type congruence: Effects on perceived restoration potential and restoration outcomes’, </w:t>
      </w:r>
      <w:r w:rsidRPr="00A35208">
        <w:rPr>
          <w:rFonts w:ascii="Calibri" w:hAnsi="Calibri" w:cs="Calibri"/>
          <w:i/>
          <w:iCs/>
        </w:rPr>
        <w:t>Urban Forestry and Urban Greening</w:t>
      </w:r>
      <w:r w:rsidRPr="00A35208">
        <w:rPr>
          <w:rFonts w:ascii="Calibri" w:hAnsi="Calibri" w:cs="Calibri"/>
        </w:rPr>
        <w:t>, 14(2), pp. 368–376. Available at: https://doi.org/10.1016/j.ufug.2015.03.002.</w:t>
      </w:r>
    </w:p>
    <w:p w14:paraId="350C0121" w14:textId="77777777" w:rsidR="00A35208" w:rsidRPr="00A35208" w:rsidRDefault="00A35208" w:rsidP="00A35208">
      <w:pPr>
        <w:pStyle w:val="Bibliography"/>
        <w:rPr>
          <w:rFonts w:ascii="Calibri" w:hAnsi="Calibri" w:cs="Calibri"/>
        </w:rPr>
      </w:pPr>
      <w:r w:rsidRPr="00A35208">
        <w:rPr>
          <w:rFonts w:ascii="Calibri" w:hAnsi="Calibri" w:cs="Calibri"/>
        </w:rPr>
        <w:t xml:space="preserve">Williams, G.M. and Smith, A.P. (2016) ‘Using Single-Item Measures to Examine the Relationships between Work, Personality, and Well-Being in the Workplace’, </w:t>
      </w:r>
      <w:r w:rsidRPr="00A35208">
        <w:rPr>
          <w:rFonts w:ascii="Calibri" w:hAnsi="Calibri" w:cs="Calibri"/>
          <w:i/>
          <w:iCs/>
        </w:rPr>
        <w:t>Psychology</w:t>
      </w:r>
      <w:r w:rsidRPr="00A35208">
        <w:rPr>
          <w:rFonts w:ascii="Calibri" w:hAnsi="Calibri" w:cs="Calibri"/>
        </w:rPr>
        <w:t>, 07(06), pp. 753–767. Available at: https://doi.org/10.4236/psych.2016.76078.</w:t>
      </w:r>
    </w:p>
    <w:p w14:paraId="28940D8E" w14:textId="77777777" w:rsidR="00A35208" w:rsidRPr="00A35208" w:rsidRDefault="00A35208" w:rsidP="00A35208">
      <w:pPr>
        <w:pStyle w:val="Bibliography"/>
        <w:rPr>
          <w:rFonts w:ascii="Calibri" w:hAnsi="Calibri" w:cs="Calibri"/>
        </w:rPr>
      </w:pPr>
      <w:r w:rsidRPr="00A35208">
        <w:rPr>
          <w:rFonts w:ascii="Calibri" w:hAnsi="Calibri" w:cs="Calibri"/>
        </w:rPr>
        <w:t xml:space="preserve">Wilson, E.O. (1984) </w:t>
      </w:r>
      <w:r w:rsidRPr="00A35208">
        <w:rPr>
          <w:rFonts w:ascii="Calibri" w:hAnsi="Calibri" w:cs="Calibri"/>
          <w:i/>
          <w:iCs/>
        </w:rPr>
        <w:t>Biophilia</w:t>
      </w:r>
      <w:r w:rsidRPr="00A35208">
        <w:rPr>
          <w:rFonts w:ascii="Calibri" w:hAnsi="Calibri" w:cs="Calibri"/>
        </w:rPr>
        <w:t>. Cambridge, MA: Cambridge, MA : Harvard University Press, 1984.</w:t>
      </w:r>
    </w:p>
    <w:p w14:paraId="52D8CDC3" w14:textId="77777777" w:rsidR="00A35208" w:rsidRPr="00A35208" w:rsidRDefault="00A35208" w:rsidP="00A35208">
      <w:pPr>
        <w:pStyle w:val="Bibliography"/>
        <w:rPr>
          <w:rFonts w:ascii="Calibri" w:hAnsi="Calibri" w:cs="Calibri"/>
        </w:rPr>
      </w:pPr>
      <w:r w:rsidRPr="00A35208">
        <w:rPr>
          <w:rFonts w:ascii="Calibri" w:hAnsi="Calibri" w:cs="Calibri"/>
        </w:rPr>
        <w:lastRenderedPageBreak/>
        <w:t xml:space="preserve">Wilson, E.O. (1993) ‘Biophilia and the Conservation Ethic’, in S.R. Kellert and E.O. Wilson (eds) </w:t>
      </w:r>
      <w:r w:rsidRPr="00A35208">
        <w:rPr>
          <w:rFonts w:ascii="Calibri" w:hAnsi="Calibri" w:cs="Calibri"/>
          <w:i/>
          <w:iCs/>
        </w:rPr>
        <w:t>The biophilia hypothesis</w:t>
      </w:r>
      <w:r w:rsidRPr="00A35208">
        <w:rPr>
          <w:rFonts w:ascii="Calibri" w:hAnsi="Calibri" w:cs="Calibri"/>
        </w:rPr>
        <w:t>. Washington, D.C.: Washington, D.C. : Island Press, 1993, pp. 31–41.</w:t>
      </w:r>
    </w:p>
    <w:p w14:paraId="625A8F20" w14:textId="77777777" w:rsidR="00A35208" w:rsidRPr="00A35208" w:rsidRDefault="00A35208" w:rsidP="00A35208">
      <w:pPr>
        <w:pStyle w:val="Bibliography"/>
        <w:rPr>
          <w:rFonts w:ascii="Calibri" w:hAnsi="Calibri" w:cs="Calibri"/>
        </w:rPr>
      </w:pPr>
      <w:r w:rsidRPr="00A35208">
        <w:rPr>
          <w:rFonts w:ascii="Calibri" w:hAnsi="Calibri" w:cs="Calibri"/>
        </w:rPr>
        <w:t xml:space="preserve">Wolf, K.L. </w:t>
      </w:r>
      <w:r w:rsidRPr="00A35208">
        <w:rPr>
          <w:rFonts w:ascii="Calibri" w:hAnsi="Calibri" w:cs="Calibri"/>
          <w:i/>
          <w:iCs/>
        </w:rPr>
        <w:t>et al.</w:t>
      </w:r>
      <w:r w:rsidRPr="00A35208">
        <w:rPr>
          <w:rFonts w:ascii="Calibri" w:hAnsi="Calibri" w:cs="Calibri"/>
        </w:rPr>
        <w:t xml:space="preserve"> (2020) ‘Urban Trees and Human Health: A Scoping Review’, </w:t>
      </w:r>
      <w:r w:rsidRPr="00A35208">
        <w:rPr>
          <w:rFonts w:ascii="Calibri" w:hAnsi="Calibri" w:cs="Calibri"/>
          <w:i/>
          <w:iCs/>
        </w:rPr>
        <w:t>International Journal of Environmental Research and Public Health</w:t>
      </w:r>
      <w:r w:rsidRPr="00A35208">
        <w:rPr>
          <w:rFonts w:ascii="Calibri" w:hAnsi="Calibri" w:cs="Calibri"/>
        </w:rPr>
        <w:t>, 17(12), p. 4371. Available at: https://doi.org/10.3390/ijerph17124371.</w:t>
      </w:r>
    </w:p>
    <w:p w14:paraId="47319DEF" w14:textId="77777777" w:rsidR="00A35208" w:rsidRPr="00A35208" w:rsidRDefault="00A35208" w:rsidP="00A35208">
      <w:pPr>
        <w:pStyle w:val="Bibliography"/>
        <w:rPr>
          <w:rFonts w:ascii="Calibri" w:hAnsi="Calibri" w:cs="Calibri"/>
        </w:rPr>
      </w:pPr>
      <w:r w:rsidRPr="00A35208">
        <w:rPr>
          <w:rFonts w:ascii="Calibri" w:hAnsi="Calibri" w:cs="Calibri"/>
        </w:rPr>
        <w:t xml:space="preserve">Wolf, L.J. </w:t>
      </w:r>
      <w:r w:rsidRPr="00A35208">
        <w:rPr>
          <w:rFonts w:ascii="Calibri" w:hAnsi="Calibri" w:cs="Calibri"/>
          <w:i/>
          <w:iCs/>
        </w:rPr>
        <w:t>et al.</w:t>
      </w:r>
      <w:r w:rsidRPr="00A35208">
        <w:rPr>
          <w:rFonts w:ascii="Calibri" w:hAnsi="Calibri" w:cs="Calibri"/>
        </w:rPr>
        <w:t xml:space="preserve"> (2017) ‘Is Variety the Spice of Life? An Experimental Investigation into the Effects of Species Richness on Self-Reported Mental Well-Being.’, </w:t>
      </w:r>
      <w:r w:rsidRPr="00A35208">
        <w:rPr>
          <w:rFonts w:ascii="Calibri" w:hAnsi="Calibri" w:cs="Calibri"/>
          <w:i/>
          <w:iCs/>
        </w:rPr>
        <w:t>PloS one</w:t>
      </w:r>
      <w:r w:rsidRPr="00A35208">
        <w:rPr>
          <w:rFonts w:ascii="Calibri" w:hAnsi="Calibri" w:cs="Calibri"/>
        </w:rPr>
        <w:t>. Edited by L.J. Wolf, 12(1), pp. e0170225–e0170225. Available at: https://doi.org/10.1371/journal.pone.0170225.</w:t>
      </w:r>
    </w:p>
    <w:p w14:paraId="5584B576" w14:textId="77777777" w:rsidR="00A35208" w:rsidRPr="00A35208" w:rsidRDefault="00A35208" w:rsidP="00A35208">
      <w:pPr>
        <w:pStyle w:val="Bibliography"/>
        <w:rPr>
          <w:rFonts w:ascii="Calibri" w:hAnsi="Calibri" w:cs="Calibri"/>
        </w:rPr>
      </w:pPr>
      <w:r w:rsidRPr="00A35208">
        <w:rPr>
          <w:rFonts w:ascii="Calibri" w:hAnsi="Calibri" w:cs="Calibri"/>
        </w:rPr>
        <w:t xml:space="preserve">Wood, E. </w:t>
      </w:r>
      <w:r w:rsidRPr="00A35208">
        <w:rPr>
          <w:rFonts w:ascii="Calibri" w:hAnsi="Calibri" w:cs="Calibri"/>
          <w:i/>
          <w:iCs/>
        </w:rPr>
        <w:t>et al.</w:t>
      </w:r>
      <w:r w:rsidRPr="00A35208">
        <w:rPr>
          <w:rFonts w:ascii="Calibri" w:hAnsi="Calibri" w:cs="Calibri"/>
        </w:rPr>
        <w:t xml:space="preserve"> (2018) ‘Not all green space is created equal: Biodiversity predicts psychological restorative benefits from urban green space’, </w:t>
      </w:r>
      <w:r w:rsidRPr="00A35208">
        <w:rPr>
          <w:rFonts w:ascii="Calibri" w:hAnsi="Calibri" w:cs="Calibri"/>
          <w:i/>
          <w:iCs/>
        </w:rPr>
        <w:t>Frontiers in Psychology</w:t>
      </w:r>
      <w:r w:rsidRPr="00A35208">
        <w:rPr>
          <w:rFonts w:ascii="Calibri" w:hAnsi="Calibri" w:cs="Calibri"/>
        </w:rPr>
        <w:t>, 9(NOV). Available at: https://doi.org/10.3389/fpsyg.2018.02320.</w:t>
      </w:r>
    </w:p>
    <w:p w14:paraId="5F324F53" w14:textId="77777777" w:rsidR="00A35208" w:rsidRPr="00A35208" w:rsidRDefault="00A35208" w:rsidP="00A35208">
      <w:pPr>
        <w:pStyle w:val="Bibliography"/>
        <w:rPr>
          <w:rFonts w:ascii="Calibri" w:hAnsi="Calibri" w:cs="Calibri"/>
        </w:rPr>
      </w:pPr>
      <w:r w:rsidRPr="00A35208">
        <w:rPr>
          <w:rFonts w:ascii="Calibri" w:hAnsi="Calibri" w:cs="Calibri"/>
        </w:rPr>
        <w:t>World Health Organization (2016) ‘Urban green spaces and health - a review of evidence.’, p. 92.</w:t>
      </w:r>
    </w:p>
    <w:p w14:paraId="281A0CBA" w14:textId="77777777" w:rsidR="00A35208" w:rsidRPr="00A35208" w:rsidRDefault="00A35208" w:rsidP="00A35208">
      <w:pPr>
        <w:pStyle w:val="Bibliography"/>
        <w:rPr>
          <w:rFonts w:ascii="Calibri" w:hAnsi="Calibri" w:cs="Calibri"/>
        </w:rPr>
      </w:pPr>
      <w:r w:rsidRPr="00A35208">
        <w:rPr>
          <w:rFonts w:ascii="Calibri" w:hAnsi="Calibri" w:cs="Calibri"/>
        </w:rPr>
        <w:t>World Health Organization (2020) ‘Basic documents: forty-ninth edition (including amendments adopted up to 31 May 2019)’. Geneva. Available at: https://apps.who.int/gb/bd/.</w:t>
      </w:r>
    </w:p>
    <w:p w14:paraId="0A6712CA" w14:textId="77777777" w:rsidR="00A35208" w:rsidRPr="00A35208" w:rsidRDefault="00A35208" w:rsidP="00A35208">
      <w:pPr>
        <w:pStyle w:val="Bibliography"/>
        <w:rPr>
          <w:rFonts w:ascii="Calibri" w:hAnsi="Calibri" w:cs="Calibri"/>
        </w:rPr>
      </w:pPr>
      <w:r w:rsidRPr="00A35208">
        <w:rPr>
          <w:rFonts w:ascii="Calibri" w:hAnsi="Calibri" w:cs="Calibri"/>
        </w:rPr>
        <w:t xml:space="preserve">Yang, J. </w:t>
      </w:r>
      <w:r w:rsidRPr="00A35208">
        <w:rPr>
          <w:rFonts w:ascii="Calibri" w:hAnsi="Calibri" w:cs="Calibri"/>
          <w:i/>
          <w:iCs/>
        </w:rPr>
        <w:t>et al.</w:t>
      </w:r>
      <w:r w:rsidRPr="00A35208">
        <w:rPr>
          <w:rFonts w:ascii="Calibri" w:hAnsi="Calibri" w:cs="Calibri"/>
        </w:rPr>
        <w:t xml:space="preserve"> (2021) ‘Gray cityscape caused by particulate matter pollution hampers human stress recovery’, </w:t>
      </w:r>
      <w:r w:rsidRPr="00A35208">
        <w:rPr>
          <w:rFonts w:ascii="Calibri" w:hAnsi="Calibri" w:cs="Calibri"/>
          <w:i/>
          <w:iCs/>
        </w:rPr>
        <w:t>Journal of Cleaner Production</w:t>
      </w:r>
      <w:r w:rsidRPr="00A35208">
        <w:rPr>
          <w:rFonts w:ascii="Calibri" w:hAnsi="Calibri" w:cs="Calibri"/>
        </w:rPr>
        <w:t>, 279, p. 123215. Available at: https://doi.org/10.1016/j.jclepro.2020.123215.</w:t>
      </w:r>
    </w:p>
    <w:p w14:paraId="2F489358" w14:textId="77777777" w:rsidR="00A35208" w:rsidRPr="00A35208" w:rsidRDefault="00A35208" w:rsidP="00A35208">
      <w:pPr>
        <w:pStyle w:val="Bibliography"/>
        <w:rPr>
          <w:rFonts w:ascii="Calibri" w:hAnsi="Calibri" w:cs="Calibri"/>
        </w:rPr>
      </w:pPr>
      <w:r w:rsidRPr="00A35208">
        <w:rPr>
          <w:rFonts w:ascii="Calibri" w:hAnsi="Calibri" w:cs="Calibri"/>
        </w:rPr>
        <w:t xml:space="preserve">Yao, W., Zhang, X. and Gong, Q. (2021) ‘The effect of exposure to the natural environment on stress reduction: A meta-analysis’, </w:t>
      </w:r>
      <w:r w:rsidRPr="00A35208">
        <w:rPr>
          <w:rFonts w:ascii="Calibri" w:hAnsi="Calibri" w:cs="Calibri"/>
          <w:i/>
          <w:iCs/>
        </w:rPr>
        <w:t>Urban Forestry &amp; Urban Greening</w:t>
      </w:r>
      <w:r w:rsidRPr="00A35208">
        <w:rPr>
          <w:rFonts w:ascii="Calibri" w:hAnsi="Calibri" w:cs="Calibri"/>
        </w:rPr>
        <w:t>, 57, pp. 1–12. Available at: https://doi.org/10.1016/j.ufug.2020.126932.</w:t>
      </w:r>
    </w:p>
    <w:p w14:paraId="0E496725" w14:textId="77777777" w:rsidR="00A35208" w:rsidRPr="00A35208" w:rsidRDefault="00A35208" w:rsidP="00A35208">
      <w:pPr>
        <w:pStyle w:val="Bibliography"/>
        <w:rPr>
          <w:rFonts w:ascii="Calibri" w:hAnsi="Calibri" w:cs="Calibri"/>
        </w:rPr>
      </w:pPr>
      <w:r w:rsidRPr="00A35208">
        <w:rPr>
          <w:rFonts w:ascii="Calibri" w:hAnsi="Calibri" w:cs="Calibri"/>
        </w:rPr>
        <w:t xml:space="preserve">Ye, H.-Y. </w:t>
      </w:r>
      <w:r w:rsidRPr="00A35208">
        <w:rPr>
          <w:rFonts w:ascii="Calibri" w:hAnsi="Calibri" w:cs="Calibri"/>
          <w:i/>
          <w:iCs/>
        </w:rPr>
        <w:t>et al.</w:t>
      </w:r>
      <w:r w:rsidRPr="00A35208">
        <w:rPr>
          <w:rFonts w:ascii="Calibri" w:hAnsi="Calibri" w:cs="Calibri"/>
        </w:rPr>
        <w:t xml:space="preserve"> (2024) ‘Similar tolerance of urban birds towards both benign human and lethal cat predators’, </w:t>
      </w:r>
      <w:r w:rsidRPr="00A35208">
        <w:rPr>
          <w:rFonts w:ascii="Calibri" w:hAnsi="Calibri" w:cs="Calibri"/>
          <w:i/>
          <w:iCs/>
        </w:rPr>
        <w:t>Journal of Ornithology</w:t>
      </w:r>
      <w:r w:rsidRPr="00A35208">
        <w:rPr>
          <w:rFonts w:ascii="Calibri" w:hAnsi="Calibri" w:cs="Calibri"/>
        </w:rPr>
        <w:t xml:space="preserve"> [Preprint]. Available at: https://doi.org/10.1007/s10336-024-02194-9.</w:t>
      </w:r>
    </w:p>
    <w:p w14:paraId="3106B78E" w14:textId="77777777" w:rsidR="00A35208" w:rsidRPr="00A35208" w:rsidRDefault="00A35208" w:rsidP="00A35208">
      <w:pPr>
        <w:pStyle w:val="Bibliography"/>
        <w:rPr>
          <w:rFonts w:ascii="Calibri" w:hAnsi="Calibri" w:cs="Calibri"/>
        </w:rPr>
      </w:pPr>
      <w:r w:rsidRPr="00A35208">
        <w:rPr>
          <w:rFonts w:ascii="Calibri" w:hAnsi="Calibri" w:cs="Calibri"/>
        </w:rPr>
        <w:t xml:space="preserve">Yuvaraj, R. </w:t>
      </w:r>
      <w:r w:rsidRPr="00A35208">
        <w:rPr>
          <w:rFonts w:ascii="Calibri" w:hAnsi="Calibri" w:cs="Calibri"/>
          <w:i/>
          <w:iCs/>
        </w:rPr>
        <w:t>et al.</w:t>
      </w:r>
      <w:r w:rsidRPr="00A35208">
        <w:rPr>
          <w:rFonts w:ascii="Calibri" w:hAnsi="Calibri" w:cs="Calibri"/>
        </w:rPr>
        <w:t xml:space="preserve"> (2014) ‘On the analysis of EEG power, frequency and asymmetry in Parkinson’s disease during emotion processing’, </w:t>
      </w:r>
      <w:r w:rsidRPr="00A35208">
        <w:rPr>
          <w:rFonts w:ascii="Calibri" w:hAnsi="Calibri" w:cs="Calibri"/>
          <w:i/>
          <w:iCs/>
        </w:rPr>
        <w:t>Behavioral and Brain Functions</w:t>
      </w:r>
      <w:r w:rsidRPr="00A35208">
        <w:rPr>
          <w:rFonts w:ascii="Calibri" w:hAnsi="Calibri" w:cs="Calibri"/>
        </w:rPr>
        <w:t>, 10(1), p. 12. Available at: https://doi.org/10.1186/1744-9081-10-12.</w:t>
      </w:r>
    </w:p>
    <w:p w14:paraId="69BC9681" w14:textId="77777777" w:rsidR="00A35208" w:rsidRPr="00A35208" w:rsidRDefault="00A35208" w:rsidP="00A35208">
      <w:pPr>
        <w:pStyle w:val="Bibliography"/>
        <w:rPr>
          <w:rFonts w:ascii="Calibri" w:hAnsi="Calibri" w:cs="Calibri"/>
        </w:rPr>
      </w:pPr>
      <w:r w:rsidRPr="00A35208">
        <w:rPr>
          <w:rFonts w:ascii="Calibri" w:hAnsi="Calibri" w:cs="Calibri"/>
        </w:rPr>
        <w:t xml:space="preserve">Zabini, F. </w:t>
      </w:r>
      <w:r w:rsidRPr="00A35208">
        <w:rPr>
          <w:rFonts w:ascii="Calibri" w:hAnsi="Calibri" w:cs="Calibri"/>
          <w:i/>
          <w:iCs/>
        </w:rPr>
        <w:t>et al.</w:t>
      </w:r>
      <w:r w:rsidRPr="00A35208">
        <w:rPr>
          <w:rFonts w:ascii="Calibri" w:hAnsi="Calibri" w:cs="Calibri"/>
        </w:rPr>
        <w:t xml:space="preserve"> (2020) ‘Comparative Study of the Restorative Effects of Forest and Urban Videos during COVID-19 Lockdown: Intrinsic and Benchmark Values’, </w:t>
      </w:r>
      <w:r w:rsidRPr="00A35208">
        <w:rPr>
          <w:rFonts w:ascii="Calibri" w:hAnsi="Calibri" w:cs="Calibri"/>
          <w:i/>
          <w:iCs/>
        </w:rPr>
        <w:t>International Journal of Environmental Research and Public Health</w:t>
      </w:r>
      <w:r w:rsidRPr="00A35208">
        <w:rPr>
          <w:rFonts w:ascii="Calibri" w:hAnsi="Calibri" w:cs="Calibri"/>
        </w:rPr>
        <w:t>, 17(21). Available at: https://doi.org/10.3390/ijerph17218011.</w:t>
      </w:r>
    </w:p>
    <w:p w14:paraId="02E6BD7E" w14:textId="77777777" w:rsidR="00A35208" w:rsidRPr="00A35208" w:rsidRDefault="00A35208" w:rsidP="00A35208">
      <w:pPr>
        <w:pStyle w:val="Bibliography"/>
        <w:rPr>
          <w:rFonts w:ascii="Calibri" w:hAnsi="Calibri" w:cs="Calibri"/>
        </w:rPr>
      </w:pPr>
      <w:r w:rsidRPr="00A35208">
        <w:rPr>
          <w:rFonts w:ascii="Calibri" w:hAnsi="Calibri" w:cs="Calibri"/>
        </w:rPr>
        <w:t xml:space="preserve">Zhang, L., Dempsey, N. and Cameron, R. (2023) ‘Flowers – Sunshine for the soul! How does floral colour influence preference, feelings of relaxation and positive up-lift?’, </w:t>
      </w:r>
      <w:r w:rsidRPr="00A35208">
        <w:rPr>
          <w:rFonts w:ascii="Calibri" w:hAnsi="Calibri" w:cs="Calibri"/>
          <w:i/>
          <w:iCs/>
        </w:rPr>
        <w:t>Urban Forestry &amp; Urban Greening</w:t>
      </w:r>
      <w:r w:rsidRPr="00A35208">
        <w:rPr>
          <w:rFonts w:ascii="Calibri" w:hAnsi="Calibri" w:cs="Calibri"/>
        </w:rPr>
        <w:t>, 79, p. 127795. Available at: https://doi.org/10.1016/j.ufug.2022.127795.</w:t>
      </w:r>
    </w:p>
    <w:p w14:paraId="69002A17" w14:textId="77777777" w:rsidR="00A35208" w:rsidRPr="00A35208" w:rsidRDefault="00A35208" w:rsidP="00A35208">
      <w:pPr>
        <w:pStyle w:val="Bibliography"/>
        <w:rPr>
          <w:rFonts w:ascii="Calibri" w:hAnsi="Calibri" w:cs="Calibri"/>
        </w:rPr>
      </w:pPr>
      <w:r w:rsidRPr="00A35208">
        <w:rPr>
          <w:rFonts w:ascii="Calibri" w:hAnsi="Calibri" w:cs="Calibri"/>
        </w:rPr>
        <w:lastRenderedPageBreak/>
        <w:t xml:space="preserve">Ziege, M. </w:t>
      </w:r>
      <w:r w:rsidRPr="00A35208">
        <w:rPr>
          <w:rFonts w:ascii="Calibri" w:hAnsi="Calibri" w:cs="Calibri"/>
          <w:i/>
          <w:iCs/>
        </w:rPr>
        <w:t>et al.</w:t>
      </w:r>
      <w:r w:rsidRPr="00A35208">
        <w:rPr>
          <w:rFonts w:ascii="Calibri" w:hAnsi="Calibri" w:cs="Calibri"/>
        </w:rPr>
        <w:t xml:space="preserve"> (2020) ‘Ranging behavior of European rabbits (Oryctolagus cuniculus) in urban and suburban landscapes’, </w:t>
      </w:r>
      <w:r w:rsidRPr="00A35208">
        <w:rPr>
          <w:rFonts w:ascii="Calibri" w:hAnsi="Calibri" w:cs="Calibri"/>
          <w:i/>
          <w:iCs/>
        </w:rPr>
        <w:t>Mammal Research</w:t>
      </w:r>
      <w:r w:rsidRPr="00A35208">
        <w:rPr>
          <w:rFonts w:ascii="Calibri" w:hAnsi="Calibri" w:cs="Calibri"/>
        </w:rPr>
        <w:t>, 65(3), pp. 607–614. Available at: https://doi.org/10.1007/s13364-020-00490-2.</w:t>
      </w:r>
    </w:p>
    <w:p w14:paraId="7DF6DD52" w14:textId="6ED2A49A" w:rsidR="009947CC" w:rsidRPr="00C05886" w:rsidRDefault="00A35208" w:rsidP="00937674">
      <w:pPr>
        <w:spacing w:line="276" w:lineRule="auto"/>
      </w:pPr>
      <w:r>
        <w:fldChar w:fldCharType="end"/>
      </w:r>
    </w:p>
    <w:p w14:paraId="4B771EA6" w14:textId="6001121A" w:rsidR="003D6263" w:rsidRPr="00C05886" w:rsidRDefault="003D6263" w:rsidP="00937674">
      <w:pPr>
        <w:spacing w:line="276" w:lineRule="auto"/>
      </w:pPr>
    </w:p>
    <w:p w14:paraId="10F6B090" w14:textId="7C53225E" w:rsidR="00F014B1" w:rsidRPr="00C05886" w:rsidRDefault="00F014B1" w:rsidP="0096116A"/>
    <w:p w14:paraId="1C5A7659" w14:textId="77777777" w:rsidR="00F014B1" w:rsidRPr="00C05886" w:rsidRDefault="00F014B1">
      <w:pPr>
        <w:spacing w:line="259" w:lineRule="auto"/>
        <w:jc w:val="left"/>
      </w:pPr>
      <w:r w:rsidRPr="00C05886">
        <w:br w:type="page"/>
      </w:r>
    </w:p>
    <w:p w14:paraId="6F35C1A7" w14:textId="1795C751" w:rsidR="00C12E53" w:rsidRPr="00C05886" w:rsidRDefault="00F014B1" w:rsidP="00F014B1">
      <w:pPr>
        <w:pStyle w:val="Heading1"/>
      </w:pPr>
      <w:bookmarkStart w:id="185" w:name="_Toc179962423"/>
      <w:r w:rsidRPr="00C05886">
        <w:lastRenderedPageBreak/>
        <w:t>Appendix</w:t>
      </w:r>
      <w:bookmarkEnd w:id="185"/>
    </w:p>
    <w:p w14:paraId="6E588064" w14:textId="77777777" w:rsidR="00F014B1" w:rsidRPr="00C05886" w:rsidRDefault="00F014B1" w:rsidP="00F014B1">
      <w:pPr>
        <w:pStyle w:val="Heading2"/>
      </w:pPr>
      <w:bookmarkStart w:id="186" w:name="_Toc179962424"/>
      <w:r w:rsidRPr="00C05886">
        <w:t>Publications and copyright</w:t>
      </w:r>
      <w:bookmarkEnd w:id="186"/>
    </w:p>
    <w:p w14:paraId="54425F28" w14:textId="0150CB26" w:rsidR="00F014B1" w:rsidRPr="00C05886" w:rsidRDefault="00F014B1" w:rsidP="003374E8">
      <w:r w:rsidRPr="00C05886">
        <w:t>Since</w:t>
      </w:r>
      <w:r w:rsidR="00BF64B9">
        <w:t xml:space="preserve"> the submission of this thesis</w:t>
      </w:r>
      <w:r w:rsidRPr="00C05886">
        <w:t xml:space="preserve"> Chapter</w:t>
      </w:r>
      <w:r w:rsidR="00BF64B9">
        <w:t>s</w:t>
      </w:r>
      <w:r w:rsidRPr="00C05886">
        <w:t xml:space="preserve"> 5</w:t>
      </w:r>
      <w:r w:rsidR="00BF64B9">
        <w:t xml:space="preserve"> and 6</w:t>
      </w:r>
      <w:r w:rsidRPr="00C05886">
        <w:t xml:space="preserve"> </w:t>
      </w:r>
      <w:r w:rsidR="00BF64B9">
        <w:t>have</w:t>
      </w:r>
      <w:r w:rsidR="00BF64B9" w:rsidRPr="00C05886">
        <w:t xml:space="preserve"> </w:t>
      </w:r>
      <w:r w:rsidRPr="00C05886">
        <w:t>been accepted for publication</w:t>
      </w:r>
      <w:r w:rsidR="00BF64B9">
        <w:t>.</w:t>
      </w:r>
      <w:r w:rsidRPr="00C05886">
        <w:t xml:space="preserve"> </w:t>
      </w:r>
      <w:r w:rsidR="00BF64B9">
        <w:t>T</w:t>
      </w:r>
      <w:r w:rsidR="00EA2AE5" w:rsidRPr="00C05886">
        <w:t xml:space="preserve">he </w:t>
      </w:r>
      <w:r w:rsidR="00BF64B9">
        <w:t>U</w:t>
      </w:r>
      <w:r w:rsidR="00EA2AE5" w:rsidRPr="00C05886">
        <w:t>niversity</w:t>
      </w:r>
      <w:r w:rsidR="00BF64B9">
        <w:t xml:space="preserve"> of Sheffield </w:t>
      </w:r>
      <w:r w:rsidR="00EA2AE5" w:rsidRPr="00C05886">
        <w:t xml:space="preserve">Code of Practice </w:t>
      </w:r>
      <w:r w:rsidR="00A95474" w:rsidRPr="00C05886">
        <w:t xml:space="preserve">(page 43) </w:t>
      </w:r>
      <w:r w:rsidR="00EA2AE5" w:rsidRPr="00C05886">
        <w:t>recommends that</w:t>
      </w:r>
      <w:r w:rsidR="00A95474" w:rsidRPr="00C05886">
        <w:t xml:space="preserve"> authors should seek permission from the publishing journal. As this thesis was funded by UKRI, it is required that any output will be published open access.</w:t>
      </w:r>
    </w:p>
    <w:p w14:paraId="114971DA" w14:textId="77777777" w:rsidR="00F014B1" w:rsidRPr="00C05886" w:rsidRDefault="00F014B1" w:rsidP="003374E8">
      <w:r w:rsidRPr="00C05886">
        <w:t>The following links and screenshots show that the publishers allow the authors to upload the content of their publications on institutional repositories.</w:t>
      </w:r>
    </w:p>
    <w:p w14:paraId="49A17663" w14:textId="3F64832E" w:rsidR="00F014B1" w:rsidRPr="00C05886" w:rsidRDefault="00A95474" w:rsidP="00A95474">
      <w:pPr>
        <w:pStyle w:val="Heading4"/>
      </w:pPr>
      <w:r w:rsidRPr="00C05886">
        <w:t xml:space="preserve">Chapter 5 - </w:t>
      </w:r>
      <w:proofErr w:type="spellStart"/>
      <w:r w:rsidR="00F014B1" w:rsidRPr="00C05886">
        <w:t>PLOSone</w:t>
      </w:r>
      <w:proofErr w:type="spellEnd"/>
    </w:p>
    <w:p w14:paraId="524784A9" w14:textId="77777777" w:rsidR="00F014B1" w:rsidRPr="00C05886" w:rsidRDefault="00F014B1" w:rsidP="003374E8">
      <w:r w:rsidRPr="00C05886">
        <w:t xml:space="preserve"> </w:t>
      </w:r>
      <w:hyperlink r:id="rId59" w:history="1">
        <w:r w:rsidRPr="00C05886">
          <w:rPr>
            <w:rStyle w:val="Hyperlink"/>
          </w:rPr>
          <w:t>https://journals.plos.org/plosone/s/licenses-and-copyright</w:t>
        </w:r>
      </w:hyperlink>
    </w:p>
    <w:p w14:paraId="1CB9394A" w14:textId="77777777" w:rsidR="00F014B1" w:rsidRPr="00C05886" w:rsidRDefault="00F014B1" w:rsidP="003374E8">
      <w:r w:rsidRPr="00134B49">
        <w:rPr>
          <w:noProof/>
        </w:rPr>
        <w:drawing>
          <wp:inline distT="0" distB="0" distL="0" distR="0" wp14:anchorId="5EE652DC" wp14:editId="4505A221">
            <wp:extent cx="6120130" cy="2697480"/>
            <wp:effectExtent l="0" t="0" r="0" b="7620"/>
            <wp:docPr id="17383618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8361847" name=""/>
                    <pic:cNvPicPr/>
                  </pic:nvPicPr>
                  <pic:blipFill>
                    <a:blip r:embed="rId60"/>
                    <a:stretch>
                      <a:fillRect/>
                    </a:stretch>
                  </pic:blipFill>
                  <pic:spPr>
                    <a:xfrm>
                      <a:off x="0" y="0"/>
                      <a:ext cx="6120130" cy="2697480"/>
                    </a:xfrm>
                    <a:prstGeom prst="rect">
                      <a:avLst/>
                    </a:prstGeom>
                  </pic:spPr>
                </pic:pic>
              </a:graphicData>
            </a:graphic>
          </wp:inline>
        </w:drawing>
      </w:r>
    </w:p>
    <w:p w14:paraId="22CA3CE6" w14:textId="77777777" w:rsidR="00E37DD6" w:rsidRPr="00C05886" w:rsidRDefault="00E37DD6" w:rsidP="00B13794"/>
    <w:p w14:paraId="53C09E7C" w14:textId="77777777" w:rsidR="00E37DD6" w:rsidRPr="00C05886" w:rsidRDefault="00E37DD6">
      <w:pPr>
        <w:spacing w:line="259" w:lineRule="auto"/>
        <w:jc w:val="left"/>
        <w:rPr>
          <w:rFonts w:eastAsiaTheme="majorEastAsia" w:cstheme="majorBidi"/>
          <w:b/>
          <w:iCs/>
        </w:rPr>
      </w:pPr>
      <w:r w:rsidRPr="00C05886">
        <w:br w:type="page"/>
      </w:r>
    </w:p>
    <w:p w14:paraId="08D782F5" w14:textId="14C13951" w:rsidR="00F014B1" w:rsidRPr="00C05886" w:rsidRDefault="00A95474" w:rsidP="00A95474">
      <w:pPr>
        <w:pStyle w:val="Heading4"/>
      </w:pPr>
      <w:r w:rsidRPr="00C05886">
        <w:lastRenderedPageBreak/>
        <w:t xml:space="preserve">Chapter 6 - </w:t>
      </w:r>
      <w:r w:rsidR="00F014B1" w:rsidRPr="00C05886">
        <w:t>Citi</w:t>
      </w:r>
      <w:r w:rsidRPr="00C05886">
        <w:t>es and Health (published by Taylor &amp; Francis)</w:t>
      </w:r>
    </w:p>
    <w:p w14:paraId="4EC7B7E3" w14:textId="1C57085D" w:rsidR="00F014B1" w:rsidRPr="00C05886" w:rsidRDefault="00A95474" w:rsidP="003374E8">
      <w:hyperlink r:id="rId61" w:history="1">
        <w:r w:rsidRPr="00C05886">
          <w:rPr>
            <w:rStyle w:val="Hyperlink"/>
          </w:rPr>
          <w:t>https://authorservices.taylorandfrancis.com/choose-open/publishing-open-access/</w:t>
        </w:r>
      </w:hyperlink>
    </w:p>
    <w:p w14:paraId="4721B0A8" w14:textId="68B947C3" w:rsidR="00A95474" w:rsidRPr="00C05886" w:rsidRDefault="00A95474" w:rsidP="003374E8">
      <w:r w:rsidRPr="00C05886">
        <w:t>https://authorservices.taylorandfrancis.com/research-impact/sharing-versions-of-journal-articles/</w:t>
      </w:r>
    </w:p>
    <w:p w14:paraId="367FF571" w14:textId="5006124A" w:rsidR="00F014B1" w:rsidRPr="00C05886" w:rsidRDefault="00596083" w:rsidP="006E2104">
      <w:r w:rsidRPr="00134B49">
        <w:rPr>
          <w:noProof/>
        </w:rPr>
        <w:drawing>
          <wp:inline distT="0" distB="0" distL="0" distR="0" wp14:anchorId="13F87A46" wp14:editId="6E4A5E3F">
            <wp:extent cx="6120130" cy="2884170"/>
            <wp:effectExtent l="0" t="0" r="0" b="0"/>
            <wp:docPr id="7308958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0895855" name=""/>
                    <pic:cNvPicPr/>
                  </pic:nvPicPr>
                  <pic:blipFill>
                    <a:blip r:embed="rId62"/>
                    <a:stretch>
                      <a:fillRect/>
                    </a:stretch>
                  </pic:blipFill>
                  <pic:spPr>
                    <a:xfrm>
                      <a:off x="0" y="0"/>
                      <a:ext cx="6120130" cy="2884170"/>
                    </a:xfrm>
                    <a:prstGeom prst="rect">
                      <a:avLst/>
                    </a:prstGeom>
                  </pic:spPr>
                </pic:pic>
              </a:graphicData>
            </a:graphic>
          </wp:inline>
        </w:drawing>
      </w:r>
    </w:p>
    <w:p w14:paraId="77735762" w14:textId="77777777" w:rsidR="00C12E53" w:rsidRPr="00C05886" w:rsidRDefault="00C12E53" w:rsidP="00EF19CB"/>
    <w:p w14:paraId="3B0576E3" w14:textId="77777777" w:rsidR="005961A6" w:rsidRPr="00C05886" w:rsidRDefault="005961A6">
      <w:pPr>
        <w:spacing w:line="259" w:lineRule="auto"/>
        <w:jc w:val="left"/>
        <w:rPr>
          <w:rFonts w:eastAsiaTheme="majorEastAsia" w:cstheme="majorBidi"/>
          <w:b/>
          <w:sz w:val="36"/>
          <w:szCs w:val="26"/>
        </w:rPr>
      </w:pPr>
      <w:r w:rsidRPr="00C05886">
        <w:br w:type="page"/>
      </w:r>
    </w:p>
    <w:p w14:paraId="65C1E1F7" w14:textId="5DA26B91" w:rsidR="00596083" w:rsidRPr="00C05886" w:rsidRDefault="00596083" w:rsidP="00596083">
      <w:pPr>
        <w:pStyle w:val="Heading2"/>
      </w:pPr>
      <w:bookmarkStart w:id="187" w:name="_Toc179962425"/>
      <w:r w:rsidRPr="00C05886">
        <w:lastRenderedPageBreak/>
        <w:t>Chapter 3 - Methodology Appendix</w:t>
      </w:r>
      <w:bookmarkEnd w:id="187"/>
    </w:p>
    <w:p w14:paraId="5C2D1893" w14:textId="494790ED" w:rsidR="009E2A8B" w:rsidRPr="00C05886" w:rsidRDefault="009E2A8B" w:rsidP="009E2A8B">
      <w:pPr>
        <w:pStyle w:val="Heading3"/>
      </w:pPr>
      <w:bookmarkStart w:id="188" w:name="_Toc179962426"/>
      <w:r w:rsidRPr="00C05886">
        <w:t>Complete experimental protocol – Face to face</w:t>
      </w:r>
      <w:bookmarkEnd w:id="188"/>
    </w:p>
    <w:p w14:paraId="64D8B2C1" w14:textId="77777777" w:rsidR="009E2A8B" w:rsidRPr="00C05886" w:rsidRDefault="009E2A8B" w:rsidP="009F5C2B">
      <w:pPr>
        <w:pStyle w:val="Heading4"/>
        <w:spacing w:line="240" w:lineRule="auto"/>
      </w:pPr>
      <w:bookmarkStart w:id="189" w:name="_Hlk100651033"/>
      <w:r w:rsidRPr="00C05886">
        <w:t>Set up (20-25 minutes)</w:t>
      </w:r>
    </w:p>
    <w:tbl>
      <w:tblPr>
        <w:tblStyle w:val="TableGrid"/>
        <w:tblW w:w="0" w:type="auto"/>
        <w:tblLook w:val="04A0" w:firstRow="1" w:lastRow="0" w:firstColumn="1" w:lastColumn="0" w:noHBand="0" w:noVBand="1"/>
      </w:tblPr>
      <w:tblGrid>
        <w:gridCol w:w="1271"/>
        <w:gridCol w:w="1276"/>
        <w:gridCol w:w="2151"/>
        <w:gridCol w:w="2151"/>
        <w:gridCol w:w="2151"/>
      </w:tblGrid>
      <w:tr w:rsidR="009E2A8B" w:rsidRPr="00C05886" w14:paraId="2A793297" w14:textId="77777777" w:rsidTr="007F4F4B">
        <w:tc>
          <w:tcPr>
            <w:tcW w:w="1271" w:type="dxa"/>
          </w:tcPr>
          <w:p w14:paraId="6EBF1421" w14:textId="77777777" w:rsidR="009E2A8B" w:rsidRPr="00C05886" w:rsidRDefault="009E2A8B" w:rsidP="009F5C2B">
            <w:pPr>
              <w:spacing w:line="240" w:lineRule="auto"/>
              <w:jc w:val="center"/>
              <w:rPr>
                <w:b/>
                <w:bCs/>
              </w:rPr>
            </w:pPr>
            <w:r w:rsidRPr="00C05886">
              <w:rPr>
                <w:b/>
                <w:bCs/>
              </w:rPr>
              <w:t>Computer setup</w:t>
            </w:r>
          </w:p>
        </w:tc>
        <w:tc>
          <w:tcPr>
            <w:tcW w:w="1276" w:type="dxa"/>
          </w:tcPr>
          <w:p w14:paraId="33742449" w14:textId="77777777" w:rsidR="009E2A8B" w:rsidRPr="00C05886" w:rsidRDefault="009E2A8B" w:rsidP="009F5C2B">
            <w:pPr>
              <w:spacing w:line="240" w:lineRule="auto"/>
              <w:jc w:val="center"/>
              <w:rPr>
                <w:b/>
                <w:bCs/>
              </w:rPr>
            </w:pPr>
            <w:r w:rsidRPr="00C05886">
              <w:rPr>
                <w:b/>
                <w:bCs/>
              </w:rPr>
              <w:t>Device pairing</w:t>
            </w:r>
          </w:p>
        </w:tc>
        <w:tc>
          <w:tcPr>
            <w:tcW w:w="2151" w:type="dxa"/>
          </w:tcPr>
          <w:p w14:paraId="09A0C663" w14:textId="77777777" w:rsidR="009E2A8B" w:rsidRPr="00C05886" w:rsidRDefault="009E2A8B" w:rsidP="009F5C2B">
            <w:pPr>
              <w:spacing w:line="240" w:lineRule="auto"/>
              <w:jc w:val="left"/>
            </w:pPr>
            <w:r w:rsidRPr="00C05886">
              <w:rPr>
                <w:b/>
                <w:bCs/>
              </w:rPr>
              <w:t>Greetings and information</w:t>
            </w:r>
          </w:p>
        </w:tc>
        <w:tc>
          <w:tcPr>
            <w:tcW w:w="2151" w:type="dxa"/>
          </w:tcPr>
          <w:p w14:paraId="77E76A7A" w14:textId="77777777" w:rsidR="009E2A8B" w:rsidRPr="00C05886" w:rsidRDefault="009E2A8B" w:rsidP="009F5C2B">
            <w:pPr>
              <w:spacing w:line="240" w:lineRule="auto"/>
              <w:jc w:val="left"/>
            </w:pPr>
            <w:r w:rsidRPr="00C05886">
              <w:rPr>
                <w:b/>
                <w:bCs/>
              </w:rPr>
              <w:t>Consent</w:t>
            </w:r>
          </w:p>
        </w:tc>
        <w:tc>
          <w:tcPr>
            <w:tcW w:w="2151" w:type="dxa"/>
          </w:tcPr>
          <w:p w14:paraId="03ECB21A" w14:textId="77777777" w:rsidR="009E2A8B" w:rsidRPr="00C05886" w:rsidRDefault="009E2A8B" w:rsidP="009F5C2B">
            <w:pPr>
              <w:spacing w:line="240" w:lineRule="auto"/>
              <w:jc w:val="left"/>
            </w:pPr>
            <w:r w:rsidRPr="00C05886">
              <w:rPr>
                <w:b/>
                <w:bCs/>
              </w:rPr>
              <w:t>Wearing the sensors</w:t>
            </w:r>
          </w:p>
        </w:tc>
      </w:tr>
      <w:tr w:rsidR="009E2A8B" w:rsidRPr="00C05886" w14:paraId="5CFAAF9F" w14:textId="77777777" w:rsidTr="007F4F4B">
        <w:tc>
          <w:tcPr>
            <w:tcW w:w="1271" w:type="dxa"/>
          </w:tcPr>
          <w:p w14:paraId="0696859A" w14:textId="77777777" w:rsidR="009E2A8B" w:rsidRPr="00C05886" w:rsidRDefault="009E2A8B" w:rsidP="009F5C2B">
            <w:pPr>
              <w:spacing w:line="240" w:lineRule="auto"/>
            </w:pPr>
            <w:r w:rsidRPr="00C05886">
              <w:t>5 minutes</w:t>
            </w:r>
          </w:p>
        </w:tc>
        <w:tc>
          <w:tcPr>
            <w:tcW w:w="1276" w:type="dxa"/>
          </w:tcPr>
          <w:p w14:paraId="57902801" w14:textId="77777777" w:rsidR="009E2A8B" w:rsidRPr="00C05886" w:rsidRDefault="009E2A8B" w:rsidP="009F5C2B">
            <w:pPr>
              <w:spacing w:line="240" w:lineRule="auto"/>
            </w:pPr>
            <w:r w:rsidRPr="00C05886">
              <w:t>5 minutes</w:t>
            </w:r>
          </w:p>
        </w:tc>
        <w:tc>
          <w:tcPr>
            <w:tcW w:w="2151" w:type="dxa"/>
          </w:tcPr>
          <w:p w14:paraId="505B9E01" w14:textId="77777777" w:rsidR="009E2A8B" w:rsidRPr="00C05886" w:rsidRDefault="009E2A8B" w:rsidP="009F5C2B">
            <w:pPr>
              <w:spacing w:line="240" w:lineRule="auto"/>
              <w:jc w:val="left"/>
            </w:pPr>
            <w:r w:rsidRPr="00C05886">
              <w:t>10 minutes</w:t>
            </w:r>
          </w:p>
        </w:tc>
        <w:tc>
          <w:tcPr>
            <w:tcW w:w="2151" w:type="dxa"/>
          </w:tcPr>
          <w:p w14:paraId="65C97EED" w14:textId="77777777" w:rsidR="009E2A8B" w:rsidRPr="00C05886" w:rsidRDefault="009E2A8B" w:rsidP="009F5C2B">
            <w:pPr>
              <w:spacing w:line="240" w:lineRule="auto"/>
              <w:jc w:val="left"/>
            </w:pPr>
            <w:r w:rsidRPr="00C05886">
              <w:t>5 minutes</w:t>
            </w:r>
          </w:p>
        </w:tc>
        <w:tc>
          <w:tcPr>
            <w:tcW w:w="2151" w:type="dxa"/>
          </w:tcPr>
          <w:p w14:paraId="7E173FE2" w14:textId="77777777" w:rsidR="009E2A8B" w:rsidRPr="00C05886" w:rsidRDefault="009E2A8B" w:rsidP="009F5C2B">
            <w:pPr>
              <w:spacing w:line="240" w:lineRule="auto"/>
              <w:jc w:val="left"/>
            </w:pPr>
            <w:r w:rsidRPr="00C05886">
              <w:t>10 minutes</w:t>
            </w:r>
          </w:p>
        </w:tc>
      </w:tr>
    </w:tbl>
    <w:p w14:paraId="37CF9E93" w14:textId="77777777" w:rsidR="009E2A8B" w:rsidRPr="00C05886" w:rsidRDefault="009E2A8B" w:rsidP="009F5C2B">
      <w:pPr>
        <w:spacing w:line="240" w:lineRule="auto"/>
      </w:pPr>
    </w:p>
    <w:p w14:paraId="684E93D7" w14:textId="77777777" w:rsidR="009E2A8B" w:rsidRPr="00C05886" w:rsidRDefault="009E2A8B" w:rsidP="009F5C2B">
      <w:pPr>
        <w:spacing w:after="120" w:line="240" w:lineRule="auto"/>
      </w:pPr>
      <w:r w:rsidRPr="00C05886">
        <w:rPr>
          <w:b/>
          <w:bCs/>
        </w:rPr>
        <w:t>Greetings and information</w:t>
      </w:r>
      <w:r w:rsidRPr="00C05886">
        <w:t xml:space="preserve"> -&gt; The researchers welcome the participants, have them seated and hand over the information sheet, allowing the participants time to read it. Then one of the </w:t>
      </w:r>
      <w:proofErr w:type="spellStart"/>
      <w:r w:rsidRPr="00C05886">
        <w:t>reseachers</w:t>
      </w:r>
      <w:proofErr w:type="spellEnd"/>
      <w:r w:rsidRPr="00C05886">
        <w:t xml:space="preserve"> illustrates the experimental procedure with a flowchart. Afterwards, the participants will have the chance to ask questions.</w:t>
      </w:r>
    </w:p>
    <w:p w14:paraId="298A975E" w14:textId="77777777" w:rsidR="009E2A8B" w:rsidRPr="00C05886" w:rsidRDefault="009E2A8B" w:rsidP="009F5C2B">
      <w:pPr>
        <w:spacing w:after="120" w:line="240" w:lineRule="auto"/>
      </w:pPr>
      <w:r w:rsidRPr="00C05886">
        <w:rPr>
          <w:b/>
          <w:bCs/>
        </w:rPr>
        <w:t>Consent</w:t>
      </w:r>
      <w:r w:rsidRPr="00C05886">
        <w:t xml:space="preserve"> -&gt; The </w:t>
      </w:r>
      <w:proofErr w:type="gramStart"/>
      <w:r w:rsidRPr="00C05886">
        <w:t>researchers</w:t>
      </w:r>
      <w:proofErr w:type="gramEnd"/>
      <w:r w:rsidRPr="00C05886">
        <w:t xml:space="preserve"> hand over the consent form, allowing the participants time to read it and ask any questions. Collect the completed forms.</w:t>
      </w:r>
    </w:p>
    <w:p w14:paraId="44DDB914" w14:textId="77777777" w:rsidR="009E2A8B" w:rsidRPr="00C05886" w:rsidRDefault="009E2A8B" w:rsidP="009F5C2B">
      <w:pPr>
        <w:spacing w:after="120" w:line="240" w:lineRule="auto"/>
      </w:pPr>
      <w:r w:rsidRPr="00C05886">
        <w:rPr>
          <w:b/>
          <w:bCs/>
        </w:rPr>
        <w:t xml:space="preserve">Wearing the sensors -&gt; </w:t>
      </w:r>
      <w:r w:rsidRPr="00C05886">
        <w:t>The participants receive the HRV chest strap and are instructed how to wear it. The researchers then help the participants wearing the EEG headset. The researchers check with the participants that everything feels comfortable. The participants are then seated in front of the computer, while the researchers check that the sensors are connected by taking a test reading.</w:t>
      </w:r>
    </w:p>
    <w:p w14:paraId="09121C7F" w14:textId="77777777" w:rsidR="009E2A8B" w:rsidRPr="00C05886" w:rsidRDefault="009E2A8B" w:rsidP="009F5C2B">
      <w:pPr>
        <w:pStyle w:val="Heading4"/>
        <w:spacing w:line="240" w:lineRule="auto"/>
      </w:pPr>
      <w:r w:rsidRPr="00C05886">
        <w:t>Measurements (15 minutes)</w:t>
      </w:r>
    </w:p>
    <w:p w14:paraId="16DBDAA7" w14:textId="77777777" w:rsidR="009E2A8B" w:rsidRPr="00C05886" w:rsidRDefault="009E2A8B" w:rsidP="009F5C2B">
      <w:pPr>
        <w:spacing w:after="120" w:line="240" w:lineRule="auto"/>
        <w:rPr>
          <w:b/>
          <w:bCs/>
        </w:rPr>
      </w:pPr>
      <w:r w:rsidRPr="00C05886">
        <w:rPr>
          <w:b/>
          <w:bCs/>
        </w:rPr>
        <w:t>Baseline</w:t>
      </w:r>
      <w:r w:rsidRPr="00C05886">
        <w:t xml:space="preserve"> -&gt; The participants are asked to breathe normally but refrain from talking. The researchers record the EEG and HRV for 3 minutes.</w:t>
      </w:r>
    </w:p>
    <w:p w14:paraId="0B5FFA15" w14:textId="77777777" w:rsidR="009E2A8B" w:rsidRPr="00C05886" w:rsidRDefault="009E2A8B" w:rsidP="009F5C2B">
      <w:pPr>
        <w:spacing w:after="120" w:line="240" w:lineRule="auto"/>
      </w:pPr>
      <w:r w:rsidRPr="00C05886">
        <w:rPr>
          <w:b/>
          <w:bCs/>
        </w:rPr>
        <w:t xml:space="preserve">Questionnaire </w:t>
      </w:r>
      <w:r w:rsidRPr="00C05886">
        <w:t xml:space="preserve">-&gt; The participants are invited to fill in a questionnaire that will record demographics and baseline PANAS. The participants then stop at the break page. </w:t>
      </w:r>
    </w:p>
    <w:p w14:paraId="7C09C10E" w14:textId="77777777" w:rsidR="009E2A8B" w:rsidRPr="00C05886" w:rsidRDefault="009E2A8B" w:rsidP="009F5C2B">
      <w:pPr>
        <w:spacing w:after="120" w:line="240" w:lineRule="auto"/>
      </w:pPr>
      <w:r w:rsidRPr="00C05886">
        <w:rPr>
          <w:b/>
          <w:bCs/>
        </w:rPr>
        <w:t>Stressor</w:t>
      </w:r>
      <w:r w:rsidRPr="00C05886">
        <w:t xml:space="preserve"> -&gt; The participants listen to the stressor sound (15 seconds), then complete the PANAS questionnaire a second time. The researchers record the EEG and HRV for 1 minute, as the stressor starts. </w:t>
      </w:r>
    </w:p>
    <w:p w14:paraId="1D403697" w14:textId="77777777" w:rsidR="009E2A8B" w:rsidRPr="00C05886" w:rsidRDefault="009E2A8B" w:rsidP="009F5C2B">
      <w:pPr>
        <w:spacing w:after="120" w:line="240" w:lineRule="auto"/>
      </w:pPr>
      <w:r w:rsidRPr="00C05886">
        <w:rPr>
          <w:b/>
          <w:bCs/>
        </w:rPr>
        <w:t>Virtual Tour</w:t>
      </w:r>
      <w:r w:rsidRPr="00C05886">
        <w:t xml:space="preserve"> -&gt; The participants explore the virtual park for 3 minutes, while the researchers record the EEG and HRV. The participants complete the PANAS questionnaire one last time. </w:t>
      </w:r>
    </w:p>
    <w:tbl>
      <w:tblPr>
        <w:tblStyle w:val="TableGrid"/>
        <w:tblW w:w="0" w:type="auto"/>
        <w:tblLook w:val="04A0" w:firstRow="1" w:lastRow="0" w:firstColumn="1" w:lastColumn="0" w:noHBand="0" w:noVBand="1"/>
      </w:tblPr>
      <w:tblGrid>
        <w:gridCol w:w="2299"/>
        <w:gridCol w:w="2299"/>
        <w:gridCol w:w="2300"/>
        <w:gridCol w:w="2300"/>
      </w:tblGrid>
      <w:tr w:rsidR="009E2A8B" w:rsidRPr="00C05886" w14:paraId="0AC4D854" w14:textId="77777777" w:rsidTr="005961A6">
        <w:trPr>
          <w:trHeight w:val="20"/>
        </w:trPr>
        <w:tc>
          <w:tcPr>
            <w:tcW w:w="2299" w:type="dxa"/>
          </w:tcPr>
          <w:p w14:paraId="0E706562" w14:textId="77777777" w:rsidR="009E2A8B" w:rsidRPr="00C05886" w:rsidRDefault="009E2A8B" w:rsidP="009F5C2B">
            <w:pPr>
              <w:spacing w:line="240" w:lineRule="auto"/>
              <w:jc w:val="center"/>
            </w:pPr>
            <w:r w:rsidRPr="00C05886">
              <w:rPr>
                <w:b/>
                <w:bCs/>
              </w:rPr>
              <w:t>Baseline</w:t>
            </w:r>
          </w:p>
        </w:tc>
        <w:tc>
          <w:tcPr>
            <w:tcW w:w="2299" w:type="dxa"/>
          </w:tcPr>
          <w:p w14:paraId="08EE1D13" w14:textId="77777777" w:rsidR="009E2A8B" w:rsidRPr="00C05886" w:rsidRDefault="009E2A8B" w:rsidP="009F5C2B">
            <w:pPr>
              <w:spacing w:line="240" w:lineRule="auto"/>
              <w:jc w:val="center"/>
            </w:pPr>
            <w:r w:rsidRPr="00C05886">
              <w:rPr>
                <w:b/>
                <w:bCs/>
              </w:rPr>
              <w:t>Questionnaire</w:t>
            </w:r>
          </w:p>
        </w:tc>
        <w:tc>
          <w:tcPr>
            <w:tcW w:w="2300" w:type="dxa"/>
          </w:tcPr>
          <w:p w14:paraId="31DE056B" w14:textId="77777777" w:rsidR="009E2A8B" w:rsidRPr="00C05886" w:rsidRDefault="009E2A8B" w:rsidP="009F5C2B">
            <w:pPr>
              <w:spacing w:line="240" w:lineRule="auto"/>
              <w:jc w:val="center"/>
            </w:pPr>
            <w:r w:rsidRPr="00C05886">
              <w:rPr>
                <w:b/>
                <w:bCs/>
              </w:rPr>
              <w:t>Stressor</w:t>
            </w:r>
          </w:p>
        </w:tc>
        <w:tc>
          <w:tcPr>
            <w:tcW w:w="2300" w:type="dxa"/>
          </w:tcPr>
          <w:p w14:paraId="2D82B775" w14:textId="77777777" w:rsidR="009E2A8B" w:rsidRPr="00C05886" w:rsidRDefault="009E2A8B" w:rsidP="009F5C2B">
            <w:pPr>
              <w:spacing w:line="240" w:lineRule="auto"/>
              <w:jc w:val="center"/>
            </w:pPr>
            <w:r w:rsidRPr="00C05886">
              <w:rPr>
                <w:b/>
                <w:bCs/>
              </w:rPr>
              <w:t>Virtual Tour</w:t>
            </w:r>
          </w:p>
        </w:tc>
      </w:tr>
      <w:tr w:rsidR="009E2A8B" w:rsidRPr="00C05886" w14:paraId="3F35FCBE" w14:textId="77777777" w:rsidTr="005961A6">
        <w:trPr>
          <w:trHeight w:val="20"/>
        </w:trPr>
        <w:tc>
          <w:tcPr>
            <w:tcW w:w="2299" w:type="dxa"/>
          </w:tcPr>
          <w:p w14:paraId="3CABB34E" w14:textId="77777777" w:rsidR="009E2A8B" w:rsidRPr="00C05886" w:rsidRDefault="009E2A8B" w:rsidP="009F5C2B">
            <w:pPr>
              <w:spacing w:line="240" w:lineRule="auto"/>
              <w:jc w:val="center"/>
            </w:pPr>
            <w:r w:rsidRPr="00C05886">
              <w:t>3 minutes</w:t>
            </w:r>
          </w:p>
        </w:tc>
        <w:tc>
          <w:tcPr>
            <w:tcW w:w="2299" w:type="dxa"/>
          </w:tcPr>
          <w:p w14:paraId="220A984C" w14:textId="77777777" w:rsidR="009E2A8B" w:rsidRPr="00C05886" w:rsidRDefault="009E2A8B" w:rsidP="009F5C2B">
            <w:pPr>
              <w:spacing w:line="240" w:lineRule="auto"/>
              <w:jc w:val="center"/>
            </w:pPr>
            <w:r w:rsidRPr="00C05886">
              <w:t>(1 minute)</w:t>
            </w:r>
          </w:p>
        </w:tc>
        <w:tc>
          <w:tcPr>
            <w:tcW w:w="2300" w:type="dxa"/>
          </w:tcPr>
          <w:p w14:paraId="0B8150BD" w14:textId="77777777" w:rsidR="009E2A8B" w:rsidRPr="00C05886" w:rsidRDefault="009E2A8B" w:rsidP="009F5C2B">
            <w:pPr>
              <w:spacing w:line="240" w:lineRule="auto"/>
              <w:jc w:val="center"/>
            </w:pPr>
            <w:r w:rsidRPr="00C05886">
              <w:t>(1 minute)</w:t>
            </w:r>
          </w:p>
        </w:tc>
        <w:tc>
          <w:tcPr>
            <w:tcW w:w="2300" w:type="dxa"/>
          </w:tcPr>
          <w:p w14:paraId="7B030DD1" w14:textId="77777777" w:rsidR="009E2A8B" w:rsidRPr="00C05886" w:rsidRDefault="009E2A8B" w:rsidP="009F5C2B">
            <w:pPr>
              <w:spacing w:line="240" w:lineRule="auto"/>
              <w:jc w:val="center"/>
            </w:pPr>
            <w:r w:rsidRPr="00C05886">
              <w:t>(3 minutes)</w:t>
            </w:r>
          </w:p>
        </w:tc>
      </w:tr>
      <w:tr w:rsidR="009E2A8B" w:rsidRPr="00C05886" w14:paraId="3DED27E3" w14:textId="77777777" w:rsidTr="005961A6">
        <w:trPr>
          <w:trHeight w:val="20"/>
        </w:trPr>
        <w:tc>
          <w:tcPr>
            <w:tcW w:w="2299" w:type="dxa"/>
          </w:tcPr>
          <w:p w14:paraId="152DDB92" w14:textId="77777777" w:rsidR="009E2A8B" w:rsidRPr="00C05886" w:rsidRDefault="009E2A8B" w:rsidP="009F5C2B">
            <w:pPr>
              <w:spacing w:line="240" w:lineRule="auto"/>
              <w:jc w:val="center"/>
            </w:pPr>
            <w:r w:rsidRPr="00C05886">
              <w:t>HRV and EEG</w:t>
            </w:r>
          </w:p>
        </w:tc>
        <w:tc>
          <w:tcPr>
            <w:tcW w:w="2299" w:type="dxa"/>
          </w:tcPr>
          <w:p w14:paraId="1B4D1BA6" w14:textId="77777777" w:rsidR="009E2A8B" w:rsidRPr="00C05886" w:rsidRDefault="009E2A8B" w:rsidP="009F5C2B">
            <w:pPr>
              <w:spacing w:line="240" w:lineRule="auto"/>
              <w:jc w:val="center"/>
            </w:pPr>
            <w:r w:rsidRPr="00C05886">
              <w:t>PANAS</w:t>
            </w:r>
          </w:p>
        </w:tc>
        <w:tc>
          <w:tcPr>
            <w:tcW w:w="2300" w:type="dxa"/>
          </w:tcPr>
          <w:p w14:paraId="782A7E33" w14:textId="77777777" w:rsidR="009E2A8B" w:rsidRPr="00C05886" w:rsidRDefault="009E2A8B" w:rsidP="009F5C2B">
            <w:pPr>
              <w:spacing w:line="240" w:lineRule="auto"/>
              <w:jc w:val="center"/>
            </w:pPr>
            <w:r w:rsidRPr="00C05886">
              <w:t>HRV, EEG and PANAS</w:t>
            </w:r>
          </w:p>
        </w:tc>
        <w:tc>
          <w:tcPr>
            <w:tcW w:w="2300" w:type="dxa"/>
          </w:tcPr>
          <w:p w14:paraId="113874FF" w14:textId="77777777" w:rsidR="009E2A8B" w:rsidRPr="00C05886" w:rsidRDefault="009E2A8B" w:rsidP="009F5C2B">
            <w:pPr>
              <w:spacing w:line="240" w:lineRule="auto"/>
              <w:jc w:val="center"/>
            </w:pPr>
            <w:r w:rsidRPr="00C05886">
              <w:t>HRV, EEG and PANAS</w:t>
            </w:r>
          </w:p>
        </w:tc>
      </w:tr>
    </w:tbl>
    <w:p w14:paraId="348932D8" w14:textId="77777777" w:rsidR="009E2A8B" w:rsidRPr="00C05886" w:rsidRDefault="009E2A8B" w:rsidP="009F5C2B">
      <w:pPr>
        <w:spacing w:after="120" w:line="240" w:lineRule="auto"/>
      </w:pPr>
    </w:p>
    <w:p w14:paraId="61A65668" w14:textId="77777777" w:rsidR="009E2A8B" w:rsidRPr="00C05886" w:rsidRDefault="009E2A8B" w:rsidP="009F5C2B">
      <w:pPr>
        <w:pStyle w:val="Heading4"/>
        <w:spacing w:line="240" w:lineRule="auto"/>
      </w:pPr>
      <w:r w:rsidRPr="00C05886">
        <w:t>Conclusion (15 minutes)</w:t>
      </w:r>
    </w:p>
    <w:bookmarkEnd w:id="189"/>
    <w:p w14:paraId="454DC5BF" w14:textId="77777777" w:rsidR="009E2A8B" w:rsidRPr="00C05886" w:rsidRDefault="009E2A8B" w:rsidP="009F5C2B">
      <w:pPr>
        <w:spacing w:after="120" w:line="240" w:lineRule="auto"/>
      </w:pPr>
      <w:proofErr w:type="gramStart"/>
      <w:r w:rsidRPr="00C05886">
        <w:rPr>
          <w:b/>
          <w:bCs/>
        </w:rPr>
        <w:t>Thanks</w:t>
      </w:r>
      <w:proofErr w:type="gramEnd"/>
      <w:r w:rsidRPr="00C05886">
        <w:rPr>
          <w:b/>
          <w:bCs/>
        </w:rPr>
        <w:t xml:space="preserve"> and device collection</w:t>
      </w:r>
      <w:r w:rsidRPr="00C05886">
        <w:t xml:space="preserve"> -&gt; The researchers thank the participants for taking part in the study and then help them remove the devices. </w:t>
      </w:r>
    </w:p>
    <w:p w14:paraId="53A814CA" w14:textId="77777777" w:rsidR="009E2A8B" w:rsidRPr="00C05886" w:rsidRDefault="009E2A8B" w:rsidP="009F5C2B">
      <w:pPr>
        <w:spacing w:after="120" w:line="240" w:lineRule="auto"/>
      </w:pPr>
      <w:r w:rsidRPr="00C05886">
        <w:rPr>
          <w:b/>
          <w:bCs/>
        </w:rPr>
        <w:t>Compensation and farewell</w:t>
      </w:r>
      <w:r w:rsidRPr="00C05886">
        <w:t xml:space="preserve"> -&gt; The researchers offer a 10£ voucher to each participant and say goodbye.</w:t>
      </w:r>
    </w:p>
    <w:p w14:paraId="145FB900" w14:textId="309B9535" w:rsidR="009E2A8B" w:rsidRPr="00C05886" w:rsidRDefault="009E2A8B" w:rsidP="009F5C2B">
      <w:pPr>
        <w:spacing w:after="120" w:line="240" w:lineRule="auto"/>
      </w:pPr>
      <w:r w:rsidRPr="00C05886">
        <w:rPr>
          <w:b/>
          <w:bCs/>
        </w:rPr>
        <w:t>Device cleaning</w:t>
      </w:r>
      <w:r w:rsidRPr="00C05886">
        <w:t xml:space="preserve"> -&gt; The researchers detach the HRV sensors from the chest strap and clean the band. The researchers check the felt pads of the EEG headset and change them if necessary. </w:t>
      </w:r>
    </w:p>
    <w:tbl>
      <w:tblPr>
        <w:tblStyle w:val="TableGrid"/>
        <w:tblW w:w="0" w:type="auto"/>
        <w:tblLook w:val="04A0" w:firstRow="1" w:lastRow="0" w:firstColumn="1" w:lastColumn="0" w:noHBand="0" w:noVBand="1"/>
      </w:tblPr>
      <w:tblGrid>
        <w:gridCol w:w="2407"/>
        <w:gridCol w:w="2407"/>
        <w:gridCol w:w="2407"/>
        <w:gridCol w:w="2407"/>
      </w:tblGrid>
      <w:tr w:rsidR="009E2A8B" w:rsidRPr="00C05886" w14:paraId="40141B97" w14:textId="77777777" w:rsidTr="009E2A8B">
        <w:tc>
          <w:tcPr>
            <w:tcW w:w="2407" w:type="dxa"/>
          </w:tcPr>
          <w:p w14:paraId="2AF46EAC" w14:textId="77777777" w:rsidR="009E2A8B" w:rsidRPr="00C05886" w:rsidRDefault="009E2A8B" w:rsidP="009F5C2B">
            <w:pPr>
              <w:spacing w:line="240" w:lineRule="auto"/>
              <w:jc w:val="center"/>
            </w:pPr>
            <w:r w:rsidRPr="00C05886">
              <w:rPr>
                <w:b/>
                <w:bCs/>
              </w:rPr>
              <w:t>Baseline</w:t>
            </w:r>
          </w:p>
        </w:tc>
        <w:tc>
          <w:tcPr>
            <w:tcW w:w="2407" w:type="dxa"/>
          </w:tcPr>
          <w:p w14:paraId="7E469379" w14:textId="77777777" w:rsidR="009E2A8B" w:rsidRPr="00C05886" w:rsidRDefault="009E2A8B" w:rsidP="009F5C2B">
            <w:pPr>
              <w:spacing w:line="240" w:lineRule="auto"/>
              <w:jc w:val="center"/>
            </w:pPr>
            <w:r w:rsidRPr="00C05886">
              <w:rPr>
                <w:b/>
                <w:bCs/>
              </w:rPr>
              <w:t>Questionnaire</w:t>
            </w:r>
          </w:p>
        </w:tc>
        <w:tc>
          <w:tcPr>
            <w:tcW w:w="2407" w:type="dxa"/>
          </w:tcPr>
          <w:p w14:paraId="749484BC" w14:textId="77777777" w:rsidR="009E2A8B" w:rsidRPr="00C05886" w:rsidRDefault="009E2A8B" w:rsidP="009F5C2B">
            <w:pPr>
              <w:spacing w:line="240" w:lineRule="auto"/>
              <w:jc w:val="center"/>
            </w:pPr>
            <w:r w:rsidRPr="00C05886">
              <w:rPr>
                <w:b/>
                <w:bCs/>
              </w:rPr>
              <w:t>Stressor</w:t>
            </w:r>
          </w:p>
        </w:tc>
        <w:tc>
          <w:tcPr>
            <w:tcW w:w="2407" w:type="dxa"/>
          </w:tcPr>
          <w:p w14:paraId="00B52333" w14:textId="77777777" w:rsidR="009E2A8B" w:rsidRPr="00C05886" w:rsidRDefault="009E2A8B" w:rsidP="009F5C2B">
            <w:pPr>
              <w:spacing w:line="240" w:lineRule="auto"/>
              <w:jc w:val="center"/>
            </w:pPr>
            <w:r w:rsidRPr="00C05886">
              <w:rPr>
                <w:b/>
                <w:bCs/>
              </w:rPr>
              <w:t>Virtual Tour</w:t>
            </w:r>
          </w:p>
        </w:tc>
      </w:tr>
      <w:tr w:rsidR="009E2A8B" w:rsidRPr="00C05886" w14:paraId="5A586C3C" w14:textId="77777777" w:rsidTr="009E2A8B">
        <w:tc>
          <w:tcPr>
            <w:tcW w:w="2407" w:type="dxa"/>
          </w:tcPr>
          <w:p w14:paraId="5E73554F" w14:textId="77777777" w:rsidR="009E2A8B" w:rsidRPr="00C05886" w:rsidRDefault="009E2A8B" w:rsidP="009F5C2B">
            <w:pPr>
              <w:spacing w:line="240" w:lineRule="auto"/>
              <w:jc w:val="center"/>
            </w:pPr>
            <w:r w:rsidRPr="00C05886">
              <w:t>3 minutes</w:t>
            </w:r>
          </w:p>
        </w:tc>
        <w:tc>
          <w:tcPr>
            <w:tcW w:w="2407" w:type="dxa"/>
          </w:tcPr>
          <w:p w14:paraId="099C9AC2" w14:textId="77777777" w:rsidR="009E2A8B" w:rsidRPr="00C05886" w:rsidRDefault="009E2A8B" w:rsidP="009F5C2B">
            <w:pPr>
              <w:spacing w:line="240" w:lineRule="auto"/>
              <w:jc w:val="center"/>
            </w:pPr>
            <w:r w:rsidRPr="00C05886">
              <w:t>(1 minute)</w:t>
            </w:r>
          </w:p>
        </w:tc>
        <w:tc>
          <w:tcPr>
            <w:tcW w:w="2407" w:type="dxa"/>
          </w:tcPr>
          <w:p w14:paraId="57E9BCE5" w14:textId="77777777" w:rsidR="009E2A8B" w:rsidRPr="00C05886" w:rsidRDefault="009E2A8B" w:rsidP="009F5C2B">
            <w:pPr>
              <w:spacing w:line="240" w:lineRule="auto"/>
              <w:jc w:val="center"/>
            </w:pPr>
            <w:r w:rsidRPr="00C05886">
              <w:t>(1 minute)</w:t>
            </w:r>
          </w:p>
        </w:tc>
        <w:tc>
          <w:tcPr>
            <w:tcW w:w="2407" w:type="dxa"/>
          </w:tcPr>
          <w:p w14:paraId="3D0094C7" w14:textId="77777777" w:rsidR="009E2A8B" w:rsidRPr="00C05886" w:rsidRDefault="009E2A8B" w:rsidP="009F5C2B">
            <w:pPr>
              <w:spacing w:line="240" w:lineRule="auto"/>
              <w:jc w:val="center"/>
            </w:pPr>
            <w:r w:rsidRPr="00C05886">
              <w:t>(3 minutes)</w:t>
            </w:r>
          </w:p>
        </w:tc>
      </w:tr>
      <w:tr w:rsidR="009E2A8B" w:rsidRPr="00C05886" w14:paraId="17EB2559" w14:textId="77777777" w:rsidTr="009E2A8B">
        <w:tc>
          <w:tcPr>
            <w:tcW w:w="2407" w:type="dxa"/>
          </w:tcPr>
          <w:p w14:paraId="0D3D20C0" w14:textId="77777777" w:rsidR="009E2A8B" w:rsidRPr="00C05886" w:rsidRDefault="009E2A8B" w:rsidP="009F5C2B">
            <w:pPr>
              <w:spacing w:line="240" w:lineRule="auto"/>
              <w:jc w:val="center"/>
            </w:pPr>
            <w:r w:rsidRPr="00C05886">
              <w:t>HRV and EEG</w:t>
            </w:r>
          </w:p>
        </w:tc>
        <w:tc>
          <w:tcPr>
            <w:tcW w:w="2407" w:type="dxa"/>
          </w:tcPr>
          <w:p w14:paraId="7D1E2F40" w14:textId="77777777" w:rsidR="009E2A8B" w:rsidRPr="00C05886" w:rsidRDefault="009E2A8B" w:rsidP="009F5C2B">
            <w:pPr>
              <w:spacing w:line="240" w:lineRule="auto"/>
              <w:jc w:val="center"/>
            </w:pPr>
            <w:r w:rsidRPr="00C05886">
              <w:t>PANAS</w:t>
            </w:r>
          </w:p>
        </w:tc>
        <w:tc>
          <w:tcPr>
            <w:tcW w:w="2407" w:type="dxa"/>
          </w:tcPr>
          <w:p w14:paraId="0A07B1B9" w14:textId="77777777" w:rsidR="009E2A8B" w:rsidRPr="00C05886" w:rsidRDefault="009E2A8B" w:rsidP="009F5C2B">
            <w:pPr>
              <w:spacing w:line="240" w:lineRule="auto"/>
              <w:jc w:val="center"/>
            </w:pPr>
            <w:r w:rsidRPr="00C05886">
              <w:t>HRV, EEG and PANAS</w:t>
            </w:r>
          </w:p>
        </w:tc>
        <w:tc>
          <w:tcPr>
            <w:tcW w:w="2407" w:type="dxa"/>
          </w:tcPr>
          <w:p w14:paraId="6439C944" w14:textId="77777777" w:rsidR="009E2A8B" w:rsidRPr="00C05886" w:rsidRDefault="009E2A8B" w:rsidP="009F5C2B">
            <w:pPr>
              <w:spacing w:line="240" w:lineRule="auto"/>
              <w:jc w:val="center"/>
            </w:pPr>
            <w:r w:rsidRPr="00C05886">
              <w:t>HRV, EEG and PANAS</w:t>
            </w:r>
          </w:p>
        </w:tc>
      </w:tr>
    </w:tbl>
    <w:p w14:paraId="78E9BB5C" w14:textId="77777777" w:rsidR="00447C22" w:rsidRPr="00C05886" w:rsidRDefault="00447C22">
      <w:pPr>
        <w:rPr>
          <w:sz w:val="36"/>
          <w:szCs w:val="36"/>
        </w:rPr>
        <w:sectPr w:rsidR="00447C22" w:rsidRPr="00C05886" w:rsidSect="00E40177">
          <w:footerReference w:type="default" r:id="rId63"/>
          <w:pgSz w:w="11906" w:h="16838"/>
          <w:pgMar w:top="1417" w:right="1134" w:bottom="1134" w:left="1134" w:header="708" w:footer="708" w:gutter="0"/>
          <w:cols w:space="708"/>
          <w:titlePg/>
          <w:docGrid w:linePitch="360"/>
        </w:sectPr>
      </w:pPr>
    </w:p>
    <w:p w14:paraId="118C1077" w14:textId="0C24EA10" w:rsidR="00447C22" w:rsidRPr="00C05886" w:rsidRDefault="00205821" w:rsidP="00205821">
      <w:pPr>
        <w:pStyle w:val="Heading3"/>
      </w:pPr>
      <w:bookmarkStart w:id="190" w:name="_Toc179962427"/>
      <w:r w:rsidRPr="00C05886">
        <w:lastRenderedPageBreak/>
        <w:t xml:space="preserve">Schematic </w:t>
      </w:r>
      <w:r w:rsidR="00447C22" w:rsidRPr="00C05886">
        <w:t>literature review</w:t>
      </w:r>
      <w:r w:rsidRPr="00C05886">
        <w:t xml:space="preserve"> of electroencephalographic studies</w:t>
      </w:r>
      <w:bookmarkEnd w:id="190"/>
    </w:p>
    <w:tbl>
      <w:tblPr>
        <w:tblStyle w:val="TableGrid"/>
        <w:tblW w:w="5000" w:type="pct"/>
        <w:tblLook w:val="04A0" w:firstRow="1" w:lastRow="0" w:firstColumn="1" w:lastColumn="0" w:noHBand="0" w:noVBand="1"/>
      </w:tblPr>
      <w:tblGrid>
        <w:gridCol w:w="1939"/>
        <w:gridCol w:w="2426"/>
        <w:gridCol w:w="1772"/>
        <w:gridCol w:w="4793"/>
        <w:gridCol w:w="2545"/>
        <w:gridCol w:w="2375"/>
        <w:gridCol w:w="3484"/>
        <w:gridCol w:w="1912"/>
      </w:tblGrid>
      <w:tr w:rsidR="00205821" w:rsidRPr="00C05886" w14:paraId="0F1BE09A" w14:textId="77777777" w:rsidTr="00205821">
        <w:tc>
          <w:tcPr>
            <w:tcW w:w="456" w:type="pct"/>
          </w:tcPr>
          <w:p w14:paraId="45606478" w14:textId="77777777" w:rsidR="00447C22" w:rsidRPr="00C05886" w:rsidRDefault="00447C22" w:rsidP="00447C22">
            <w:pPr>
              <w:spacing w:line="240" w:lineRule="auto"/>
              <w:rPr>
                <w:b/>
                <w:bCs/>
                <w:sz w:val="17"/>
                <w:szCs w:val="17"/>
              </w:rPr>
            </w:pPr>
            <w:r w:rsidRPr="00C05886">
              <w:rPr>
                <w:b/>
                <w:bCs/>
                <w:sz w:val="17"/>
                <w:szCs w:val="17"/>
              </w:rPr>
              <w:t>Paper</w:t>
            </w:r>
          </w:p>
        </w:tc>
        <w:tc>
          <w:tcPr>
            <w:tcW w:w="571" w:type="pct"/>
          </w:tcPr>
          <w:p w14:paraId="1DFB3520" w14:textId="77777777" w:rsidR="00447C22" w:rsidRPr="00C05886" w:rsidRDefault="00447C22" w:rsidP="00447C22">
            <w:pPr>
              <w:spacing w:line="240" w:lineRule="auto"/>
              <w:rPr>
                <w:b/>
                <w:bCs/>
                <w:sz w:val="17"/>
                <w:szCs w:val="17"/>
              </w:rPr>
            </w:pPr>
            <w:r w:rsidRPr="00C05886">
              <w:rPr>
                <w:b/>
                <w:bCs/>
                <w:sz w:val="17"/>
                <w:szCs w:val="17"/>
              </w:rPr>
              <w:t>Looking at</w:t>
            </w:r>
          </w:p>
        </w:tc>
        <w:tc>
          <w:tcPr>
            <w:tcW w:w="417" w:type="pct"/>
          </w:tcPr>
          <w:p w14:paraId="4931C4D2" w14:textId="77777777" w:rsidR="00447C22" w:rsidRPr="00C05886" w:rsidRDefault="00447C22" w:rsidP="00447C22">
            <w:pPr>
              <w:spacing w:line="240" w:lineRule="auto"/>
              <w:rPr>
                <w:b/>
                <w:bCs/>
                <w:sz w:val="17"/>
                <w:szCs w:val="17"/>
              </w:rPr>
            </w:pPr>
            <w:r w:rsidRPr="00C05886">
              <w:rPr>
                <w:b/>
                <w:bCs/>
                <w:sz w:val="17"/>
                <w:szCs w:val="17"/>
              </w:rPr>
              <w:t>N</w:t>
            </w:r>
          </w:p>
        </w:tc>
        <w:tc>
          <w:tcPr>
            <w:tcW w:w="1128" w:type="pct"/>
          </w:tcPr>
          <w:p w14:paraId="15588EF9" w14:textId="77777777" w:rsidR="00447C22" w:rsidRPr="00C05886" w:rsidRDefault="00447C22" w:rsidP="00447C22">
            <w:pPr>
              <w:spacing w:line="240" w:lineRule="auto"/>
              <w:rPr>
                <w:b/>
                <w:bCs/>
                <w:sz w:val="17"/>
                <w:szCs w:val="17"/>
              </w:rPr>
            </w:pPr>
            <w:r w:rsidRPr="00C05886">
              <w:rPr>
                <w:b/>
                <w:bCs/>
                <w:sz w:val="17"/>
                <w:szCs w:val="17"/>
              </w:rPr>
              <w:t>Measured</w:t>
            </w:r>
          </w:p>
        </w:tc>
        <w:tc>
          <w:tcPr>
            <w:tcW w:w="599" w:type="pct"/>
          </w:tcPr>
          <w:p w14:paraId="0171A267" w14:textId="77777777" w:rsidR="00447C22" w:rsidRPr="00C05886" w:rsidRDefault="00447C22" w:rsidP="00447C22">
            <w:pPr>
              <w:spacing w:line="240" w:lineRule="auto"/>
              <w:rPr>
                <w:b/>
                <w:bCs/>
                <w:sz w:val="17"/>
                <w:szCs w:val="17"/>
              </w:rPr>
            </w:pPr>
            <w:r w:rsidRPr="00C05886">
              <w:rPr>
                <w:b/>
                <w:bCs/>
                <w:sz w:val="17"/>
                <w:szCs w:val="17"/>
              </w:rPr>
              <w:t>Data processing</w:t>
            </w:r>
          </w:p>
        </w:tc>
        <w:tc>
          <w:tcPr>
            <w:tcW w:w="559" w:type="pct"/>
          </w:tcPr>
          <w:p w14:paraId="7F7008E1" w14:textId="77777777" w:rsidR="00447C22" w:rsidRPr="00C05886" w:rsidRDefault="00447C22" w:rsidP="00447C22">
            <w:pPr>
              <w:spacing w:line="240" w:lineRule="auto"/>
              <w:rPr>
                <w:b/>
                <w:bCs/>
                <w:sz w:val="17"/>
                <w:szCs w:val="17"/>
              </w:rPr>
            </w:pPr>
            <w:r w:rsidRPr="00C05886">
              <w:rPr>
                <w:b/>
                <w:bCs/>
                <w:sz w:val="17"/>
                <w:szCs w:val="17"/>
              </w:rPr>
              <w:t>Statistics</w:t>
            </w:r>
          </w:p>
        </w:tc>
        <w:tc>
          <w:tcPr>
            <w:tcW w:w="820" w:type="pct"/>
          </w:tcPr>
          <w:p w14:paraId="08119A2D" w14:textId="77777777" w:rsidR="00447C22" w:rsidRPr="00C05886" w:rsidRDefault="00447C22" w:rsidP="00205821">
            <w:pPr>
              <w:spacing w:line="240" w:lineRule="auto"/>
              <w:jc w:val="left"/>
              <w:rPr>
                <w:b/>
                <w:bCs/>
                <w:sz w:val="17"/>
                <w:szCs w:val="17"/>
              </w:rPr>
            </w:pPr>
            <w:r w:rsidRPr="00C05886">
              <w:rPr>
                <w:b/>
                <w:bCs/>
                <w:sz w:val="17"/>
                <w:szCs w:val="17"/>
              </w:rPr>
              <w:t>Results</w:t>
            </w:r>
          </w:p>
        </w:tc>
        <w:tc>
          <w:tcPr>
            <w:tcW w:w="450" w:type="pct"/>
          </w:tcPr>
          <w:p w14:paraId="265467B9" w14:textId="77777777" w:rsidR="00447C22" w:rsidRPr="00C05886" w:rsidRDefault="00447C22" w:rsidP="00205821">
            <w:pPr>
              <w:spacing w:line="240" w:lineRule="auto"/>
              <w:jc w:val="left"/>
              <w:rPr>
                <w:b/>
                <w:bCs/>
                <w:sz w:val="17"/>
                <w:szCs w:val="17"/>
              </w:rPr>
            </w:pPr>
            <w:r w:rsidRPr="00C05886">
              <w:rPr>
                <w:b/>
                <w:bCs/>
                <w:sz w:val="17"/>
                <w:szCs w:val="17"/>
              </w:rPr>
              <w:t>Journal</w:t>
            </w:r>
          </w:p>
        </w:tc>
      </w:tr>
      <w:tr w:rsidR="00205821" w:rsidRPr="00C05886" w14:paraId="324D33BD" w14:textId="77777777" w:rsidTr="00205821">
        <w:tc>
          <w:tcPr>
            <w:tcW w:w="456" w:type="pct"/>
          </w:tcPr>
          <w:p w14:paraId="3B8436DB" w14:textId="68524560" w:rsidR="00447C22" w:rsidRPr="00C05886" w:rsidRDefault="00447C22" w:rsidP="00205821">
            <w:pPr>
              <w:spacing w:line="240" w:lineRule="auto"/>
              <w:jc w:val="left"/>
              <w:rPr>
                <w:sz w:val="17"/>
                <w:szCs w:val="17"/>
              </w:rPr>
            </w:pPr>
            <w:r w:rsidRPr="00C05886">
              <w:rPr>
                <w:sz w:val="17"/>
                <w:szCs w:val="17"/>
              </w:rPr>
              <w:fldChar w:fldCharType="begin"/>
            </w:r>
            <w:r w:rsidR="003C342F" w:rsidRPr="00C05886">
              <w:rPr>
                <w:sz w:val="17"/>
                <w:szCs w:val="17"/>
              </w:rPr>
              <w:instrText xml:space="preserve"> ADDIN ZOTERO_ITEM CSL_CITATION {"citationID":"ee9b2Ko1","properties":{"formattedCitation":"(Lin {\\i{}et al.}, 2020)","plainCitation":"(Lin et al., 2020)","noteIndex":0},"citationItems":[{"id":8964,"uris":["http://zotero.org/users/local/pAEZdfSt/items/M9PW65RB","http://zotero.org/users/10951124/items/M9PW65RB"],"itemData":{"id":8964,"type":"article-journal","abstract":"There is a close relationship between urban green space and the physical and mental health of individuals. Most previous studies have discussed the impact of the structure of green space and its elements. This study focused on the emotional changes caused by common behaviors in urban green space (walking and sitting). We recruited 40 college students and randomly assigned them to walking and sitting groups (20 students per group). The two groups performed the same 8-min high-pressure learning task indoors and then performed 8-min recovery activities in a simulated urban green space (a bamboo-lawn space). We used the Emotiv EPOC+ EEG headset to dynamically measure six neural emotional parameters: “engagement,” “valence,” “meditation,” “frustration,” “focus,” and “excitement.” We conducted a pretest and posttest and used analysis of covariance (ANCOVA) to analyze the posttest data (with the pretest data as covariates). The results of the comparison of the two behaviors showed that the “valence” and “meditation” values of the walking group were higher than those of the sitting group, which suggests that walking in urban green space is more favorable for stress reduction. The sitting group had a higher “focus” value than did the walking group, which suggests that sitting in urban green space is better for attention restoration. The results of this study can provide guidance for urban green space planning and design as well as health guidance for urban residents.","container-title":"Journal of Urban Health","DOI":"10.1007/s11524-019-00407-8","ISSN":"1468-2869","issue":"2","page":"191-203","title":"Sitting or Walking? Analyzing the Neural Emotional Indicators of Urban Green Space Behavior with Mobile EEG","volume":"97","author":[{"family":"Lin","given":"Wei"},{"family":"Chen","given":"Qibing"},{"family":"Jiang","given":"Mingyan"},{"family":"Tao","given":"Jinying"},{"family":"Liu","given":"Zongfang"},{"family":"Zhang","given":"Xiaoxia"},{"family":"Wu","given":"Linjia"},{"family":"Xu","given":"Shan"},{"family":"Kang","given":"Yushan"},{"family":"Zeng","given":"Qiuyuan"}],"issued":{"date-parts":[["2020"]]}}}],"schema":"https://github.com/citation-style-language/schema/raw/master/csl-citation.json"} </w:instrText>
            </w:r>
            <w:r w:rsidRPr="00C05886">
              <w:rPr>
                <w:sz w:val="17"/>
                <w:szCs w:val="17"/>
              </w:rPr>
              <w:fldChar w:fldCharType="separate"/>
            </w:r>
            <w:r w:rsidRPr="00C05886">
              <w:rPr>
                <w:rFonts w:ascii="Calibri" w:hAnsi="Calibri" w:cs="Calibri"/>
                <w:sz w:val="17"/>
                <w:szCs w:val="17"/>
              </w:rPr>
              <w:t xml:space="preserve">(Lin </w:t>
            </w:r>
            <w:r w:rsidRPr="00C05886">
              <w:rPr>
                <w:rFonts w:ascii="Calibri" w:hAnsi="Calibri" w:cs="Calibri"/>
                <w:i/>
                <w:iCs/>
                <w:sz w:val="17"/>
                <w:szCs w:val="17"/>
              </w:rPr>
              <w:t>et al.</w:t>
            </w:r>
            <w:r w:rsidRPr="00C05886">
              <w:rPr>
                <w:rFonts w:ascii="Calibri" w:hAnsi="Calibri" w:cs="Calibri"/>
                <w:sz w:val="17"/>
                <w:szCs w:val="17"/>
              </w:rPr>
              <w:t>, 2020)</w:t>
            </w:r>
            <w:r w:rsidRPr="00C05886">
              <w:rPr>
                <w:sz w:val="17"/>
                <w:szCs w:val="17"/>
              </w:rPr>
              <w:fldChar w:fldCharType="end"/>
            </w:r>
          </w:p>
        </w:tc>
        <w:tc>
          <w:tcPr>
            <w:tcW w:w="571" w:type="pct"/>
          </w:tcPr>
          <w:p w14:paraId="5A395144" w14:textId="77777777" w:rsidR="00447C22" w:rsidRPr="00C05886" w:rsidRDefault="00447C22" w:rsidP="00205821">
            <w:pPr>
              <w:spacing w:line="240" w:lineRule="auto"/>
              <w:jc w:val="left"/>
              <w:rPr>
                <w:sz w:val="17"/>
                <w:szCs w:val="17"/>
              </w:rPr>
            </w:pPr>
            <w:r w:rsidRPr="00C05886">
              <w:rPr>
                <w:sz w:val="17"/>
                <w:szCs w:val="17"/>
              </w:rPr>
              <w:t>Differences between sitting and walking in green space, after stressful task</w:t>
            </w:r>
          </w:p>
        </w:tc>
        <w:tc>
          <w:tcPr>
            <w:tcW w:w="417" w:type="pct"/>
          </w:tcPr>
          <w:p w14:paraId="63EF7225" w14:textId="77777777" w:rsidR="00447C22" w:rsidRPr="00C05886" w:rsidRDefault="00447C22" w:rsidP="00205821">
            <w:pPr>
              <w:spacing w:line="240" w:lineRule="auto"/>
              <w:jc w:val="left"/>
              <w:rPr>
                <w:sz w:val="17"/>
                <w:szCs w:val="17"/>
              </w:rPr>
            </w:pPr>
            <w:r w:rsidRPr="00C05886">
              <w:rPr>
                <w:b/>
                <w:bCs/>
                <w:sz w:val="17"/>
                <w:szCs w:val="17"/>
              </w:rPr>
              <w:t>40</w:t>
            </w:r>
            <w:r w:rsidRPr="00C05886">
              <w:rPr>
                <w:sz w:val="17"/>
                <w:szCs w:val="17"/>
              </w:rPr>
              <w:t>, college students</w:t>
            </w:r>
          </w:p>
        </w:tc>
        <w:tc>
          <w:tcPr>
            <w:tcW w:w="1128" w:type="pct"/>
          </w:tcPr>
          <w:p w14:paraId="73FAEA7A" w14:textId="77777777" w:rsidR="00447C22" w:rsidRPr="00C05886" w:rsidRDefault="00447C22" w:rsidP="00205821">
            <w:pPr>
              <w:spacing w:line="240" w:lineRule="auto"/>
              <w:jc w:val="left"/>
              <w:rPr>
                <w:sz w:val="17"/>
                <w:szCs w:val="17"/>
              </w:rPr>
            </w:pPr>
            <w:r w:rsidRPr="00C05886">
              <w:rPr>
                <w:sz w:val="17"/>
                <w:szCs w:val="17"/>
              </w:rPr>
              <w:t xml:space="preserve">Six emotional parameters from </w:t>
            </w:r>
            <w:proofErr w:type="spellStart"/>
            <w:r w:rsidRPr="00C05886">
              <w:rPr>
                <w:sz w:val="17"/>
                <w:szCs w:val="17"/>
              </w:rPr>
              <w:t>Emotiv</w:t>
            </w:r>
            <w:proofErr w:type="spellEnd"/>
            <w:r w:rsidRPr="00C05886">
              <w:rPr>
                <w:sz w:val="17"/>
                <w:szCs w:val="17"/>
              </w:rPr>
              <w:t xml:space="preserve"> </w:t>
            </w:r>
            <w:proofErr w:type="spellStart"/>
            <w:r w:rsidRPr="00C05886">
              <w:rPr>
                <w:sz w:val="17"/>
                <w:szCs w:val="17"/>
              </w:rPr>
              <w:t>Affectiv</w:t>
            </w:r>
            <w:proofErr w:type="spellEnd"/>
            <w:r w:rsidRPr="00C05886">
              <w:rPr>
                <w:sz w:val="17"/>
                <w:szCs w:val="17"/>
              </w:rPr>
              <w:t xml:space="preserve"> suite. 7hz</w:t>
            </w:r>
          </w:p>
        </w:tc>
        <w:tc>
          <w:tcPr>
            <w:tcW w:w="599" w:type="pct"/>
          </w:tcPr>
          <w:p w14:paraId="7C023FE1" w14:textId="77777777" w:rsidR="00447C22" w:rsidRPr="00C05886" w:rsidRDefault="00447C22" w:rsidP="00205821">
            <w:pPr>
              <w:spacing w:line="240" w:lineRule="auto"/>
              <w:jc w:val="left"/>
              <w:rPr>
                <w:sz w:val="17"/>
                <w:szCs w:val="17"/>
              </w:rPr>
            </w:pPr>
            <w:r w:rsidRPr="00C05886">
              <w:rPr>
                <w:color w:val="FF0000"/>
                <w:sz w:val="17"/>
                <w:szCs w:val="17"/>
              </w:rPr>
              <w:t>No details provided</w:t>
            </w:r>
            <w:r w:rsidRPr="00C05886">
              <w:rPr>
                <w:sz w:val="17"/>
                <w:szCs w:val="17"/>
              </w:rPr>
              <w:t>. Assume it’s Emotive Pro</w:t>
            </w:r>
          </w:p>
        </w:tc>
        <w:tc>
          <w:tcPr>
            <w:tcW w:w="559" w:type="pct"/>
          </w:tcPr>
          <w:p w14:paraId="7D599ACA" w14:textId="77777777" w:rsidR="00447C22" w:rsidRPr="00C05886" w:rsidRDefault="00447C22" w:rsidP="00205821">
            <w:pPr>
              <w:spacing w:line="240" w:lineRule="auto"/>
              <w:jc w:val="left"/>
              <w:rPr>
                <w:sz w:val="17"/>
                <w:szCs w:val="17"/>
              </w:rPr>
            </w:pPr>
            <w:r w:rsidRPr="00C05886">
              <w:rPr>
                <w:sz w:val="17"/>
                <w:szCs w:val="17"/>
              </w:rPr>
              <w:t>One-way ANCOVA with pre-test measure as covariate</w:t>
            </w:r>
          </w:p>
        </w:tc>
        <w:tc>
          <w:tcPr>
            <w:tcW w:w="820" w:type="pct"/>
          </w:tcPr>
          <w:p w14:paraId="7194218E" w14:textId="77777777" w:rsidR="00447C22" w:rsidRPr="00C05886" w:rsidRDefault="00447C22" w:rsidP="00205821">
            <w:pPr>
              <w:spacing w:line="240" w:lineRule="auto"/>
              <w:jc w:val="left"/>
              <w:rPr>
                <w:rFonts w:ascii="Calibri" w:hAnsi="Calibri" w:cs="Calibri"/>
                <w:sz w:val="17"/>
                <w:szCs w:val="17"/>
              </w:rPr>
            </w:pPr>
            <w:r w:rsidRPr="00C05886">
              <w:rPr>
                <w:rFonts w:ascii="Calibri" w:hAnsi="Calibri" w:cs="Calibri"/>
                <w:sz w:val="17"/>
                <w:szCs w:val="17"/>
              </w:rPr>
              <w:t xml:space="preserve">Higher “valence” and “meditation” in the walking group. Higher “focus” in the sitting group </w:t>
            </w:r>
          </w:p>
        </w:tc>
        <w:tc>
          <w:tcPr>
            <w:tcW w:w="450" w:type="pct"/>
          </w:tcPr>
          <w:p w14:paraId="5AD82D42" w14:textId="77777777" w:rsidR="00447C22" w:rsidRPr="00C05886" w:rsidRDefault="00447C22" w:rsidP="00205821">
            <w:pPr>
              <w:spacing w:line="240" w:lineRule="auto"/>
              <w:jc w:val="left"/>
              <w:rPr>
                <w:sz w:val="17"/>
                <w:szCs w:val="17"/>
              </w:rPr>
            </w:pPr>
            <w:r w:rsidRPr="00C05886">
              <w:rPr>
                <w:rFonts w:ascii="Calibri" w:hAnsi="Calibri" w:cs="Calibri"/>
                <w:i/>
                <w:iCs/>
                <w:sz w:val="17"/>
                <w:szCs w:val="17"/>
              </w:rPr>
              <w:t>Journal of Urban Health</w:t>
            </w:r>
          </w:p>
        </w:tc>
      </w:tr>
      <w:tr w:rsidR="00205821" w:rsidRPr="00C05886" w14:paraId="762B495C" w14:textId="77777777" w:rsidTr="00205821">
        <w:tc>
          <w:tcPr>
            <w:tcW w:w="456" w:type="pct"/>
          </w:tcPr>
          <w:p w14:paraId="252EFAD1" w14:textId="789FA4FD" w:rsidR="00447C22" w:rsidRPr="00C05886" w:rsidRDefault="00447C22" w:rsidP="00205821">
            <w:pPr>
              <w:spacing w:line="240" w:lineRule="auto"/>
              <w:jc w:val="left"/>
              <w:rPr>
                <w:sz w:val="17"/>
                <w:szCs w:val="17"/>
              </w:rPr>
            </w:pPr>
            <w:r w:rsidRPr="00C05886">
              <w:rPr>
                <w:sz w:val="17"/>
                <w:szCs w:val="17"/>
              </w:rPr>
              <w:fldChar w:fldCharType="begin"/>
            </w:r>
            <w:r w:rsidR="003C342F" w:rsidRPr="00C05886">
              <w:rPr>
                <w:sz w:val="17"/>
                <w:szCs w:val="17"/>
              </w:rPr>
              <w:instrText xml:space="preserve"> ADDIN ZOTERO_ITEM CSL_CITATION {"citationID":"JxutcHDy","properties":{"formattedCitation":"(Elsadek and Liu, 2020)","plainCitation":"(Elsadek and Liu, 2020)","noteIndex":0},"citationItems":[{"id":5278,"uris":["http://zotero.org/users/local/pAEZdfSt/items/QQ6MQY8R","http://zotero.org/users/10951124/items/QQ6MQY8R"],"itemData":{"id":5278,"type":"article-journal","abstract":"Despite the existence of plentiful studies on how plants can positively affect human wellbeing, few have focused on the potential effects of flower colours on stressed people. The present study was designed to illustrate the psychophysiological relaxation impacts of seeing purple and blue hydrangea flowers among finance workers. Thirty employees were asked to view purple, blue flowers or an empty table for 3-min, during which we measured the participants' brain activity, heart rate variability and skin conductance. We also assessed their emotions and mood states. Findings suggest that, compared with viewing the control, viewing blue and purple flowers resulted in a significant increase in alpha relative waves in the prefrontal and occipital lobes, and a significant increase in parasympathetic nervous activity. A significant increase in the sensation vote for ?comfort', ?relaxation' and ?cheerfulness', as well as a dramatic improvement in the mood state was observed. The results show clear evidence for the support of the use of blue and purple flowering plants in places where comfort and calmness are required. In addition, blue flowers were more favoured and had the greatest positive effects. Results indicate that viewing flowering plants would be a promising therapeutic approach for enhancing physiological functions and improving psychological relaxation for office workers.","container-title":"Indoor and Built Environment","DOI":"10.1177/1420326X20942572","ISSN":"1420-326X","note":"publisher: SAGE Publications Ltd STM","page":"1420326X20942572","title":"Effects of viewing flowering plants on employees' wellbeing in an office-like environment","author":[{"family":"Elsadek","given":"Mohamed"},{"family":"Liu","given":"Binyi"}],"issued":{"date-parts":[["2020",7,28]]}}}],"schema":"https://github.com/citation-style-language/schema/raw/master/csl-citation.json"} </w:instrText>
            </w:r>
            <w:r w:rsidRPr="00C05886">
              <w:rPr>
                <w:sz w:val="17"/>
                <w:szCs w:val="17"/>
              </w:rPr>
              <w:fldChar w:fldCharType="separate"/>
            </w:r>
            <w:r w:rsidRPr="00C05886">
              <w:rPr>
                <w:rFonts w:ascii="Calibri" w:hAnsi="Calibri" w:cs="Calibri"/>
                <w:sz w:val="17"/>
                <w:szCs w:val="17"/>
              </w:rPr>
              <w:t>(Elsadek and Liu, 2020)</w:t>
            </w:r>
            <w:r w:rsidRPr="00C05886">
              <w:rPr>
                <w:sz w:val="17"/>
                <w:szCs w:val="17"/>
              </w:rPr>
              <w:fldChar w:fldCharType="end"/>
            </w:r>
          </w:p>
        </w:tc>
        <w:tc>
          <w:tcPr>
            <w:tcW w:w="571" w:type="pct"/>
          </w:tcPr>
          <w:p w14:paraId="1658FAC5" w14:textId="77777777" w:rsidR="00447C22" w:rsidRPr="00C05886" w:rsidRDefault="00447C22" w:rsidP="00205821">
            <w:pPr>
              <w:spacing w:line="240" w:lineRule="auto"/>
              <w:jc w:val="left"/>
              <w:rPr>
                <w:sz w:val="17"/>
                <w:szCs w:val="17"/>
              </w:rPr>
            </w:pPr>
            <w:r w:rsidRPr="00C05886">
              <w:rPr>
                <w:sz w:val="17"/>
                <w:szCs w:val="17"/>
              </w:rPr>
              <w:t xml:space="preserve">Differences between looking blue vs purple </w:t>
            </w:r>
            <w:r w:rsidRPr="00C05886">
              <w:rPr>
                <w:i/>
                <w:iCs/>
                <w:sz w:val="17"/>
                <w:szCs w:val="17"/>
              </w:rPr>
              <w:t>Hydrangea</w:t>
            </w:r>
            <w:r w:rsidRPr="00C05886">
              <w:rPr>
                <w:sz w:val="17"/>
                <w:szCs w:val="17"/>
              </w:rPr>
              <w:t xml:space="preserve"> vs control</w:t>
            </w:r>
          </w:p>
        </w:tc>
        <w:tc>
          <w:tcPr>
            <w:tcW w:w="417" w:type="pct"/>
          </w:tcPr>
          <w:p w14:paraId="6E991F0C" w14:textId="77777777" w:rsidR="00447C22" w:rsidRPr="00C05886" w:rsidRDefault="00447C22" w:rsidP="00205821">
            <w:pPr>
              <w:spacing w:line="240" w:lineRule="auto"/>
              <w:jc w:val="left"/>
              <w:rPr>
                <w:sz w:val="17"/>
                <w:szCs w:val="17"/>
              </w:rPr>
            </w:pPr>
            <w:r w:rsidRPr="00C05886">
              <w:rPr>
                <w:b/>
                <w:bCs/>
                <w:sz w:val="17"/>
                <w:szCs w:val="17"/>
              </w:rPr>
              <w:t>30</w:t>
            </w:r>
            <w:r w:rsidRPr="00C05886">
              <w:rPr>
                <w:sz w:val="17"/>
                <w:szCs w:val="17"/>
              </w:rPr>
              <w:t>, finance employees, all females</w:t>
            </w:r>
          </w:p>
        </w:tc>
        <w:tc>
          <w:tcPr>
            <w:tcW w:w="1128" w:type="pct"/>
          </w:tcPr>
          <w:p w14:paraId="0348F424" w14:textId="77777777" w:rsidR="00447C22" w:rsidRPr="00C05886" w:rsidRDefault="00447C22" w:rsidP="00205821">
            <w:pPr>
              <w:spacing w:line="240" w:lineRule="auto"/>
              <w:jc w:val="left"/>
              <w:rPr>
                <w:sz w:val="17"/>
                <w:szCs w:val="17"/>
              </w:rPr>
            </w:pPr>
            <w:r w:rsidRPr="00C05886">
              <w:rPr>
                <w:sz w:val="17"/>
                <w:szCs w:val="17"/>
              </w:rPr>
              <w:t xml:space="preserve">Relative </w:t>
            </w:r>
            <w:r w:rsidRPr="00C05886">
              <w:rPr>
                <w:rFonts w:cstheme="minorHAnsi"/>
                <w:sz w:val="17"/>
                <w:szCs w:val="17"/>
              </w:rPr>
              <w:t>α</w:t>
            </w:r>
            <w:r w:rsidRPr="00C05886">
              <w:rPr>
                <w:sz w:val="17"/>
                <w:szCs w:val="17"/>
              </w:rPr>
              <w:t xml:space="preserve"> power on F3 F4 O1 and O2</w:t>
            </w:r>
          </w:p>
        </w:tc>
        <w:tc>
          <w:tcPr>
            <w:tcW w:w="599" w:type="pct"/>
          </w:tcPr>
          <w:p w14:paraId="20CAC865" w14:textId="7902BEB8" w:rsidR="00447C22" w:rsidRPr="00C05886" w:rsidRDefault="00447C22" w:rsidP="00205821">
            <w:pPr>
              <w:spacing w:line="240" w:lineRule="auto"/>
              <w:jc w:val="left"/>
              <w:rPr>
                <w:sz w:val="17"/>
                <w:szCs w:val="17"/>
              </w:rPr>
            </w:pPr>
            <w:r w:rsidRPr="00C05886">
              <w:rPr>
                <w:sz w:val="17"/>
                <w:szCs w:val="17"/>
              </w:rPr>
              <w:t xml:space="preserve">High pass 0,5 </w:t>
            </w:r>
            <w:proofErr w:type="spellStart"/>
            <w:r w:rsidRPr="00C05886">
              <w:rPr>
                <w:sz w:val="17"/>
                <w:szCs w:val="17"/>
              </w:rPr>
              <w:t>hz</w:t>
            </w:r>
            <w:proofErr w:type="spellEnd"/>
            <w:r w:rsidRPr="00C05886">
              <w:rPr>
                <w:sz w:val="17"/>
                <w:szCs w:val="17"/>
              </w:rPr>
              <w:t xml:space="preserve">, lowpass 50 </w:t>
            </w:r>
            <w:proofErr w:type="spellStart"/>
            <w:r w:rsidRPr="00C05886">
              <w:rPr>
                <w:sz w:val="17"/>
                <w:szCs w:val="17"/>
              </w:rPr>
              <w:t>hz</w:t>
            </w:r>
            <w:proofErr w:type="spellEnd"/>
            <w:r w:rsidRPr="00C05886">
              <w:rPr>
                <w:sz w:val="17"/>
                <w:szCs w:val="17"/>
              </w:rPr>
              <w:t>. Artifacts removed with ADJUST</w:t>
            </w:r>
          </w:p>
        </w:tc>
        <w:tc>
          <w:tcPr>
            <w:tcW w:w="559" w:type="pct"/>
          </w:tcPr>
          <w:p w14:paraId="1E7690D4" w14:textId="77777777" w:rsidR="00447C22" w:rsidRPr="00C05886" w:rsidRDefault="00447C22" w:rsidP="00205821">
            <w:pPr>
              <w:spacing w:line="240" w:lineRule="auto"/>
              <w:jc w:val="left"/>
              <w:rPr>
                <w:sz w:val="17"/>
                <w:szCs w:val="17"/>
              </w:rPr>
            </w:pPr>
            <w:r w:rsidRPr="00C05886">
              <w:rPr>
                <w:sz w:val="17"/>
                <w:szCs w:val="17"/>
              </w:rPr>
              <w:t>One-way repeated measure ANOVA (no between subjects)</w:t>
            </w:r>
          </w:p>
        </w:tc>
        <w:tc>
          <w:tcPr>
            <w:tcW w:w="820" w:type="pct"/>
          </w:tcPr>
          <w:p w14:paraId="459EE018" w14:textId="77777777" w:rsidR="00447C22" w:rsidRPr="00C05886" w:rsidRDefault="00447C22" w:rsidP="00205821">
            <w:pPr>
              <w:spacing w:line="240" w:lineRule="auto"/>
              <w:jc w:val="left"/>
              <w:rPr>
                <w:rFonts w:ascii="Calibri" w:hAnsi="Calibri" w:cs="Calibri"/>
                <w:sz w:val="17"/>
                <w:szCs w:val="17"/>
              </w:rPr>
            </w:pPr>
            <w:r w:rsidRPr="00C05886">
              <w:rPr>
                <w:sz w:val="17"/>
                <w:szCs w:val="17"/>
              </w:rPr>
              <w:t>Viewing blue flowers elicited more alpha relative power than control and purple flowers. Purple flowers elicited more alpha than control. Relative alpha ranged 0.15-0.25 in the O region and 0.07-0.15 in the AF region</w:t>
            </w:r>
          </w:p>
        </w:tc>
        <w:tc>
          <w:tcPr>
            <w:tcW w:w="450" w:type="pct"/>
          </w:tcPr>
          <w:p w14:paraId="7B07D2B4" w14:textId="77777777" w:rsidR="00447C22" w:rsidRPr="00C05886" w:rsidRDefault="00447C22" w:rsidP="00205821">
            <w:pPr>
              <w:spacing w:line="240" w:lineRule="auto"/>
              <w:jc w:val="left"/>
              <w:rPr>
                <w:sz w:val="17"/>
                <w:szCs w:val="17"/>
              </w:rPr>
            </w:pPr>
            <w:r w:rsidRPr="00C05886">
              <w:rPr>
                <w:rFonts w:ascii="Calibri" w:hAnsi="Calibri" w:cs="Calibri"/>
                <w:i/>
                <w:iCs/>
                <w:sz w:val="17"/>
                <w:szCs w:val="17"/>
              </w:rPr>
              <w:t>Indoor and Built Environment</w:t>
            </w:r>
          </w:p>
        </w:tc>
      </w:tr>
      <w:tr w:rsidR="00205821" w:rsidRPr="00C05886" w14:paraId="1575D3DC" w14:textId="77777777" w:rsidTr="00205821">
        <w:tc>
          <w:tcPr>
            <w:tcW w:w="456" w:type="pct"/>
          </w:tcPr>
          <w:p w14:paraId="75AA45EE" w14:textId="03EB3B9B" w:rsidR="00447C22" w:rsidRPr="00C05886" w:rsidRDefault="00447C22" w:rsidP="00205821">
            <w:pPr>
              <w:spacing w:line="240" w:lineRule="auto"/>
              <w:jc w:val="left"/>
              <w:rPr>
                <w:sz w:val="17"/>
                <w:szCs w:val="17"/>
              </w:rPr>
            </w:pPr>
            <w:r w:rsidRPr="00C05886">
              <w:rPr>
                <w:sz w:val="17"/>
                <w:szCs w:val="17"/>
              </w:rPr>
              <w:fldChar w:fldCharType="begin"/>
            </w:r>
            <w:r w:rsidR="00FB3282" w:rsidRPr="00C05886">
              <w:rPr>
                <w:sz w:val="17"/>
                <w:szCs w:val="17"/>
              </w:rPr>
              <w:instrText xml:space="preserve"> ADDIN ZOTERO_ITEM CSL_CITATION {"citationID":"yFtu6CQL","properties":{"formattedCitation":"(Johansson {\\i{}et al.}, 2014)","plainCitation":"(Johansson et al., 2014)","noteIndex":0},"citationItems":[{"id":8502,"uris":["http://zotero.org/users/local/pAEZdfSt/items/IMLZ568A","http://zotero.org/users/10951124/items/IMLZ568A"],"itemData":{"id":8502,"type":"article-journal","abstract":"Using a multilevel approach, this study investigates direct (perceptual, emotional, and physiological responses [qEEG]) and reflected (preference, attitude, and intention to accept conservation measures) appraisal of different levels of biodiversity in temperate deciduous broad-leaf forest biotopes. Thirty-five participants viewed three series of zoomed pictures from biotopes assessed according to biological criteria to be of High, Intermediate, and Low level of biodiversity. Participants’ appraisal differed between the biotopes, and partly between the conceptualisation of appraisal, but overall there was a consistency across direct and reflected levels of appraisal. The most prominent result of the analysis of qEEG was a higher brain activity in the Theta frequency for the Low biotope. The Theta frequency has amongst others been associated with on-set of sleep and in the present context probably indicating that the Low biotope was less stimulating. The Low biotope was perceived to have the lowest degree of biodiversity followed by the Intermediate and the High biotopes. The Intermediate biotope elicited the most positive emotional response, and was rated highest in preference and in importance to conserve, whereas the intention to accept conservation measures did not differ between the biotopes. Thus biodiversity related criteria presently favoured in forest conservation management schemes are not necessarily prioritised by the public. Emotional components are likely to be at stake tending to favour the conservation of biotopes of an intermediate level of biodiversity.","container-title":"Urban Forestry &amp; Urban Greening","DOI":"https://doi.org/10.1016/j.ufug.2013.10.009","ISSN":"1618-8667","issue":"1","page":"28-37","title":"Does biological quality matter? Direct and reflected appraisal of biodiversity in temperate deciduous broad-leaf forest","volume":"13","author":[{"family":"Johansson","given":"Maria"},{"family":"Gyllin","given":"Mats"},{"family":"Witzell","given":"Jesper"},{"family":"Küller","given":"Marianne"}],"issued":{"date-parts":[["2014"]]}}}],"schema":"https://github.com/citation-style-language/schema/raw/master/csl-citation.json"} </w:instrText>
            </w:r>
            <w:r w:rsidRPr="00C05886">
              <w:rPr>
                <w:sz w:val="17"/>
                <w:szCs w:val="17"/>
              </w:rPr>
              <w:fldChar w:fldCharType="separate"/>
            </w:r>
            <w:r w:rsidR="00FB3282" w:rsidRPr="00C05886">
              <w:rPr>
                <w:rFonts w:ascii="Calibri" w:hAnsi="Calibri" w:cs="Calibri"/>
                <w:sz w:val="17"/>
                <w:szCs w:val="24"/>
              </w:rPr>
              <w:t xml:space="preserve">(Johansson </w:t>
            </w:r>
            <w:r w:rsidR="00FB3282" w:rsidRPr="00C05886">
              <w:rPr>
                <w:rFonts w:ascii="Calibri" w:hAnsi="Calibri" w:cs="Calibri"/>
                <w:i/>
                <w:iCs/>
                <w:sz w:val="17"/>
                <w:szCs w:val="24"/>
              </w:rPr>
              <w:t>et al.</w:t>
            </w:r>
            <w:r w:rsidR="00FB3282" w:rsidRPr="00C05886">
              <w:rPr>
                <w:rFonts w:ascii="Calibri" w:hAnsi="Calibri" w:cs="Calibri"/>
                <w:sz w:val="17"/>
                <w:szCs w:val="24"/>
              </w:rPr>
              <w:t>, 2014)</w:t>
            </w:r>
            <w:r w:rsidRPr="00C05886">
              <w:rPr>
                <w:sz w:val="17"/>
                <w:szCs w:val="17"/>
              </w:rPr>
              <w:fldChar w:fldCharType="end"/>
            </w:r>
          </w:p>
        </w:tc>
        <w:tc>
          <w:tcPr>
            <w:tcW w:w="571" w:type="pct"/>
          </w:tcPr>
          <w:p w14:paraId="2049B0E0" w14:textId="77777777" w:rsidR="00447C22" w:rsidRPr="00C05886" w:rsidRDefault="00447C22" w:rsidP="00205821">
            <w:pPr>
              <w:spacing w:line="240" w:lineRule="auto"/>
              <w:jc w:val="left"/>
              <w:rPr>
                <w:sz w:val="17"/>
                <w:szCs w:val="17"/>
              </w:rPr>
            </w:pPr>
            <w:r w:rsidRPr="00C05886">
              <w:rPr>
                <w:sz w:val="17"/>
                <w:szCs w:val="17"/>
              </w:rPr>
              <w:t xml:space="preserve">Differences between looking at images of </w:t>
            </w:r>
            <w:r w:rsidRPr="00C05886">
              <w:rPr>
                <w:b/>
                <w:bCs/>
                <w:sz w:val="17"/>
                <w:szCs w:val="17"/>
              </w:rPr>
              <w:t>High, Medium, Low diverse broadleaf forest</w:t>
            </w:r>
          </w:p>
        </w:tc>
        <w:tc>
          <w:tcPr>
            <w:tcW w:w="417" w:type="pct"/>
          </w:tcPr>
          <w:p w14:paraId="46134D21" w14:textId="77777777" w:rsidR="00447C22" w:rsidRPr="00C05886" w:rsidRDefault="00447C22" w:rsidP="00205821">
            <w:pPr>
              <w:spacing w:line="240" w:lineRule="auto"/>
              <w:jc w:val="left"/>
              <w:rPr>
                <w:sz w:val="17"/>
                <w:szCs w:val="17"/>
              </w:rPr>
            </w:pPr>
            <w:r w:rsidRPr="00C05886">
              <w:rPr>
                <w:b/>
                <w:bCs/>
                <w:sz w:val="17"/>
                <w:szCs w:val="17"/>
              </w:rPr>
              <w:t>35</w:t>
            </w:r>
            <w:r w:rsidRPr="00C05886">
              <w:rPr>
                <w:sz w:val="17"/>
                <w:szCs w:val="17"/>
              </w:rPr>
              <w:t>, University staff and friends</w:t>
            </w:r>
          </w:p>
        </w:tc>
        <w:tc>
          <w:tcPr>
            <w:tcW w:w="1128" w:type="pct"/>
          </w:tcPr>
          <w:p w14:paraId="6D82B6F7" w14:textId="77777777" w:rsidR="00447C22" w:rsidRPr="00C05886" w:rsidRDefault="00447C22" w:rsidP="00205821">
            <w:pPr>
              <w:spacing w:line="240" w:lineRule="auto"/>
              <w:jc w:val="left"/>
              <w:rPr>
                <w:sz w:val="17"/>
                <w:szCs w:val="17"/>
              </w:rPr>
            </w:pPr>
            <w:r w:rsidRPr="00C05886">
              <w:rPr>
                <w:sz w:val="17"/>
                <w:szCs w:val="17"/>
              </w:rPr>
              <w:t>F3 F4 P3 P4 T5 T6, spectral powers</w:t>
            </w:r>
          </w:p>
        </w:tc>
        <w:tc>
          <w:tcPr>
            <w:tcW w:w="599" w:type="pct"/>
          </w:tcPr>
          <w:p w14:paraId="4AB2029D" w14:textId="1502460B" w:rsidR="00447C22" w:rsidRPr="00C05886" w:rsidRDefault="00447C22" w:rsidP="00205821">
            <w:pPr>
              <w:spacing w:line="240" w:lineRule="auto"/>
              <w:jc w:val="left"/>
              <w:rPr>
                <w:sz w:val="17"/>
                <w:szCs w:val="17"/>
              </w:rPr>
            </w:pPr>
            <w:r w:rsidRPr="00C05886">
              <w:rPr>
                <w:sz w:val="17"/>
                <w:szCs w:val="17"/>
              </w:rPr>
              <w:t xml:space="preserve">High pass 0.5hz, lowpass 30hz, manual rejection of artifacts, </w:t>
            </w:r>
            <w:proofErr w:type="gramStart"/>
            <w:r w:rsidRPr="00C05886">
              <w:rPr>
                <w:sz w:val="17"/>
                <w:szCs w:val="17"/>
              </w:rPr>
              <w:t>1 minute</w:t>
            </w:r>
            <w:proofErr w:type="gramEnd"/>
            <w:r w:rsidRPr="00C05886">
              <w:rPr>
                <w:sz w:val="17"/>
                <w:szCs w:val="17"/>
              </w:rPr>
              <w:t xml:space="preserve"> epochs</w:t>
            </w:r>
          </w:p>
        </w:tc>
        <w:tc>
          <w:tcPr>
            <w:tcW w:w="559" w:type="pct"/>
          </w:tcPr>
          <w:p w14:paraId="2A1B15A2" w14:textId="77777777" w:rsidR="00447C22" w:rsidRPr="00C05886" w:rsidRDefault="00447C22" w:rsidP="00205821">
            <w:pPr>
              <w:spacing w:line="240" w:lineRule="auto"/>
              <w:jc w:val="left"/>
              <w:rPr>
                <w:sz w:val="17"/>
                <w:szCs w:val="17"/>
              </w:rPr>
            </w:pPr>
            <w:r w:rsidRPr="00C05886">
              <w:rPr>
                <w:sz w:val="17"/>
                <w:szCs w:val="17"/>
              </w:rPr>
              <w:t>MANOVA with repeated measure within-subject design testing for polynomial contrasts</w:t>
            </w:r>
          </w:p>
        </w:tc>
        <w:tc>
          <w:tcPr>
            <w:tcW w:w="820" w:type="pct"/>
          </w:tcPr>
          <w:p w14:paraId="6C199E19" w14:textId="77777777" w:rsidR="00447C22" w:rsidRPr="00C05886" w:rsidRDefault="00447C22" w:rsidP="00205821">
            <w:pPr>
              <w:spacing w:line="240" w:lineRule="auto"/>
              <w:jc w:val="left"/>
              <w:rPr>
                <w:rFonts w:ascii="Calibri" w:hAnsi="Calibri" w:cs="Calibri"/>
                <w:sz w:val="17"/>
                <w:szCs w:val="17"/>
              </w:rPr>
            </w:pPr>
            <w:r w:rsidRPr="00C05886">
              <w:rPr>
                <w:rFonts w:ascii="Calibri" w:hAnsi="Calibri" w:cs="Calibri"/>
                <w:sz w:val="17"/>
                <w:szCs w:val="17"/>
              </w:rPr>
              <w:t xml:space="preserve">Absolute Delta and Theta higher in the F, P and T region when viewing the Low diversity forest. </w:t>
            </w:r>
            <w:r w:rsidRPr="00C05886">
              <w:rPr>
                <w:rFonts w:ascii="Calibri" w:hAnsi="Calibri" w:cs="Calibri"/>
                <w:b/>
                <w:bCs/>
                <w:sz w:val="17"/>
                <w:szCs w:val="17"/>
              </w:rPr>
              <w:t>No significant trends for alpha</w:t>
            </w:r>
            <w:r w:rsidRPr="00C05886">
              <w:rPr>
                <w:rFonts w:ascii="Calibri" w:hAnsi="Calibri" w:cs="Calibri"/>
                <w:sz w:val="17"/>
                <w:szCs w:val="17"/>
              </w:rPr>
              <w:t xml:space="preserve">. Higher absolute beta when viewing the </w:t>
            </w:r>
            <w:proofErr w:type="gramStart"/>
            <w:r w:rsidRPr="00C05886">
              <w:rPr>
                <w:rFonts w:ascii="Calibri" w:hAnsi="Calibri" w:cs="Calibri"/>
                <w:sz w:val="17"/>
                <w:szCs w:val="17"/>
              </w:rPr>
              <w:t>Medium</w:t>
            </w:r>
            <w:proofErr w:type="gramEnd"/>
            <w:r w:rsidRPr="00C05886">
              <w:rPr>
                <w:rFonts w:ascii="Calibri" w:hAnsi="Calibri" w:cs="Calibri"/>
                <w:sz w:val="17"/>
                <w:szCs w:val="17"/>
              </w:rPr>
              <w:t xml:space="preserve"> diversity forest.</w:t>
            </w:r>
          </w:p>
        </w:tc>
        <w:tc>
          <w:tcPr>
            <w:tcW w:w="450" w:type="pct"/>
          </w:tcPr>
          <w:p w14:paraId="2DD31267" w14:textId="77777777" w:rsidR="00447C22" w:rsidRPr="00C05886" w:rsidRDefault="00447C22" w:rsidP="00205821">
            <w:pPr>
              <w:spacing w:line="240" w:lineRule="auto"/>
              <w:jc w:val="left"/>
              <w:rPr>
                <w:rFonts w:ascii="Calibri" w:hAnsi="Calibri" w:cs="Calibri"/>
                <w:i/>
                <w:iCs/>
                <w:sz w:val="17"/>
                <w:szCs w:val="17"/>
              </w:rPr>
            </w:pPr>
            <w:r w:rsidRPr="00C05886">
              <w:rPr>
                <w:rFonts w:ascii="Calibri" w:hAnsi="Calibri" w:cs="Calibri"/>
                <w:i/>
                <w:iCs/>
                <w:sz w:val="17"/>
                <w:szCs w:val="17"/>
              </w:rPr>
              <w:t>Urban Forestry &amp; Urban Greening</w:t>
            </w:r>
          </w:p>
        </w:tc>
      </w:tr>
      <w:tr w:rsidR="00205821" w:rsidRPr="00C05886" w14:paraId="6A2C204B" w14:textId="77777777" w:rsidTr="00205821">
        <w:tc>
          <w:tcPr>
            <w:tcW w:w="456" w:type="pct"/>
          </w:tcPr>
          <w:p w14:paraId="644D5B9D" w14:textId="191DD2C4" w:rsidR="00447C22" w:rsidRPr="00C05886" w:rsidRDefault="00447C22" w:rsidP="00205821">
            <w:pPr>
              <w:spacing w:line="240" w:lineRule="auto"/>
              <w:jc w:val="left"/>
              <w:rPr>
                <w:sz w:val="17"/>
                <w:szCs w:val="17"/>
              </w:rPr>
            </w:pPr>
            <w:r w:rsidRPr="00C05886">
              <w:rPr>
                <w:sz w:val="17"/>
                <w:szCs w:val="17"/>
              </w:rPr>
              <w:fldChar w:fldCharType="begin"/>
            </w:r>
            <w:r w:rsidR="003C342F" w:rsidRPr="00C05886">
              <w:rPr>
                <w:sz w:val="17"/>
                <w:szCs w:val="17"/>
              </w:rPr>
              <w:instrText xml:space="preserve"> ADDIN ZOTERO_ITEM CSL_CITATION {"citationID":"jZq0CH6O","properties":{"formattedCitation":"(Shan {\\i{}et al.}, 2018)","plainCitation":"(Shan et al., 2018)","noteIndex":0},"citationItems":[{"id":9136,"uris":["http://zotero.org/users/local/pAEZdfSt/items/CV37HU95","http://zotero.org/users/10951124/items/CV37HU95"],"itemData":{"id":9136,"type":"article-journal","abstract":"In this study, potential of neural-signal electroencephalogram (EEG)-based methods for enhancing human-building interaction under various indoor temperatures were explored. Correlations between EEG and subjective perceptions/tasks performance were experimentally investigated. Machine learning-based EEG pattern recognition was further studied. Results showed that the EEG frontal asymmetrical activity related well to the subjective questionnaire and objective tasks performance, which can be used as a more objective metric to corroborate traditional subjective questionnaire-based methods and task-based methods. Machine learning-based EEG pattern recognition with linear discriminant analysis (LDA) classifiers can well classify the different mental states under different thermal conditions. Utilization of the EEG frontal asymmetrical activities and the machine learning-based EEG pattern recognition method as a feedback mechanism of occupants, which can be implemented on a routine basis, has a great potential to enhance the human-building interaction in a more objective and holistic way.","container-title":"Building and Environment","DOI":"https://doi.org/10.1016/j.buildenv.2017.12.004","ISSN":"0360-1323","page":"46-53","title":"Human-building interaction under various indoor temperatures through neural-signal electroencephalogram (EEG) methods","volume":"129","author":[{"family":"Shan","given":"Xin"},{"family":"Yang","given":"En-Hua"},{"family":"Zhou","given":"Jin"},{"family":"Chang","given":"Victor W.-C."}],"issued":{"date-parts":[["2018"]]}}}],"schema":"https://github.com/citation-style-language/schema/raw/master/csl-citation.json"} </w:instrText>
            </w:r>
            <w:r w:rsidRPr="00C05886">
              <w:rPr>
                <w:sz w:val="17"/>
                <w:szCs w:val="17"/>
              </w:rPr>
              <w:fldChar w:fldCharType="separate"/>
            </w:r>
            <w:r w:rsidRPr="00C05886">
              <w:rPr>
                <w:rFonts w:ascii="Calibri" w:hAnsi="Calibri" w:cs="Calibri"/>
                <w:sz w:val="17"/>
                <w:szCs w:val="17"/>
              </w:rPr>
              <w:t xml:space="preserve">(Shan </w:t>
            </w:r>
            <w:r w:rsidRPr="00C05886">
              <w:rPr>
                <w:rFonts w:ascii="Calibri" w:hAnsi="Calibri" w:cs="Calibri"/>
                <w:i/>
                <w:iCs/>
                <w:sz w:val="17"/>
                <w:szCs w:val="17"/>
              </w:rPr>
              <w:t>et al.</w:t>
            </w:r>
            <w:r w:rsidRPr="00C05886">
              <w:rPr>
                <w:rFonts w:ascii="Calibri" w:hAnsi="Calibri" w:cs="Calibri"/>
                <w:sz w:val="17"/>
                <w:szCs w:val="17"/>
              </w:rPr>
              <w:t>, 2018)</w:t>
            </w:r>
            <w:r w:rsidRPr="00C05886">
              <w:rPr>
                <w:sz w:val="17"/>
                <w:szCs w:val="17"/>
              </w:rPr>
              <w:fldChar w:fldCharType="end"/>
            </w:r>
          </w:p>
        </w:tc>
        <w:tc>
          <w:tcPr>
            <w:tcW w:w="571" w:type="pct"/>
          </w:tcPr>
          <w:p w14:paraId="06C074D3" w14:textId="77777777" w:rsidR="00447C22" w:rsidRPr="00C05886" w:rsidRDefault="00447C22" w:rsidP="00205821">
            <w:pPr>
              <w:spacing w:line="240" w:lineRule="auto"/>
              <w:jc w:val="left"/>
              <w:rPr>
                <w:sz w:val="17"/>
                <w:szCs w:val="17"/>
              </w:rPr>
            </w:pPr>
            <w:r w:rsidRPr="00C05886">
              <w:rPr>
                <w:sz w:val="17"/>
                <w:szCs w:val="17"/>
              </w:rPr>
              <w:t>Difference between neutral vs warm vs cold ambient temperature</w:t>
            </w:r>
          </w:p>
        </w:tc>
        <w:tc>
          <w:tcPr>
            <w:tcW w:w="417" w:type="pct"/>
          </w:tcPr>
          <w:p w14:paraId="204E6D83" w14:textId="77777777" w:rsidR="00447C22" w:rsidRPr="00C05886" w:rsidRDefault="00447C22" w:rsidP="00205821">
            <w:pPr>
              <w:spacing w:line="240" w:lineRule="auto"/>
              <w:jc w:val="left"/>
              <w:rPr>
                <w:sz w:val="17"/>
                <w:szCs w:val="17"/>
              </w:rPr>
            </w:pPr>
            <w:r w:rsidRPr="00C05886">
              <w:rPr>
                <w:b/>
                <w:bCs/>
                <w:sz w:val="17"/>
                <w:szCs w:val="17"/>
              </w:rPr>
              <w:t>22</w:t>
            </w:r>
            <w:r w:rsidRPr="00C05886">
              <w:rPr>
                <w:sz w:val="17"/>
                <w:szCs w:val="17"/>
              </w:rPr>
              <w:t>, university students</w:t>
            </w:r>
          </w:p>
        </w:tc>
        <w:tc>
          <w:tcPr>
            <w:tcW w:w="1128" w:type="pct"/>
          </w:tcPr>
          <w:p w14:paraId="7BCC1087" w14:textId="77777777" w:rsidR="00447C22" w:rsidRPr="00C05886" w:rsidRDefault="00447C22" w:rsidP="00205821">
            <w:pPr>
              <w:spacing w:line="240" w:lineRule="auto"/>
              <w:jc w:val="left"/>
              <w:rPr>
                <w:sz w:val="17"/>
                <w:szCs w:val="17"/>
              </w:rPr>
            </w:pPr>
            <w:r w:rsidRPr="00C05886">
              <w:rPr>
                <w:sz w:val="17"/>
                <w:szCs w:val="17"/>
              </w:rPr>
              <w:t xml:space="preserve">Activity= mean </w:t>
            </w:r>
            <w:r w:rsidRPr="00C05886">
              <w:rPr>
                <w:rFonts w:cstheme="minorHAnsi"/>
                <w:sz w:val="17"/>
                <w:szCs w:val="17"/>
              </w:rPr>
              <w:t xml:space="preserve">β power - mean </w:t>
            </w:r>
            <w:r w:rsidRPr="00C05886">
              <w:rPr>
                <w:rFonts w:ascii="Calibri" w:hAnsi="Calibri" w:cs="Calibri"/>
                <w:sz w:val="17"/>
                <w:szCs w:val="17"/>
              </w:rPr>
              <w:t>α power</w:t>
            </w:r>
          </w:p>
          <w:p w14:paraId="5EA3185B" w14:textId="77777777" w:rsidR="00447C22" w:rsidRPr="00C05886" w:rsidRDefault="00447C22" w:rsidP="00205821">
            <w:pPr>
              <w:spacing w:line="240" w:lineRule="auto"/>
              <w:jc w:val="left"/>
              <w:rPr>
                <w:color w:val="FF0000"/>
                <w:sz w:val="17"/>
                <w:szCs w:val="17"/>
              </w:rPr>
            </w:pPr>
            <w:r w:rsidRPr="00C05886">
              <w:rPr>
                <w:color w:val="FF0000"/>
                <w:sz w:val="17"/>
                <w:szCs w:val="17"/>
              </w:rPr>
              <w:t>Unclear if this is the mean of all channels</w:t>
            </w:r>
          </w:p>
          <w:p w14:paraId="31EA4B14" w14:textId="77777777" w:rsidR="00447C22" w:rsidRPr="00C05886" w:rsidRDefault="00447C22" w:rsidP="00205821">
            <w:pPr>
              <w:spacing w:line="240" w:lineRule="auto"/>
              <w:jc w:val="left"/>
              <w:rPr>
                <w:sz w:val="17"/>
                <w:szCs w:val="17"/>
              </w:rPr>
            </w:pPr>
            <w:r w:rsidRPr="00C05886">
              <w:rPr>
                <w:sz w:val="17"/>
                <w:szCs w:val="17"/>
              </w:rPr>
              <w:t>Asymmetrical brain activity= F3 – F4</w:t>
            </w:r>
          </w:p>
          <w:p w14:paraId="044F06F3" w14:textId="77777777" w:rsidR="00447C22" w:rsidRPr="00C05886" w:rsidRDefault="00447C22" w:rsidP="00205821">
            <w:pPr>
              <w:spacing w:line="240" w:lineRule="auto"/>
              <w:jc w:val="left"/>
              <w:rPr>
                <w:sz w:val="17"/>
                <w:szCs w:val="17"/>
              </w:rPr>
            </w:pPr>
            <w:r w:rsidRPr="00C05886">
              <w:rPr>
                <w:color w:val="FF0000"/>
                <w:sz w:val="17"/>
                <w:szCs w:val="17"/>
              </w:rPr>
              <w:t>Unclear if this is only the alpha activity</w:t>
            </w:r>
          </w:p>
        </w:tc>
        <w:tc>
          <w:tcPr>
            <w:tcW w:w="599" w:type="pct"/>
          </w:tcPr>
          <w:p w14:paraId="66CA5318" w14:textId="77777777" w:rsidR="00447C22" w:rsidRPr="00C05886" w:rsidRDefault="00447C22" w:rsidP="00205821">
            <w:pPr>
              <w:spacing w:line="240" w:lineRule="auto"/>
              <w:jc w:val="left"/>
              <w:rPr>
                <w:sz w:val="17"/>
                <w:szCs w:val="17"/>
              </w:rPr>
            </w:pPr>
            <w:r w:rsidRPr="00C05886">
              <w:rPr>
                <w:sz w:val="17"/>
                <w:szCs w:val="17"/>
              </w:rPr>
              <w:t xml:space="preserve">EEGLAB </w:t>
            </w:r>
            <w:proofErr w:type="spellStart"/>
            <w:r w:rsidRPr="00C05886">
              <w:rPr>
                <w:sz w:val="17"/>
                <w:szCs w:val="17"/>
              </w:rPr>
              <w:t>highpass</w:t>
            </w:r>
            <w:proofErr w:type="spellEnd"/>
            <w:r w:rsidRPr="00C05886">
              <w:rPr>
                <w:sz w:val="17"/>
                <w:szCs w:val="17"/>
              </w:rPr>
              <w:t xml:space="preserve"> 3hz, lowpass 45hz. Manual rejection of non-stereotypical artifacts. ICA. </w:t>
            </w:r>
            <w:r w:rsidRPr="00C05886">
              <w:rPr>
                <w:b/>
                <w:bCs/>
                <w:sz w:val="17"/>
                <w:szCs w:val="17"/>
              </w:rPr>
              <w:t>8s epochs</w:t>
            </w:r>
            <w:r w:rsidRPr="00C05886">
              <w:rPr>
                <w:sz w:val="17"/>
                <w:szCs w:val="17"/>
              </w:rPr>
              <w:t xml:space="preserve"> for power analysis.</w:t>
            </w:r>
          </w:p>
        </w:tc>
        <w:tc>
          <w:tcPr>
            <w:tcW w:w="559" w:type="pct"/>
          </w:tcPr>
          <w:p w14:paraId="7AE2B01C" w14:textId="77777777" w:rsidR="00447C22" w:rsidRPr="00C05886" w:rsidRDefault="00447C22" w:rsidP="00205821">
            <w:pPr>
              <w:spacing w:line="240" w:lineRule="auto"/>
              <w:jc w:val="left"/>
              <w:rPr>
                <w:sz w:val="17"/>
                <w:szCs w:val="17"/>
              </w:rPr>
            </w:pPr>
            <w:r w:rsidRPr="00C05886">
              <w:rPr>
                <w:sz w:val="17"/>
                <w:szCs w:val="17"/>
              </w:rPr>
              <w:t>Wilcoxon related sample, comparing the averaged spectrum of all data epochs.</w:t>
            </w:r>
          </w:p>
        </w:tc>
        <w:tc>
          <w:tcPr>
            <w:tcW w:w="820" w:type="pct"/>
          </w:tcPr>
          <w:p w14:paraId="658B0DB1" w14:textId="77777777" w:rsidR="00447C22" w:rsidRPr="00C05886" w:rsidRDefault="00447C22" w:rsidP="00205821">
            <w:pPr>
              <w:spacing w:line="240" w:lineRule="auto"/>
              <w:jc w:val="left"/>
              <w:rPr>
                <w:rFonts w:ascii="Calibri" w:hAnsi="Calibri" w:cs="Calibri"/>
                <w:sz w:val="17"/>
                <w:szCs w:val="17"/>
              </w:rPr>
            </w:pPr>
            <w:r w:rsidRPr="00C05886">
              <w:rPr>
                <w:rFonts w:ascii="Calibri" w:hAnsi="Calibri" w:cs="Calibri"/>
                <w:sz w:val="17"/>
                <w:szCs w:val="17"/>
              </w:rPr>
              <w:t>Higher “asymmetrical activity” in the neutral temperature condition</w:t>
            </w:r>
          </w:p>
        </w:tc>
        <w:tc>
          <w:tcPr>
            <w:tcW w:w="450" w:type="pct"/>
          </w:tcPr>
          <w:p w14:paraId="22993251" w14:textId="77777777" w:rsidR="00447C22" w:rsidRPr="00C05886" w:rsidRDefault="00447C22" w:rsidP="00205821">
            <w:pPr>
              <w:spacing w:line="240" w:lineRule="auto"/>
              <w:jc w:val="left"/>
              <w:rPr>
                <w:rFonts w:ascii="Calibri" w:hAnsi="Calibri" w:cs="Calibri"/>
                <w:i/>
                <w:iCs/>
                <w:sz w:val="17"/>
                <w:szCs w:val="17"/>
              </w:rPr>
            </w:pPr>
            <w:r w:rsidRPr="00C05886">
              <w:rPr>
                <w:rFonts w:ascii="Calibri" w:hAnsi="Calibri" w:cs="Calibri"/>
                <w:i/>
                <w:iCs/>
                <w:sz w:val="17"/>
                <w:szCs w:val="17"/>
              </w:rPr>
              <w:t>Building and Environment</w:t>
            </w:r>
          </w:p>
        </w:tc>
      </w:tr>
      <w:tr w:rsidR="00205821" w:rsidRPr="00C05886" w14:paraId="7D1098D0" w14:textId="77777777" w:rsidTr="00205821">
        <w:tc>
          <w:tcPr>
            <w:tcW w:w="456" w:type="pct"/>
          </w:tcPr>
          <w:p w14:paraId="39DFD967" w14:textId="23C0DFEC" w:rsidR="00447C22" w:rsidRPr="00C05886" w:rsidRDefault="00447C22" w:rsidP="00205821">
            <w:pPr>
              <w:spacing w:line="240" w:lineRule="auto"/>
              <w:jc w:val="left"/>
              <w:rPr>
                <w:sz w:val="17"/>
                <w:szCs w:val="17"/>
              </w:rPr>
            </w:pPr>
            <w:r w:rsidRPr="00C05886">
              <w:rPr>
                <w:sz w:val="17"/>
                <w:szCs w:val="17"/>
              </w:rPr>
              <w:fldChar w:fldCharType="begin"/>
            </w:r>
            <w:r w:rsidR="003C342F" w:rsidRPr="00C05886">
              <w:rPr>
                <w:sz w:val="17"/>
                <w:szCs w:val="17"/>
              </w:rPr>
              <w:instrText xml:space="preserve"> ADDIN ZOTERO_ITEM CSL_CITATION {"citationID":"FVyOH8qd","properties":{"formattedCitation":"(Aspinall {\\i{}et al.}, 2015)","plainCitation":"(Aspinall et al., 2015)","noteIndex":0},"citationItems":[{"id":8958,"uris":["http://zotero.org/users/local/pAEZdfSt/items/TDT245DG","http://zotero.org/users/10951124/items/TDT245DG"],"itemData":{"id":8958,"type":"article-journal","abstract":"Background Researchers in environmental psychology, health studies and urban design are interested in the relationship between the environment, behaviour settings and emotions. In particular, happiness, or the presence of positive emotional mindsets, broadens an individual&amp;#039;s thought-action repertoire with positive benefits to physical and intellectual activities, and to social and psychological resources. This occurs through play, exploration or similar activities. In addition, a body of restorative literature focuses on the potential benefits to emotional recovery from stress offered by green space and ‘soft fascination’. However, access to the cortical correlates of emotional states of a person actively engaged within an environment has not been possible until recently. This study investigates the use of mobile electroencephalography (EEG) as a method to record and analyse the emotional experience of a group of walkers in three types of urban environment including a green space setting. Methods Using Emotiv EPOC, a low-cost mobile EEG recorder, participants took part in a 25 min walk through three different areas of Edinburgh. The areas (of approximately equal length) were labelled zone 1 (urban shopping street), zone 2 (path through green space) and zone 3 (street in a busy commercial district). The equipment provided continuous recordings from five channels, labelled excitement (short-term), frustration, engagement, long-term excitement (or arousal) and meditation. Results A new form of high-dimensional correlated component logistic regression analysis showed evidence of lower frustration, engagement and arousal, and higher meditation when moving into the green space zone; and higher engagement when moving out of it. Conclusions Systematic differences in EEG recordings were found between three urban areas in line with restoration theory. This has implications for promoting urban green space as a mood-enhancing environment for walking or for other forms of physical or reflective activity.","container-title":"British Journal of Sports Medicine","DOI":"10.1136/bjsports-2012-091877","issue":"4","page":"272 LP - 276","title":"The urban brain: analysing outdoor physical activity with mobile EEG","volume":"49","author":[{"family":"Aspinall","given":"Peter"},{"family":"Mavros","given":"Panagiotis"},{"family":"Coyne","given":"Richard"},{"family":"Roe","given":"Jenny"}],"issued":{"date-parts":[["2015",2,1]]}}}],"schema":"https://github.com/citation-style-language/schema/raw/master/csl-citation.json"} </w:instrText>
            </w:r>
            <w:r w:rsidRPr="00C05886">
              <w:rPr>
                <w:sz w:val="17"/>
                <w:szCs w:val="17"/>
              </w:rPr>
              <w:fldChar w:fldCharType="separate"/>
            </w:r>
            <w:r w:rsidRPr="00C05886">
              <w:rPr>
                <w:rFonts w:ascii="Calibri" w:hAnsi="Calibri" w:cs="Calibri"/>
                <w:sz w:val="17"/>
                <w:szCs w:val="17"/>
              </w:rPr>
              <w:t xml:space="preserve">(Aspinall </w:t>
            </w:r>
            <w:r w:rsidRPr="00C05886">
              <w:rPr>
                <w:rFonts w:ascii="Calibri" w:hAnsi="Calibri" w:cs="Calibri"/>
                <w:i/>
                <w:iCs/>
                <w:sz w:val="17"/>
                <w:szCs w:val="17"/>
              </w:rPr>
              <w:t>et al.</w:t>
            </w:r>
            <w:r w:rsidRPr="00C05886">
              <w:rPr>
                <w:rFonts w:ascii="Calibri" w:hAnsi="Calibri" w:cs="Calibri"/>
                <w:sz w:val="17"/>
                <w:szCs w:val="17"/>
              </w:rPr>
              <w:t>, 2015)</w:t>
            </w:r>
            <w:r w:rsidRPr="00C05886">
              <w:rPr>
                <w:sz w:val="17"/>
                <w:szCs w:val="17"/>
              </w:rPr>
              <w:fldChar w:fldCharType="end"/>
            </w:r>
          </w:p>
        </w:tc>
        <w:tc>
          <w:tcPr>
            <w:tcW w:w="571" w:type="pct"/>
          </w:tcPr>
          <w:p w14:paraId="5BA41D6E" w14:textId="77777777" w:rsidR="00447C22" w:rsidRPr="00C05886" w:rsidRDefault="00447C22" w:rsidP="00205821">
            <w:pPr>
              <w:spacing w:line="240" w:lineRule="auto"/>
              <w:jc w:val="left"/>
              <w:rPr>
                <w:sz w:val="17"/>
                <w:szCs w:val="17"/>
              </w:rPr>
            </w:pPr>
            <w:r w:rsidRPr="00C05886">
              <w:rPr>
                <w:sz w:val="17"/>
                <w:szCs w:val="17"/>
              </w:rPr>
              <w:t>Differences between walking in urban, green and urban busy space.</w:t>
            </w:r>
          </w:p>
        </w:tc>
        <w:tc>
          <w:tcPr>
            <w:tcW w:w="417" w:type="pct"/>
          </w:tcPr>
          <w:p w14:paraId="4209FD12" w14:textId="77777777" w:rsidR="00447C22" w:rsidRPr="00C05886" w:rsidRDefault="00447C22" w:rsidP="00205821">
            <w:pPr>
              <w:spacing w:line="240" w:lineRule="auto"/>
              <w:jc w:val="left"/>
              <w:rPr>
                <w:sz w:val="17"/>
                <w:szCs w:val="17"/>
              </w:rPr>
            </w:pPr>
            <w:r w:rsidRPr="00C05886">
              <w:rPr>
                <w:sz w:val="17"/>
                <w:szCs w:val="17"/>
              </w:rPr>
              <w:t>12, university students</w:t>
            </w:r>
          </w:p>
        </w:tc>
        <w:tc>
          <w:tcPr>
            <w:tcW w:w="1128" w:type="pct"/>
          </w:tcPr>
          <w:p w14:paraId="143E7BE6" w14:textId="77777777" w:rsidR="00447C22" w:rsidRPr="00C05886" w:rsidRDefault="00447C22" w:rsidP="00205821">
            <w:pPr>
              <w:spacing w:line="240" w:lineRule="auto"/>
              <w:jc w:val="left"/>
              <w:rPr>
                <w:sz w:val="17"/>
                <w:szCs w:val="17"/>
              </w:rPr>
            </w:pPr>
            <w:r w:rsidRPr="00C05886">
              <w:rPr>
                <w:sz w:val="17"/>
                <w:szCs w:val="17"/>
              </w:rPr>
              <w:t xml:space="preserve">Emotional parameters from </w:t>
            </w:r>
            <w:proofErr w:type="spellStart"/>
            <w:r w:rsidRPr="00C05886">
              <w:rPr>
                <w:sz w:val="17"/>
                <w:szCs w:val="17"/>
              </w:rPr>
              <w:t>Emotiv</w:t>
            </w:r>
            <w:proofErr w:type="spellEnd"/>
            <w:r w:rsidRPr="00C05886">
              <w:rPr>
                <w:sz w:val="17"/>
                <w:szCs w:val="17"/>
              </w:rPr>
              <w:t xml:space="preserve"> </w:t>
            </w:r>
            <w:proofErr w:type="spellStart"/>
            <w:r w:rsidRPr="00C05886">
              <w:rPr>
                <w:sz w:val="17"/>
                <w:szCs w:val="17"/>
              </w:rPr>
              <w:t>Affectiv</w:t>
            </w:r>
            <w:proofErr w:type="spellEnd"/>
            <w:r w:rsidRPr="00C05886">
              <w:rPr>
                <w:sz w:val="17"/>
                <w:szCs w:val="17"/>
              </w:rPr>
              <w:t xml:space="preserve"> suite. These where </w:t>
            </w:r>
            <w:proofErr w:type="spellStart"/>
            <w:r w:rsidRPr="00C05886">
              <w:rPr>
                <w:sz w:val="17"/>
                <w:szCs w:val="17"/>
              </w:rPr>
              <w:t>geomapped</w:t>
            </w:r>
            <w:proofErr w:type="spellEnd"/>
            <w:r w:rsidRPr="00C05886">
              <w:rPr>
                <w:sz w:val="17"/>
                <w:szCs w:val="17"/>
              </w:rPr>
              <w:t>, showing the emotional scores change along the way</w:t>
            </w:r>
          </w:p>
        </w:tc>
        <w:tc>
          <w:tcPr>
            <w:tcW w:w="599" w:type="pct"/>
          </w:tcPr>
          <w:p w14:paraId="3C23F0A9" w14:textId="13A9A90F" w:rsidR="00447C22" w:rsidRPr="00C05886" w:rsidRDefault="00447C22" w:rsidP="00205821">
            <w:pPr>
              <w:spacing w:line="240" w:lineRule="auto"/>
              <w:jc w:val="left"/>
              <w:rPr>
                <w:sz w:val="17"/>
                <w:szCs w:val="17"/>
              </w:rPr>
            </w:pPr>
            <w:r w:rsidRPr="00C05886">
              <w:rPr>
                <w:color w:val="FF0000"/>
                <w:sz w:val="17"/>
                <w:szCs w:val="17"/>
              </w:rPr>
              <w:t xml:space="preserve">No details provided. No access to raw data. They had to trust the Emotive software. </w:t>
            </w:r>
            <w:r w:rsidRPr="00C05886">
              <w:rPr>
                <w:sz w:val="17"/>
                <w:szCs w:val="17"/>
              </w:rPr>
              <w:t xml:space="preserve">Random selection of 5 </w:t>
            </w:r>
            <w:r w:rsidR="00205821" w:rsidRPr="00C05886">
              <w:rPr>
                <w:sz w:val="17"/>
                <w:szCs w:val="17"/>
              </w:rPr>
              <w:t>minutes’ walk</w:t>
            </w:r>
            <w:r w:rsidRPr="00C05886">
              <w:rPr>
                <w:sz w:val="17"/>
                <w:szCs w:val="17"/>
              </w:rPr>
              <w:t xml:space="preserve"> was analysed</w:t>
            </w:r>
          </w:p>
        </w:tc>
        <w:tc>
          <w:tcPr>
            <w:tcW w:w="559" w:type="pct"/>
          </w:tcPr>
          <w:p w14:paraId="49D44F85" w14:textId="77777777" w:rsidR="00447C22" w:rsidRPr="00C05886" w:rsidRDefault="00447C22" w:rsidP="00205821">
            <w:pPr>
              <w:spacing w:line="240" w:lineRule="auto"/>
              <w:jc w:val="left"/>
              <w:rPr>
                <w:sz w:val="17"/>
                <w:szCs w:val="17"/>
              </w:rPr>
            </w:pPr>
            <w:r w:rsidRPr="00C05886">
              <w:rPr>
                <w:sz w:val="17"/>
                <w:szCs w:val="17"/>
              </w:rPr>
              <w:t>a form of high dimensional correlated component regression analysis with M-fold cross-validation. Logistic regression.</w:t>
            </w:r>
          </w:p>
        </w:tc>
        <w:tc>
          <w:tcPr>
            <w:tcW w:w="820" w:type="pct"/>
          </w:tcPr>
          <w:p w14:paraId="70FB9022" w14:textId="77777777" w:rsidR="00447C22" w:rsidRPr="00C05886" w:rsidRDefault="00447C22" w:rsidP="00205821">
            <w:pPr>
              <w:spacing w:line="240" w:lineRule="auto"/>
              <w:jc w:val="left"/>
              <w:rPr>
                <w:rFonts w:ascii="Calibri" w:hAnsi="Calibri" w:cs="Calibri"/>
                <w:sz w:val="17"/>
                <w:szCs w:val="17"/>
              </w:rPr>
            </w:pPr>
            <w:r w:rsidRPr="00C05886">
              <w:rPr>
                <w:rFonts w:ascii="Calibri" w:hAnsi="Calibri" w:cs="Calibri"/>
                <w:sz w:val="17"/>
                <w:szCs w:val="17"/>
              </w:rPr>
              <w:t>Moving from urban to green space reduced “frustration”, “engagement” and “excitement”, but increased “meditation”. Moving from green space to busy urban space increased “engagement”. The authors equate engagement with directed attention.</w:t>
            </w:r>
          </w:p>
        </w:tc>
        <w:tc>
          <w:tcPr>
            <w:tcW w:w="450" w:type="pct"/>
          </w:tcPr>
          <w:p w14:paraId="7DD55AFD" w14:textId="77777777" w:rsidR="00447C22" w:rsidRPr="00C05886" w:rsidRDefault="00447C22" w:rsidP="00205821">
            <w:pPr>
              <w:spacing w:line="240" w:lineRule="auto"/>
              <w:jc w:val="left"/>
              <w:rPr>
                <w:rFonts w:ascii="Calibri" w:hAnsi="Calibri" w:cs="Calibri"/>
                <w:i/>
                <w:iCs/>
                <w:sz w:val="17"/>
                <w:szCs w:val="17"/>
              </w:rPr>
            </w:pPr>
            <w:r w:rsidRPr="00C05886">
              <w:rPr>
                <w:rFonts w:ascii="Calibri" w:hAnsi="Calibri" w:cs="Calibri"/>
                <w:i/>
                <w:iCs/>
                <w:sz w:val="17"/>
                <w:szCs w:val="17"/>
              </w:rPr>
              <w:t>British Journal of Sports Medicine</w:t>
            </w:r>
          </w:p>
        </w:tc>
      </w:tr>
      <w:tr w:rsidR="00205821" w:rsidRPr="00C05886" w14:paraId="076597A7" w14:textId="77777777" w:rsidTr="00205821">
        <w:tc>
          <w:tcPr>
            <w:tcW w:w="456" w:type="pct"/>
          </w:tcPr>
          <w:p w14:paraId="00C35BFA" w14:textId="14874258" w:rsidR="00447C22" w:rsidRPr="00C05886" w:rsidRDefault="00447C22" w:rsidP="00205821">
            <w:pPr>
              <w:spacing w:line="240" w:lineRule="auto"/>
              <w:jc w:val="left"/>
              <w:rPr>
                <w:sz w:val="17"/>
                <w:szCs w:val="17"/>
              </w:rPr>
            </w:pPr>
            <w:r w:rsidRPr="00C05886">
              <w:rPr>
                <w:sz w:val="17"/>
                <w:szCs w:val="17"/>
              </w:rPr>
              <w:fldChar w:fldCharType="begin"/>
            </w:r>
            <w:r w:rsidR="003C342F" w:rsidRPr="00C05886">
              <w:rPr>
                <w:sz w:val="17"/>
                <w:szCs w:val="17"/>
              </w:rPr>
              <w:instrText xml:space="preserve"> ADDIN ZOTERO_ITEM CSL_CITATION {"citationID":"RpUqLatx","properties":{"formattedCitation":"(Kim, Cheon and Kang, 2019)","plainCitation":"(Kim, Cheon and Kang, 2019)","noteIndex":0},"citationItems":[{"id":9171,"uris":["http://zotero.org/users/local/pAEZdfSt/items/HQKU3BZE","http://zotero.org/users/10951124/items/HQKU3BZE"],"itemData":{"id":9171,"type":"article-journal","abstract":"As the necessity for safety and aesthetic of nightscape have arisen, the importance of nightscapes (i.e., nighttime landscape) planning has garnered the attention of mainstream consciousness. Therefore, this study was to suggest the guideline for nightscape planning using electroencephalography (EEG) technology and survey for recognizing the characteristics of a nightscape. Furthermore, we verified the electroencephalography (EEG) method as a tool for landscape evaluation. Therefore, this study analyzed the change of relative alpha wave and relative beta wave and perceived fear of participants depending on twelve nightscape settings (four types of settings: Built nightscape images group with an adult; Built nightscape images groups without an adult; Nature-dominant nightscape images with an adult; and Nature-dominant nightscape images without an adult). Our findings indicate that the most fearful nightscape setting was recorded in Built nightscape images groups without an adult figure in perceived fear result depending on four types of nightscape settings. In Nature-dominant nightscape images, on the other hand, the nightscape setting with an adult figure was more fearful than the setting without an adult. The interaction effect between landscape type (built and nature-dominant) and adult presence towards perceived fear was verified and it showed that the image with adult affects landscape type. For electroencephalography (EEG) results, several brain activities in the relative alpha and beta wave showed significant differences depending on nightscape settings, which situates electroencephalography (EEG) as an invaluable tool for evaluating landscapes. Based on our physiological electroencephalography (EEG) experiment, we provide a new analytic view of the nightscape. The approach we utilized enables a deeper understanding of emotional perception and fear among human subjects by identifying the physical environment which impacts how they experience nightscapes.","container-title":"Sustainability","DOI":"10.3390/su11010233","issue":"1","note":"ISBN: 2071-1050","title":"Use of Electroencephalography (EEG) for the Analysis of Emotional Perception and Fear to Nightscapes","volume":"11","author":[{"family":"Kim","given":"Mintai"},{"family":"Cheon","given":"SangHyun"},{"family":"Kang","given":"Youngeun"}],"issued":{"date-parts":[["2019"]]}}}],"schema":"https://github.com/citation-style-language/schema/raw/master/csl-citation.json"} </w:instrText>
            </w:r>
            <w:r w:rsidRPr="00C05886">
              <w:rPr>
                <w:sz w:val="17"/>
                <w:szCs w:val="17"/>
              </w:rPr>
              <w:fldChar w:fldCharType="separate"/>
            </w:r>
            <w:r w:rsidRPr="00C05886">
              <w:rPr>
                <w:rFonts w:ascii="Calibri" w:hAnsi="Calibri" w:cs="Calibri"/>
                <w:sz w:val="17"/>
                <w:szCs w:val="17"/>
              </w:rPr>
              <w:t>(Kim, Cheon and Kang, 2019)</w:t>
            </w:r>
            <w:r w:rsidRPr="00C05886">
              <w:rPr>
                <w:sz w:val="17"/>
                <w:szCs w:val="17"/>
              </w:rPr>
              <w:fldChar w:fldCharType="end"/>
            </w:r>
          </w:p>
        </w:tc>
        <w:tc>
          <w:tcPr>
            <w:tcW w:w="571" w:type="pct"/>
          </w:tcPr>
          <w:p w14:paraId="61AC3566" w14:textId="77777777" w:rsidR="00447C22" w:rsidRPr="00C05886" w:rsidRDefault="00447C22" w:rsidP="00205821">
            <w:pPr>
              <w:spacing w:line="240" w:lineRule="auto"/>
              <w:jc w:val="left"/>
              <w:rPr>
                <w:sz w:val="17"/>
                <w:szCs w:val="17"/>
              </w:rPr>
            </w:pPr>
            <w:r w:rsidRPr="00C05886">
              <w:rPr>
                <w:sz w:val="17"/>
                <w:szCs w:val="17"/>
              </w:rPr>
              <w:t>Differences at viewing nightscapes (still images) of built or green spaces, with or without people</w:t>
            </w:r>
          </w:p>
        </w:tc>
        <w:tc>
          <w:tcPr>
            <w:tcW w:w="417" w:type="pct"/>
          </w:tcPr>
          <w:p w14:paraId="26897102" w14:textId="77777777" w:rsidR="00447C22" w:rsidRPr="00C05886" w:rsidRDefault="00447C22" w:rsidP="00205821">
            <w:pPr>
              <w:spacing w:line="240" w:lineRule="auto"/>
              <w:jc w:val="left"/>
              <w:rPr>
                <w:sz w:val="17"/>
                <w:szCs w:val="17"/>
              </w:rPr>
            </w:pPr>
            <w:r w:rsidRPr="00C05886">
              <w:rPr>
                <w:sz w:val="17"/>
                <w:szCs w:val="17"/>
              </w:rPr>
              <w:t>60, students and staff</w:t>
            </w:r>
          </w:p>
        </w:tc>
        <w:tc>
          <w:tcPr>
            <w:tcW w:w="1128" w:type="pct"/>
          </w:tcPr>
          <w:p w14:paraId="01C12EB3" w14:textId="77777777" w:rsidR="00447C22" w:rsidRPr="00C05886" w:rsidRDefault="00447C22" w:rsidP="00205821">
            <w:pPr>
              <w:spacing w:line="240" w:lineRule="auto"/>
              <w:jc w:val="left"/>
              <w:rPr>
                <w:sz w:val="17"/>
                <w:szCs w:val="17"/>
              </w:rPr>
            </w:pPr>
            <w:r w:rsidRPr="00C05886">
              <w:rPr>
                <w:sz w:val="17"/>
                <w:szCs w:val="17"/>
              </w:rPr>
              <w:t>Relative alpha and beta from F3, F4, AF3, AF4, O1, O2, P7, P8</w:t>
            </w:r>
          </w:p>
        </w:tc>
        <w:tc>
          <w:tcPr>
            <w:tcW w:w="599" w:type="pct"/>
          </w:tcPr>
          <w:p w14:paraId="6B293BC0" w14:textId="522DDEC9" w:rsidR="00447C22" w:rsidRPr="00C05886" w:rsidRDefault="00447C22" w:rsidP="00205821">
            <w:pPr>
              <w:spacing w:line="240" w:lineRule="auto"/>
              <w:jc w:val="left"/>
              <w:rPr>
                <w:sz w:val="17"/>
                <w:szCs w:val="17"/>
              </w:rPr>
            </w:pPr>
            <w:r w:rsidRPr="00C05886">
              <w:rPr>
                <w:color w:val="FF0000"/>
                <w:sz w:val="17"/>
                <w:szCs w:val="17"/>
              </w:rPr>
              <w:t xml:space="preserve">Not detailed. </w:t>
            </w:r>
            <w:r w:rsidRPr="00C05886">
              <w:rPr>
                <w:sz w:val="17"/>
                <w:szCs w:val="17"/>
              </w:rPr>
              <w:t>Filtering (</w:t>
            </w:r>
            <w:r w:rsidR="00205821" w:rsidRPr="00C05886">
              <w:rPr>
                <w:color w:val="FF0000"/>
                <w:sz w:val="17"/>
                <w:szCs w:val="17"/>
              </w:rPr>
              <w:t>band limits not specified</w:t>
            </w:r>
            <w:r w:rsidRPr="00C05886">
              <w:rPr>
                <w:sz w:val="17"/>
                <w:szCs w:val="17"/>
              </w:rPr>
              <w:t>) and FFT</w:t>
            </w:r>
          </w:p>
        </w:tc>
        <w:tc>
          <w:tcPr>
            <w:tcW w:w="559" w:type="pct"/>
          </w:tcPr>
          <w:p w14:paraId="27E633D5" w14:textId="77777777" w:rsidR="00447C22" w:rsidRPr="00C05886" w:rsidRDefault="00447C22" w:rsidP="00205821">
            <w:pPr>
              <w:spacing w:line="240" w:lineRule="auto"/>
              <w:jc w:val="left"/>
              <w:rPr>
                <w:sz w:val="17"/>
                <w:szCs w:val="17"/>
              </w:rPr>
            </w:pPr>
            <w:r w:rsidRPr="00C05886">
              <w:rPr>
                <w:sz w:val="17"/>
                <w:szCs w:val="17"/>
              </w:rPr>
              <w:t>Two-way or one-way ANOVA</w:t>
            </w:r>
          </w:p>
        </w:tc>
        <w:tc>
          <w:tcPr>
            <w:tcW w:w="820" w:type="pct"/>
          </w:tcPr>
          <w:p w14:paraId="455F3F55" w14:textId="77777777" w:rsidR="00447C22" w:rsidRPr="00C05886" w:rsidRDefault="00447C22" w:rsidP="00205821">
            <w:pPr>
              <w:spacing w:line="240" w:lineRule="auto"/>
              <w:jc w:val="left"/>
              <w:rPr>
                <w:rFonts w:ascii="Calibri" w:hAnsi="Calibri" w:cs="Calibri"/>
                <w:sz w:val="17"/>
                <w:szCs w:val="17"/>
              </w:rPr>
            </w:pPr>
            <w:r w:rsidRPr="00C05886">
              <w:rPr>
                <w:rFonts w:ascii="Calibri" w:hAnsi="Calibri" w:cs="Calibri"/>
                <w:sz w:val="17"/>
                <w:szCs w:val="17"/>
              </w:rPr>
              <w:t xml:space="preserve">Relative Alpha was different on all channels, before and after seeing the pictures with an adult (range is high 0.15-0.3). Relative beta was different on AF3, AF4, P7, P8 (range is high again 0.2-0.6). </w:t>
            </w:r>
            <w:r w:rsidRPr="00C05886">
              <w:rPr>
                <w:rFonts w:ascii="Calibri" w:hAnsi="Calibri" w:cs="Calibri"/>
                <w:color w:val="FF0000"/>
                <w:sz w:val="17"/>
                <w:szCs w:val="17"/>
              </w:rPr>
              <w:t>Did they clean the data at all??</w:t>
            </w:r>
          </w:p>
        </w:tc>
        <w:tc>
          <w:tcPr>
            <w:tcW w:w="450" w:type="pct"/>
          </w:tcPr>
          <w:p w14:paraId="720D6842" w14:textId="77777777" w:rsidR="00447C22" w:rsidRPr="00C05886" w:rsidRDefault="00447C22" w:rsidP="00205821">
            <w:pPr>
              <w:spacing w:line="240" w:lineRule="auto"/>
              <w:jc w:val="left"/>
              <w:rPr>
                <w:rFonts w:ascii="Calibri" w:hAnsi="Calibri" w:cs="Calibri"/>
                <w:i/>
                <w:iCs/>
                <w:sz w:val="17"/>
                <w:szCs w:val="17"/>
              </w:rPr>
            </w:pPr>
            <w:r w:rsidRPr="00C05886">
              <w:rPr>
                <w:rFonts w:ascii="Calibri" w:hAnsi="Calibri" w:cs="Calibri"/>
                <w:i/>
                <w:iCs/>
                <w:sz w:val="17"/>
                <w:szCs w:val="17"/>
              </w:rPr>
              <w:t>Sustainability</w:t>
            </w:r>
          </w:p>
        </w:tc>
      </w:tr>
      <w:tr w:rsidR="00205821" w:rsidRPr="00C05886" w14:paraId="2694C2D3" w14:textId="77777777" w:rsidTr="00205821">
        <w:tc>
          <w:tcPr>
            <w:tcW w:w="456" w:type="pct"/>
          </w:tcPr>
          <w:p w14:paraId="5F7795E4" w14:textId="29BA6A6E" w:rsidR="00447C22" w:rsidRPr="00C05886" w:rsidRDefault="00447C22" w:rsidP="00205821">
            <w:pPr>
              <w:spacing w:line="240" w:lineRule="auto"/>
              <w:jc w:val="left"/>
              <w:rPr>
                <w:sz w:val="17"/>
                <w:szCs w:val="17"/>
              </w:rPr>
            </w:pPr>
            <w:r w:rsidRPr="00C05886">
              <w:rPr>
                <w:sz w:val="17"/>
                <w:szCs w:val="17"/>
              </w:rPr>
              <w:fldChar w:fldCharType="begin"/>
            </w:r>
            <w:r w:rsidR="003C342F" w:rsidRPr="00C05886">
              <w:rPr>
                <w:sz w:val="17"/>
                <w:szCs w:val="17"/>
              </w:rPr>
              <w:instrText xml:space="preserve"> ADDIN ZOTERO_ITEM CSL_CITATION {"citationID":"6WlrVAVJ","properties":{"formattedCitation":"(Chiang, Li and Jane, 2017)","plainCitation":"(Chiang, Li and Jane, 2017)","noteIndex":0},"citationItems":[{"id":9180,"uris":["http://zotero.org/users/local/pAEZdfSt/items/7TUM6R9L","http://zotero.org/users/10951124/items/7TUM6R9L"],"itemData":{"id":9180,"type":"article-journal","abstract":"Research has demonstrated the positive impacts of contact with nature on people’s physiological and psychological health. However, few studies have discussed the effect of vegetation from the perspective of landscape ecology. This study aims to explore people’s physiological and psychological responses to varying locations and vegetation density. We recruited 180 participants and randomly assigned them to three locations and three density conditions: forest interior, forest edge, forest exterior, high density, medium density, and low density. We used an electroencephalogram (EEG) to monitor participants’ Alpha waves as they watched a slide show using 3D glasses, followed by a Stroop task and a Profile of Mood States questionnaire. Results suggested that the forest interior condition induced significant stress recovery and received the highest preference score, whereas the forest edge was associated with better attention restoration effects. In terms of vegetation density, the high-density group showed better attentional functioning, but the medium vegetation group was more preferred. The results may offer guidance for designers regarding site selection and vegetation arrangement to achieve optimal restorative effects.","container-title":"Landscape and Urban Planning","DOI":"10.1016/j.landurbplan.2017.06.001","ISSN":"0169-2046","journalAbbreviation":"Landscape and Urban Planning","page":"72-83","title":"Wild or tended nature? The effects of landscape location and vegetation density on physiological and psychological responses","volume":"167","author":[{"family":"Chiang","given":"Yen-Cheng"},{"family":"Li","given":"Dongying"},{"family":"Jane","given":"Hao-Ann"}],"issued":{"date-parts":[["2017",11,1]]}}}],"schema":"https://github.com/citation-style-language/schema/raw/master/csl-citation.json"} </w:instrText>
            </w:r>
            <w:r w:rsidRPr="00C05886">
              <w:rPr>
                <w:sz w:val="17"/>
                <w:szCs w:val="17"/>
              </w:rPr>
              <w:fldChar w:fldCharType="separate"/>
            </w:r>
            <w:r w:rsidRPr="00C05886">
              <w:rPr>
                <w:rFonts w:ascii="Calibri" w:hAnsi="Calibri" w:cs="Calibri"/>
                <w:sz w:val="17"/>
                <w:szCs w:val="17"/>
              </w:rPr>
              <w:t>(Chiang, Li and Jane, 2017)</w:t>
            </w:r>
            <w:r w:rsidRPr="00C05886">
              <w:rPr>
                <w:sz w:val="17"/>
                <w:szCs w:val="17"/>
              </w:rPr>
              <w:fldChar w:fldCharType="end"/>
            </w:r>
          </w:p>
        </w:tc>
        <w:tc>
          <w:tcPr>
            <w:tcW w:w="571" w:type="pct"/>
          </w:tcPr>
          <w:p w14:paraId="09BE3CD3" w14:textId="77777777" w:rsidR="00447C22" w:rsidRPr="00C05886" w:rsidRDefault="00447C22" w:rsidP="00205821">
            <w:pPr>
              <w:spacing w:line="240" w:lineRule="auto"/>
              <w:jc w:val="left"/>
              <w:rPr>
                <w:sz w:val="17"/>
                <w:szCs w:val="17"/>
              </w:rPr>
            </w:pPr>
            <w:r w:rsidRPr="00C05886">
              <w:rPr>
                <w:sz w:val="17"/>
                <w:szCs w:val="17"/>
              </w:rPr>
              <w:t>Differences in looking at 3D pictures of 3 locations and 3 vegetation densities</w:t>
            </w:r>
          </w:p>
        </w:tc>
        <w:tc>
          <w:tcPr>
            <w:tcW w:w="417" w:type="pct"/>
          </w:tcPr>
          <w:p w14:paraId="62301AD4" w14:textId="77777777" w:rsidR="00447C22" w:rsidRPr="00C05886" w:rsidRDefault="00447C22" w:rsidP="00205821">
            <w:pPr>
              <w:spacing w:line="240" w:lineRule="auto"/>
              <w:jc w:val="left"/>
              <w:rPr>
                <w:sz w:val="17"/>
                <w:szCs w:val="17"/>
              </w:rPr>
            </w:pPr>
            <w:r w:rsidRPr="00C05886">
              <w:rPr>
                <w:sz w:val="17"/>
                <w:szCs w:val="17"/>
              </w:rPr>
              <w:t>180, students</w:t>
            </w:r>
          </w:p>
        </w:tc>
        <w:tc>
          <w:tcPr>
            <w:tcW w:w="1128" w:type="pct"/>
          </w:tcPr>
          <w:p w14:paraId="6A822F59" w14:textId="77777777" w:rsidR="00447C22" w:rsidRPr="00C05886" w:rsidRDefault="00447C22" w:rsidP="00205821">
            <w:pPr>
              <w:spacing w:line="240" w:lineRule="auto"/>
              <w:jc w:val="left"/>
              <w:rPr>
                <w:sz w:val="17"/>
                <w:szCs w:val="17"/>
              </w:rPr>
            </w:pPr>
            <w:r w:rsidRPr="00C05886">
              <w:rPr>
                <w:sz w:val="17"/>
                <w:szCs w:val="17"/>
              </w:rPr>
              <w:t>Alpha (absolute??) at FP1 (close to AF3)</w:t>
            </w:r>
          </w:p>
        </w:tc>
        <w:tc>
          <w:tcPr>
            <w:tcW w:w="599" w:type="pct"/>
          </w:tcPr>
          <w:p w14:paraId="1F5F5E99" w14:textId="77777777" w:rsidR="00447C22" w:rsidRPr="00C05886" w:rsidRDefault="00447C22" w:rsidP="00205821">
            <w:pPr>
              <w:spacing w:line="240" w:lineRule="auto"/>
              <w:jc w:val="left"/>
              <w:rPr>
                <w:color w:val="FF0000"/>
                <w:sz w:val="17"/>
                <w:szCs w:val="17"/>
              </w:rPr>
            </w:pPr>
            <w:r w:rsidRPr="00C05886">
              <w:rPr>
                <w:color w:val="FF0000"/>
                <w:sz w:val="17"/>
                <w:szCs w:val="17"/>
              </w:rPr>
              <w:t>No details provided</w:t>
            </w:r>
          </w:p>
        </w:tc>
        <w:tc>
          <w:tcPr>
            <w:tcW w:w="559" w:type="pct"/>
          </w:tcPr>
          <w:p w14:paraId="28BCD153" w14:textId="77777777" w:rsidR="00447C22" w:rsidRPr="00C05886" w:rsidRDefault="00447C22" w:rsidP="00205821">
            <w:pPr>
              <w:spacing w:line="240" w:lineRule="auto"/>
              <w:jc w:val="left"/>
              <w:rPr>
                <w:sz w:val="17"/>
                <w:szCs w:val="17"/>
              </w:rPr>
            </w:pPr>
            <w:r w:rsidRPr="00C05886">
              <w:rPr>
                <w:sz w:val="17"/>
                <w:szCs w:val="17"/>
              </w:rPr>
              <w:t>One-way ANOVA</w:t>
            </w:r>
          </w:p>
        </w:tc>
        <w:tc>
          <w:tcPr>
            <w:tcW w:w="820" w:type="pct"/>
          </w:tcPr>
          <w:p w14:paraId="6EB72A67" w14:textId="77777777" w:rsidR="00447C22" w:rsidRPr="00C05886" w:rsidRDefault="00447C22" w:rsidP="00205821">
            <w:pPr>
              <w:spacing w:line="240" w:lineRule="auto"/>
              <w:jc w:val="left"/>
              <w:rPr>
                <w:rFonts w:ascii="Calibri" w:hAnsi="Calibri" w:cs="Calibri"/>
                <w:sz w:val="17"/>
                <w:szCs w:val="17"/>
              </w:rPr>
            </w:pPr>
            <w:r w:rsidRPr="00C05886">
              <w:rPr>
                <w:rFonts w:ascii="Calibri" w:hAnsi="Calibri" w:cs="Calibri"/>
                <w:sz w:val="17"/>
                <w:szCs w:val="17"/>
              </w:rPr>
              <w:t xml:space="preserve">Higher alpha viewing pictures from inside the forest. Non-significant differences for vegetation density </w:t>
            </w:r>
            <w:proofErr w:type="spellStart"/>
            <w:r w:rsidRPr="00C05886">
              <w:rPr>
                <w:rFonts w:ascii="Calibri" w:hAnsi="Calibri" w:cs="Calibri"/>
                <w:sz w:val="17"/>
                <w:szCs w:val="17"/>
              </w:rPr>
              <w:t>in tended</w:t>
            </w:r>
            <w:proofErr w:type="spellEnd"/>
            <w:r w:rsidRPr="00C05886">
              <w:rPr>
                <w:rFonts w:ascii="Calibri" w:hAnsi="Calibri" w:cs="Calibri"/>
                <w:sz w:val="17"/>
                <w:szCs w:val="17"/>
              </w:rPr>
              <w:t xml:space="preserve"> nature</w:t>
            </w:r>
          </w:p>
        </w:tc>
        <w:tc>
          <w:tcPr>
            <w:tcW w:w="450" w:type="pct"/>
          </w:tcPr>
          <w:p w14:paraId="03E295AD" w14:textId="77777777" w:rsidR="00447C22" w:rsidRPr="00C05886" w:rsidRDefault="00447C22" w:rsidP="00205821">
            <w:pPr>
              <w:spacing w:line="240" w:lineRule="auto"/>
              <w:jc w:val="left"/>
              <w:rPr>
                <w:rFonts w:ascii="Calibri" w:hAnsi="Calibri" w:cs="Calibri"/>
                <w:i/>
                <w:iCs/>
                <w:sz w:val="17"/>
                <w:szCs w:val="17"/>
              </w:rPr>
            </w:pPr>
            <w:r w:rsidRPr="00C05886">
              <w:rPr>
                <w:rFonts w:ascii="Calibri" w:hAnsi="Calibri" w:cs="Calibri"/>
                <w:i/>
                <w:iCs/>
                <w:sz w:val="17"/>
                <w:szCs w:val="17"/>
              </w:rPr>
              <w:t>Landscape and Urban Planning</w:t>
            </w:r>
          </w:p>
        </w:tc>
      </w:tr>
      <w:tr w:rsidR="00205821" w:rsidRPr="00C05886" w14:paraId="03060D1A" w14:textId="77777777" w:rsidTr="00205821">
        <w:trPr>
          <w:trHeight w:val="1376"/>
        </w:trPr>
        <w:tc>
          <w:tcPr>
            <w:tcW w:w="456" w:type="pct"/>
          </w:tcPr>
          <w:p w14:paraId="3402DC3D" w14:textId="30F30B65" w:rsidR="00447C22" w:rsidRPr="00C05886" w:rsidRDefault="00447C22" w:rsidP="00205821">
            <w:pPr>
              <w:spacing w:line="240" w:lineRule="auto"/>
              <w:jc w:val="left"/>
              <w:rPr>
                <w:sz w:val="17"/>
                <w:szCs w:val="17"/>
              </w:rPr>
            </w:pPr>
            <w:r w:rsidRPr="00C05886">
              <w:rPr>
                <w:sz w:val="17"/>
                <w:szCs w:val="17"/>
              </w:rPr>
              <w:fldChar w:fldCharType="begin"/>
            </w:r>
            <w:r w:rsidR="003C342F" w:rsidRPr="00C05886">
              <w:rPr>
                <w:sz w:val="17"/>
                <w:szCs w:val="17"/>
              </w:rPr>
              <w:instrText xml:space="preserve"> ADDIN ZOTERO_ITEM CSL_CITATION {"citationID":"TshQyTEv","properties":{"formattedCitation":"(Roe {\\i{}et al.}, 2013)","plainCitation":"(Roe et al., 2013)","noteIndex":0},"citationItems":[{"id":8960,"uris":["http://zotero.org/users/local/pAEZdfSt/items/QMKUE7FD","http://zotero.org/users/10951124/items/QMKUE7FD"],"itemData":{"id":8960,"type":"article-journal","container-title":"Environ. Sci","issue":"2","note":"publisher: Citeseer","page":"93-104","title":"Engaging the brain: The impact of natural versus urban scenes using novel EEG methods in an experimental setting","volume":"1","author":[{"family":"Roe","given":"Jenny J"},{"family":"Aspinall","given":"Peter A"},{"family":"Mavros","given":"Panagiotis"},{"family":"Coyne","given":"Richard"}],"issued":{"date-parts":[["2013"]]}}}],"schema":"https://github.com/citation-style-language/schema/raw/master/csl-citation.json"} </w:instrText>
            </w:r>
            <w:r w:rsidRPr="00C05886">
              <w:rPr>
                <w:sz w:val="17"/>
                <w:szCs w:val="17"/>
              </w:rPr>
              <w:fldChar w:fldCharType="separate"/>
            </w:r>
            <w:r w:rsidRPr="00C05886">
              <w:rPr>
                <w:rFonts w:ascii="Calibri" w:hAnsi="Calibri" w:cs="Calibri"/>
                <w:sz w:val="17"/>
                <w:szCs w:val="17"/>
              </w:rPr>
              <w:t xml:space="preserve">(Roe </w:t>
            </w:r>
            <w:r w:rsidRPr="00C05886">
              <w:rPr>
                <w:rFonts w:ascii="Calibri" w:hAnsi="Calibri" w:cs="Calibri"/>
                <w:i/>
                <w:iCs/>
                <w:sz w:val="17"/>
                <w:szCs w:val="17"/>
              </w:rPr>
              <w:t>et al.</w:t>
            </w:r>
            <w:r w:rsidRPr="00C05886">
              <w:rPr>
                <w:rFonts w:ascii="Calibri" w:hAnsi="Calibri" w:cs="Calibri"/>
                <w:sz w:val="17"/>
                <w:szCs w:val="17"/>
              </w:rPr>
              <w:t>, 2013)</w:t>
            </w:r>
            <w:r w:rsidRPr="00C05886">
              <w:rPr>
                <w:sz w:val="17"/>
                <w:szCs w:val="17"/>
              </w:rPr>
              <w:fldChar w:fldCharType="end"/>
            </w:r>
          </w:p>
        </w:tc>
        <w:tc>
          <w:tcPr>
            <w:tcW w:w="571" w:type="pct"/>
          </w:tcPr>
          <w:p w14:paraId="6CC7E3DA" w14:textId="77777777" w:rsidR="00447C22" w:rsidRPr="00C05886" w:rsidRDefault="00447C22" w:rsidP="00205821">
            <w:pPr>
              <w:spacing w:line="240" w:lineRule="auto"/>
              <w:jc w:val="left"/>
              <w:rPr>
                <w:sz w:val="17"/>
                <w:szCs w:val="17"/>
              </w:rPr>
            </w:pPr>
            <w:r w:rsidRPr="00C05886">
              <w:rPr>
                <w:sz w:val="17"/>
                <w:szCs w:val="17"/>
              </w:rPr>
              <w:t>Differences in looking at urban vs natural images</w:t>
            </w:r>
          </w:p>
        </w:tc>
        <w:tc>
          <w:tcPr>
            <w:tcW w:w="417" w:type="pct"/>
          </w:tcPr>
          <w:p w14:paraId="4B7D1E47" w14:textId="77777777" w:rsidR="00447C22" w:rsidRPr="00C05886" w:rsidRDefault="00447C22" w:rsidP="00205821">
            <w:pPr>
              <w:spacing w:line="240" w:lineRule="auto"/>
              <w:jc w:val="left"/>
              <w:rPr>
                <w:sz w:val="17"/>
                <w:szCs w:val="17"/>
              </w:rPr>
            </w:pPr>
            <w:r w:rsidRPr="00C05886">
              <w:rPr>
                <w:sz w:val="17"/>
                <w:szCs w:val="17"/>
              </w:rPr>
              <w:t>20, students</w:t>
            </w:r>
          </w:p>
        </w:tc>
        <w:tc>
          <w:tcPr>
            <w:tcW w:w="1128" w:type="pct"/>
          </w:tcPr>
          <w:p w14:paraId="19FF5BD8" w14:textId="77777777" w:rsidR="00447C22" w:rsidRPr="00C05886" w:rsidRDefault="00447C22" w:rsidP="00205821">
            <w:pPr>
              <w:spacing w:line="240" w:lineRule="auto"/>
              <w:jc w:val="left"/>
              <w:rPr>
                <w:sz w:val="17"/>
                <w:szCs w:val="17"/>
              </w:rPr>
            </w:pPr>
            <w:r w:rsidRPr="00C05886">
              <w:rPr>
                <w:sz w:val="17"/>
                <w:szCs w:val="17"/>
              </w:rPr>
              <w:t xml:space="preserve">Emotional parameters from </w:t>
            </w:r>
            <w:proofErr w:type="spellStart"/>
            <w:r w:rsidRPr="00C05886">
              <w:rPr>
                <w:sz w:val="17"/>
                <w:szCs w:val="17"/>
              </w:rPr>
              <w:t>Emotiv</w:t>
            </w:r>
            <w:proofErr w:type="spellEnd"/>
            <w:r w:rsidRPr="00C05886">
              <w:rPr>
                <w:sz w:val="17"/>
                <w:szCs w:val="17"/>
              </w:rPr>
              <w:t xml:space="preserve"> </w:t>
            </w:r>
            <w:proofErr w:type="spellStart"/>
            <w:r w:rsidRPr="00C05886">
              <w:rPr>
                <w:sz w:val="17"/>
                <w:szCs w:val="17"/>
              </w:rPr>
              <w:t>Affectiv</w:t>
            </w:r>
            <w:proofErr w:type="spellEnd"/>
            <w:r w:rsidRPr="00C05886">
              <w:rPr>
                <w:sz w:val="17"/>
                <w:szCs w:val="17"/>
              </w:rPr>
              <w:t xml:space="preserve"> suite.</w:t>
            </w:r>
          </w:p>
        </w:tc>
        <w:tc>
          <w:tcPr>
            <w:tcW w:w="599" w:type="pct"/>
          </w:tcPr>
          <w:p w14:paraId="74731CF8" w14:textId="77777777" w:rsidR="00447C22" w:rsidRPr="00C05886" w:rsidRDefault="00447C22" w:rsidP="00205821">
            <w:pPr>
              <w:spacing w:line="240" w:lineRule="auto"/>
              <w:jc w:val="left"/>
              <w:rPr>
                <w:color w:val="FF0000"/>
                <w:sz w:val="17"/>
                <w:szCs w:val="17"/>
              </w:rPr>
            </w:pPr>
            <w:r w:rsidRPr="00C05886">
              <w:rPr>
                <w:color w:val="FF0000"/>
                <w:sz w:val="17"/>
                <w:szCs w:val="17"/>
              </w:rPr>
              <w:t>No details provided.</w:t>
            </w:r>
            <w:r w:rsidRPr="00C05886">
              <w:rPr>
                <w:color w:val="000000" w:themeColor="text1"/>
                <w:sz w:val="17"/>
                <w:szCs w:val="17"/>
              </w:rPr>
              <w:t xml:space="preserve"> </w:t>
            </w:r>
            <w:proofErr w:type="spellStart"/>
            <w:r w:rsidRPr="00C05886">
              <w:rPr>
                <w:color w:val="000000" w:themeColor="text1"/>
                <w:sz w:val="17"/>
                <w:szCs w:val="17"/>
              </w:rPr>
              <w:t>Emotiv</w:t>
            </w:r>
            <w:proofErr w:type="spellEnd"/>
            <w:r w:rsidRPr="00C05886">
              <w:rPr>
                <w:color w:val="000000" w:themeColor="text1"/>
                <w:sz w:val="17"/>
                <w:szCs w:val="17"/>
              </w:rPr>
              <w:t xml:space="preserve"> software</w:t>
            </w:r>
          </w:p>
        </w:tc>
        <w:tc>
          <w:tcPr>
            <w:tcW w:w="559" w:type="pct"/>
          </w:tcPr>
          <w:p w14:paraId="3D8628C0" w14:textId="69AA58A1" w:rsidR="00447C22" w:rsidRPr="00C05886" w:rsidRDefault="00447C22" w:rsidP="00205821">
            <w:pPr>
              <w:spacing w:line="240" w:lineRule="auto"/>
              <w:jc w:val="left"/>
              <w:rPr>
                <w:sz w:val="17"/>
                <w:szCs w:val="17"/>
              </w:rPr>
            </w:pPr>
            <w:r w:rsidRPr="00C05886">
              <w:rPr>
                <w:sz w:val="17"/>
                <w:szCs w:val="17"/>
              </w:rPr>
              <w:t xml:space="preserve">factor analysis (oblique rotation) reduced the 5 emotional parameters to 2 groups. Correlation </w:t>
            </w:r>
            <w:proofErr w:type="spellStart"/>
            <w:r w:rsidRPr="00C05886">
              <w:rPr>
                <w:sz w:val="17"/>
                <w:szCs w:val="17"/>
              </w:rPr>
              <w:t>bivariates</w:t>
            </w:r>
            <w:proofErr w:type="spellEnd"/>
            <w:r w:rsidRPr="00C05886">
              <w:rPr>
                <w:sz w:val="17"/>
                <w:szCs w:val="17"/>
              </w:rPr>
              <w:t>. latent class analysis</w:t>
            </w:r>
          </w:p>
        </w:tc>
        <w:tc>
          <w:tcPr>
            <w:tcW w:w="820" w:type="pct"/>
          </w:tcPr>
          <w:p w14:paraId="5ED63586" w14:textId="77777777" w:rsidR="00447C22" w:rsidRPr="00C05886" w:rsidRDefault="00447C22" w:rsidP="00205821">
            <w:pPr>
              <w:spacing w:line="240" w:lineRule="auto"/>
              <w:jc w:val="left"/>
              <w:rPr>
                <w:rFonts w:ascii="Calibri" w:hAnsi="Calibri" w:cs="Calibri"/>
                <w:sz w:val="17"/>
                <w:szCs w:val="17"/>
              </w:rPr>
            </w:pPr>
            <w:r w:rsidRPr="00C05886">
              <w:rPr>
                <w:rFonts w:ascii="Calibri" w:hAnsi="Calibri" w:cs="Calibri"/>
                <w:sz w:val="17"/>
                <w:szCs w:val="17"/>
              </w:rPr>
              <w:t>Higher scores for “excitement” in the urban images. Higher “meditation” and “engagement” for the natural pictures</w:t>
            </w:r>
          </w:p>
        </w:tc>
        <w:tc>
          <w:tcPr>
            <w:tcW w:w="450" w:type="pct"/>
          </w:tcPr>
          <w:p w14:paraId="5AD04579" w14:textId="77777777" w:rsidR="00447C22" w:rsidRPr="00C05886" w:rsidRDefault="00447C22" w:rsidP="00205821">
            <w:pPr>
              <w:spacing w:line="240" w:lineRule="auto"/>
              <w:jc w:val="left"/>
              <w:rPr>
                <w:rFonts w:ascii="Calibri" w:hAnsi="Calibri" w:cs="Calibri"/>
                <w:i/>
                <w:iCs/>
                <w:sz w:val="17"/>
                <w:szCs w:val="17"/>
              </w:rPr>
            </w:pPr>
            <w:r w:rsidRPr="00C05886">
              <w:rPr>
                <w:rFonts w:ascii="Calibri" w:hAnsi="Calibri" w:cs="Calibri"/>
                <w:i/>
                <w:iCs/>
                <w:sz w:val="17"/>
                <w:szCs w:val="17"/>
              </w:rPr>
              <w:t>Environ. Sci</w:t>
            </w:r>
          </w:p>
        </w:tc>
      </w:tr>
      <w:tr w:rsidR="00205821" w:rsidRPr="00C05886" w14:paraId="2BE76E55" w14:textId="77777777" w:rsidTr="00205821">
        <w:tc>
          <w:tcPr>
            <w:tcW w:w="456" w:type="pct"/>
          </w:tcPr>
          <w:p w14:paraId="1A313F44" w14:textId="378E3C7E" w:rsidR="00447C22" w:rsidRPr="00C05886" w:rsidRDefault="00447C22" w:rsidP="00205821">
            <w:pPr>
              <w:spacing w:line="240" w:lineRule="auto"/>
              <w:jc w:val="left"/>
              <w:rPr>
                <w:sz w:val="17"/>
                <w:szCs w:val="17"/>
              </w:rPr>
            </w:pPr>
            <w:r w:rsidRPr="00C05886">
              <w:rPr>
                <w:sz w:val="17"/>
                <w:szCs w:val="17"/>
              </w:rPr>
              <w:fldChar w:fldCharType="begin"/>
            </w:r>
            <w:r w:rsidR="003C342F" w:rsidRPr="00C05886">
              <w:rPr>
                <w:sz w:val="17"/>
                <w:szCs w:val="17"/>
              </w:rPr>
              <w:instrText xml:space="preserve"> ADDIN ZOTERO_ITEM CSL_CITATION {"citationID":"WTRtcXug","properties":{"formattedCitation":"(Rodr\\uc0\\u237{}guez {\\i{}et al.}, 2015)","plainCitation":"(Rodríguez et al., 2015)","noteIndex":0},"citationItems":[{"id":8962,"uris":["http://zotero.org/users/local/pAEZdfSt/items/92HXURJP","http://zotero.org/users/10951124/items/92HXURJP"],"itemData":{"id":8962,"type":"article-journal","abstract":"Emotional regulation strategies are used by people to influence their emotional responses to external or internal emotional stimuli. The aim of this study is to evaluate the brain activations that are associated with the application of two different emotional regulation strategies (cognitive reappraisal and expressive suppression) during virtual reality mood induction procedures. We used Emotiv EPOC to measure the brain electrical activity of participants while sadness is induced using a virtual reality environment. We monitored 24 participants, who were distributed among three experimental groups: a control group, a cognitive reappraisal group and an expressive suppression group. In the control group, we found significant activations in several right frontal regions that are related to the induction of negative emotions’. We also found significant activations in the limbic, occipital, and parietal regions in the emotional regulation groups. These regions are related to the application of emotional regulation strategies. The results are consistent with those shown in the literature, which were obtained through clinical neuroimaging systems.","container-title":"Expert Systems with Applications","DOI":"https://doi.org/10.1016/j.eswa.2014.10.006","ISSN":"0957-4174","issue":"3","page":"1699-1709","title":"Assessing brain activations associated with emotional regulation during virtual reality mood induction procedures","volume":"42","author":[{"family":"Rodríguez","given":"Alejandro"},{"family":"Rey","given":"Beatriz"},{"family":"Clemente","given":"Miriam"},{"family":"Wrzesien","given":"Maja"},{"family":"Alcañiz","given":"Mariano"}],"issued":{"date-parts":[["2015"]]}}}],"schema":"https://github.com/citation-style-language/schema/raw/master/csl-citation.json"} </w:instrText>
            </w:r>
            <w:r w:rsidRPr="00C05886">
              <w:rPr>
                <w:sz w:val="17"/>
                <w:szCs w:val="17"/>
              </w:rPr>
              <w:fldChar w:fldCharType="separate"/>
            </w:r>
            <w:r w:rsidRPr="00C05886">
              <w:rPr>
                <w:rFonts w:ascii="Calibri" w:hAnsi="Calibri" w:cs="Calibri"/>
                <w:sz w:val="17"/>
                <w:szCs w:val="17"/>
              </w:rPr>
              <w:t xml:space="preserve">(Rodríguez </w:t>
            </w:r>
            <w:r w:rsidRPr="00C05886">
              <w:rPr>
                <w:rFonts w:ascii="Calibri" w:hAnsi="Calibri" w:cs="Calibri"/>
                <w:i/>
                <w:iCs/>
                <w:sz w:val="17"/>
                <w:szCs w:val="17"/>
              </w:rPr>
              <w:t>et al.</w:t>
            </w:r>
            <w:r w:rsidRPr="00C05886">
              <w:rPr>
                <w:rFonts w:ascii="Calibri" w:hAnsi="Calibri" w:cs="Calibri"/>
                <w:sz w:val="17"/>
                <w:szCs w:val="17"/>
              </w:rPr>
              <w:t>, 2015)</w:t>
            </w:r>
            <w:r w:rsidRPr="00C05886">
              <w:rPr>
                <w:sz w:val="17"/>
                <w:szCs w:val="17"/>
              </w:rPr>
              <w:fldChar w:fldCharType="end"/>
            </w:r>
          </w:p>
        </w:tc>
        <w:tc>
          <w:tcPr>
            <w:tcW w:w="571" w:type="pct"/>
          </w:tcPr>
          <w:p w14:paraId="6E54DC9C" w14:textId="77777777" w:rsidR="00447C22" w:rsidRPr="00C05886" w:rsidRDefault="00447C22" w:rsidP="00205821">
            <w:pPr>
              <w:spacing w:line="240" w:lineRule="auto"/>
              <w:jc w:val="left"/>
              <w:rPr>
                <w:sz w:val="17"/>
                <w:szCs w:val="17"/>
              </w:rPr>
            </w:pPr>
            <w:r w:rsidRPr="00C05886">
              <w:rPr>
                <w:sz w:val="17"/>
                <w:szCs w:val="17"/>
              </w:rPr>
              <w:t>Differences between groups looking at mood eliciting images. Groups: control, expressive suppression, cognitive reappraisal</w:t>
            </w:r>
          </w:p>
        </w:tc>
        <w:tc>
          <w:tcPr>
            <w:tcW w:w="417" w:type="pct"/>
          </w:tcPr>
          <w:p w14:paraId="48A03366" w14:textId="77777777" w:rsidR="00447C22" w:rsidRPr="00C05886" w:rsidRDefault="00447C22" w:rsidP="00205821">
            <w:pPr>
              <w:spacing w:line="240" w:lineRule="auto"/>
              <w:jc w:val="left"/>
              <w:rPr>
                <w:sz w:val="17"/>
                <w:szCs w:val="17"/>
              </w:rPr>
            </w:pPr>
            <w:r w:rsidRPr="00C05886">
              <w:rPr>
                <w:sz w:val="17"/>
                <w:szCs w:val="17"/>
              </w:rPr>
              <w:t>24, aged 19-36</w:t>
            </w:r>
          </w:p>
        </w:tc>
        <w:tc>
          <w:tcPr>
            <w:tcW w:w="1128" w:type="pct"/>
          </w:tcPr>
          <w:p w14:paraId="44E0AB18" w14:textId="77777777" w:rsidR="00447C22" w:rsidRPr="00C05886" w:rsidRDefault="00447C22" w:rsidP="00205821">
            <w:pPr>
              <w:spacing w:line="240" w:lineRule="auto"/>
              <w:jc w:val="left"/>
              <w:rPr>
                <w:sz w:val="17"/>
                <w:szCs w:val="17"/>
              </w:rPr>
            </w:pPr>
            <w:r w:rsidRPr="00C05886">
              <w:rPr>
                <w:sz w:val="17"/>
                <w:szCs w:val="17"/>
              </w:rPr>
              <w:t>Brain activation maps and powerbands.</w:t>
            </w:r>
          </w:p>
        </w:tc>
        <w:tc>
          <w:tcPr>
            <w:tcW w:w="599" w:type="pct"/>
          </w:tcPr>
          <w:p w14:paraId="7A1085CA" w14:textId="77777777" w:rsidR="00447C22" w:rsidRPr="00C05886" w:rsidRDefault="00447C22" w:rsidP="00205821">
            <w:pPr>
              <w:spacing w:line="240" w:lineRule="auto"/>
              <w:jc w:val="left"/>
              <w:rPr>
                <w:sz w:val="17"/>
                <w:szCs w:val="17"/>
              </w:rPr>
            </w:pPr>
            <w:r w:rsidRPr="00C05886">
              <w:rPr>
                <w:sz w:val="17"/>
                <w:szCs w:val="17"/>
              </w:rPr>
              <w:t>EEGLAB</w:t>
            </w:r>
          </w:p>
          <w:p w14:paraId="66E9A0EC" w14:textId="77777777" w:rsidR="00447C22" w:rsidRPr="00C05886" w:rsidRDefault="00447C22" w:rsidP="00205821">
            <w:pPr>
              <w:spacing w:line="240" w:lineRule="auto"/>
              <w:jc w:val="left"/>
              <w:rPr>
                <w:sz w:val="17"/>
                <w:szCs w:val="17"/>
              </w:rPr>
            </w:pPr>
            <w:r w:rsidRPr="00C05886">
              <w:rPr>
                <w:sz w:val="17"/>
                <w:szCs w:val="17"/>
              </w:rPr>
              <w:t xml:space="preserve">DC removal, linear filter (0.5 - 45hz), EOG and artifacts removal with ADJUST. Compared Pre and post treatment rest activities with </w:t>
            </w:r>
            <w:proofErr w:type="spellStart"/>
            <w:r w:rsidRPr="00C05886">
              <w:rPr>
                <w:sz w:val="17"/>
                <w:szCs w:val="17"/>
              </w:rPr>
              <w:t>sLORETA</w:t>
            </w:r>
            <w:proofErr w:type="spellEnd"/>
          </w:p>
        </w:tc>
        <w:tc>
          <w:tcPr>
            <w:tcW w:w="559" w:type="pct"/>
          </w:tcPr>
          <w:p w14:paraId="2BCF7865" w14:textId="77777777" w:rsidR="00447C22" w:rsidRPr="00C05886" w:rsidRDefault="00447C22" w:rsidP="00205821">
            <w:pPr>
              <w:spacing w:line="240" w:lineRule="auto"/>
              <w:jc w:val="left"/>
              <w:rPr>
                <w:sz w:val="17"/>
                <w:szCs w:val="17"/>
              </w:rPr>
            </w:pPr>
            <w:r w:rsidRPr="00C05886">
              <w:rPr>
                <w:sz w:val="17"/>
                <w:szCs w:val="17"/>
              </w:rPr>
              <w:t>Voxel-wise t-tests</w:t>
            </w:r>
          </w:p>
        </w:tc>
        <w:tc>
          <w:tcPr>
            <w:tcW w:w="820" w:type="pct"/>
          </w:tcPr>
          <w:p w14:paraId="514A7B6E" w14:textId="77777777" w:rsidR="00447C22" w:rsidRPr="00C05886" w:rsidRDefault="00447C22" w:rsidP="00205821">
            <w:pPr>
              <w:spacing w:line="240" w:lineRule="auto"/>
              <w:jc w:val="left"/>
              <w:rPr>
                <w:rFonts w:ascii="Calibri" w:hAnsi="Calibri" w:cs="Calibri"/>
                <w:sz w:val="17"/>
                <w:szCs w:val="17"/>
              </w:rPr>
            </w:pPr>
            <w:r w:rsidRPr="00C05886">
              <w:rPr>
                <w:rFonts w:ascii="Calibri" w:hAnsi="Calibri" w:cs="Calibri"/>
                <w:sz w:val="17"/>
                <w:szCs w:val="17"/>
              </w:rPr>
              <w:t>Most differences were in the theta band, distributed in various areas of the brain.</w:t>
            </w:r>
          </w:p>
          <w:p w14:paraId="316E0267" w14:textId="77777777" w:rsidR="00447C22" w:rsidRPr="00C05886" w:rsidRDefault="00447C22" w:rsidP="00205821">
            <w:pPr>
              <w:spacing w:line="240" w:lineRule="auto"/>
              <w:jc w:val="left"/>
              <w:rPr>
                <w:rFonts w:ascii="Calibri" w:hAnsi="Calibri" w:cs="Calibri"/>
                <w:sz w:val="17"/>
                <w:szCs w:val="17"/>
              </w:rPr>
            </w:pPr>
            <w:r w:rsidRPr="00C05886">
              <w:rPr>
                <w:rFonts w:ascii="Calibri" w:hAnsi="Calibri" w:cs="Calibri"/>
                <w:sz w:val="17"/>
                <w:szCs w:val="17"/>
              </w:rPr>
              <w:t>Some alphas differences in the frontal lobes</w:t>
            </w:r>
          </w:p>
        </w:tc>
        <w:tc>
          <w:tcPr>
            <w:tcW w:w="450" w:type="pct"/>
          </w:tcPr>
          <w:p w14:paraId="645F0248" w14:textId="77777777" w:rsidR="00447C22" w:rsidRPr="00C05886" w:rsidRDefault="00447C22" w:rsidP="00205821">
            <w:pPr>
              <w:spacing w:line="240" w:lineRule="auto"/>
              <w:jc w:val="left"/>
              <w:rPr>
                <w:rFonts w:ascii="Calibri" w:hAnsi="Calibri" w:cs="Calibri"/>
                <w:i/>
                <w:iCs/>
                <w:sz w:val="17"/>
                <w:szCs w:val="17"/>
              </w:rPr>
            </w:pPr>
            <w:r w:rsidRPr="00C05886">
              <w:rPr>
                <w:rFonts w:ascii="Calibri" w:hAnsi="Calibri" w:cs="Calibri"/>
                <w:i/>
                <w:iCs/>
                <w:sz w:val="17"/>
                <w:szCs w:val="17"/>
              </w:rPr>
              <w:t>Expert Systems with Applications</w:t>
            </w:r>
          </w:p>
        </w:tc>
      </w:tr>
      <w:tr w:rsidR="00205821" w:rsidRPr="00C05886" w14:paraId="49461ACF" w14:textId="77777777" w:rsidTr="00205821">
        <w:tc>
          <w:tcPr>
            <w:tcW w:w="456" w:type="pct"/>
          </w:tcPr>
          <w:p w14:paraId="6880751D" w14:textId="683A868C" w:rsidR="00447C22" w:rsidRPr="00C05886" w:rsidRDefault="00447C22" w:rsidP="00205821">
            <w:pPr>
              <w:spacing w:line="240" w:lineRule="auto"/>
              <w:jc w:val="left"/>
              <w:rPr>
                <w:sz w:val="17"/>
                <w:szCs w:val="17"/>
              </w:rPr>
            </w:pPr>
            <w:r w:rsidRPr="00C05886">
              <w:rPr>
                <w:sz w:val="17"/>
                <w:szCs w:val="17"/>
              </w:rPr>
              <w:fldChar w:fldCharType="begin"/>
            </w:r>
            <w:r w:rsidR="003C342F" w:rsidRPr="00C05886">
              <w:rPr>
                <w:sz w:val="17"/>
                <w:szCs w:val="17"/>
              </w:rPr>
              <w:instrText xml:space="preserve"> ADDIN ZOTERO_ITEM CSL_CITATION {"citationID":"bxGalrMF","properties":{"formattedCitation":"(Yuvaraj {\\i{}et al.}, 2014)","plainCitation":"(Yuvaraj et al., 2014)","noteIndex":0},"citationItems":[{"id":9175,"uris":["http://zotero.org/users/local/pAEZdfSt/items/77RT7CVX","http://zotero.org/users/10951124/items/77RT7CVX"],"itemData":{"id":9175,"type":"article-journal","abstract":"While Parkinson’s disease (PD) has traditionally been described as a movement disorder, there is growing evidence of disruption in emotion information processing associated with the disease. The aim of this study was to investigate whether there are specific electroencephalographic (EEG) characteristics that discriminate PD patients and normal controls during emotion information processing.","container-title":"Behavioral and Brain Functions","DOI":"10.1186/1744-9081-10-12","ISSN":"1744-9081","issue":"1","journalAbbreviation":"Behavioral and Brain Functions","page":"12","title":"On the analysis of EEG power, frequency and asymmetry in Parkinson’s disease during emotion processing","volume":"10","author":[{"family":"Yuvaraj","given":"Rajamanickam"},{"family":"Murugappan","given":"Murugappan"},{"family":"Mohamed Ibrahim","given":"Norlinah"},{"family":"Iqbal Omar","given":"Mohd"},{"family":"Sundaraj","given":"Kenneth"},{"family":"Mohamad","given":"Khairiyah"},{"family":"Palaniappan","given":"Ramaswamy"},{"family":"Mesquita","given":"Edgar"},{"family":"Satiyan","given":"Marimuthu"}],"issued":{"date-parts":[["2014",4,9]]}}}],"schema":"https://github.com/citation-style-language/schema/raw/master/csl-citation.json"} </w:instrText>
            </w:r>
            <w:r w:rsidRPr="00C05886">
              <w:rPr>
                <w:sz w:val="17"/>
                <w:szCs w:val="17"/>
              </w:rPr>
              <w:fldChar w:fldCharType="separate"/>
            </w:r>
            <w:r w:rsidRPr="00C05886">
              <w:rPr>
                <w:rFonts w:ascii="Calibri" w:hAnsi="Calibri" w:cs="Calibri"/>
                <w:sz w:val="17"/>
                <w:szCs w:val="17"/>
              </w:rPr>
              <w:t xml:space="preserve">(Yuvaraj </w:t>
            </w:r>
            <w:r w:rsidRPr="00C05886">
              <w:rPr>
                <w:rFonts w:ascii="Calibri" w:hAnsi="Calibri" w:cs="Calibri"/>
                <w:i/>
                <w:iCs/>
                <w:sz w:val="17"/>
                <w:szCs w:val="17"/>
              </w:rPr>
              <w:t>et al.</w:t>
            </w:r>
            <w:r w:rsidRPr="00C05886">
              <w:rPr>
                <w:rFonts w:ascii="Calibri" w:hAnsi="Calibri" w:cs="Calibri"/>
                <w:sz w:val="17"/>
                <w:szCs w:val="17"/>
              </w:rPr>
              <w:t>, 2014)</w:t>
            </w:r>
            <w:r w:rsidRPr="00C05886">
              <w:rPr>
                <w:sz w:val="17"/>
                <w:szCs w:val="17"/>
              </w:rPr>
              <w:fldChar w:fldCharType="end"/>
            </w:r>
          </w:p>
        </w:tc>
        <w:tc>
          <w:tcPr>
            <w:tcW w:w="571" w:type="pct"/>
          </w:tcPr>
          <w:p w14:paraId="2319C941" w14:textId="77777777" w:rsidR="00447C22" w:rsidRPr="00C05886" w:rsidRDefault="00447C22" w:rsidP="00205821">
            <w:pPr>
              <w:spacing w:line="240" w:lineRule="auto"/>
              <w:jc w:val="left"/>
              <w:rPr>
                <w:sz w:val="17"/>
                <w:szCs w:val="17"/>
              </w:rPr>
            </w:pPr>
            <w:r w:rsidRPr="00C05886">
              <w:rPr>
                <w:sz w:val="17"/>
                <w:szCs w:val="17"/>
              </w:rPr>
              <w:t>Differences between Parkinson’s and Healthy subjects in processing emotions</w:t>
            </w:r>
          </w:p>
        </w:tc>
        <w:tc>
          <w:tcPr>
            <w:tcW w:w="417" w:type="pct"/>
          </w:tcPr>
          <w:p w14:paraId="2F4A95C9" w14:textId="77777777" w:rsidR="00447C22" w:rsidRPr="00C05886" w:rsidRDefault="00447C22" w:rsidP="00205821">
            <w:pPr>
              <w:spacing w:line="240" w:lineRule="auto"/>
              <w:jc w:val="left"/>
              <w:rPr>
                <w:sz w:val="17"/>
                <w:szCs w:val="17"/>
              </w:rPr>
            </w:pPr>
            <w:r w:rsidRPr="00C05886">
              <w:rPr>
                <w:sz w:val="17"/>
                <w:szCs w:val="17"/>
              </w:rPr>
              <w:t>23 Parkinson’s, 30 healthy</w:t>
            </w:r>
          </w:p>
        </w:tc>
        <w:tc>
          <w:tcPr>
            <w:tcW w:w="1128" w:type="pct"/>
          </w:tcPr>
          <w:p w14:paraId="5B610B52" w14:textId="6BE06D31" w:rsidR="00447C22" w:rsidRPr="00C05886" w:rsidRDefault="00447C22" w:rsidP="00205821">
            <w:pPr>
              <w:spacing w:line="240" w:lineRule="auto"/>
              <w:jc w:val="left"/>
              <w:rPr>
                <w:sz w:val="17"/>
                <w:szCs w:val="17"/>
              </w:rPr>
            </w:pPr>
            <w:r w:rsidRPr="00C05886">
              <w:rPr>
                <w:sz w:val="17"/>
                <w:szCs w:val="17"/>
              </w:rPr>
              <w:t>Absolute and relative powerbands (delta, theta, alpha, beta)</w:t>
            </w:r>
          </w:p>
          <w:p w14:paraId="34FC37AF" w14:textId="2D40C456" w:rsidR="00447C22" w:rsidRPr="00C05886" w:rsidRDefault="00447C22" w:rsidP="00205821">
            <w:pPr>
              <w:spacing w:line="240" w:lineRule="auto"/>
              <w:jc w:val="left"/>
              <w:rPr>
                <w:sz w:val="17"/>
                <w:szCs w:val="17"/>
              </w:rPr>
            </w:pPr>
            <w:r w:rsidRPr="00C05886">
              <w:rPr>
                <w:sz w:val="17"/>
                <w:szCs w:val="17"/>
              </w:rPr>
              <w:t>Measures of interhemispheric (absolute) power asymmetry for each band were also computed for seven homologous sites (AF3AF4, F7-F8, F3-F4, FC5-FC6, T7-T8, P7-P8, O1-O2) and an additional set of ten electrode site pairs (AF3-F3, AF4F4, F3-O1, F4-O2, FC5-P7, FC6-P8, P7-O1, P8-O2, T7O1, T8-O2) were used to derive measures of interhemispheric power asymmetry for each band</w:t>
            </w:r>
          </w:p>
        </w:tc>
        <w:tc>
          <w:tcPr>
            <w:tcW w:w="599" w:type="pct"/>
          </w:tcPr>
          <w:p w14:paraId="4AF107D2" w14:textId="77777777" w:rsidR="00447C22" w:rsidRPr="00C05886" w:rsidRDefault="00447C22" w:rsidP="00205821">
            <w:pPr>
              <w:spacing w:line="240" w:lineRule="auto"/>
              <w:jc w:val="left"/>
              <w:rPr>
                <w:sz w:val="17"/>
                <w:szCs w:val="17"/>
              </w:rPr>
            </w:pPr>
            <w:r w:rsidRPr="00C05886">
              <w:rPr>
                <w:sz w:val="17"/>
                <w:szCs w:val="17"/>
              </w:rPr>
              <w:t>MATLAB,</w:t>
            </w:r>
          </w:p>
          <w:p w14:paraId="1BC5D590" w14:textId="77777777" w:rsidR="00447C22" w:rsidRPr="00C05886" w:rsidRDefault="00447C22" w:rsidP="00205821">
            <w:pPr>
              <w:spacing w:line="240" w:lineRule="auto"/>
              <w:jc w:val="left"/>
              <w:rPr>
                <w:sz w:val="17"/>
                <w:szCs w:val="17"/>
              </w:rPr>
            </w:pPr>
            <w:r w:rsidRPr="00C05886">
              <w:rPr>
                <w:sz w:val="17"/>
                <w:szCs w:val="17"/>
              </w:rPr>
              <w:t xml:space="preserve">Data cut in the six emotions blocks, then filtered and </w:t>
            </w:r>
            <w:proofErr w:type="spellStart"/>
            <w:r w:rsidRPr="00C05886">
              <w:rPr>
                <w:sz w:val="17"/>
                <w:szCs w:val="17"/>
              </w:rPr>
              <w:t>epoched</w:t>
            </w:r>
            <w:proofErr w:type="spellEnd"/>
            <w:r w:rsidRPr="00C05886">
              <w:rPr>
                <w:sz w:val="17"/>
                <w:szCs w:val="17"/>
              </w:rPr>
              <w:t xml:space="preserve"> (6s). Blink artifacts removed by cutting data epochs beyond +-80</w:t>
            </w:r>
            <w:r w:rsidRPr="00C05886">
              <w:rPr>
                <w:rFonts w:cstheme="minorHAnsi"/>
                <w:sz w:val="17"/>
                <w:szCs w:val="17"/>
              </w:rPr>
              <w:t>µ</w:t>
            </w:r>
            <w:r w:rsidRPr="00C05886">
              <w:rPr>
                <w:sz w:val="17"/>
                <w:szCs w:val="17"/>
              </w:rPr>
              <w:t>v</w:t>
            </w:r>
          </w:p>
        </w:tc>
        <w:tc>
          <w:tcPr>
            <w:tcW w:w="559" w:type="pct"/>
          </w:tcPr>
          <w:p w14:paraId="0F9EB9BA" w14:textId="77777777" w:rsidR="00447C22" w:rsidRPr="00C05886" w:rsidRDefault="00447C22" w:rsidP="00205821">
            <w:pPr>
              <w:spacing w:line="240" w:lineRule="auto"/>
              <w:jc w:val="left"/>
              <w:rPr>
                <w:sz w:val="17"/>
                <w:szCs w:val="17"/>
              </w:rPr>
            </w:pPr>
            <w:r w:rsidRPr="00C05886">
              <w:rPr>
                <w:sz w:val="17"/>
                <w:szCs w:val="17"/>
              </w:rPr>
              <w:t>three-way repeated measures (mixed design) analysis of variance (ANOVA)</w:t>
            </w:r>
          </w:p>
          <w:p w14:paraId="5747C1D3" w14:textId="77777777" w:rsidR="00447C22" w:rsidRPr="00C05886" w:rsidRDefault="00447C22" w:rsidP="00205821">
            <w:pPr>
              <w:spacing w:line="240" w:lineRule="auto"/>
              <w:jc w:val="left"/>
              <w:rPr>
                <w:sz w:val="17"/>
                <w:szCs w:val="17"/>
              </w:rPr>
            </w:pPr>
            <w:r w:rsidRPr="00C05886">
              <w:rPr>
                <w:sz w:val="17"/>
                <w:szCs w:val="17"/>
              </w:rPr>
              <w:t xml:space="preserve">Emotional states and Electrode sites as a within </w:t>
            </w:r>
            <w:proofErr w:type="gramStart"/>
            <w:r w:rsidRPr="00C05886">
              <w:rPr>
                <w:sz w:val="17"/>
                <w:szCs w:val="17"/>
              </w:rPr>
              <w:t>subjects</w:t>
            </w:r>
            <w:proofErr w:type="gramEnd"/>
            <w:r w:rsidRPr="00C05886">
              <w:rPr>
                <w:sz w:val="17"/>
                <w:szCs w:val="17"/>
              </w:rPr>
              <w:t xml:space="preserve"> factor and Group as between subjects factor</w:t>
            </w:r>
          </w:p>
        </w:tc>
        <w:tc>
          <w:tcPr>
            <w:tcW w:w="820" w:type="pct"/>
          </w:tcPr>
          <w:p w14:paraId="76E3B0C3" w14:textId="77777777" w:rsidR="00447C22" w:rsidRPr="00C05886" w:rsidRDefault="00447C22" w:rsidP="00205821">
            <w:pPr>
              <w:spacing w:line="240" w:lineRule="auto"/>
              <w:jc w:val="left"/>
              <w:rPr>
                <w:rFonts w:ascii="Calibri" w:hAnsi="Calibri" w:cs="Calibri"/>
                <w:sz w:val="17"/>
                <w:szCs w:val="17"/>
              </w:rPr>
            </w:pPr>
            <w:r w:rsidRPr="00C05886">
              <w:rPr>
                <w:rFonts w:ascii="Calibri" w:hAnsi="Calibri" w:cs="Calibri"/>
                <w:sz w:val="17"/>
                <w:szCs w:val="17"/>
              </w:rPr>
              <w:t>significant difference between PD patients and NC group in delta, theta, alpha, and beta frequency band during emotion information processing, with PD patients having less absolute power across all the emotional state.</w:t>
            </w:r>
          </w:p>
          <w:p w14:paraId="18012560" w14:textId="77777777" w:rsidR="00447C22" w:rsidRPr="00C05886" w:rsidRDefault="00447C22" w:rsidP="00205821">
            <w:pPr>
              <w:spacing w:line="240" w:lineRule="auto"/>
              <w:jc w:val="left"/>
              <w:rPr>
                <w:rFonts w:ascii="Calibri" w:hAnsi="Calibri" w:cs="Calibri"/>
                <w:sz w:val="17"/>
                <w:szCs w:val="17"/>
              </w:rPr>
            </w:pPr>
            <w:r w:rsidRPr="00C05886">
              <w:rPr>
                <w:rFonts w:ascii="Calibri" w:hAnsi="Calibri" w:cs="Calibri"/>
                <w:sz w:val="17"/>
                <w:szCs w:val="17"/>
              </w:rPr>
              <w:t>PD patients exhibited significant (p &lt; 0.05) differences, with smaller relative power values than normal controls at all scalp sites.</w:t>
            </w:r>
          </w:p>
          <w:p w14:paraId="7F038327" w14:textId="77777777" w:rsidR="00447C22" w:rsidRPr="00C05886" w:rsidRDefault="00447C22" w:rsidP="00205821">
            <w:pPr>
              <w:spacing w:line="240" w:lineRule="auto"/>
              <w:jc w:val="left"/>
              <w:rPr>
                <w:rFonts w:ascii="Calibri" w:hAnsi="Calibri" w:cs="Calibri"/>
                <w:sz w:val="17"/>
                <w:szCs w:val="17"/>
              </w:rPr>
            </w:pPr>
            <w:r w:rsidRPr="00C05886">
              <w:rPr>
                <w:rFonts w:ascii="Calibri" w:hAnsi="Calibri" w:cs="Calibri"/>
                <w:sz w:val="17"/>
                <w:szCs w:val="17"/>
              </w:rPr>
              <w:t>both groups evidenced positive asymmetry ratio values during the emotional stimuli (greater right than left hemisphere power) the positive values were generally larger in the normal controls than in the PD patients.</w:t>
            </w:r>
          </w:p>
        </w:tc>
        <w:tc>
          <w:tcPr>
            <w:tcW w:w="450" w:type="pct"/>
          </w:tcPr>
          <w:p w14:paraId="44CB609C" w14:textId="77777777" w:rsidR="00447C22" w:rsidRPr="00C05886" w:rsidRDefault="00447C22" w:rsidP="00205821">
            <w:pPr>
              <w:spacing w:line="240" w:lineRule="auto"/>
              <w:jc w:val="left"/>
              <w:rPr>
                <w:rFonts w:ascii="Calibri" w:hAnsi="Calibri" w:cs="Calibri"/>
                <w:i/>
                <w:iCs/>
                <w:sz w:val="17"/>
                <w:szCs w:val="17"/>
              </w:rPr>
            </w:pPr>
            <w:proofErr w:type="spellStart"/>
            <w:r w:rsidRPr="00C05886">
              <w:rPr>
                <w:rFonts w:ascii="Calibri" w:hAnsi="Calibri" w:cs="Calibri"/>
                <w:i/>
                <w:iCs/>
                <w:sz w:val="17"/>
                <w:szCs w:val="17"/>
              </w:rPr>
              <w:t>Behavioral</w:t>
            </w:r>
            <w:proofErr w:type="spellEnd"/>
            <w:r w:rsidRPr="00C05886">
              <w:rPr>
                <w:rFonts w:ascii="Calibri" w:hAnsi="Calibri" w:cs="Calibri"/>
                <w:i/>
                <w:iCs/>
                <w:sz w:val="17"/>
                <w:szCs w:val="17"/>
              </w:rPr>
              <w:t xml:space="preserve"> and Brain Functions</w:t>
            </w:r>
          </w:p>
        </w:tc>
      </w:tr>
      <w:tr w:rsidR="00205821" w:rsidRPr="00C05886" w14:paraId="7523E797" w14:textId="77777777" w:rsidTr="00205821">
        <w:tc>
          <w:tcPr>
            <w:tcW w:w="456" w:type="pct"/>
          </w:tcPr>
          <w:p w14:paraId="217F64BF" w14:textId="559F07FF" w:rsidR="00447C22" w:rsidRPr="00C05886" w:rsidRDefault="00447C22" w:rsidP="00205821">
            <w:pPr>
              <w:spacing w:line="240" w:lineRule="auto"/>
              <w:jc w:val="left"/>
              <w:rPr>
                <w:sz w:val="17"/>
                <w:szCs w:val="17"/>
              </w:rPr>
            </w:pPr>
            <w:r w:rsidRPr="00C05886">
              <w:rPr>
                <w:sz w:val="17"/>
                <w:szCs w:val="17"/>
              </w:rPr>
              <w:fldChar w:fldCharType="begin"/>
            </w:r>
            <w:r w:rsidR="003C342F" w:rsidRPr="00C05886">
              <w:rPr>
                <w:sz w:val="17"/>
                <w:szCs w:val="17"/>
              </w:rPr>
              <w:instrText xml:space="preserve"> ADDIN ZOTERO_ITEM CSL_CITATION {"citationID":"HYCwZ2WX","properties":{"formattedCitation":"(Bacevice and Ducao, 2021)","plainCitation":"(Bacevice and Ducao, 2021)","noteIndex":0},"citationItems":[{"id":9132,"uris":["http://zotero.org/users/local/pAEZdfSt/items/SE4IXC3F","http://zotero.org/users/10951124/items/SE4IXC3F"],"itemData":{"id":9132,"type":"article-journal","container-title":"Intelligent Buildings International","DOI":"10.1080/17508975.2021.1921683","ISSN":"1750-8975","note":"publisher: Taylor &amp; Francis","page":"1-22","title":"Use of biometric data and EEG to assess architectural quality of two office spaces: a pilot experiment","author":[{"family":"Bacevice","given":"Peter A"},{"family":"Ducao","given":"Arlene"}],"issued":{"date-parts":[["2021",5,10]]}}}],"schema":"https://github.com/citation-style-language/schema/raw/master/csl-citation.json"} </w:instrText>
            </w:r>
            <w:r w:rsidRPr="00C05886">
              <w:rPr>
                <w:sz w:val="17"/>
                <w:szCs w:val="17"/>
              </w:rPr>
              <w:fldChar w:fldCharType="separate"/>
            </w:r>
            <w:r w:rsidRPr="00C05886">
              <w:rPr>
                <w:rFonts w:ascii="Calibri" w:hAnsi="Calibri" w:cs="Calibri"/>
                <w:sz w:val="17"/>
                <w:szCs w:val="17"/>
              </w:rPr>
              <w:t>(Bacevice and Ducao, 2021)</w:t>
            </w:r>
            <w:r w:rsidRPr="00C05886">
              <w:rPr>
                <w:sz w:val="17"/>
                <w:szCs w:val="17"/>
              </w:rPr>
              <w:fldChar w:fldCharType="end"/>
            </w:r>
          </w:p>
        </w:tc>
        <w:tc>
          <w:tcPr>
            <w:tcW w:w="571" w:type="pct"/>
          </w:tcPr>
          <w:p w14:paraId="2F48BC4B" w14:textId="77777777" w:rsidR="00447C22" w:rsidRPr="00C05886" w:rsidRDefault="00447C22" w:rsidP="00205821">
            <w:pPr>
              <w:spacing w:line="240" w:lineRule="auto"/>
              <w:jc w:val="left"/>
              <w:rPr>
                <w:sz w:val="17"/>
                <w:szCs w:val="17"/>
              </w:rPr>
            </w:pPr>
            <w:r w:rsidRPr="00C05886">
              <w:rPr>
                <w:sz w:val="17"/>
                <w:szCs w:val="17"/>
              </w:rPr>
              <w:t>EEG differences in various working areas of the same office</w:t>
            </w:r>
          </w:p>
        </w:tc>
        <w:tc>
          <w:tcPr>
            <w:tcW w:w="417" w:type="pct"/>
          </w:tcPr>
          <w:p w14:paraId="146C58F9" w14:textId="77777777" w:rsidR="00447C22" w:rsidRPr="00C05886" w:rsidRDefault="00447C22" w:rsidP="00205821">
            <w:pPr>
              <w:spacing w:line="240" w:lineRule="auto"/>
              <w:jc w:val="left"/>
              <w:rPr>
                <w:sz w:val="17"/>
                <w:szCs w:val="17"/>
              </w:rPr>
            </w:pPr>
            <w:r w:rsidRPr="00C05886">
              <w:rPr>
                <w:sz w:val="17"/>
                <w:szCs w:val="17"/>
              </w:rPr>
              <w:t>9 round 1,</w:t>
            </w:r>
          </w:p>
          <w:p w14:paraId="1B9E0620" w14:textId="77777777" w:rsidR="00447C22" w:rsidRPr="00C05886" w:rsidRDefault="00447C22" w:rsidP="00205821">
            <w:pPr>
              <w:spacing w:line="240" w:lineRule="auto"/>
              <w:jc w:val="left"/>
              <w:rPr>
                <w:sz w:val="17"/>
                <w:szCs w:val="17"/>
              </w:rPr>
            </w:pPr>
            <w:r w:rsidRPr="00C05886">
              <w:rPr>
                <w:sz w:val="17"/>
                <w:szCs w:val="17"/>
              </w:rPr>
              <w:t>13 round 2</w:t>
            </w:r>
          </w:p>
        </w:tc>
        <w:tc>
          <w:tcPr>
            <w:tcW w:w="1128" w:type="pct"/>
          </w:tcPr>
          <w:p w14:paraId="185DBFE9" w14:textId="77777777" w:rsidR="00447C22" w:rsidRPr="00C05886" w:rsidRDefault="00447C22" w:rsidP="00205821">
            <w:pPr>
              <w:spacing w:line="240" w:lineRule="auto"/>
              <w:jc w:val="left"/>
              <w:rPr>
                <w:sz w:val="17"/>
                <w:szCs w:val="17"/>
              </w:rPr>
            </w:pPr>
            <w:proofErr w:type="spellStart"/>
            <w:r w:rsidRPr="00C05886">
              <w:rPr>
                <w:sz w:val="17"/>
                <w:szCs w:val="17"/>
              </w:rPr>
              <w:t>Neurosky’s</w:t>
            </w:r>
            <w:proofErr w:type="spellEnd"/>
            <w:r w:rsidRPr="00C05886">
              <w:rPr>
                <w:sz w:val="17"/>
                <w:szCs w:val="17"/>
              </w:rPr>
              <w:t xml:space="preserve"> “attention” and “meditation” (i.e., relaxation) median scores (recorded at 1hz)</w:t>
            </w:r>
          </w:p>
        </w:tc>
        <w:tc>
          <w:tcPr>
            <w:tcW w:w="599" w:type="pct"/>
          </w:tcPr>
          <w:p w14:paraId="5F980FA8" w14:textId="77777777" w:rsidR="00447C22" w:rsidRPr="00C05886" w:rsidRDefault="00447C22" w:rsidP="00205821">
            <w:pPr>
              <w:spacing w:line="240" w:lineRule="auto"/>
              <w:jc w:val="left"/>
              <w:rPr>
                <w:sz w:val="17"/>
                <w:szCs w:val="17"/>
              </w:rPr>
            </w:pPr>
            <w:proofErr w:type="spellStart"/>
            <w:r w:rsidRPr="00C05886">
              <w:rPr>
                <w:sz w:val="17"/>
                <w:szCs w:val="17"/>
              </w:rPr>
              <w:t>Neurosky’s</w:t>
            </w:r>
            <w:proofErr w:type="spellEnd"/>
            <w:r w:rsidRPr="00C05886">
              <w:rPr>
                <w:sz w:val="17"/>
                <w:szCs w:val="17"/>
              </w:rPr>
              <w:t xml:space="preserve"> algorithm</w:t>
            </w:r>
          </w:p>
        </w:tc>
        <w:tc>
          <w:tcPr>
            <w:tcW w:w="559" w:type="pct"/>
          </w:tcPr>
          <w:p w14:paraId="679D7AD8" w14:textId="2FC2BBEA" w:rsidR="00447C22" w:rsidRPr="00C05886" w:rsidRDefault="00447C22" w:rsidP="00205821">
            <w:pPr>
              <w:spacing w:line="240" w:lineRule="auto"/>
              <w:jc w:val="left"/>
              <w:rPr>
                <w:sz w:val="17"/>
                <w:szCs w:val="17"/>
              </w:rPr>
            </w:pPr>
            <w:r w:rsidRPr="00C05886">
              <w:rPr>
                <w:sz w:val="17"/>
                <w:szCs w:val="17"/>
              </w:rPr>
              <w:t>Descriptives</w:t>
            </w:r>
            <w:r w:rsidR="00205821" w:rsidRPr="00C05886">
              <w:rPr>
                <w:sz w:val="17"/>
                <w:szCs w:val="17"/>
              </w:rPr>
              <w:t xml:space="preserve"> data only</w:t>
            </w:r>
            <w:r w:rsidRPr="00C05886">
              <w:rPr>
                <w:sz w:val="17"/>
                <w:szCs w:val="17"/>
              </w:rPr>
              <w:t xml:space="preserve"> (medians, standard deviations), maps, charts</w:t>
            </w:r>
          </w:p>
        </w:tc>
        <w:tc>
          <w:tcPr>
            <w:tcW w:w="820" w:type="pct"/>
          </w:tcPr>
          <w:p w14:paraId="1F7E9001" w14:textId="69D7DDE3" w:rsidR="00447C22" w:rsidRPr="00C05886" w:rsidRDefault="00205821" w:rsidP="00205821">
            <w:pPr>
              <w:spacing w:line="240" w:lineRule="auto"/>
              <w:jc w:val="left"/>
              <w:rPr>
                <w:rFonts w:ascii="Calibri" w:hAnsi="Calibri" w:cs="Calibri"/>
                <w:sz w:val="17"/>
                <w:szCs w:val="17"/>
              </w:rPr>
            </w:pPr>
            <w:r w:rsidRPr="00C05886">
              <w:rPr>
                <w:rFonts w:ascii="Calibri" w:hAnsi="Calibri" w:cs="Calibri"/>
                <w:sz w:val="17"/>
                <w:szCs w:val="17"/>
              </w:rPr>
              <w:t>Difference in delta/theta indexes between old and new spaces, interpreted as increased relaxation in new spaces.</w:t>
            </w:r>
          </w:p>
        </w:tc>
        <w:tc>
          <w:tcPr>
            <w:tcW w:w="450" w:type="pct"/>
          </w:tcPr>
          <w:p w14:paraId="5567408B" w14:textId="4C84C3D3" w:rsidR="00447C22" w:rsidRPr="00C05886" w:rsidRDefault="00205821" w:rsidP="00205821">
            <w:pPr>
              <w:spacing w:line="240" w:lineRule="auto"/>
              <w:jc w:val="left"/>
              <w:rPr>
                <w:rFonts w:ascii="Calibri" w:hAnsi="Calibri" w:cs="Calibri"/>
                <w:i/>
                <w:iCs/>
                <w:sz w:val="17"/>
                <w:szCs w:val="17"/>
              </w:rPr>
            </w:pPr>
            <w:r w:rsidRPr="00C05886">
              <w:rPr>
                <w:rFonts w:ascii="Calibri" w:hAnsi="Calibri" w:cs="Calibri"/>
                <w:i/>
                <w:iCs/>
                <w:sz w:val="17"/>
                <w:szCs w:val="17"/>
              </w:rPr>
              <w:t>Intelligent Buildings International</w:t>
            </w:r>
          </w:p>
        </w:tc>
      </w:tr>
    </w:tbl>
    <w:p w14:paraId="39C5B70D" w14:textId="77777777" w:rsidR="00447C22" w:rsidRPr="00C05886" w:rsidRDefault="00447C22">
      <w:pPr>
        <w:sectPr w:rsidR="00447C22" w:rsidRPr="00C05886" w:rsidSect="00E40177">
          <w:pgSz w:w="23808" w:h="16840" w:orient="landscape" w:code="8"/>
          <w:pgMar w:top="1134" w:right="1134" w:bottom="1134" w:left="1418" w:header="709" w:footer="709" w:gutter="0"/>
          <w:cols w:space="708"/>
          <w:docGrid w:linePitch="360"/>
        </w:sectPr>
      </w:pPr>
    </w:p>
    <w:p w14:paraId="7D78768D" w14:textId="7EA09132" w:rsidR="00447C22" w:rsidRPr="00C05886" w:rsidRDefault="00D12008" w:rsidP="00D12008">
      <w:pPr>
        <w:pStyle w:val="Heading2"/>
      </w:pPr>
      <w:bookmarkStart w:id="191" w:name="_Toc179962428"/>
      <w:r w:rsidRPr="00C05886">
        <w:lastRenderedPageBreak/>
        <w:t>Chapter 4</w:t>
      </w:r>
      <w:r w:rsidR="00375BD2" w:rsidRPr="00C05886">
        <w:t xml:space="preserve"> – Supporting information</w:t>
      </w:r>
      <w:bookmarkEnd w:id="191"/>
    </w:p>
    <w:p w14:paraId="2408F555" w14:textId="77777777" w:rsidR="00375BD2" w:rsidRPr="00C05886" w:rsidRDefault="00375BD2" w:rsidP="00375BD2">
      <w:pPr>
        <w:pStyle w:val="Caption"/>
        <w:keepNext/>
      </w:pPr>
      <w:r w:rsidRPr="00C05886">
        <w:t>Table S.1 Complete list of variables and codes</w:t>
      </w:r>
    </w:p>
    <w:tbl>
      <w:tblPr>
        <w:tblStyle w:val="PlainTable5"/>
        <w:tblW w:w="9851" w:type="dxa"/>
        <w:tblLook w:val="0420" w:firstRow="1" w:lastRow="0" w:firstColumn="0" w:lastColumn="0" w:noHBand="0" w:noVBand="1"/>
      </w:tblPr>
      <w:tblGrid>
        <w:gridCol w:w="2552"/>
        <w:gridCol w:w="5494"/>
        <w:gridCol w:w="34"/>
        <w:gridCol w:w="1771"/>
      </w:tblGrid>
      <w:tr w:rsidR="00375BD2" w:rsidRPr="00C05886" w14:paraId="36104822" w14:textId="77777777" w:rsidTr="007F4F4B">
        <w:trPr>
          <w:cnfStyle w:val="100000000000" w:firstRow="1" w:lastRow="0" w:firstColumn="0" w:lastColumn="0" w:oddVBand="0" w:evenVBand="0" w:oddHBand="0" w:evenHBand="0" w:firstRowFirstColumn="0" w:firstRowLastColumn="0" w:lastRowFirstColumn="0" w:lastRowLastColumn="0"/>
          <w:trHeight w:val="202"/>
        </w:trPr>
        <w:tc>
          <w:tcPr>
            <w:tcW w:w="2552" w:type="dxa"/>
            <w:hideMark/>
          </w:tcPr>
          <w:p w14:paraId="06B893FA" w14:textId="77777777" w:rsidR="00375BD2" w:rsidRPr="00C05886" w:rsidRDefault="00375BD2" w:rsidP="007F4F4B">
            <w:pPr>
              <w:spacing w:line="240" w:lineRule="auto"/>
              <w:rPr>
                <w:rFonts w:ascii="Arial" w:eastAsia="Times New Roman" w:hAnsi="Arial" w:cs="Arial"/>
                <w:sz w:val="22"/>
                <w:lang w:eastAsia="en-GB"/>
              </w:rPr>
            </w:pPr>
            <w:r w:rsidRPr="00C05886">
              <w:rPr>
                <w:rFonts w:ascii="Trebuchet MS" w:eastAsia="Times New Roman" w:hAnsi="Trebuchet MS" w:cs="Arial"/>
                <w:b/>
                <w:bCs/>
                <w:kern w:val="24"/>
                <w:sz w:val="22"/>
                <w:lang w:eastAsia="en-GB"/>
              </w:rPr>
              <w:t>Photograph level variables</w:t>
            </w:r>
          </w:p>
        </w:tc>
        <w:tc>
          <w:tcPr>
            <w:tcW w:w="5494" w:type="dxa"/>
            <w:hideMark/>
          </w:tcPr>
          <w:p w14:paraId="721185FB" w14:textId="77777777" w:rsidR="00375BD2" w:rsidRPr="00C05886" w:rsidRDefault="00375BD2" w:rsidP="007F4F4B">
            <w:pPr>
              <w:spacing w:line="240" w:lineRule="auto"/>
              <w:rPr>
                <w:rFonts w:ascii="Arial" w:eastAsia="Times New Roman" w:hAnsi="Arial" w:cs="Arial"/>
                <w:sz w:val="22"/>
                <w:lang w:eastAsia="en-GB"/>
              </w:rPr>
            </w:pPr>
            <w:r w:rsidRPr="00C05886">
              <w:rPr>
                <w:rFonts w:ascii="Trebuchet MS" w:eastAsia="Times New Roman" w:hAnsi="Trebuchet MS" w:cs="Arial"/>
                <w:b/>
                <w:bCs/>
                <w:kern w:val="24"/>
                <w:sz w:val="22"/>
                <w:lang w:eastAsia="en-GB"/>
              </w:rPr>
              <w:t>Description</w:t>
            </w:r>
          </w:p>
        </w:tc>
        <w:tc>
          <w:tcPr>
            <w:tcW w:w="1805" w:type="dxa"/>
            <w:gridSpan w:val="2"/>
          </w:tcPr>
          <w:p w14:paraId="254DD5D0" w14:textId="77777777" w:rsidR="00375BD2" w:rsidRPr="00C05886" w:rsidRDefault="00375BD2" w:rsidP="007F4F4B">
            <w:pPr>
              <w:spacing w:line="240" w:lineRule="auto"/>
              <w:rPr>
                <w:rFonts w:ascii="Trebuchet MS" w:eastAsia="Times New Roman" w:hAnsi="Trebuchet MS" w:cs="Arial"/>
                <w:b/>
                <w:bCs/>
                <w:kern w:val="24"/>
                <w:sz w:val="22"/>
                <w:lang w:eastAsia="en-GB"/>
              </w:rPr>
            </w:pPr>
            <w:r w:rsidRPr="00C05886">
              <w:rPr>
                <w:rFonts w:ascii="Trebuchet MS" w:eastAsia="Times New Roman" w:hAnsi="Trebuchet MS" w:cs="Arial"/>
                <w:b/>
                <w:bCs/>
                <w:kern w:val="24"/>
                <w:sz w:val="22"/>
                <w:lang w:eastAsia="en-GB"/>
              </w:rPr>
              <w:t>Categories</w:t>
            </w:r>
          </w:p>
        </w:tc>
      </w:tr>
      <w:tr w:rsidR="00375BD2" w:rsidRPr="00C05886" w14:paraId="64F94CBF" w14:textId="77777777" w:rsidTr="007F4F4B">
        <w:trPr>
          <w:cnfStyle w:val="000000100000" w:firstRow="0" w:lastRow="0" w:firstColumn="0" w:lastColumn="0" w:oddVBand="0" w:evenVBand="0" w:oddHBand="1" w:evenHBand="0" w:firstRowFirstColumn="0" w:firstRowLastColumn="0" w:lastRowFirstColumn="0" w:lastRowLastColumn="0"/>
          <w:trHeight w:val="202"/>
        </w:trPr>
        <w:tc>
          <w:tcPr>
            <w:tcW w:w="2552" w:type="dxa"/>
            <w:hideMark/>
          </w:tcPr>
          <w:p w14:paraId="29AC0357" w14:textId="77777777" w:rsidR="00375BD2" w:rsidRPr="00C05886" w:rsidRDefault="00375BD2" w:rsidP="007F4F4B">
            <w:pPr>
              <w:spacing w:line="240" w:lineRule="auto"/>
              <w:rPr>
                <w:rFonts w:ascii="Arial" w:hAnsi="Arial"/>
                <w:sz w:val="22"/>
                <w:lang w:eastAsia="en-GB"/>
              </w:rPr>
            </w:pPr>
            <w:r w:rsidRPr="00C05886">
              <w:rPr>
                <w:sz w:val="22"/>
                <w:lang w:eastAsia="en-GB"/>
              </w:rPr>
              <w:t>Feeling</w:t>
            </w:r>
          </w:p>
        </w:tc>
        <w:tc>
          <w:tcPr>
            <w:tcW w:w="5494" w:type="dxa"/>
            <w:hideMark/>
          </w:tcPr>
          <w:p w14:paraId="4708E2EB" w14:textId="77777777" w:rsidR="00375BD2" w:rsidRPr="00C05886" w:rsidRDefault="00375BD2" w:rsidP="007F4F4B">
            <w:pPr>
              <w:spacing w:line="240" w:lineRule="auto"/>
              <w:rPr>
                <w:rFonts w:ascii="Arial" w:hAnsi="Arial"/>
                <w:sz w:val="22"/>
                <w:lang w:eastAsia="en-GB"/>
              </w:rPr>
            </w:pPr>
            <w:r w:rsidRPr="00C05886">
              <w:rPr>
                <w:sz w:val="22"/>
                <w:lang w:eastAsia="en-GB"/>
              </w:rPr>
              <w:t>Response to the question: “How did you feel in this place?”</w:t>
            </w:r>
          </w:p>
        </w:tc>
        <w:tc>
          <w:tcPr>
            <w:tcW w:w="1805" w:type="dxa"/>
            <w:gridSpan w:val="2"/>
          </w:tcPr>
          <w:p w14:paraId="3AF621B2" w14:textId="77777777" w:rsidR="00375BD2" w:rsidRPr="00C05886" w:rsidRDefault="00375BD2" w:rsidP="007F4F4B">
            <w:pPr>
              <w:spacing w:line="240" w:lineRule="auto"/>
              <w:rPr>
                <w:sz w:val="22"/>
                <w:lang w:eastAsia="en-GB"/>
              </w:rPr>
            </w:pPr>
            <w:r w:rsidRPr="00C05886">
              <w:rPr>
                <w:sz w:val="22"/>
                <w:lang w:eastAsia="en-GB"/>
              </w:rPr>
              <w:t>1</w:t>
            </w:r>
          </w:p>
          <w:p w14:paraId="0F7778B7" w14:textId="77777777" w:rsidR="00375BD2" w:rsidRPr="00C05886" w:rsidRDefault="00375BD2" w:rsidP="007F4F4B">
            <w:pPr>
              <w:spacing w:line="240" w:lineRule="auto"/>
              <w:rPr>
                <w:sz w:val="22"/>
                <w:lang w:eastAsia="en-GB"/>
              </w:rPr>
            </w:pPr>
            <w:r w:rsidRPr="00C05886">
              <w:rPr>
                <w:sz w:val="22"/>
                <w:lang w:eastAsia="en-GB"/>
              </w:rPr>
              <w:t>2</w:t>
            </w:r>
          </w:p>
          <w:p w14:paraId="755ED028" w14:textId="77777777" w:rsidR="00375BD2" w:rsidRPr="00C05886" w:rsidRDefault="00375BD2" w:rsidP="007F4F4B">
            <w:pPr>
              <w:spacing w:line="240" w:lineRule="auto"/>
              <w:rPr>
                <w:sz w:val="22"/>
                <w:lang w:eastAsia="en-GB"/>
              </w:rPr>
            </w:pPr>
            <w:r w:rsidRPr="00C05886">
              <w:rPr>
                <w:sz w:val="22"/>
                <w:lang w:eastAsia="en-GB"/>
              </w:rPr>
              <w:t>3</w:t>
            </w:r>
          </w:p>
          <w:p w14:paraId="516479E7" w14:textId="77777777" w:rsidR="00375BD2" w:rsidRPr="00C05886" w:rsidRDefault="00375BD2" w:rsidP="007F4F4B">
            <w:pPr>
              <w:spacing w:line="240" w:lineRule="auto"/>
              <w:rPr>
                <w:sz w:val="22"/>
                <w:lang w:eastAsia="en-GB"/>
              </w:rPr>
            </w:pPr>
            <w:r w:rsidRPr="00C05886">
              <w:rPr>
                <w:sz w:val="22"/>
                <w:lang w:eastAsia="en-GB"/>
              </w:rPr>
              <w:t>4</w:t>
            </w:r>
          </w:p>
          <w:p w14:paraId="16A57800" w14:textId="77777777" w:rsidR="00375BD2" w:rsidRPr="00C05886" w:rsidRDefault="00375BD2" w:rsidP="007F4F4B">
            <w:pPr>
              <w:spacing w:line="240" w:lineRule="auto"/>
              <w:rPr>
                <w:sz w:val="22"/>
                <w:lang w:eastAsia="en-GB"/>
              </w:rPr>
            </w:pPr>
            <w:r w:rsidRPr="00C05886">
              <w:rPr>
                <w:sz w:val="22"/>
                <w:lang w:eastAsia="en-GB"/>
              </w:rPr>
              <w:t>5</w:t>
            </w:r>
          </w:p>
        </w:tc>
      </w:tr>
      <w:tr w:rsidR="00375BD2" w:rsidRPr="00C05886" w14:paraId="53B8801B" w14:textId="77777777" w:rsidTr="007F4F4B">
        <w:trPr>
          <w:trHeight w:val="202"/>
        </w:trPr>
        <w:tc>
          <w:tcPr>
            <w:tcW w:w="2552" w:type="dxa"/>
            <w:hideMark/>
          </w:tcPr>
          <w:p w14:paraId="4B0236CB" w14:textId="77777777" w:rsidR="00375BD2" w:rsidRPr="00C05886" w:rsidRDefault="00375BD2" w:rsidP="007F4F4B">
            <w:pPr>
              <w:spacing w:line="240" w:lineRule="auto"/>
              <w:rPr>
                <w:rFonts w:ascii="Arial" w:hAnsi="Arial"/>
                <w:sz w:val="22"/>
                <w:lang w:eastAsia="en-GB"/>
              </w:rPr>
            </w:pPr>
            <w:r w:rsidRPr="00C05886">
              <w:rPr>
                <w:sz w:val="22"/>
                <w:lang w:eastAsia="en-GB"/>
              </w:rPr>
              <w:t>Perceived biodiversity</w:t>
            </w:r>
          </w:p>
        </w:tc>
        <w:tc>
          <w:tcPr>
            <w:tcW w:w="5494" w:type="dxa"/>
            <w:hideMark/>
          </w:tcPr>
          <w:p w14:paraId="2EFCE9CE" w14:textId="77777777" w:rsidR="00375BD2" w:rsidRPr="00C05886" w:rsidRDefault="00375BD2" w:rsidP="007F4F4B">
            <w:pPr>
              <w:spacing w:line="240" w:lineRule="auto"/>
              <w:rPr>
                <w:rFonts w:ascii="Arial" w:hAnsi="Arial"/>
                <w:sz w:val="22"/>
                <w:lang w:eastAsia="en-GB"/>
              </w:rPr>
            </w:pPr>
            <w:r w:rsidRPr="00C05886">
              <w:rPr>
                <w:sz w:val="22"/>
                <w:lang w:eastAsia="en-GB"/>
              </w:rPr>
              <w:t>Response to the question:</w:t>
            </w:r>
            <w:r w:rsidRPr="00C05886">
              <w:rPr>
                <w:sz w:val="22"/>
              </w:rPr>
              <w:t xml:space="preserve"> “</w:t>
            </w:r>
            <w:bookmarkStart w:id="192" w:name="_Hlk177719923"/>
            <w:r w:rsidRPr="00C05886">
              <w:rPr>
                <w:sz w:val="22"/>
              </w:rPr>
              <w:t xml:space="preserve">How many types of plants/trees/animals would you guess </w:t>
            </w:r>
            <w:r w:rsidRPr="00C05886">
              <w:rPr>
                <w:rFonts w:cstheme="minorHAnsi"/>
                <w:sz w:val="22"/>
              </w:rPr>
              <w:t>there were</w:t>
            </w:r>
            <w:bookmarkEnd w:id="192"/>
            <w:r w:rsidRPr="00C05886">
              <w:rPr>
                <w:rFonts w:cstheme="minorHAnsi"/>
                <w:sz w:val="22"/>
              </w:rPr>
              <w:t>?”</w:t>
            </w:r>
          </w:p>
        </w:tc>
        <w:tc>
          <w:tcPr>
            <w:tcW w:w="1805" w:type="dxa"/>
            <w:gridSpan w:val="2"/>
          </w:tcPr>
          <w:p w14:paraId="37A2586E" w14:textId="77777777" w:rsidR="00375BD2" w:rsidRPr="00C05886" w:rsidRDefault="00375BD2" w:rsidP="007F4F4B">
            <w:pPr>
              <w:spacing w:line="240" w:lineRule="auto"/>
              <w:rPr>
                <w:sz w:val="22"/>
                <w:lang w:eastAsia="en-GB"/>
              </w:rPr>
            </w:pPr>
            <w:r w:rsidRPr="00C05886">
              <w:rPr>
                <w:sz w:val="22"/>
                <w:lang w:eastAsia="en-GB"/>
              </w:rPr>
              <w:t>0 = none</w:t>
            </w:r>
          </w:p>
          <w:p w14:paraId="6A275092" w14:textId="77777777" w:rsidR="00375BD2" w:rsidRPr="00C05886" w:rsidRDefault="00375BD2" w:rsidP="007F4F4B">
            <w:pPr>
              <w:spacing w:line="240" w:lineRule="auto"/>
              <w:rPr>
                <w:sz w:val="22"/>
                <w:lang w:eastAsia="en-GB"/>
              </w:rPr>
            </w:pPr>
            <w:r w:rsidRPr="00C05886">
              <w:rPr>
                <w:sz w:val="22"/>
                <w:lang w:eastAsia="en-GB"/>
              </w:rPr>
              <w:t>1 = some</w:t>
            </w:r>
          </w:p>
          <w:p w14:paraId="014ADE5D" w14:textId="77777777" w:rsidR="00375BD2" w:rsidRPr="00C05886" w:rsidRDefault="00375BD2" w:rsidP="007F4F4B">
            <w:pPr>
              <w:spacing w:line="240" w:lineRule="auto"/>
              <w:rPr>
                <w:sz w:val="22"/>
                <w:lang w:eastAsia="en-GB"/>
              </w:rPr>
            </w:pPr>
            <w:r w:rsidRPr="00C05886">
              <w:rPr>
                <w:sz w:val="22"/>
                <w:lang w:eastAsia="en-GB"/>
              </w:rPr>
              <w:t>2 = quite a bit</w:t>
            </w:r>
          </w:p>
          <w:p w14:paraId="304149C9" w14:textId="77777777" w:rsidR="00375BD2" w:rsidRPr="00C05886" w:rsidRDefault="00375BD2" w:rsidP="007F4F4B">
            <w:pPr>
              <w:spacing w:line="240" w:lineRule="auto"/>
              <w:rPr>
                <w:sz w:val="22"/>
                <w:lang w:eastAsia="en-GB"/>
              </w:rPr>
            </w:pPr>
            <w:r w:rsidRPr="00C05886">
              <w:rPr>
                <w:sz w:val="22"/>
                <w:lang w:eastAsia="en-GB"/>
              </w:rPr>
              <w:t>3 = lots</w:t>
            </w:r>
          </w:p>
        </w:tc>
      </w:tr>
      <w:tr w:rsidR="00375BD2" w:rsidRPr="00C05886" w14:paraId="457DBE8D" w14:textId="77777777" w:rsidTr="007F4F4B">
        <w:trPr>
          <w:cnfStyle w:val="000000100000" w:firstRow="0" w:lastRow="0" w:firstColumn="0" w:lastColumn="0" w:oddVBand="0" w:evenVBand="0" w:oddHBand="1" w:evenHBand="0" w:firstRowFirstColumn="0" w:firstRowLastColumn="0" w:lastRowFirstColumn="0" w:lastRowLastColumn="0"/>
          <w:trHeight w:val="202"/>
        </w:trPr>
        <w:tc>
          <w:tcPr>
            <w:tcW w:w="2552" w:type="dxa"/>
            <w:hideMark/>
          </w:tcPr>
          <w:p w14:paraId="68177A37" w14:textId="138E24F5" w:rsidR="00375BD2" w:rsidRPr="00C05886" w:rsidRDefault="00375BD2" w:rsidP="007F4F4B">
            <w:pPr>
              <w:spacing w:line="240" w:lineRule="auto"/>
              <w:rPr>
                <w:rFonts w:ascii="Arial" w:hAnsi="Arial"/>
                <w:sz w:val="22"/>
                <w:lang w:eastAsia="en-GB"/>
              </w:rPr>
            </w:pPr>
            <w:r w:rsidRPr="00C05886">
              <w:rPr>
                <w:sz w:val="22"/>
                <w:lang w:eastAsia="en-GB"/>
              </w:rPr>
              <w:t xml:space="preserve">Perceived </w:t>
            </w:r>
            <w:r w:rsidR="00B25DD5">
              <w:t>building density</w:t>
            </w:r>
          </w:p>
        </w:tc>
        <w:tc>
          <w:tcPr>
            <w:tcW w:w="5494" w:type="dxa"/>
            <w:hideMark/>
          </w:tcPr>
          <w:p w14:paraId="67B86F70" w14:textId="77777777" w:rsidR="00375BD2" w:rsidRPr="00C05886" w:rsidRDefault="00375BD2" w:rsidP="007F4F4B">
            <w:pPr>
              <w:spacing w:line="240" w:lineRule="auto"/>
              <w:rPr>
                <w:rFonts w:ascii="Arial" w:hAnsi="Arial"/>
                <w:sz w:val="22"/>
                <w:lang w:eastAsia="en-GB"/>
              </w:rPr>
            </w:pPr>
            <w:r w:rsidRPr="00C05886">
              <w:rPr>
                <w:sz w:val="22"/>
                <w:lang w:eastAsia="en-GB"/>
              </w:rPr>
              <w:t>Response to the question:</w:t>
            </w:r>
            <w:r w:rsidRPr="00C05886">
              <w:rPr>
                <w:sz w:val="22"/>
              </w:rPr>
              <w:t xml:space="preserve"> </w:t>
            </w:r>
            <w:r w:rsidRPr="00C05886">
              <w:rPr>
                <w:rFonts w:cstheme="minorHAnsi"/>
                <w:sz w:val="22"/>
              </w:rPr>
              <w:t>“How built-up was this place?”</w:t>
            </w:r>
          </w:p>
        </w:tc>
        <w:tc>
          <w:tcPr>
            <w:tcW w:w="1805" w:type="dxa"/>
            <w:gridSpan w:val="2"/>
          </w:tcPr>
          <w:p w14:paraId="29980543" w14:textId="77777777" w:rsidR="00375BD2" w:rsidRPr="00C05886" w:rsidRDefault="00375BD2" w:rsidP="007F4F4B">
            <w:pPr>
              <w:spacing w:line="240" w:lineRule="auto"/>
              <w:rPr>
                <w:sz w:val="22"/>
                <w:lang w:eastAsia="en-GB"/>
              </w:rPr>
            </w:pPr>
            <w:r w:rsidRPr="00C05886">
              <w:rPr>
                <w:sz w:val="22"/>
                <w:lang w:eastAsia="en-GB"/>
              </w:rPr>
              <w:t>0 = not at all</w:t>
            </w:r>
          </w:p>
          <w:p w14:paraId="480EB28E" w14:textId="77777777" w:rsidR="00375BD2" w:rsidRPr="00C05886" w:rsidRDefault="00375BD2" w:rsidP="007F4F4B">
            <w:pPr>
              <w:spacing w:line="240" w:lineRule="auto"/>
              <w:rPr>
                <w:sz w:val="22"/>
                <w:lang w:eastAsia="en-GB"/>
              </w:rPr>
            </w:pPr>
            <w:r w:rsidRPr="00C05886">
              <w:rPr>
                <w:sz w:val="22"/>
                <w:lang w:eastAsia="en-GB"/>
              </w:rPr>
              <w:t>1 = a little</w:t>
            </w:r>
          </w:p>
          <w:p w14:paraId="76E4DBE8" w14:textId="77777777" w:rsidR="00375BD2" w:rsidRPr="00C05886" w:rsidRDefault="00375BD2" w:rsidP="007F4F4B">
            <w:pPr>
              <w:spacing w:line="240" w:lineRule="auto"/>
              <w:rPr>
                <w:sz w:val="22"/>
                <w:lang w:eastAsia="en-GB"/>
              </w:rPr>
            </w:pPr>
            <w:r w:rsidRPr="00C05886">
              <w:rPr>
                <w:sz w:val="22"/>
                <w:lang w:eastAsia="en-GB"/>
              </w:rPr>
              <w:t>2 = partly</w:t>
            </w:r>
          </w:p>
          <w:p w14:paraId="44D549D1" w14:textId="77777777" w:rsidR="00375BD2" w:rsidRPr="00C05886" w:rsidRDefault="00375BD2" w:rsidP="007F4F4B">
            <w:pPr>
              <w:spacing w:line="240" w:lineRule="auto"/>
              <w:rPr>
                <w:sz w:val="22"/>
                <w:lang w:eastAsia="en-GB"/>
              </w:rPr>
            </w:pPr>
            <w:r w:rsidRPr="00C05886">
              <w:rPr>
                <w:sz w:val="22"/>
                <w:lang w:eastAsia="en-GB"/>
              </w:rPr>
              <w:t>3 = very</w:t>
            </w:r>
          </w:p>
        </w:tc>
      </w:tr>
      <w:tr w:rsidR="00375BD2" w:rsidRPr="00C05886" w14:paraId="1010736A" w14:textId="77777777" w:rsidTr="007F4F4B">
        <w:trPr>
          <w:trHeight w:val="202"/>
        </w:trPr>
        <w:tc>
          <w:tcPr>
            <w:tcW w:w="2552" w:type="dxa"/>
          </w:tcPr>
          <w:p w14:paraId="04040915" w14:textId="77777777" w:rsidR="00375BD2" w:rsidRPr="00C05886" w:rsidRDefault="00375BD2" w:rsidP="007F4F4B">
            <w:pPr>
              <w:spacing w:line="240" w:lineRule="auto"/>
              <w:rPr>
                <w:sz w:val="22"/>
                <w:lang w:eastAsia="en-GB"/>
              </w:rPr>
            </w:pPr>
            <w:r w:rsidRPr="00C05886">
              <w:rPr>
                <w:sz w:val="22"/>
                <w:lang w:eastAsia="en-GB"/>
              </w:rPr>
              <w:t>Richness estimated</w:t>
            </w:r>
          </w:p>
        </w:tc>
        <w:tc>
          <w:tcPr>
            <w:tcW w:w="5494" w:type="dxa"/>
          </w:tcPr>
          <w:p w14:paraId="29DD26A6" w14:textId="77777777" w:rsidR="00375BD2" w:rsidRPr="00C05886" w:rsidRDefault="00375BD2" w:rsidP="007F4F4B">
            <w:pPr>
              <w:spacing w:line="240" w:lineRule="auto"/>
              <w:rPr>
                <w:sz w:val="22"/>
                <w:lang w:eastAsia="en-GB"/>
              </w:rPr>
            </w:pPr>
            <w:r w:rsidRPr="00C05886">
              <w:rPr>
                <w:sz w:val="22"/>
                <w:lang w:eastAsia="en-GB"/>
              </w:rPr>
              <w:t>Species richness estimated in the photograph</w:t>
            </w:r>
          </w:p>
        </w:tc>
        <w:tc>
          <w:tcPr>
            <w:tcW w:w="1805" w:type="dxa"/>
            <w:gridSpan w:val="2"/>
          </w:tcPr>
          <w:p w14:paraId="242074BD" w14:textId="77777777" w:rsidR="00375BD2" w:rsidRPr="00C05886" w:rsidRDefault="00375BD2" w:rsidP="007F4F4B">
            <w:pPr>
              <w:spacing w:line="240" w:lineRule="auto"/>
              <w:rPr>
                <w:sz w:val="22"/>
                <w:lang w:eastAsia="en-GB"/>
              </w:rPr>
            </w:pPr>
            <w:r w:rsidRPr="00C05886">
              <w:rPr>
                <w:sz w:val="22"/>
                <w:lang w:eastAsia="en-GB"/>
              </w:rPr>
              <w:t>0 = 0 species</w:t>
            </w:r>
          </w:p>
          <w:p w14:paraId="0C2B469D" w14:textId="77777777" w:rsidR="00375BD2" w:rsidRPr="00C05886" w:rsidRDefault="00375BD2" w:rsidP="007F4F4B">
            <w:pPr>
              <w:spacing w:line="240" w:lineRule="auto"/>
              <w:rPr>
                <w:sz w:val="22"/>
                <w:lang w:eastAsia="en-GB"/>
              </w:rPr>
            </w:pPr>
            <w:r w:rsidRPr="00C05886">
              <w:rPr>
                <w:sz w:val="22"/>
                <w:lang w:eastAsia="en-GB"/>
              </w:rPr>
              <w:t>1 = 1 to 3 species</w:t>
            </w:r>
          </w:p>
          <w:p w14:paraId="7340A13D" w14:textId="77777777" w:rsidR="00375BD2" w:rsidRPr="00C05886" w:rsidRDefault="00375BD2" w:rsidP="007F4F4B">
            <w:pPr>
              <w:spacing w:line="240" w:lineRule="auto"/>
              <w:rPr>
                <w:sz w:val="22"/>
                <w:lang w:eastAsia="en-GB"/>
              </w:rPr>
            </w:pPr>
            <w:r w:rsidRPr="00C05886">
              <w:rPr>
                <w:sz w:val="22"/>
                <w:lang w:eastAsia="en-GB"/>
              </w:rPr>
              <w:t>2 = 4 to 6 species</w:t>
            </w:r>
          </w:p>
          <w:p w14:paraId="1176A7CF" w14:textId="77777777" w:rsidR="00375BD2" w:rsidRPr="00C05886" w:rsidRDefault="00375BD2" w:rsidP="007F4F4B">
            <w:pPr>
              <w:spacing w:line="240" w:lineRule="auto"/>
              <w:rPr>
                <w:sz w:val="22"/>
                <w:lang w:eastAsia="en-GB"/>
              </w:rPr>
            </w:pPr>
            <w:r w:rsidRPr="00C05886">
              <w:rPr>
                <w:sz w:val="22"/>
                <w:lang w:eastAsia="en-GB"/>
              </w:rPr>
              <w:t>3 = 7 and more species</w:t>
            </w:r>
          </w:p>
        </w:tc>
      </w:tr>
      <w:tr w:rsidR="00375BD2" w:rsidRPr="00C05886" w14:paraId="49E0F56D" w14:textId="77777777" w:rsidTr="007F4F4B">
        <w:trPr>
          <w:cnfStyle w:val="000000100000" w:firstRow="0" w:lastRow="0" w:firstColumn="0" w:lastColumn="0" w:oddVBand="0" w:evenVBand="0" w:oddHBand="1" w:evenHBand="0" w:firstRowFirstColumn="0" w:firstRowLastColumn="0" w:lastRowFirstColumn="0" w:lastRowLastColumn="0"/>
          <w:trHeight w:val="202"/>
        </w:trPr>
        <w:tc>
          <w:tcPr>
            <w:tcW w:w="2552" w:type="dxa"/>
          </w:tcPr>
          <w:p w14:paraId="62285A5C" w14:textId="77777777" w:rsidR="00375BD2" w:rsidRPr="00C05886" w:rsidRDefault="00375BD2" w:rsidP="007F4F4B">
            <w:pPr>
              <w:spacing w:line="240" w:lineRule="auto"/>
              <w:rPr>
                <w:sz w:val="22"/>
                <w:lang w:eastAsia="en-GB"/>
              </w:rPr>
            </w:pPr>
            <w:r w:rsidRPr="00C05886">
              <w:rPr>
                <w:sz w:val="22"/>
                <w:lang w:eastAsia="en-GB"/>
              </w:rPr>
              <w:t>Species number</w:t>
            </w:r>
          </w:p>
        </w:tc>
        <w:tc>
          <w:tcPr>
            <w:tcW w:w="5494" w:type="dxa"/>
          </w:tcPr>
          <w:p w14:paraId="411F65BF" w14:textId="77777777" w:rsidR="00375BD2" w:rsidRPr="00C05886" w:rsidRDefault="00375BD2" w:rsidP="007F4F4B">
            <w:pPr>
              <w:spacing w:line="240" w:lineRule="auto"/>
              <w:rPr>
                <w:sz w:val="22"/>
                <w:lang w:eastAsia="en-GB"/>
              </w:rPr>
            </w:pPr>
            <w:r w:rsidRPr="00C05886">
              <w:rPr>
                <w:sz w:val="22"/>
                <w:lang w:eastAsia="en-GB"/>
              </w:rPr>
              <w:t>The number of species</w:t>
            </w:r>
          </w:p>
        </w:tc>
        <w:tc>
          <w:tcPr>
            <w:tcW w:w="1805" w:type="dxa"/>
            <w:gridSpan w:val="2"/>
          </w:tcPr>
          <w:p w14:paraId="6C8F208F" w14:textId="77777777" w:rsidR="00375BD2" w:rsidRPr="00C05886" w:rsidRDefault="00375BD2" w:rsidP="007F4F4B">
            <w:pPr>
              <w:spacing w:line="240" w:lineRule="auto"/>
              <w:rPr>
                <w:sz w:val="22"/>
                <w:lang w:eastAsia="en-GB"/>
              </w:rPr>
            </w:pPr>
          </w:p>
        </w:tc>
      </w:tr>
      <w:tr w:rsidR="00375BD2" w:rsidRPr="00C05886" w14:paraId="76193DF8" w14:textId="77777777" w:rsidTr="007F4F4B">
        <w:trPr>
          <w:trHeight w:val="202"/>
        </w:trPr>
        <w:tc>
          <w:tcPr>
            <w:tcW w:w="2552" w:type="dxa"/>
            <w:tcBorders>
              <w:bottom w:val="single" w:sz="4" w:space="0" w:color="auto"/>
            </w:tcBorders>
          </w:tcPr>
          <w:p w14:paraId="56342A97" w14:textId="77777777" w:rsidR="00375BD2" w:rsidRPr="00C05886" w:rsidRDefault="00375BD2" w:rsidP="007F4F4B">
            <w:pPr>
              <w:spacing w:line="240" w:lineRule="auto"/>
              <w:rPr>
                <w:rFonts w:ascii="Trebuchet MS" w:eastAsia="Times New Roman" w:hAnsi="Trebuchet MS" w:cs="Arial"/>
                <w:b/>
                <w:bCs/>
                <w:i/>
                <w:iCs/>
                <w:kern w:val="24"/>
                <w:sz w:val="22"/>
                <w:lang w:eastAsia="en-GB"/>
              </w:rPr>
            </w:pPr>
            <w:r w:rsidRPr="00C05886">
              <w:rPr>
                <w:rFonts w:ascii="Trebuchet MS" w:eastAsia="Times New Roman" w:hAnsi="Trebuchet MS" w:cs="Arial"/>
                <w:b/>
                <w:bCs/>
                <w:i/>
                <w:iCs/>
                <w:kern w:val="24"/>
                <w:sz w:val="22"/>
                <w:lang w:eastAsia="en-GB"/>
              </w:rPr>
              <w:t>Photograph Codes</w:t>
            </w:r>
          </w:p>
        </w:tc>
        <w:tc>
          <w:tcPr>
            <w:tcW w:w="5494" w:type="dxa"/>
            <w:tcBorders>
              <w:bottom w:val="single" w:sz="4" w:space="0" w:color="auto"/>
            </w:tcBorders>
          </w:tcPr>
          <w:p w14:paraId="2A52D473" w14:textId="77777777" w:rsidR="00375BD2" w:rsidRPr="00C05886" w:rsidRDefault="00375BD2" w:rsidP="007F4F4B">
            <w:pPr>
              <w:spacing w:line="240" w:lineRule="auto"/>
              <w:rPr>
                <w:rFonts w:ascii="Trebuchet MS" w:eastAsia="Times New Roman" w:hAnsi="Trebuchet MS" w:cs="Arial"/>
                <w:b/>
                <w:bCs/>
                <w:i/>
                <w:iCs/>
                <w:kern w:val="24"/>
                <w:sz w:val="22"/>
                <w:lang w:eastAsia="en-GB"/>
              </w:rPr>
            </w:pPr>
          </w:p>
        </w:tc>
        <w:tc>
          <w:tcPr>
            <w:tcW w:w="1805" w:type="dxa"/>
            <w:gridSpan w:val="2"/>
            <w:tcBorders>
              <w:bottom w:val="single" w:sz="4" w:space="0" w:color="auto"/>
            </w:tcBorders>
          </w:tcPr>
          <w:p w14:paraId="46AD0157" w14:textId="77777777" w:rsidR="00375BD2" w:rsidRPr="00C05886" w:rsidRDefault="00375BD2" w:rsidP="007F4F4B">
            <w:pPr>
              <w:spacing w:line="240" w:lineRule="auto"/>
              <w:rPr>
                <w:rFonts w:ascii="Trebuchet MS" w:eastAsia="Times New Roman" w:hAnsi="Trebuchet MS" w:cs="Arial"/>
                <w:b/>
                <w:bCs/>
                <w:i/>
                <w:iCs/>
                <w:kern w:val="24"/>
                <w:sz w:val="22"/>
                <w:lang w:eastAsia="en-GB"/>
              </w:rPr>
            </w:pPr>
          </w:p>
        </w:tc>
      </w:tr>
      <w:tr w:rsidR="00375BD2" w:rsidRPr="00C05886" w14:paraId="2BAA06D6" w14:textId="77777777" w:rsidTr="007F4F4B">
        <w:trPr>
          <w:cnfStyle w:val="000000100000" w:firstRow="0" w:lastRow="0" w:firstColumn="0" w:lastColumn="0" w:oddVBand="0" w:evenVBand="0" w:oddHBand="1" w:evenHBand="0" w:firstRowFirstColumn="0" w:firstRowLastColumn="0" w:lastRowFirstColumn="0" w:lastRowLastColumn="0"/>
          <w:trHeight w:val="202"/>
        </w:trPr>
        <w:tc>
          <w:tcPr>
            <w:tcW w:w="2552" w:type="dxa"/>
            <w:tcBorders>
              <w:top w:val="single" w:sz="4" w:space="0" w:color="auto"/>
            </w:tcBorders>
          </w:tcPr>
          <w:p w14:paraId="416B4B5B" w14:textId="77777777" w:rsidR="00375BD2" w:rsidRPr="00C05886" w:rsidRDefault="00375BD2" w:rsidP="007F4F4B">
            <w:pPr>
              <w:spacing w:line="240" w:lineRule="auto"/>
              <w:rPr>
                <w:rFonts w:ascii="Calibri" w:hAnsi="Calibri" w:cs="Calibri"/>
                <w:color w:val="000000"/>
                <w:sz w:val="22"/>
              </w:rPr>
            </w:pPr>
            <w:r w:rsidRPr="00C05886">
              <w:rPr>
                <w:rFonts w:ascii="Calibri" w:hAnsi="Calibri" w:cs="Calibri"/>
                <w:color w:val="000000"/>
                <w:sz w:val="22"/>
              </w:rPr>
              <w:t>berries</w:t>
            </w:r>
          </w:p>
        </w:tc>
        <w:tc>
          <w:tcPr>
            <w:tcW w:w="5494" w:type="dxa"/>
            <w:tcBorders>
              <w:top w:val="single" w:sz="4" w:space="0" w:color="auto"/>
            </w:tcBorders>
          </w:tcPr>
          <w:p w14:paraId="4C36AA10" w14:textId="77777777" w:rsidR="00375BD2" w:rsidRPr="00C05886" w:rsidRDefault="00375BD2" w:rsidP="007F4F4B">
            <w:pPr>
              <w:spacing w:line="240" w:lineRule="auto"/>
              <w:rPr>
                <w:sz w:val="22"/>
                <w:lang w:eastAsia="en-GB"/>
              </w:rPr>
            </w:pPr>
            <w:r w:rsidRPr="00C05886">
              <w:rPr>
                <w:sz w:val="22"/>
                <w:lang w:eastAsia="en-GB"/>
              </w:rPr>
              <w:t>Present/portrayed in the photograph</w:t>
            </w:r>
          </w:p>
        </w:tc>
        <w:tc>
          <w:tcPr>
            <w:tcW w:w="1805" w:type="dxa"/>
            <w:gridSpan w:val="2"/>
            <w:tcBorders>
              <w:top w:val="single" w:sz="4" w:space="0" w:color="auto"/>
            </w:tcBorders>
          </w:tcPr>
          <w:p w14:paraId="68271701" w14:textId="77777777" w:rsidR="00375BD2" w:rsidRPr="00C05886" w:rsidRDefault="00375BD2" w:rsidP="007F4F4B">
            <w:pPr>
              <w:spacing w:line="240" w:lineRule="auto"/>
              <w:rPr>
                <w:sz w:val="22"/>
                <w:lang w:eastAsia="en-GB"/>
              </w:rPr>
            </w:pPr>
            <w:r w:rsidRPr="00C05886">
              <w:rPr>
                <w:sz w:val="22"/>
                <w:lang w:eastAsia="en-GB"/>
              </w:rPr>
              <w:t>0 = absent</w:t>
            </w:r>
          </w:p>
          <w:p w14:paraId="3EAA707B" w14:textId="77777777" w:rsidR="00375BD2" w:rsidRPr="00C05886" w:rsidRDefault="00375BD2" w:rsidP="007F4F4B">
            <w:pPr>
              <w:spacing w:line="240" w:lineRule="auto"/>
              <w:rPr>
                <w:sz w:val="22"/>
                <w:lang w:eastAsia="en-GB"/>
              </w:rPr>
            </w:pPr>
            <w:r w:rsidRPr="00C05886">
              <w:rPr>
                <w:sz w:val="22"/>
                <w:lang w:eastAsia="en-GB"/>
              </w:rPr>
              <w:t>1 = present</w:t>
            </w:r>
          </w:p>
        </w:tc>
      </w:tr>
      <w:tr w:rsidR="00375BD2" w:rsidRPr="00C05886" w14:paraId="119C3C10" w14:textId="77777777" w:rsidTr="007F4F4B">
        <w:trPr>
          <w:trHeight w:val="202"/>
        </w:trPr>
        <w:tc>
          <w:tcPr>
            <w:tcW w:w="2552" w:type="dxa"/>
          </w:tcPr>
          <w:p w14:paraId="34D505A7" w14:textId="77777777" w:rsidR="00375BD2" w:rsidRPr="00C05886" w:rsidRDefault="00375BD2" w:rsidP="007F4F4B">
            <w:pPr>
              <w:spacing w:line="240" w:lineRule="auto"/>
              <w:rPr>
                <w:rFonts w:ascii="Calibri" w:hAnsi="Calibri" w:cs="Calibri"/>
                <w:color w:val="000000"/>
                <w:sz w:val="22"/>
              </w:rPr>
            </w:pPr>
            <w:r w:rsidRPr="00C05886">
              <w:rPr>
                <w:sz w:val="22"/>
                <w:lang w:eastAsia="en-GB"/>
              </w:rPr>
              <w:t>birds</w:t>
            </w:r>
          </w:p>
        </w:tc>
        <w:tc>
          <w:tcPr>
            <w:tcW w:w="5494" w:type="dxa"/>
          </w:tcPr>
          <w:p w14:paraId="6B469D33" w14:textId="77777777" w:rsidR="00375BD2" w:rsidRPr="00C05886" w:rsidRDefault="00375BD2" w:rsidP="007F4F4B">
            <w:pPr>
              <w:spacing w:line="240" w:lineRule="auto"/>
              <w:rPr>
                <w:sz w:val="22"/>
                <w:lang w:eastAsia="en-GB"/>
              </w:rPr>
            </w:pPr>
            <w:r w:rsidRPr="00C05886">
              <w:rPr>
                <w:sz w:val="22"/>
                <w:lang w:eastAsia="en-GB"/>
              </w:rPr>
              <w:t>Present/portrayed in the photograph</w:t>
            </w:r>
          </w:p>
        </w:tc>
        <w:tc>
          <w:tcPr>
            <w:tcW w:w="1805" w:type="dxa"/>
            <w:gridSpan w:val="2"/>
          </w:tcPr>
          <w:p w14:paraId="0F099CF3" w14:textId="77777777" w:rsidR="00375BD2" w:rsidRPr="00C05886" w:rsidRDefault="00375BD2" w:rsidP="007F4F4B">
            <w:pPr>
              <w:spacing w:line="240" w:lineRule="auto"/>
              <w:rPr>
                <w:sz w:val="22"/>
                <w:lang w:eastAsia="en-GB"/>
              </w:rPr>
            </w:pPr>
            <w:r w:rsidRPr="00C05886">
              <w:rPr>
                <w:sz w:val="22"/>
                <w:lang w:eastAsia="en-GB"/>
              </w:rPr>
              <w:t>0 = absent</w:t>
            </w:r>
          </w:p>
          <w:p w14:paraId="7ED6CDA5" w14:textId="77777777" w:rsidR="00375BD2" w:rsidRPr="00C05886" w:rsidRDefault="00375BD2" w:rsidP="007F4F4B">
            <w:pPr>
              <w:spacing w:line="240" w:lineRule="auto"/>
              <w:rPr>
                <w:sz w:val="22"/>
                <w:lang w:eastAsia="en-GB"/>
              </w:rPr>
            </w:pPr>
            <w:r w:rsidRPr="00C05886">
              <w:rPr>
                <w:sz w:val="22"/>
                <w:lang w:eastAsia="en-GB"/>
              </w:rPr>
              <w:t>1 = present</w:t>
            </w:r>
          </w:p>
        </w:tc>
      </w:tr>
      <w:tr w:rsidR="00375BD2" w:rsidRPr="00C05886" w14:paraId="3D7742DD" w14:textId="77777777" w:rsidTr="007F4F4B">
        <w:trPr>
          <w:cnfStyle w:val="000000100000" w:firstRow="0" w:lastRow="0" w:firstColumn="0" w:lastColumn="0" w:oddVBand="0" w:evenVBand="0" w:oddHBand="1" w:evenHBand="0" w:firstRowFirstColumn="0" w:firstRowLastColumn="0" w:lastRowFirstColumn="0" w:lastRowLastColumn="0"/>
          <w:trHeight w:val="202"/>
        </w:trPr>
        <w:tc>
          <w:tcPr>
            <w:tcW w:w="2552" w:type="dxa"/>
          </w:tcPr>
          <w:p w14:paraId="31B8F4E0" w14:textId="77777777" w:rsidR="00375BD2" w:rsidRPr="00C05886" w:rsidRDefault="00375BD2" w:rsidP="007F4F4B">
            <w:pPr>
              <w:spacing w:line="240" w:lineRule="auto"/>
              <w:rPr>
                <w:rFonts w:ascii="Calibri" w:hAnsi="Calibri" w:cs="Calibri"/>
                <w:color w:val="000000"/>
                <w:sz w:val="22"/>
              </w:rPr>
            </w:pPr>
            <w:r w:rsidRPr="00C05886">
              <w:rPr>
                <w:rFonts w:ascii="Calibri" w:hAnsi="Calibri" w:cs="Calibri"/>
                <w:color w:val="000000"/>
                <w:sz w:val="22"/>
              </w:rPr>
              <w:t>building</w:t>
            </w:r>
          </w:p>
        </w:tc>
        <w:tc>
          <w:tcPr>
            <w:tcW w:w="5494" w:type="dxa"/>
          </w:tcPr>
          <w:p w14:paraId="1F96FEA8" w14:textId="77777777" w:rsidR="00375BD2" w:rsidRPr="00C05886" w:rsidRDefault="00375BD2" w:rsidP="007F4F4B">
            <w:pPr>
              <w:spacing w:line="240" w:lineRule="auto"/>
              <w:rPr>
                <w:sz w:val="22"/>
                <w:lang w:eastAsia="en-GB"/>
              </w:rPr>
            </w:pPr>
            <w:r w:rsidRPr="00C05886">
              <w:rPr>
                <w:sz w:val="22"/>
                <w:lang w:eastAsia="en-GB"/>
              </w:rPr>
              <w:t>Present/portrayed in the photograph</w:t>
            </w:r>
          </w:p>
        </w:tc>
        <w:tc>
          <w:tcPr>
            <w:tcW w:w="1805" w:type="dxa"/>
            <w:gridSpan w:val="2"/>
          </w:tcPr>
          <w:p w14:paraId="7EB43F3B" w14:textId="77777777" w:rsidR="00375BD2" w:rsidRPr="00C05886" w:rsidRDefault="00375BD2" w:rsidP="007F4F4B">
            <w:pPr>
              <w:spacing w:line="240" w:lineRule="auto"/>
              <w:rPr>
                <w:sz w:val="22"/>
                <w:lang w:eastAsia="en-GB"/>
              </w:rPr>
            </w:pPr>
            <w:r w:rsidRPr="00C05886">
              <w:rPr>
                <w:sz w:val="22"/>
                <w:lang w:eastAsia="en-GB"/>
              </w:rPr>
              <w:t>0 = absent</w:t>
            </w:r>
          </w:p>
          <w:p w14:paraId="63EAB038" w14:textId="77777777" w:rsidR="00375BD2" w:rsidRPr="00C05886" w:rsidRDefault="00375BD2" w:rsidP="007F4F4B">
            <w:pPr>
              <w:spacing w:line="240" w:lineRule="auto"/>
              <w:rPr>
                <w:sz w:val="22"/>
                <w:lang w:eastAsia="en-GB"/>
              </w:rPr>
            </w:pPr>
            <w:r w:rsidRPr="00C05886">
              <w:rPr>
                <w:sz w:val="22"/>
                <w:lang w:eastAsia="en-GB"/>
              </w:rPr>
              <w:t>1 = present</w:t>
            </w:r>
          </w:p>
        </w:tc>
      </w:tr>
      <w:tr w:rsidR="00375BD2" w:rsidRPr="00C05886" w14:paraId="2BCE5CC5" w14:textId="77777777" w:rsidTr="007F4F4B">
        <w:trPr>
          <w:trHeight w:val="202"/>
        </w:trPr>
        <w:tc>
          <w:tcPr>
            <w:tcW w:w="2552" w:type="dxa"/>
          </w:tcPr>
          <w:p w14:paraId="234CEF0E" w14:textId="77777777" w:rsidR="00375BD2" w:rsidRPr="00C05886" w:rsidRDefault="00375BD2" w:rsidP="007F4F4B">
            <w:pPr>
              <w:spacing w:line="240" w:lineRule="auto"/>
              <w:rPr>
                <w:rFonts w:ascii="Calibri" w:hAnsi="Calibri" w:cs="Calibri"/>
                <w:color w:val="000000"/>
                <w:sz w:val="22"/>
              </w:rPr>
            </w:pPr>
            <w:r w:rsidRPr="00C05886">
              <w:rPr>
                <w:rFonts w:ascii="Calibri" w:hAnsi="Calibri" w:cs="Calibri"/>
                <w:color w:val="000000"/>
                <w:sz w:val="22"/>
              </w:rPr>
              <w:t>cat</w:t>
            </w:r>
          </w:p>
        </w:tc>
        <w:tc>
          <w:tcPr>
            <w:tcW w:w="5494" w:type="dxa"/>
          </w:tcPr>
          <w:p w14:paraId="597BAC99" w14:textId="77777777" w:rsidR="00375BD2" w:rsidRPr="00C05886" w:rsidRDefault="00375BD2" w:rsidP="007F4F4B">
            <w:pPr>
              <w:spacing w:line="240" w:lineRule="auto"/>
              <w:rPr>
                <w:sz w:val="22"/>
                <w:lang w:eastAsia="en-GB"/>
              </w:rPr>
            </w:pPr>
            <w:r w:rsidRPr="00C05886">
              <w:rPr>
                <w:sz w:val="22"/>
                <w:lang w:eastAsia="en-GB"/>
              </w:rPr>
              <w:t>Present/portrayed in the photograph</w:t>
            </w:r>
          </w:p>
        </w:tc>
        <w:tc>
          <w:tcPr>
            <w:tcW w:w="1805" w:type="dxa"/>
            <w:gridSpan w:val="2"/>
          </w:tcPr>
          <w:p w14:paraId="7899527A" w14:textId="77777777" w:rsidR="00375BD2" w:rsidRPr="00C05886" w:rsidRDefault="00375BD2" w:rsidP="007F4F4B">
            <w:pPr>
              <w:spacing w:line="240" w:lineRule="auto"/>
              <w:rPr>
                <w:sz w:val="22"/>
                <w:lang w:eastAsia="en-GB"/>
              </w:rPr>
            </w:pPr>
            <w:r w:rsidRPr="00C05886">
              <w:rPr>
                <w:sz w:val="22"/>
                <w:lang w:eastAsia="en-GB"/>
              </w:rPr>
              <w:t>0 = absent</w:t>
            </w:r>
          </w:p>
          <w:p w14:paraId="2CFE1DEA" w14:textId="77777777" w:rsidR="00375BD2" w:rsidRPr="00C05886" w:rsidRDefault="00375BD2" w:rsidP="007F4F4B">
            <w:pPr>
              <w:spacing w:line="240" w:lineRule="auto"/>
              <w:rPr>
                <w:sz w:val="22"/>
                <w:lang w:eastAsia="en-GB"/>
              </w:rPr>
            </w:pPr>
            <w:r w:rsidRPr="00C05886">
              <w:rPr>
                <w:sz w:val="22"/>
                <w:lang w:eastAsia="en-GB"/>
              </w:rPr>
              <w:t>1 = present</w:t>
            </w:r>
          </w:p>
        </w:tc>
      </w:tr>
      <w:tr w:rsidR="00375BD2" w:rsidRPr="00C05886" w14:paraId="440611B7" w14:textId="77777777" w:rsidTr="007F4F4B">
        <w:trPr>
          <w:cnfStyle w:val="000000100000" w:firstRow="0" w:lastRow="0" w:firstColumn="0" w:lastColumn="0" w:oddVBand="0" w:evenVBand="0" w:oddHBand="1" w:evenHBand="0" w:firstRowFirstColumn="0" w:firstRowLastColumn="0" w:lastRowFirstColumn="0" w:lastRowLastColumn="0"/>
          <w:trHeight w:val="202"/>
        </w:trPr>
        <w:tc>
          <w:tcPr>
            <w:tcW w:w="2552" w:type="dxa"/>
          </w:tcPr>
          <w:p w14:paraId="26C9C557" w14:textId="77777777" w:rsidR="00375BD2" w:rsidRPr="00C05886" w:rsidRDefault="00375BD2" w:rsidP="007F4F4B">
            <w:pPr>
              <w:spacing w:line="240" w:lineRule="auto"/>
              <w:rPr>
                <w:rFonts w:ascii="Calibri" w:hAnsi="Calibri" w:cs="Calibri"/>
                <w:color w:val="000000"/>
                <w:sz w:val="22"/>
              </w:rPr>
            </w:pPr>
            <w:r w:rsidRPr="00C05886">
              <w:rPr>
                <w:rFonts w:ascii="Calibri" w:hAnsi="Calibri" w:cs="Calibri"/>
                <w:color w:val="000000"/>
                <w:sz w:val="22"/>
              </w:rPr>
              <w:t>colourful flowers</w:t>
            </w:r>
          </w:p>
        </w:tc>
        <w:tc>
          <w:tcPr>
            <w:tcW w:w="5494" w:type="dxa"/>
          </w:tcPr>
          <w:p w14:paraId="25A450EE" w14:textId="77777777" w:rsidR="00375BD2" w:rsidRPr="00C05886" w:rsidRDefault="00375BD2" w:rsidP="007F4F4B">
            <w:pPr>
              <w:spacing w:line="240" w:lineRule="auto"/>
              <w:rPr>
                <w:sz w:val="22"/>
                <w:lang w:eastAsia="en-GB"/>
              </w:rPr>
            </w:pPr>
            <w:r w:rsidRPr="00C05886">
              <w:rPr>
                <w:sz w:val="22"/>
                <w:lang w:eastAsia="en-GB"/>
              </w:rPr>
              <w:t>Present/portrayed in the photograph</w:t>
            </w:r>
          </w:p>
        </w:tc>
        <w:tc>
          <w:tcPr>
            <w:tcW w:w="1805" w:type="dxa"/>
            <w:gridSpan w:val="2"/>
          </w:tcPr>
          <w:p w14:paraId="2BC18863" w14:textId="77777777" w:rsidR="00375BD2" w:rsidRPr="00C05886" w:rsidRDefault="00375BD2" w:rsidP="007F4F4B">
            <w:pPr>
              <w:spacing w:line="240" w:lineRule="auto"/>
              <w:rPr>
                <w:sz w:val="22"/>
                <w:lang w:eastAsia="en-GB"/>
              </w:rPr>
            </w:pPr>
            <w:r w:rsidRPr="00C05886">
              <w:rPr>
                <w:sz w:val="22"/>
                <w:lang w:eastAsia="en-GB"/>
              </w:rPr>
              <w:t>0 = absent</w:t>
            </w:r>
          </w:p>
          <w:p w14:paraId="3A9A1435" w14:textId="77777777" w:rsidR="00375BD2" w:rsidRPr="00C05886" w:rsidRDefault="00375BD2" w:rsidP="007F4F4B">
            <w:pPr>
              <w:spacing w:line="240" w:lineRule="auto"/>
              <w:rPr>
                <w:sz w:val="22"/>
                <w:lang w:eastAsia="en-GB"/>
              </w:rPr>
            </w:pPr>
            <w:r w:rsidRPr="00C05886">
              <w:rPr>
                <w:sz w:val="22"/>
                <w:lang w:eastAsia="en-GB"/>
              </w:rPr>
              <w:t>1 = present</w:t>
            </w:r>
          </w:p>
        </w:tc>
      </w:tr>
      <w:tr w:rsidR="00375BD2" w:rsidRPr="00C05886" w14:paraId="0A58B3F4" w14:textId="77777777" w:rsidTr="007F4F4B">
        <w:trPr>
          <w:trHeight w:val="202"/>
        </w:trPr>
        <w:tc>
          <w:tcPr>
            <w:tcW w:w="2552" w:type="dxa"/>
          </w:tcPr>
          <w:p w14:paraId="37E278DD" w14:textId="77777777" w:rsidR="00375BD2" w:rsidRPr="00C05886" w:rsidRDefault="00375BD2" w:rsidP="007F4F4B">
            <w:pPr>
              <w:spacing w:line="240" w:lineRule="auto"/>
              <w:rPr>
                <w:rFonts w:ascii="Calibri" w:hAnsi="Calibri" w:cs="Calibri"/>
                <w:color w:val="000000"/>
                <w:sz w:val="22"/>
              </w:rPr>
            </w:pPr>
            <w:r w:rsidRPr="00C05886">
              <w:rPr>
                <w:rFonts w:ascii="Calibri" w:hAnsi="Calibri" w:cs="Calibri"/>
                <w:color w:val="000000"/>
                <w:sz w:val="22"/>
              </w:rPr>
              <w:t>creeper plants</w:t>
            </w:r>
          </w:p>
        </w:tc>
        <w:tc>
          <w:tcPr>
            <w:tcW w:w="5494" w:type="dxa"/>
          </w:tcPr>
          <w:p w14:paraId="064398E5" w14:textId="77777777" w:rsidR="00375BD2" w:rsidRPr="00C05886" w:rsidRDefault="00375BD2" w:rsidP="007F4F4B">
            <w:pPr>
              <w:spacing w:line="240" w:lineRule="auto"/>
              <w:rPr>
                <w:sz w:val="22"/>
                <w:lang w:eastAsia="en-GB"/>
              </w:rPr>
            </w:pPr>
            <w:r w:rsidRPr="00C05886">
              <w:rPr>
                <w:sz w:val="22"/>
                <w:lang w:eastAsia="en-GB"/>
              </w:rPr>
              <w:t>Present/portrayed in the photograph</w:t>
            </w:r>
          </w:p>
        </w:tc>
        <w:tc>
          <w:tcPr>
            <w:tcW w:w="1805" w:type="dxa"/>
            <w:gridSpan w:val="2"/>
          </w:tcPr>
          <w:p w14:paraId="6A4D3E2A" w14:textId="77777777" w:rsidR="00375BD2" w:rsidRPr="00C05886" w:rsidRDefault="00375BD2" w:rsidP="007F4F4B">
            <w:pPr>
              <w:spacing w:line="240" w:lineRule="auto"/>
              <w:rPr>
                <w:sz w:val="22"/>
                <w:lang w:eastAsia="en-GB"/>
              </w:rPr>
            </w:pPr>
            <w:r w:rsidRPr="00C05886">
              <w:rPr>
                <w:sz w:val="22"/>
                <w:lang w:eastAsia="en-GB"/>
              </w:rPr>
              <w:t>0 = absent</w:t>
            </w:r>
          </w:p>
          <w:p w14:paraId="3056BB35" w14:textId="77777777" w:rsidR="00375BD2" w:rsidRPr="00C05886" w:rsidRDefault="00375BD2" w:rsidP="007F4F4B">
            <w:pPr>
              <w:spacing w:line="240" w:lineRule="auto"/>
              <w:rPr>
                <w:sz w:val="22"/>
                <w:lang w:eastAsia="en-GB"/>
              </w:rPr>
            </w:pPr>
            <w:r w:rsidRPr="00C05886">
              <w:rPr>
                <w:sz w:val="22"/>
                <w:lang w:eastAsia="en-GB"/>
              </w:rPr>
              <w:t>1 = present</w:t>
            </w:r>
          </w:p>
        </w:tc>
      </w:tr>
      <w:tr w:rsidR="00375BD2" w:rsidRPr="00C05886" w14:paraId="7DBE2EA2" w14:textId="77777777" w:rsidTr="007F4F4B">
        <w:trPr>
          <w:cnfStyle w:val="000000100000" w:firstRow="0" w:lastRow="0" w:firstColumn="0" w:lastColumn="0" w:oddVBand="0" w:evenVBand="0" w:oddHBand="1" w:evenHBand="0" w:firstRowFirstColumn="0" w:firstRowLastColumn="0" w:lastRowFirstColumn="0" w:lastRowLastColumn="0"/>
          <w:trHeight w:val="202"/>
        </w:trPr>
        <w:tc>
          <w:tcPr>
            <w:tcW w:w="2552" w:type="dxa"/>
          </w:tcPr>
          <w:p w14:paraId="07FC4700" w14:textId="77777777" w:rsidR="00375BD2" w:rsidRPr="00C05886" w:rsidRDefault="00375BD2" w:rsidP="007F4F4B">
            <w:pPr>
              <w:spacing w:line="240" w:lineRule="auto"/>
              <w:rPr>
                <w:rFonts w:ascii="Calibri" w:hAnsi="Calibri" w:cs="Calibri"/>
                <w:color w:val="000000"/>
                <w:sz w:val="22"/>
              </w:rPr>
            </w:pPr>
            <w:r w:rsidRPr="00C05886">
              <w:rPr>
                <w:rFonts w:ascii="Calibri" w:hAnsi="Calibri" w:cs="Calibri"/>
                <w:color w:val="000000"/>
                <w:sz w:val="22"/>
              </w:rPr>
              <w:t>darkness</w:t>
            </w:r>
          </w:p>
        </w:tc>
        <w:tc>
          <w:tcPr>
            <w:tcW w:w="5494" w:type="dxa"/>
          </w:tcPr>
          <w:p w14:paraId="743C76AE" w14:textId="77777777" w:rsidR="00375BD2" w:rsidRPr="00C05886" w:rsidRDefault="00375BD2" w:rsidP="007F4F4B">
            <w:pPr>
              <w:spacing w:line="240" w:lineRule="auto"/>
              <w:rPr>
                <w:sz w:val="22"/>
                <w:lang w:eastAsia="en-GB"/>
              </w:rPr>
            </w:pPr>
            <w:r w:rsidRPr="00C05886">
              <w:rPr>
                <w:sz w:val="22"/>
                <w:lang w:eastAsia="en-GB"/>
              </w:rPr>
              <w:t>The photograph was taken in a dark place or during the night</w:t>
            </w:r>
          </w:p>
        </w:tc>
        <w:tc>
          <w:tcPr>
            <w:tcW w:w="1805" w:type="dxa"/>
            <w:gridSpan w:val="2"/>
          </w:tcPr>
          <w:p w14:paraId="4EA1ED71" w14:textId="77777777" w:rsidR="00375BD2" w:rsidRPr="00C05886" w:rsidRDefault="00375BD2" w:rsidP="007F4F4B">
            <w:pPr>
              <w:spacing w:line="240" w:lineRule="auto"/>
              <w:rPr>
                <w:sz w:val="22"/>
                <w:lang w:eastAsia="en-GB"/>
              </w:rPr>
            </w:pPr>
            <w:r w:rsidRPr="00C05886">
              <w:rPr>
                <w:sz w:val="22"/>
                <w:lang w:eastAsia="en-GB"/>
              </w:rPr>
              <w:t>0 = no</w:t>
            </w:r>
          </w:p>
          <w:p w14:paraId="351EE82F" w14:textId="77777777" w:rsidR="00375BD2" w:rsidRPr="00C05886" w:rsidRDefault="00375BD2" w:rsidP="007F4F4B">
            <w:pPr>
              <w:spacing w:line="240" w:lineRule="auto"/>
              <w:rPr>
                <w:sz w:val="22"/>
                <w:lang w:eastAsia="en-GB"/>
              </w:rPr>
            </w:pPr>
            <w:r w:rsidRPr="00C05886">
              <w:rPr>
                <w:sz w:val="22"/>
                <w:lang w:eastAsia="en-GB"/>
              </w:rPr>
              <w:t>1 = yes</w:t>
            </w:r>
          </w:p>
        </w:tc>
      </w:tr>
      <w:tr w:rsidR="00375BD2" w:rsidRPr="00C05886" w14:paraId="64EFB4B0" w14:textId="77777777" w:rsidTr="007F4F4B">
        <w:trPr>
          <w:trHeight w:val="202"/>
        </w:trPr>
        <w:tc>
          <w:tcPr>
            <w:tcW w:w="2552" w:type="dxa"/>
          </w:tcPr>
          <w:p w14:paraId="040FFBB6" w14:textId="77777777" w:rsidR="00375BD2" w:rsidRPr="00C05886" w:rsidRDefault="00375BD2" w:rsidP="007F4F4B">
            <w:pPr>
              <w:spacing w:line="240" w:lineRule="auto"/>
              <w:rPr>
                <w:rFonts w:ascii="Calibri" w:hAnsi="Calibri" w:cs="Calibri"/>
                <w:color w:val="000000"/>
                <w:sz w:val="22"/>
              </w:rPr>
            </w:pPr>
            <w:r w:rsidRPr="00C05886">
              <w:rPr>
                <w:rFonts w:ascii="Calibri" w:hAnsi="Calibri" w:cs="Calibri"/>
                <w:color w:val="000000"/>
                <w:sz w:val="22"/>
              </w:rPr>
              <w:t>dog</w:t>
            </w:r>
          </w:p>
        </w:tc>
        <w:tc>
          <w:tcPr>
            <w:tcW w:w="5494" w:type="dxa"/>
          </w:tcPr>
          <w:p w14:paraId="74381628" w14:textId="77777777" w:rsidR="00375BD2" w:rsidRPr="00C05886" w:rsidRDefault="00375BD2" w:rsidP="007F4F4B">
            <w:pPr>
              <w:spacing w:line="240" w:lineRule="auto"/>
              <w:rPr>
                <w:sz w:val="22"/>
                <w:lang w:eastAsia="en-GB"/>
              </w:rPr>
            </w:pPr>
            <w:r w:rsidRPr="00C05886">
              <w:rPr>
                <w:sz w:val="22"/>
                <w:lang w:eastAsia="en-GB"/>
              </w:rPr>
              <w:t>Present/portrayed in the photograph</w:t>
            </w:r>
          </w:p>
        </w:tc>
        <w:tc>
          <w:tcPr>
            <w:tcW w:w="1805" w:type="dxa"/>
            <w:gridSpan w:val="2"/>
          </w:tcPr>
          <w:p w14:paraId="26B700B5" w14:textId="77777777" w:rsidR="00375BD2" w:rsidRPr="00C05886" w:rsidRDefault="00375BD2" w:rsidP="007F4F4B">
            <w:pPr>
              <w:spacing w:line="240" w:lineRule="auto"/>
              <w:rPr>
                <w:sz w:val="22"/>
                <w:lang w:eastAsia="en-GB"/>
              </w:rPr>
            </w:pPr>
            <w:r w:rsidRPr="00C05886">
              <w:rPr>
                <w:sz w:val="22"/>
                <w:lang w:eastAsia="en-GB"/>
              </w:rPr>
              <w:t>0 = absent</w:t>
            </w:r>
          </w:p>
          <w:p w14:paraId="55A2E31D" w14:textId="77777777" w:rsidR="00375BD2" w:rsidRPr="00C05886" w:rsidRDefault="00375BD2" w:rsidP="007F4F4B">
            <w:pPr>
              <w:spacing w:line="240" w:lineRule="auto"/>
              <w:rPr>
                <w:sz w:val="22"/>
                <w:lang w:eastAsia="en-GB"/>
              </w:rPr>
            </w:pPr>
            <w:r w:rsidRPr="00C05886">
              <w:rPr>
                <w:sz w:val="22"/>
                <w:lang w:eastAsia="en-GB"/>
              </w:rPr>
              <w:t>1 = present</w:t>
            </w:r>
          </w:p>
        </w:tc>
      </w:tr>
      <w:tr w:rsidR="00375BD2" w:rsidRPr="00C05886" w14:paraId="032FB9C2" w14:textId="77777777" w:rsidTr="007F4F4B">
        <w:trPr>
          <w:cnfStyle w:val="000000100000" w:firstRow="0" w:lastRow="0" w:firstColumn="0" w:lastColumn="0" w:oddVBand="0" w:evenVBand="0" w:oddHBand="1" w:evenHBand="0" w:firstRowFirstColumn="0" w:firstRowLastColumn="0" w:lastRowFirstColumn="0" w:lastRowLastColumn="0"/>
          <w:trHeight w:val="202"/>
        </w:trPr>
        <w:tc>
          <w:tcPr>
            <w:tcW w:w="2552" w:type="dxa"/>
          </w:tcPr>
          <w:p w14:paraId="5AF3A604" w14:textId="77777777" w:rsidR="00375BD2" w:rsidRPr="00C05886" w:rsidRDefault="00375BD2" w:rsidP="007F4F4B">
            <w:pPr>
              <w:spacing w:line="240" w:lineRule="auto"/>
              <w:rPr>
                <w:rFonts w:ascii="Calibri" w:hAnsi="Calibri" w:cs="Calibri"/>
                <w:color w:val="000000"/>
                <w:sz w:val="22"/>
              </w:rPr>
            </w:pPr>
            <w:r w:rsidRPr="00C05886">
              <w:rPr>
                <w:rFonts w:ascii="Calibri" w:hAnsi="Calibri" w:cs="Calibri"/>
                <w:color w:val="000000"/>
                <w:sz w:val="22"/>
              </w:rPr>
              <w:t>Litter and rubbish</w:t>
            </w:r>
          </w:p>
        </w:tc>
        <w:tc>
          <w:tcPr>
            <w:tcW w:w="5494" w:type="dxa"/>
          </w:tcPr>
          <w:p w14:paraId="5034DEBD" w14:textId="77777777" w:rsidR="00375BD2" w:rsidRPr="00C05886" w:rsidRDefault="00375BD2" w:rsidP="007F4F4B">
            <w:pPr>
              <w:spacing w:line="240" w:lineRule="auto"/>
              <w:rPr>
                <w:sz w:val="22"/>
                <w:lang w:eastAsia="en-GB"/>
              </w:rPr>
            </w:pPr>
            <w:r w:rsidRPr="00C05886">
              <w:rPr>
                <w:sz w:val="22"/>
                <w:lang w:eastAsia="en-GB"/>
              </w:rPr>
              <w:t>Present/portrayed in the photograph</w:t>
            </w:r>
          </w:p>
        </w:tc>
        <w:tc>
          <w:tcPr>
            <w:tcW w:w="1805" w:type="dxa"/>
            <w:gridSpan w:val="2"/>
          </w:tcPr>
          <w:p w14:paraId="1751D918" w14:textId="77777777" w:rsidR="00375BD2" w:rsidRPr="00C05886" w:rsidRDefault="00375BD2" w:rsidP="007F4F4B">
            <w:pPr>
              <w:spacing w:line="240" w:lineRule="auto"/>
              <w:rPr>
                <w:sz w:val="22"/>
                <w:lang w:eastAsia="en-GB"/>
              </w:rPr>
            </w:pPr>
            <w:r w:rsidRPr="00C05886">
              <w:rPr>
                <w:sz w:val="22"/>
                <w:lang w:eastAsia="en-GB"/>
              </w:rPr>
              <w:t>0 = absent</w:t>
            </w:r>
          </w:p>
          <w:p w14:paraId="3A023ECB" w14:textId="77777777" w:rsidR="00375BD2" w:rsidRPr="00C05886" w:rsidRDefault="00375BD2" w:rsidP="007F4F4B">
            <w:pPr>
              <w:spacing w:line="240" w:lineRule="auto"/>
              <w:rPr>
                <w:sz w:val="22"/>
                <w:lang w:eastAsia="en-GB"/>
              </w:rPr>
            </w:pPr>
            <w:r w:rsidRPr="00C05886">
              <w:rPr>
                <w:sz w:val="22"/>
                <w:lang w:eastAsia="en-GB"/>
              </w:rPr>
              <w:t>1 = present</w:t>
            </w:r>
          </w:p>
        </w:tc>
      </w:tr>
      <w:tr w:rsidR="00375BD2" w:rsidRPr="00C05886" w14:paraId="4F733F72" w14:textId="77777777" w:rsidTr="007F4F4B">
        <w:trPr>
          <w:trHeight w:val="202"/>
        </w:trPr>
        <w:tc>
          <w:tcPr>
            <w:tcW w:w="2552" w:type="dxa"/>
          </w:tcPr>
          <w:p w14:paraId="58F5E9F1" w14:textId="77777777" w:rsidR="00375BD2" w:rsidRPr="00C05886" w:rsidRDefault="00375BD2" w:rsidP="007F4F4B">
            <w:pPr>
              <w:spacing w:line="240" w:lineRule="auto"/>
              <w:rPr>
                <w:rFonts w:ascii="Calibri" w:hAnsi="Calibri" w:cs="Calibri"/>
                <w:color w:val="000000"/>
                <w:sz w:val="22"/>
              </w:rPr>
            </w:pPr>
            <w:r w:rsidRPr="00C05886">
              <w:rPr>
                <w:rFonts w:ascii="Calibri" w:hAnsi="Calibri" w:cs="Calibri"/>
                <w:color w:val="000000"/>
                <w:sz w:val="22"/>
              </w:rPr>
              <w:t>Fungi</w:t>
            </w:r>
          </w:p>
        </w:tc>
        <w:tc>
          <w:tcPr>
            <w:tcW w:w="5494" w:type="dxa"/>
          </w:tcPr>
          <w:p w14:paraId="6D1CB1AB" w14:textId="77777777" w:rsidR="00375BD2" w:rsidRPr="00C05886" w:rsidRDefault="00375BD2" w:rsidP="007F4F4B">
            <w:pPr>
              <w:spacing w:line="240" w:lineRule="auto"/>
              <w:rPr>
                <w:sz w:val="22"/>
                <w:lang w:eastAsia="en-GB"/>
              </w:rPr>
            </w:pPr>
            <w:r w:rsidRPr="00C05886">
              <w:rPr>
                <w:sz w:val="22"/>
                <w:lang w:eastAsia="en-GB"/>
              </w:rPr>
              <w:t>Present/portrayed in the photograph</w:t>
            </w:r>
          </w:p>
        </w:tc>
        <w:tc>
          <w:tcPr>
            <w:tcW w:w="1805" w:type="dxa"/>
            <w:gridSpan w:val="2"/>
          </w:tcPr>
          <w:p w14:paraId="00D8EC47" w14:textId="77777777" w:rsidR="00375BD2" w:rsidRPr="00C05886" w:rsidRDefault="00375BD2" w:rsidP="007F4F4B">
            <w:pPr>
              <w:spacing w:line="240" w:lineRule="auto"/>
              <w:rPr>
                <w:sz w:val="22"/>
                <w:lang w:eastAsia="en-GB"/>
              </w:rPr>
            </w:pPr>
            <w:r w:rsidRPr="00C05886">
              <w:rPr>
                <w:sz w:val="22"/>
                <w:lang w:eastAsia="en-GB"/>
              </w:rPr>
              <w:t>0 = absent</w:t>
            </w:r>
          </w:p>
          <w:p w14:paraId="1CED1CB6" w14:textId="77777777" w:rsidR="00375BD2" w:rsidRPr="00C05886" w:rsidRDefault="00375BD2" w:rsidP="007F4F4B">
            <w:pPr>
              <w:spacing w:line="240" w:lineRule="auto"/>
              <w:rPr>
                <w:sz w:val="22"/>
                <w:lang w:eastAsia="en-GB"/>
              </w:rPr>
            </w:pPr>
            <w:r w:rsidRPr="00C05886">
              <w:rPr>
                <w:sz w:val="22"/>
                <w:lang w:eastAsia="en-GB"/>
              </w:rPr>
              <w:t>1 = present</w:t>
            </w:r>
          </w:p>
        </w:tc>
      </w:tr>
      <w:tr w:rsidR="00375BD2" w:rsidRPr="00C05886" w14:paraId="6CC8D8AF" w14:textId="77777777" w:rsidTr="007F4F4B">
        <w:trPr>
          <w:cnfStyle w:val="000000100000" w:firstRow="0" w:lastRow="0" w:firstColumn="0" w:lastColumn="0" w:oddVBand="0" w:evenVBand="0" w:oddHBand="1" w:evenHBand="0" w:firstRowFirstColumn="0" w:firstRowLastColumn="0" w:lastRowFirstColumn="0" w:lastRowLastColumn="0"/>
          <w:trHeight w:val="202"/>
        </w:trPr>
        <w:tc>
          <w:tcPr>
            <w:tcW w:w="2552" w:type="dxa"/>
          </w:tcPr>
          <w:p w14:paraId="1355C8C7" w14:textId="77777777" w:rsidR="00375BD2" w:rsidRPr="00C05886" w:rsidRDefault="00375BD2" w:rsidP="007F4F4B">
            <w:pPr>
              <w:spacing w:line="240" w:lineRule="auto"/>
              <w:rPr>
                <w:rFonts w:ascii="Calibri" w:hAnsi="Calibri" w:cs="Calibri"/>
                <w:color w:val="000000"/>
                <w:sz w:val="22"/>
              </w:rPr>
            </w:pPr>
            <w:r w:rsidRPr="00C05886">
              <w:rPr>
                <w:rFonts w:ascii="Calibri" w:hAnsi="Calibri" w:cs="Calibri"/>
                <w:color w:val="000000"/>
                <w:sz w:val="22"/>
              </w:rPr>
              <w:t>hedgehog</w:t>
            </w:r>
          </w:p>
        </w:tc>
        <w:tc>
          <w:tcPr>
            <w:tcW w:w="5494" w:type="dxa"/>
          </w:tcPr>
          <w:p w14:paraId="5D0439AE" w14:textId="77777777" w:rsidR="00375BD2" w:rsidRPr="00C05886" w:rsidRDefault="00375BD2" w:rsidP="007F4F4B">
            <w:pPr>
              <w:spacing w:line="240" w:lineRule="auto"/>
              <w:rPr>
                <w:sz w:val="22"/>
                <w:lang w:eastAsia="en-GB"/>
              </w:rPr>
            </w:pPr>
            <w:r w:rsidRPr="00C05886">
              <w:rPr>
                <w:sz w:val="22"/>
                <w:lang w:eastAsia="en-GB"/>
              </w:rPr>
              <w:t>Present/portrayed in the photograph</w:t>
            </w:r>
          </w:p>
        </w:tc>
        <w:tc>
          <w:tcPr>
            <w:tcW w:w="1805" w:type="dxa"/>
            <w:gridSpan w:val="2"/>
          </w:tcPr>
          <w:p w14:paraId="0625BBAE" w14:textId="77777777" w:rsidR="00375BD2" w:rsidRPr="00C05886" w:rsidRDefault="00375BD2" w:rsidP="007F4F4B">
            <w:pPr>
              <w:spacing w:line="240" w:lineRule="auto"/>
              <w:rPr>
                <w:sz w:val="22"/>
                <w:lang w:eastAsia="en-GB"/>
              </w:rPr>
            </w:pPr>
            <w:r w:rsidRPr="00C05886">
              <w:rPr>
                <w:sz w:val="22"/>
                <w:lang w:eastAsia="en-GB"/>
              </w:rPr>
              <w:t>0 = absent</w:t>
            </w:r>
          </w:p>
          <w:p w14:paraId="709DB22A" w14:textId="77777777" w:rsidR="00375BD2" w:rsidRPr="00C05886" w:rsidRDefault="00375BD2" w:rsidP="007F4F4B">
            <w:pPr>
              <w:spacing w:line="240" w:lineRule="auto"/>
              <w:rPr>
                <w:sz w:val="22"/>
                <w:lang w:eastAsia="en-GB"/>
              </w:rPr>
            </w:pPr>
            <w:r w:rsidRPr="00C05886">
              <w:rPr>
                <w:sz w:val="22"/>
                <w:lang w:eastAsia="en-GB"/>
              </w:rPr>
              <w:t>1 = present</w:t>
            </w:r>
          </w:p>
        </w:tc>
      </w:tr>
      <w:tr w:rsidR="00375BD2" w:rsidRPr="00C05886" w14:paraId="52AD10A3" w14:textId="77777777" w:rsidTr="007F4F4B">
        <w:trPr>
          <w:trHeight w:val="202"/>
        </w:trPr>
        <w:tc>
          <w:tcPr>
            <w:tcW w:w="2552" w:type="dxa"/>
          </w:tcPr>
          <w:p w14:paraId="702DB346" w14:textId="77777777" w:rsidR="00375BD2" w:rsidRPr="00C05886" w:rsidRDefault="00375BD2" w:rsidP="007F4F4B">
            <w:pPr>
              <w:spacing w:line="240" w:lineRule="auto"/>
              <w:rPr>
                <w:rFonts w:ascii="Calibri" w:hAnsi="Calibri" w:cs="Calibri"/>
                <w:color w:val="000000"/>
                <w:sz w:val="22"/>
              </w:rPr>
            </w:pPr>
            <w:r w:rsidRPr="00C05886">
              <w:rPr>
                <w:rFonts w:ascii="Calibri" w:hAnsi="Calibri" w:cs="Calibri"/>
                <w:color w:val="000000"/>
                <w:sz w:val="22"/>
              </w:rPr>
              <w:t>hedges</w:t>
            </w:r>
          </w:p>
        </w:tc>
        <w:tc>
          <w:tcPr>
            <w:tcW w:w="5494" w:type="dxa"/>
          </w:tcPr>
          <w:p w14:paraId="24436E75" w14:textId="77777777" w:rsidR="00375BD2" w:rsidRPr="00C05886" w:rsidRDefault="00375BD2" w:rsidP="007F4F4B">
            <w:pPr>
              <w:spacing w:line="240" w:lineRule="auto"/>
              <w:rPr>
                <w:sz w:val="22"/>
                <w:lang w:eastAsia="en-GB"/>
              </w:rPr>
            </w:pPr>
            <w:r w:rsidRPr="00C05886">
              <w:rPr>
                <w:sz w:val="22"/>
                <w:lang w:eastAsia="en-GB"/>
              </w:rPr>
              <w:t>Present/portrayed in the photograph</w:t>
            </w:r>
          </w:p>
        </w:tc>
        <w:tc>
          <w:tcPr>
            <w:tcW w:w="1805" w:type="dxa"/>
            <w:gridSpan w:val="2"/>
          </w:tcPr>
          <w:p w14:paraId="49F132E1" w14:textId="77777777" w:rsidR="00375BD2" w:rsidRPr="00C05886" w:rsidRDefault="00375BD2" w:rsidP="007F4F4B">
            <w:pPr>
              <w:spacing w:line="240" w:lineRule="auto"/>
              <w:rPr>
                <w:sz w:val="22"/>
                <w:lang w:eastAsia="en-GB"/>
              </w:rPr>
            </w:pPr>
            <w:r w:rsidRPr="00C05886">
              <w:rPr>
                <w:sz w:val="22"/>
                <w:lang w:eastAsia="en-GB"/>
              </w:rPr>
              <w:t>0 = absent</w:t>
            </w:r>
          </w:p>
          <w:p w14:paraId="4539BA4E" w14:textId="77777777" w:rsidR="00375BD2" w:rsidRPr="00C05886" w:rsidRDefault="00375BD2" w:rsidP="007F4F4B">
            <w:pPr>
              <w:spacing w:line="240" w:lineRule="auto"/>
              <w:rPr>
                <w:sz w:val="22"/>
                <w:lang w:eastAsia="en-GB"/>
              </w:rPr>
            </w:pPr>
            <w:r w:rsidRPr="00C05886">
              <w:rPr>
                <w:sz w:val="22"/>
                <w:lang w:eastAsia="en-GB"/>
              </w:rPr>
              <w:t>1 = present</w:t>
            </w:r>
          </w:p>
        </w:tc>
      </w:tr>
      <w:tr w:rsidR="00375BD2" w:rsidRPr="00C05886" w14:paraId="0E61D714" w14:textId="77777777" w:rsidTr="007F4F4B">
        <w:trPr>
          <w:cnfStyle w:val="000000100000" w:firstRow="0" w:lastRow="0" w:firstColumn="0" w:lastColumn="0" w:oddVBand="0" w:evenVBand="0" w:oddHBand="1" w:evenHBand="0" w:firstRowFirstColumn="0" w:firstRowLastColumn="0" w:lastRowFirstColumn="0" w:lastRowLastColumn="0"/>
          <w:trHeight w:val="202"/>
        </w:trPr>
        <w:tc>
          <w:tcPr>
            <w:tcW w:w="2552" w:type="dxa"/>
          </w:tcPr>
          <w:p w14:paraId="54640FEF" w14:textId="77777777" w:rsidR="00375BD2" w:rsidRPr="00C05886" w:rsidRDefault="00375BD2" w:rsidP="007F4F4B">
            <w:pPr>
              <w:spacing w:line="240" w:lineRule="auto"/>
              <w:rPr>
                <w:rFonts w:ascii="Calibri" w:hAnsi="Calibri" w:cs="Calibri"/>
                <w:color w:val="000000"/>
                <w:sz w:val="22"/>
              </w:rPr>
            </w:pPr>
            <w:r w:rsidRPr="00C05886">
              <w:rPr>
                <w:rFonts w:ascii="Calibri" w:hAnsi="Calibri" w:cs="Calibri"/>
                <w:color w:val="000000"/>
                <w:sz w:val="22"/>
              </w:rPr>
              <w:t>hills</w:t>
            </w:r>
          </w:p>
        </w:tc>
        <w:tc>
          <w:tcPr>
            <w:tcW w:w="5494" w:type="dxa"/>
          </w:tcPr>
          <w:p w14:paraId="1DC4320C" w14:textId="77777777" w:rsidR="00375BD2" w:rsidRPr="00C05886" w:rsidRDefault="00375BD2" w:rsidP="007F4F4B">
            <w:pPr>
              <w:spacing w:line="240" w:lineRule="auto"/>
              <w:rPr>
                <w:sz w:val="22"/>
                <w:lang w:eastAsia="en-GB"/>
              </w:rPr>
            </w:pPr>
            <w:r w:rsidRPr="00C05886">
              <w:rPr>
                <w:sz w:val="22"/>
                <w:lang w:eastAsia="en-GB"/>
              </w:rPr>
              <w:t>The photograph is panoramic and portrays/includes the hills around Sheffield</w:t>
            </w:r>
          </w:p>
        </w:tc>
        <w:tc>
          <w:tcPr>
            <w:tcW w:w="1805" w:type="dxa"/>
            <w:gridSpan w:val="2"/>
          </w:tcPr>
          <w:p w14:paraId="0AC0B142" w14:textId="77777777" w:rsidR="00375BD2" w:rsidRPr="00C05886" w:rsidRDefault="00375BD2" w:rsidP="007F4F4B">
            <w:pPr>
              <w:spacing w:line="240" w:lineRule="auto"/>
              <w:rPr>
                <w:sz w:val="22"/>
                <w:lang w:eastAsia="en-GB"/>
              </w:rPr>
            </w:pPr>
            <w:r w:rsidRPr="00C05886">
              <w:rPr>
                <w:sz w:val="22"/>
                <w:lang w:eastAsia="en-GB"/>
              </w:rPr>
              <w:t>0 = no</w:t>
            </w:r>
          </w:p>
          <w:p w14:paraId="1D5CDB9D" w14:textId="77777777" w:rsidR="00375BD2" w:rsidRPr="00C05886" w:rsidRDefault="00375BD2" w:rsidP="007F4F4B">
            <w:pPr>
              <w:spacing w:line="240" w:lineRule="auto"/>
              <w:rPr>
                <w:sz w:val="22"/>
                <w:lang w:eastAsia="en-GB"/>
              </w:rPr>
            </w:pPr>
            <w:r w:rsidRPr="00C05886">
              <w:rPr>
                <w:sz w:val="22"/>
                <w:lang w:eastAsia="en-GB"/>
              </w:rPr>
              <w:t>1 = yes</w:t>
            </w:r>
          </w:p>
        </w:tc>
      </w:tr>
      <w:tr w:rsidR="00375BD2" w:rsidRPr="00C05886" w14:paraId="68370558" w14:textId="77777777" w:rsidTr="007F4F4B">
        <w:trPr>
          <w:trHeight w:val="202"/>
        </w:trPr>
        <w:tc>
          <w:tcPr>
            <w:tcW w:w="2552" w:type="dxa"/>
          </w:tcPr>
          <w:p w14:paraId="5A84C0DA" w14:textId="77777777" w:rsidR="00375BD2" w:rsidRPr="00C05886" w:rsidRDefault="00375BD2" w:rsidP="007F4F4B">
            <w:pPr>
              <w:spacing w:line="240" w:lineRule="auto"/>
              <w:rPr>
                <w:rFonts w:ascii="Calibri" w:hAnsi="Calibri" w:cs="Calibri"/>
                <w:color w:val="000000"/>
                <w:sz w:val="22"/>
              </w:rPr>
            </w:pPr>
            <w:r w:rsidRPr="00C05886">
              <w:rPr>
                <w:rFonts w:ascii="Calibri" w:hAnsi="Calibri" w:cs="Calibri"/>
                <w:color w:val="000000"/>
                <w:sz w:val="22"/>
              </w:rPr>
              <w:lastRenderedPageBreak/>
              <w:t>houseplant</w:t>
            </w:r>
          </w:p>
        </w:tc>
        <w:tc>
          <w:tcPr>
            <w:tcW w:w="5494" w:type="dxa"/>
          </w:tcPr>
          <w:p w14:paraId="31E759F1" w14:textId="77777777" w:rsidR="00375BD2" w:rsidRPr="00C05886" w:rsidRDefault="00375BD2" w:rsidP="007F4F4B">
            <w:pPr>
              <w:spacing w:line="240" w:lineRule="auto"/>
              <w:rPr>
                <w:sz w:val="22"/>
                <w:lang w:eastAsia="en-GB"/>
              </w:rPr>
            </w:pPr>
            <w:r w:rsidRPr="00C05886">
              <w:rPr>
                <w:sz w:val="22"/>
                <w:lang w:eastAsia="en-GB"/>
              </w:rPr>
              <w:t>Present/portrayed in the photograph</w:t>
            </w:r>
          </w:p>
        </w:tc>
        <w:tc>
          <w:tcPr>
            <w:tcW w:w="1805" w:type="dxa"/>
            <w:gridSpan w:val="2"/>
          </w:tcPr>
          <w:p w14:paraId="137237DD" w14:textId="77777777" w:rsidR="00375BD2" w:rsidRPr="00C05886" w:rsidRDefault="00375BD2" w:rsidP="007F4F4B">
            <w:pPr>
              <w:spacing w:line="240" w:lineRule="auto"/>
              <w:rPr>
                <w:sz w:val="22"/>
                <w:lang w:eastAsia="en-GB"/>
              </w:rPr>
            </w:pPr>
            <w:r w:rsidRPr="00C05886">
              <w:rPr>
                <w:sz w:val="22"/>
                <w:lang w:eastAsia="en-GB"/>
              </w:rPr>
              <w:t>0 = absent</w:t>
            </w:r>
          </w:p>
          <w:p w14:paraId="1FD5CD70" w14:textId="77777777" w:rsidR="00375BD2" w:rsidRPr="00C05886" w:rsidRDefault="00375BD2" w:rsidP="007F4F4B">
            <w:pPr>
              <w:spacing w:line="240" w:lineRule="auto"/>
              <w:rPr>
                <w:sz w:val="22"/>
                <w:lang w:eastAsia="en-GB"/>
              </w:rPr>
            </w:pPr>
            <w:r w:rsidRPr="00C05886">
              <w:rPr>
                <w:sz w:val="22"/>
                <w:lang w:eastAsia="en-GB"/>
              </w:rPr>
              <w:t>1 = present</w:t>
            </w:r>
          </w:p>
        </w:tc>
      </w:tr>
      <w:tr w:rsidR="00375BD2" w:rsidRPr="00C05886" w14:paraId="171C38AE" w14:textId="77777777" w:rsidTr="007F4F4B">
        <w:trPr>
          <w:cnfStyle w:val="000000100000" w:firstRow="0" w:lastRow="0" w:firstColumn="0" w:lastColumn="0" w:oddVBand="0" w:evenVBand="0" w:oddHBand="1" w:evenHBand="0" w:firstRowFirstColumn="0" w:firstRowLastColumn="0" w:lastRowFirstColumn="0" w:lastRowLastColumn="0"/>
          <w:trHeight w:val="202"/>
        </w:trPr>
        <w:tc>
          <w:tcPr>
            <w:tcW w:w="2552" w:type="dxa"/>
          </w:tcPr>
          <w:p w14:paraId="21D501FF" w14:textId="77777777" w:rsidR="00375BD2" w:rsidRPr="00C05886" w:rsidRDefault="00375BD2" w:rsidP="007F4F4B">
            <w:pPr>
              <w:spacing w:line="240" w:lineRule="auto"/>
              <w:rPr>
                <w:rFonts w:ascii="Calibri" w:hAnsi="Calibri" w:cs="Calibri"/>
                <w:color w:val="000000"/>
                <w:sz w:val="22"/>
              </w:rPr>
            </w:pPr>
            <w:r w:rsidRPr="00C05886">
              <w:rPr>
                <w:rFonts w:ascii="Calibri" w:hAnsi="Calibri" w:cs="Calibri"/>
                <w:color w:val="000000"/>
                <w:sz w:val="22"/>
              </w:rPr>
              <w:t>Indoor without nature</w:t>
            </w:r>
          </w:p>
        </w:tc>
        <w:tc>
          <w:tcPr>
            <w:tcW w:w="5494" w:type="dxa"/>
          </w:tcPr>
          <w:p w14:paraId="03BA653D" w14:textId="77777777" w:rsidR="00375BD2" w:rsidRPr="00C05886" w:rsidRDefault="00375BD2" w:rsidP="007F4F4B">
            <w:pPr>
              <w:spacing w:line="240" w:lineRule="auto"/>
              <w:rPr>
                <w:sz w:val="22"/>
                <w:lang w:eastAsia="en-GB"/>
              </w:rPr>
            </w:pPr>
            <w:r w:rsidRPr="00C05886">
              <w:rPr>
                <w:sz w:val="22"/>
                <w:lang w:eastAsia="en-GB"/>
              </w:rPr>
              <w:t>The photograph was taken indoor and does not portray/include any natural element</w:t>
            </w:r>
          </w:p>
        </w:tc>
        <w:tc>
          <w:tcPr>
            <w:tcW w:w="1805" w:type="dxa"/>
            <w:gridSpan w:val="2"/>
          </w:tcPr>
          <w:p w14:paraId="20CA8138" w14:textId="77777777" w:rsidR="00375BD2" w:rsidRPr="00C05886" w:rsidRDefault="00375BD2" w:rsidP="007F4F4B">
            <w:pPr>
              <w:spacing w:line="240" w:lineRule="auto"/>
              <w:rPr>
                <w:sz w:val="22"/>
                <w:lang w:eastAsia="en-GB"/>
              </w:rPr>
            </w:pPr>
            <w:r w:rsidRPr="00C05886">
              <w:rPr>
                <w:sz w:val="22"/>
                <w:lang w:eastAsia="en-GB"/>
              </w:rPr>
              <w:t>0 = absent</w:t>
            </w:r>
          </w:p>
          <w:p w14:paraId="13CC13B1" w14:textId="77777777" w:rsidR="00375BD2" w:rsidRPr="00C05886" w:rsidRDefault="00375BD2" w:rsidP="007F4F4B">
            <w:pPr>
              <w:spacing w:line="240" w:lineRule="auto"/>
              <w:rPr>
                <w:sz w:val="22"/>
                <w:lang w:eastAsia="en-GB"/>
              </w:rPr>
            </w:pPr>
            <w:r w:rsidRPr="00C05886">
              <w:rPr>
                <w:sz w:val="22"/>
                <w:lang w:eastAsia="en-GB"/>
              </w:rPr>
              <w:t>1 = present</w:t>
            </w:r>
          </w:p>
        </w:tc>
      </w:tr>
      <w:tr w:rsidR="00375BD2" w:rsidRPr="00C05886" w14:paraId="7027DEC6" w14:textId="77777777" w:rsidTr="007F4F4B">
        <w:trPr>
          <w:trHeight w:val="202"/>
        </w:trPr>
        <w:tc>
          <w:tcPr>
            <w:tcW w:w="2552" w:type="dxa"/>
          </w:tcPr>
          <w:p w14:paraId="30B73AB6" w14:textId="77777777" w:rsidR="00375BD2" w:rsidRPr="00C05886" w:rsidRDefault="00375BD2" w:rsidP="007F4F4B">
            <w:pPr>
              <w:spacing w:line="240" w:lineRule="auto"/>
              <w:rPr>
                <w:rFonts w:ascii="Calibri" w:hAnsi="Calibri" w:cs="Calibri"/>
                <w:color w:val="000000"/>
                <w:sz w:val="22"/>
              </w:rPr>
            </w:pPr>
            <w:r w:rsidRPr="00C05886">
              <w:rPr>
                <w:rFonts w:ascii="Calibri" w:hAnsi="Calibri" w:cs="Calibri"/>
                <w:color w:val="000000"/>
                <w:sz w:val="22"/>
              </w:rPr>
              <w:t>insects</w:t>
            </w:r>
          </w:p>
        </w:tc>
        <w:tc>
          <w:tcPr>
            <w:tcW w:w="5494" w:type="dxa"/>
          </w:tcPr>
          <w:p w14:paraId="0054273F" w14:textId="77777777" w:rsidR="00375BD2" w:rsidRPr="00C05886" w:rsidRDefault="00375BD2" w:rsidP="007F4F4B">
            <w:pPr>
              <w:spacing w:line="240" w:lineRule="auto"/>
              <w:rPr>
                <w:sz w:val="22"/>
                <w:lang w:eastAsia="en-GB"/>
              </w:rPr>
            </w:pPr>
            <w:r w:rsidRPr="00C05886">
              <w:rPr>
                <w:sz w:val="22"/>
                <w:lang w:eastAsia="en-GB"/>
              </w:rPr>
              <w:t>Present/portrayed in the photograph</w:t>
            </w:r>
          </w:p>
        </w:tc>
        <w:tc>
          <w:tcPr>
            <w:tcW w:w="1805" w:type="dxa"/>
            <w:gridSpan w:val="2"/>
          </w:tcPr>
          <w:p w14:paraId="3772482C" w14:textId="77777777" w:rsidR="00375BD2" w:rsidRPr="00C05886" w:rsidRDefault="00375BD2" w:rsidP="007F4F4B">
            <w:pPr>
              <w:spacing w:line="240" w:lineRule="auto"/>
              <w:rPr>
                <w:sz w:val="22"/>
                <w:lang w:eastAsia="en-GB"/>
              </w:rPr>
            </w:pPr>
            <w:r w:rsidRPr="00C05886">
              <w:rPr>
                <w:sz w:val="22"/>
                <w:lang w:eastAsia="en-GB"/>
              </w:rPr>
              <w:t>0 = absent</w:t>
            </w:r>
          </w:p>
          <w:p w14:paraId="364780E0" w14:textId="77777777" w:rsidR="00375BD2" w:rsidRPr="00C05886" w:rsidRDefault="00375BD2" w:rsidP="007F4F4B">
            <w:pPr>
              <w:spacing w:line="240" w:lineRule="auto"/>
              <w:rPr>
                <w:sz w:val="22"/>
                <w:lang w:eastAsia="en-GB"/>
              </w:rPr>
            </w:pPr>
            <w:r w:rsidRPr="00C05886">
              <w:rPr>
                <w:sz w:val="22"/>
                <w:lang w:eastAsia="en-GB"/>
              </w:rPr>
              <w:t>1 = present</w:t>
            </w:r>
          </w:p>
        </w:tc>
      </w:tr>
      <w:tr w:rsidR="00375BD2" w:rsidRPr="00C05886" w14:paraId="67257831" w14:textId="77777777" w:rsidTr="007F4F4B">
        <w:trPr>
          <w:cnfStyle w:val="000000100000" w:firstRow="0" w:lastRow="0" w:firstColumn="0" w:lastColumn="0" w:oddVBand="0" w:evenVBand="0" w:oddHBand="1" w:evenHBand="0" w:firstRowFirstColumn="0" w:firstRowLastColumn="0" w:lastRowFirstColumn="0" w:lastRowLastColumn="0"/>
          <w:trHeight w:val="202"/>
        </w:trPr>
        <w:tc>
          <w:tcPr>
            <w:tcW w:w="2552" w:type="dxa"/>
          </w:tcPr>
          <w:p w14:paraId="449A441F" w14:textId="77777777" w:rsidR="00375BD2" w:rsidRPr="00C05886" w:rsidRDefault="00375BD2" w:rsidP="007F4F4B">
            <w:pPr>
              <w:spacing w:line="240" w:lineRule="auto"/>
              <w:rPr>
                <w:rFonts w:ascii="Calibri" w:hAnsi="Calibri" w:cs="Calibri"/>
                <w:color w:val="000000"/>
                <w:sz w:val="22"/>
              </w:rPr>
            </w:pPr>
            <w:r w:rsidRPr="00C05886">
              <w:rPr>
                <w:rFonts w:ascii="Calibri" w:hAnsi="Calibri" w:cs="Calibri"/>
                <w:color w:val="000000"/>
                <w:sz w:val="22"/>
              </w:rPr>
              <w:t>interstitial plants</w:t>
            </w:r>
          </w:p>
        </w:tc>
        <w:tc>
          <w:tcPr>
            <w:tcW w:w="5494" w:type="dxa"/>
          </w:tcPr>
          <w:p w14:paraId="6D342C34" w14:textId="77777777" w:rsidR="00375BD2" w:rsidRPr="00C05886" w:rsidRDefault="00375BD2" w:rsidP="007F4F4B">
            <w:pPr>
              <w:spacing w:line="240" w:lineRule="auto"/>
              <w:rPr>
                <w:sz w:val="22"/>
                <w:lang w:eastAsia="en-GB"/>
              </w:rPr>
            </w:pPr>
            <w:r w:rsidRPr="00C05886">
              <w:rPr>
                <w:sz w:val="22"/>
                <w:lang w:eastAsia="en-GB"/>
              </w:rPr>
              <w:t>Present/portrayed in the photograph</w:t>
            </w:r>
          </w:p>
        </w:tc>
        <w:tc>
          <w:tcPr>
            <w:tcW w:w="1805" w:type="dxa"/>
            <w:gridSpan w:val="2"/>
          </w:tcPr>
          <w:p w14:paraId="0590CA05" w14:textId="77777777" w:rsidR="00375BD2" w:rsidRPr="00C05886" w:rsidRDefault="00375BD2" w:rsidP="007F4F4B">
            <w:pPr>
              <w:spacing w:line="240" w:lineRule="auto"/>
              <w:rPr>
                <w:sz w:val="22"/>
                <w:lang w:eastAsia="en-GB"/>
              </w:rPr>
            </w:pPr>
            <w:r w:rsidRPr="00C05886">
              <w:rPr>
                <w:sz w:val="22"/>
                <w:lang w:eastAsia="en-GB"/>
              </w:rPr>
              <w:t>0 = absent</w:t>
            </w:r>
          </w:p>
          <w:p w14:paraId="1EA2D080" w14:textId="77777777" w:rsidR="00375BD2" w:rsidRPr="00C05886" w:rsidRDefault="00375BD2" w:rsidP="007F4F4B">
            <w:pPr>
              <w:spacing w:line="240" w:lineRule="auto"/>
              <w:rPr>
                <w:sz w:val="22"/>
                <w:lang w:eastAsia="en-GB"/>
              </w:rPr>
            </w:pPr>
            <w:r w:rsidRPr="00C05886">
              <w:rPr>
                <w:sz w:val="22"/>
                <w:lang w:eastAsia="en-GB"/>
              </w:rPr>
              <w:t>1 = present</w:t>
            </w:r>
          </w:p>
        </w:tc>
      </w:tr>
      <w:tr w:rsidR="00375BD2" w:rsidRPr="00C05886" w14:paraId="45CDC2AF" w14:textId="77777777" w:rsidTr="007F4F4B">
        <w:trPr>
          <w:trHeight w:val="202"/>
        </w:trPr>
        <w:tc>
          <w:tcPr>
            <w:tcW w:w="2552" w:type="dxa"/>
          </w:tcPr>
          <w:p w14:paraId="2380EAC3" w14:textId="77777777" w:rsidR="00375BD2" w:rsidRPr="00C05886" w:rsidRDefault="00375BD2" w:rsidP="007F4F4B">
            <w:pPr>
              <w:spacing w:line="240" w:lineRule="auto"/>
              <w:rPr>
                <w:rFonts w:ascii="Calibri" w:hAnsi="Calibri" w:cs="Calibri"/>
                <w:color w:val="000000"/>
                <w:sz w:val="22"/>
              </w:rPr>
            </w:pPr>
            <w:r w:rsidRPr="00C05886">
              <w:rPr>
                <w:rFonts w:ascii="Calibri" w:hAnsi="Calibri" w:cs="Calibri"/>
                <w:color w:val="000000"/>
                <w:sz w:val="22"/>
              </w:rPr>
              <w:t>livestock</w:t>
            </w:r>
          </w:p>
        </w:tc>
        <w:tc>
          <w:tcPr>
            <w:tcW w:w="5494" w:type="dxa"/>
          </w:tcPr>
          <w:p w14:paraId="23BAF117" w14:textId="77777777" w:rsidR="00375BD2" w:rsidRPr="00C05886" w:rsidRDefault="00375BD2" w:rsidP="007F4F4B">
            <w:pPr>
              <w:spacing w:line="240" w:lineRule="auto"/>
              <w:rPr>
                <w:sz w:val="22"/>
                <w:lang w:eastAsia="en-GB"/>
              </w:rPr>
            </w:pPr>
            <w:r w:rsidRPr="00C05886">
              <w:rPr>
                <w:sz w:val="22"/>
                <w:lang w:eastAsia="en-GB"/>
              </w:rPr>
              <w:t>Present/portrayed in the photograph</w:t>
            </w:r>
          </w:p>
        </w:tc>
        <w:tc>
          <w:tcPr>
            <w:tcW w:w="1805" w:type="dxa"/>
            <w:gridSpan w:val="2"/>
          </w:tcPr>
          <w:p w14:paraId="55BFC650" w14:textId="77777777" w:rsidR="00375BD2" w:rsidRPr="00C05886" w:rsidRDefault="00375BD2" w:rsidP="007F4F4B">
            <w:pPr>
              <w:spacing w:line="240" w:lineRule="auto"/>
              <w:rPr>
                <w:sz w:val="22"/>
                <w:lang w:eastAsia="en-GB"/>
              </w:rPr>
            </w:pPr>
            <w:r w:rsidRPr="00C05886">
              <w:rPr>
                <w:sz w:val="22"/>
                <w:lang w:eastAsia="en-GB"/>
              </w:rPr>
              <w:t>0 = absent</w:t>
            </w:r>
          </w:p>
          <w:p w14:paraId="3927C56D" w14:textId="77777777" w:rsidR="00375BD2" w:rsidRPr="00C05886" w:rsidRDefault="00375BD2" w:rsidP="007F4F4B">
            <w:pPr>
              <w:spacing w:line="240" w:lineRule="auto"/>
              <w:rPr>
                <w:sz w:val="22"/>
                <w:lang w:eastAsia="en-GB"/>
              </w:rPr>
            </w:pPr>
            <w:r w:rsidRPr="00C05886">
              <w:rPr>
                <w:sz w:val="22"/>
                <w:lang w:eastAsia="en-GB"/>
              </w:rPr>
              <w:t>1 = present</w:t>
            </w:r>
          </w:p>
        </w:tc>
      </w:tr>
      <w:tr w:rsidR="00375BD2" w:rsidRPr="00C05886" w14:paraId="51B7AC2E" w14:textId="77777777" w:rsidTr="007F4F4B">
        <w:trPr>
          <w:cnfStyle w:val="000000100000" w:firstRow="0" w:lastRow="0" w:firstColumn="0" w:lastColumn="0" w:oddVBand="0" w:evenVBand="0" w:oddHBand="1" w:evenHBand="0" w:firstRowFirstColumn="0" w:firstRowLastColumn="0" w:lastRowFirstColumn="0" w:lastRowLastColumn="0"/>
          <w:trHeight w:val="202"/>
        </w:trPr>
        <w:tc>
          <w:tcPr>
            <w:tcW w:w="2552" w:type="dxa"/>
          </w:tcPr>
          <w:p w14:paraId="01B2967C" w14:textId="77777777" w:rsidR="00375BD2" w:rsidRPr="00C05886" w:rsidRDefault="00375BD2" w:rsidP="007F4F4B">
            <w:pPr>
              <w:spacing w:line="240" w:lineRule="auto"/>
              <w:rPr>
                <w:rFonts w:ascii="Calibri" w:hAnsi="Calibri" w:cs="Calibri"/>
                <w:color w:val="000000"/>
                <w:sz w:val="22"/>
              </w:rPr>
            </w:pPr>
            <w:r w:rsidRPr="00C05886">
              <w:rPr>
                <w:rFonts w:ascii="Calibri" w:hAnsi="Calibri" w:cs="Calibri"/>
                <w:color w:val="000000"/>
                <w:sz w:val="22"/>
              </w:rPr>
              <w:t>mixed ground cover or leaf litter</w:t>
            </w:r>
          </w:p>
        </w:tc>
        <w:tc>
          <w:tcPr>
            <w:tcW w:w="5494" w:type="dxa"/>
          </w:tcPr>
          <w:p w14:paraId="3B43BD88" w14:textId="77777777" w:rsidR="00375BD2" w:rsidRPr="00C05886" w:rsidRDefault="00375BD2" w:rsidP="007F4F4B">
            <w:pPr>
              <w:spacing w:line="240" w:lineRule="auto"/>
              <w:rPr>
                <w:sz w:val="22"/>
                <w:lang w:eastAsia="en-GB"/>
              </w:rPr>
            </w:pPr>
            <w:r w:rsidRPr="00C05886">
              <w:rPr>
                <w:sz w:val="22"/>
                <w:lang w:eastAsia="en-GB"/>
              </w:rPr>
              <w:t>Present/portrayed in the photograph</w:t>
            </w:r>
          </w:p>
        </w:tc>
        <w:tc>
          <w:tcPr>
            <w:tcW w:w="1805" w:type="dxa"/>
            <w:gridSpan w:val="2"/>
          </w:tcPr>
          <w:p w14:paraId="30CAE3E0" w14:textId="77777777" w:rsidR="00375BD2" w:rsidRPr="00C05886" w:rsidRDefault="00375BD2" w:rsidP="007F4F4B">
            <w:pPr>
              <w:spacing w:line="240" w:lineRule="auto"/>
              <w:rPr>
                <w:sz w:val="22"/>
                <w:lang w:eastAsia="en-GB"/>
              </w:rPr>
            </w:pPr>
            <w:r w:rsidRPr="00C05886">
              <w:rPr>
                <w:sz w:val="22"/>
                <w:lang w:eastAsia="en-GB"/>
              </w:rPr>
              <w:t>0 = absent</w:t>
            </w:r>
          </w:p>
          <w:p w14:paraId="7294CE35" w14:textId="77777777" w:rsidR="00375BD2" w:rsidRPr="00C05886" w:rsidRDefault="00375BD2" w:rsidP="007F4F4B">
            <w:pPr>
              <w:spacing w:line="240" w:lineRule="auto"/>
              <w:rPr>
                <w:sz w:val="22"/>
                <w:lang w:eastAsia="en-GB"/>
              </w:rPr>
            </w:pPr>
            <w:r w:rsidRPr="00C05886">
              <w:rPr>
                <w:sz w:val="22"/>
                <w:lang w:eastAsia="en-GB"/>
              </w:rPr>
              <w:t>1 = present</w:t>
            </w:r>
          </w:p>
        </w:tc>
      </w:tr>
      <w:tr w:rsidR="00375BD2" w:rsidRPr="00C05886" w14:paraId="56BC1D9D" w14:textId="77777777" w:rsidTr="007F4F4B">
        <w:trPr>
          <w:trHeight w:val="202"/>
        </w:trPr>
        <w:tc>
          <w:tcPr>
            <w:tcW w:w="2552" w:type="dxa"/>
          </w:tcPr>
          <w:p w14:paraId="0E555454" w14:textId="77777777" w:rsidR="00375BD2" w:rsidRPr="00C05886" w:rsidRDefault="00375BD2" w:rsidP="007F4F4B">
            <w:pPr>
              <w:spacing w:line="240" w:lineRule="auto"/>
              <w:rPr>
                <w:rFonts w:ascii="Calibri" w:hAnsi="Calibri" w:cs="Calibri"/>
                <w:color w:val="000000"/>
                <w:sz w:val="22"/>
              </w:rPr>
            </w:pPr>
            <w:r w:rsidRPr="00C05886">
              <w:rPr>
                <w:rFonts w:ascii="Calibri" w:hAnsi="Calibri" w:cs="Calibri"/>
                <w:color w:val="000000"/>
                <w:sz w:val="22"/>
              </w:rPr>
              <w:t>mixed planting</w:t>
            </w:r>
          </w:p>
        </w:tc>
        <w:tc>
          <w:tcPr>
            <w:tcW w:w="5494" w:type="dxa"/>
          </w:tcPr>
          <w:p w14:paraId="7A90D867" w14:textId="77777777" w:rsidR="00375BD2" w:rsidRPr="00C05886" w:rsidRDefault="00375BD2" w:rsidP="007F4F4B">
            <w:pPr>
              <w:spacing w:line="240" w:lineRule="auto"/>
              <w:rPr>
                <w:sz w:val="22"/>
                <w:lang w:eastAsia="en-GB"/>
              </w:rPr>
            </w:pPr>
            <w:r w:rsidRPr="00C05886">
              <w:rPr>
                <w:sz w:val="22"/>
                <w:lang w:eastAsia="en-GB"/>
              </w:rPr>
              <w:t>Present/portrayed in the photograph</w:t>
            </w:r>
          </w:p>
        </w:tc>
        <w:tc>
          <w:tcPr>
            <w:tcW w:w="1805" w:type="dxa"/>
            <w:gridSpan w:val="2"/>
          </w:tcPr>
          <w:p w14:paraId="21CAE8F9" w14:textId="77777777" w:rsidR="00375BD2" w:rsidRPr="00C05886" w:rsidRDefault="00375BD2" w:rsidP="007F4F4B">
            <w:pPr>
              <w:spacing w:line="240" w:lineRule="auto"/>
              <w:rPr>
                <w:sz w:val="22"/>
                <w:lang w:eastAsia="en-GB"/>
              </w:rPr>
            </w:pPr>
            <w:r w:rsidRPr="00C05886">
              <w:rPr>
                <w:sz w:val="22"/>
                <w:lang w:eastAsia="en-GB"/>
              </w:rPr>
              <w:t>0 = absent</w:t>
            </w:r>
          </w:p>
          <w:p w14:paraId="00584E2F" w14:textId="77777777" w:rsidR="00375BD2" w:rsidRPr="00C05886" w:rsidRDefault="00375BD2" w:rsidP="007F4F4B">
            <w:pPr>
              <w:spacing w:line="240" w:lineRule="auto"/>
              <w:rPr>
                <w:sz w:val="22"/>
                <w:lang w:eastAsia="en-GB"/>
              </w:rPr>
            </w:pPr>
            <w:r w:rsidRPr="00C05886">
              <w:rPr>
                <w:sz w:val="22"/>
                <w:lang w:eastAsia="en-GB"/>
              </w:rPr>
              <w:t>1 = present</w:t>
            </w:r>
          </w:p>
        </w:tc>
      </w:tr>
      <w:tr w:rsidR="00375BD2" w:rsidRPr="00C05886" w14:paraId="3EFA5C85" w14:textId="77777777" w:rsidTr="007F4F4B">
        <w:trPr>
          <w:cnfStyle w:val="000000100000" w:firstRow="0" w:lastRow="0" w:firstColumn="0" w:lastColumn="0" w:oddVBand="0" w:evenVBand="0" w:oddHBand="1" w:evenHBand="0" w:firstRowFirstColumn="0" w:firstRowLastColumn="0" w:lastRowFirstColumn="0" w:lastRowLastColumn="0"/>
          <w:trHeight w:val="202"/>
        </w:trPr>
        <w:tc>
          <w:tcPr>
            <w:tcW w:w="2552" w:type="dxa"/>
          </w:tcPr>
          <w:p w14:paraId="09C90740" w14:textId="77777777" w:rsidR="00375BD2" w:rsidRPr="00C05886" w:rsidRDefault="00375BD2" w:rsidP="007F4F4B">
            <w:pPr>
              <w:spacing w:line="240" w:lineRule="auto"/>
              <w:rPr>
                <w:rFonts w:ascii="Calibri" w:hAnsi="Calibri" w:cs="Calibri"/>
                <w:color w:val="000000"/>
                <w:sz w:val="22"/>
              </w:rPr>
            </w:pPr>
            <w:r w:rsidRPr="00C05886">
              <w:rPr>
                <w:rFonts w:ascii="Calibri" w:hAnsi="Calibri" w:cs="Calibri"/>
                <w:color w:val="000000"/>
                <w:sz w:val="22"/>
              </w:rPr>
              <w:t>outdoor without nature</w:t>
            </w:r>
          </w:p>
        </w:tc>
        <w:tc>
          <w:tcPr>
            <w:tcW w:w="5494" w:type="dxa"/>
          </w:tcPr>
          <w:p w14:paraId="0027E3BE" w14:textId="77777777" w:rsidR="00375BD2" w:rsidRPr="00C05886" w:rsidRDefault="00375BD2" w:rsidP="007F4F4B">
            <w:pPr>
              <w:spacing w:line="240" w:lineRule="auto"/>
              <w:rPr>
                <w:sz w:val="22"/>
                <w:lang w:eastAsia="en-GB"/>
              </w:rPr>
            </w:pPr>
            <w:r w:rsidRPr="00C05886">
              <w:rPr>
                <w:sz w:val="22"/>
                <w:lang w:eastAsia="en-GB"/>
              </w:rPr>
              <w:t>The photograph was taken outdoor but does not portray/include any natural element</w:t>
            </w:r>
          </w:p>
        </w:tc>
        <w:tc>
          <w:tcPr>
            <w:tcW w:w="1805" w:type="dxa"/>
            <w:gridSpan w:val="2"/>
          </w:tcPr>
          <w:p w14:paraId="15589A10" w14:textId="77777777" w:rsidR="00375BD2" w:rsidRPr="00C05886" w:rsidRDefault="00375BD2" w:rsidP="007F4F4B">
            <w:pPr>
              <w:spacing w:line="240" w:lineRule="auto"/>
              <w:rPr>
                <w:sz w:val="22"/>
                <w:lang w:eastAsia="en-GB"/>
              </w:rPr>
            </w:pPr>
            <w:r w:rsidRPr="00C05886">
              <w:rPr>
                <w:sz w:val="22"/>
                <w:lang w:eastAsia="en-GB"/>
              </w:rPr>
              <w:t>0 = no</w:t>
            </w:r>
          </w:p>
          <w:p w14:paraId="031B0779" w14:textId="77777777" w:rsidR="00375BD2" w:rsidRPr="00C05886" w:rsidRDefault="00375BD2" w:rsidP="007F4F4B">
            <w:pPr>
              <w:spacing w:line="240" w:lineRule="auto"/>
              <w:rPr>
                <w:sz w:val="22"/>
                <w:lang w:eastAsia="en-GB"/>
              </w:rPr>
            </w:pPr>
            <w:r w:rsidRPr="00C05886">
              <w:rPr>
                <w:sz w:val="22"/>
                <w:lang w:eastAsia="en-GB"/>
              </w:rPr>
              <w:t>1 = yes</w:t>
            </w:r>
          </w:p>
        </w:tc>
      </w:tr>
      <w:tr w:rsidR="00375BD2" w:rsidRPr="00C05886" w14:paraId="52E2DA34" w14:textId="77777777" w:rsidTr="007F4F4B">
        <w:trPr>
          <w:trHeight w:val="202"/>
        </w:trPr>
        <w:tc>
          <w:tcPr>
            <w:tcW w:w="2552" w:type="dxa"/>
          </w:tcPr>
          <w:p w14:paraId="25BC22C2" w14:textId="77777777" w:rsidR="00375BD2" w:rsidRPr="00C05886" w:rsidRDefault="00375BD2" w:rsidP="007F4F4B">
            <w:pPr>
              <w:spacing w:line="240" w:lineRule="auto"/>
              <w:rPr>
                <w:rFonts w:ascii="Calibri" w:hAnsi="Calibri" w:cs="Calibri"/>
                <w:color w:val="000000"/>
                <w:sz w:val="22"/>
              </w:rPr>
            </w:pPr>
            <w:r w:rsidRPr="00C05886">
              <w:rPr>
                <w:rFonts w:ascii="Calibri" w:hAnsi="Calibri" w:cs="Calibri"/>
                <w:color w:val="000000"/>
                <w:sz w:val="22"/>
              </w:rPr>
              <w:t>participant garden</w:t>
            </w:r>
          </w:p>
        </w:tc>
        <w:tc>
          <w:tcPr>
            <w:tcW w:w="5494" w:type="dxa"/>
          </w:tcPr>
          <w:p w14:paraId="3D8E3143" w14:textId="77777777" w:rsidR="00375BD2" w:rsidRPr="00C05886" w:rsidRDefault="00375BD2" w:rsidP="007F4F4B">
            <w:pPr>
              <w:spacing w:line="240" w:lineRule="auto"/>
              <w:rPr>
                <w:sz w:val="22"/>
                <w:lang w:eastAsia="en-GB"/>
              </w:rPr>
            </w:pPr>
            <w:r w:rsidRPr="00C05886">
              <w:rPr>
                <w:sz w:val="22"/>
                <w:lang w:eastAsia="en-GB"/>
              </w:rPr>
              <w:t>The photograph was taken in or portrays a private garden, supposedly the participant’s garden</w:t>
            </w:r>
          </w:p>
        </w:tc>
        <w:tc>
          <w:tcPr>
            <w:tcW w:w="1805" w:type="dxa"/>
            <w:gridSpan w:val="2"/>
          </w:tcPr>
          <w:p w14:paraId="1304A771" w14:textId="77777777" w:rsidR="00375BD2" w:rsidRPr="00C05886" w:rsidRDefault="00375BD2" w:rsidP="007F4F4B">
            <w:pPr>
              <w:spacing w:line="240" w:lineRule="auto"/>
              <w:rPr>
                <w:sz w:val="22"/>
                <w:lang w:eastAsia="en-GB"/>
              </w:rPr>
            </w:pPr>
            <w:r w:rsidRPr="00C05886">
              <w:rPr>
                <w:sz w:val="22"/>
                <w:lang w:eastAsia="en-GB"/>
              </w:rPr>
              <w:t>0 = no</w:t>
            </w:r>
          </w:p>
          <w:p w14:paraId="34985432" w14:textId="77777777" w:rsidR="00375BD2" w:rsidRPr="00C05886" w:rsidRDefault="00375BD2" w:rsidP="007F4F4B">
            <w:pPr>
              <w:spacing w:line="240" w:lineRule="auto"/>
              <w:rPr>
                <w:sz w:val="22"/>
                <w:lang w:eastAsia="en-GB"/>
              </w:rPr>
            </w:pPr>
            <w:r w:rsidRPr="00C05886">
              <w:rPr>
                <w:sz w:val="22"/>
                <w:lang w:eastAsia="en-GB"/>
              </w:rPr>
              <w:t>1 = yes</w:t>
            </w:r>
          </w:p>
        </w:tc>
      </w:tr>
      <w:tr w:rsidR="00375BD2" w:rsidRPr="00C05886" w14:paraId="330A182D" w14:textId="77777777" w:rsidTr="007F4F4B">
        <w:trPr>
          <w:cnfStyle w:val="000000100000" w:firstRow="0" w:lastRow="0" w:firstColumn="0" w:lastColumn="0" w:oddVBand="0" w:evenVBand="0" w:oddHBand="1" w:evenHBand="0" w:firstRowFirstColumn="0" w:firstRowLastColumn="0" w:lastRowFirstColumn="0" w:lastRowLastColumn="0"/>
          <w:trHeight w:val="202"/>
        </w:trPr>
        <w:tc>
          <w:tcPr>
            <w:tcW w:w="2552" w:type="dxa"/>
          </w:tcPr>
          <w:p w14:paraId="63D9E723" w14:textId="77777777" w:rsidR="00375BD2" w:rsidRPr="00C05886" w:rsidRDefault="00375BD2" w:rsidP="007F4F4B">
            <w:pPr>
              <w:spacing w:line="240" w:lineRule="auto"/>
              <w:rPr>
                <w:rFonts w:ascii="Calibri" w:hAnsi="Calibri" w:cs="Calibri"/>
                <w:color w:val="000000"/>
                <w:sz w:val="22"/>
              </w:rPr>
            </w:pPr>
            <w:r w:rsidRPr="00C05886">
              <w:rPr>
                <w:rFonts w:ascii="Calibri" w:hAnsi="Calibri" w:cs="Calibri"/>
                <w:color w:val="000000"/>
                <w:sz w:val="22"/>
              </w:rPr>
              <w:t>plants as food</w:t>
            </w:r>
          </w:p>
        </w:tc>
        <w:tc>
          <w:tcPr>
            <w:tcW w:w="5494" w:type="dxa"/>
          </w:tcPr>
          <w:p w14:paraId="39851949" w14:textId="77777777" w:rsidR="00375BD2" w:rsidRPr="00C05886" w:rsidRDefault="00375BD2" w:rsidP="007F4F4B">
            <w:pPr>
              <w:spacing w:line="240" w:lineRule="auto"/>
              <w:rPr>
                <w:sz w:val="22"/>
                <w:lang w:eastAsia="en-GB"/>
              </w:rPr>
            </w:pPr>
            <w:r w:rsidRPr="00C05886">
              <w:rPr>
                <w:sz w:val="22"/>
                <w:lang w:eastAsia="en-GB"/>
              </w:rPr>
              <w:t>Present/portrayed in the photograph</w:t>
            </w:r>
          </w:p>
        </w:tc>
        <w:tc>
          <w:tcPr>
            <w:tcW w:w="1805" w:type="dxa"/>
            <w:gridSpan w:val="2"/>
          </w:tcPr>
          <w:p w14:paraId="4227CAC1" w14:textId="77777777" w:rsidR="00375BD2" w:rsidRPr="00C05886" w:rsidRDefault="00375BD2" w:rsidP="007F4F4B">
            <w:pPr>
              <w:spacing w:line="240" w:lineRule="auto"/>
              <w:rPr>
                <w:sz w:val="22"/>
                <w:lang w:eastAsia="en-GB"/>
              </w:rPr>
            </w:pPr>
            <w:r w:rsidRPr="00C05886">
              <w:rPr>
                <w:sz w:val="22"/>
                <w:lang w:eastAsia="en-GB"/>
              </w:rPr>
              <w:t>0 = absent</w:t>
            </w:r>
          </w:p>
          <w:p w14:paraId="0B9A21A9" w14:textId="77777777" w:rsidR="00375BD2" w:rsidRPr="00C05886" w:rsidRDefault="00375BD2" w:rsidP="007F4F4B">
            <w:pPr>
              <w:spacing w:line="240" w:lineRule="auto"/>
              <w:rPr>
                <w:sz w:val="22"/>
                <w:lang w:eastAsia="en-GB"/>
              </w:rPr>
            </w:pPr>
            <w:r w:rsidRPr="00C05886">
              <w:rPr>
                <w:sz w:val="22"/>
                <w:lang w:eastAsia="en-GB"/>
              </w:rPr>
              <w:t>1 = present</w:t>
            </w:r>
          </w:p>
        </w:tc>
      </w:tr>
      <w:tr w:rsidR="00375BD2" w:rsidRPr="00C05886" w14:paraId="5D4C2219" w14:textId="77777777" w:rsidTr="007F4F4B">
        <w:trPr>
          <w:trHeight w:val="202"/>
        </w:trPr>
        <w:tc>
          <w:tcPr>
            <w:tcW w:w="2552" w:type="dxa"/>
          </w:tcPr>
          <w:p w14:paraId="254E50A3" w14:textId="77777777" w:rsidR="00375BD2" w:rsidRPr="00C05886" w:rsidRDefault="00375BD2" w:rsidP="007F4F4B">
            <w:pPr>
              <w:spacing w:line="240" w:lineRule="auto"/>
              <w:rPr>
                <w:rFonts w:ascii="Calibri" w:hAnsi="Calibri" w:cs="Calibri"/>
                <w:color w:val="000000"/>
                <w:sz w:val="22"/>
              </w:rPr>
            </w:pPr>
            <w:r w:rsidRPr="00C05886">
              <w:rPr>
                <w:rFonts w:ascii="Calibri" w:hAnsi="Calibri" w:cs="Calibri"/>
                <w:color w:val="000000"/>
                <w:sz w:val="22"/>
              </w:rPr>
              <w:t>playground</w:t>
            </w:r>
          </w:p>
        </w:tc>
        <w:tc>
          <w:tcPr>
            <w:tcW w:w="5494" w:type="dxa"/>
          </w:tcPr>
          <w:p w14:paraId="48785255" w14:textId="77777777" w:rsidR="00375BD2" w:rsidRPr="00C05886" w:rsidRDefault="00375BD2" w:rsidP="007F4F4B">
            <w:pPr>
              <w:spacing w:line="240" w:lineRule="auto"/>
              <w:rPr>
                <w:sz w:val="22"/>
                <w:lang w:eastAsia="en-GB"/>
              </w:rPr>
            </w:pPr>
            <w:r w:rsidRPr="00C05886">
              <w:rPr>
                <w:sz w:val="22"/>
                <w:lang w:eastAsia="en-GB"/>
              </w:rPr>
              <w:t>Present/portrayed in the photograph</w:t>
            </w:r>
          </w:p>
        </w:tc>
        <w:tc>
          <w:tcPr>
            <w:tcW w:w="1805" w:type="dxa"/>
            <w:gridSpan w:val="2"/>
          </w:tcPr>
          <w:p w14:paraId="4AFB6DE8" w14:textId="77777777" w:rsidR="00375BD2" w:rsidRPr="00C05886" w:rsidRDefault="00375BD2" w:rsidP="007F4F4B">
            <w:pPr>
              <w:spacing w:line="240" w:lineRule="auto"/>
              <w:rPr>
                <w:sz w:val="22"/>
                <w:lang w:eastAsia="en-GB"/>
              </w:rPr>
            </w:pPr>
            <w:r w:rsidRPr="00C05886">
              <w:rPr>
                <w:sz w:val="22"/>
                <w:lang w:eastAsia="en-GB"/>
              </w:rPr>
              <w:t>0 = absent</w:t>
            </w:r>
          </w:p>
          <w:p w14:paraId="2AB42DC2" w14:textId="77777777" w:rsidR="00375BD2" w:rsidRPr="00C05886" w:rsidRDefault="00375BD2" w:rsidP="007F4F4B">
            <w:pPr>
              <w:spacing w:line="240" w:lineRule="auto"/>
              <w:rPr>
                <w:sz w:val="22"/>
                <w:lang w:eastAsia="en-GB"/>
              </w:rPr>
            </w:pPr>
            <w:r w:rsidRPr="00C05886">
              <w:rPr>
                <w:sz w:val="22"/>
                <w:lang w:eastAsia="en-GB"/>
              </w:rPr>
              <w:t>1 = present</w:t>
            </w:r>
          </w:p>
        </w:tc>
      </w:tr>
      <w:tr w:rsidR="00375BD2" w:rsidRPr="00C05886" w14:paraId="022EC6F8" w14:textId="77777777" w:rsidTr="007F4F4B">
        <w:trPr>
          <w:cnfStyle w:val="000000100000" w:firstRow="0" w:lastRow="0" w:firstColumn="0" w:lastColumn="0" w:oddVBand="0" w:evenVBand="0" w:oddHBand="1" w:evenHBand="0" w:firstRowFirstColumn="0" w:firstRowLastColumn="0" w:lastRowFirstColumn="0" w:lastRowLastColumn="0"/>
          <w:trHeight w:val="202"/>
        </w:trPr>
        <w:tc>
          <w:tcPr>
            <w:tcW w:w="2552" w:type="dxa"/>
          </w:tcPr>
          <w:p w14:paraId="4CC502E1" w14:textId="77777777" w:rsidR="00375BD2" w:rsidRPr="00C05886" w:rsidRDefault="00375BD2" w:rsidP="007F4F4B">
            <w:pPr>
              <w:spacing w:line="240" w:lineRule="auto"/>
              <w:rPr>
                <w:rFonts w:ascii="Calibri" w:hAnsi="Calibri" w:cs="Calibri"/>
                <w:color w:val="000000"/>
                <w:sz w:val="22"/>
              </w:rPr>
            </w:pPr>
            <w:r w:rsidRPr="00C05886">
              <w:rPr>
                <w:rFonts w:ascii="Calibri" w:hAnsi="Calibri" w:cs="Calibri"/>
                <w:color w:val="000000"/>
                <w:sz w:val="22"/>
              </w:rPr>
              <w:t>potted plants</w:t>
            </w:r>
          </w:p>
        </w:tc>
        <w:tc>
          <w:tcPr>
            <w:tcW w:w="5494" w:type="dxa"/>
          </w:tcPr>
          <w:p w14:paraId="3D0C5DDC" w14:textId="77777777" w:rsidR="00375BD2" w:rsidRPr="00C05886" w:rsidRDefault="00375BD2" w:rsidP="007F4F4B">
            <w:pPr>
              <w:spacing w:line="240" w:lineRule="auto"/>
              <w:rPr>
                <w:sz w:val="22"/>
                <w:lang w:eastAsia="en-GB"/>
              </w:rPr>
            </w:pPr>
            <w:r w:rsidRPr="00C05886">
              <w:rPr>
                <w:sz w:val="22"/>
                <w:lang w:eastAsia="en-GB"/>
              </w:rPr>
              <w:t>Present/portrayed in the photograph</w:t>
            </w:r>
          </w:p>
        </w:tc>
        <w:tc>
          <w:tcPr>
            <w:tcW w:w="1805" w:type="dxa"/>
            <w:gridSpan w:val="2"/>
          </w:tcPr>
          <w:p w14:paraId="1E799EE2" w14:textId="77777777" w:rsidR="00375BD2" w:rsidRPr="00C05886" w:rsidRDefault="00375BD2" w:rsidP="007F4F4B">
            <w:pPr>
              <w:spacing w:line="240" w:lineRule="auto"/>
              <w:rPr>
                <w:sz w:val="22"/>
                <w:lang w:eastAsia="en-GB"/>
              </w:rPr>
            </w:pPr>
            <w:r w:rsidRPr="00C05886">
              <w:rPr>
                <w:sz w:val="22"/>
                <w:lang w:eastAsia="en-GB"/>
              </w:rPr>
              <w:t>0 = absent</w:t>
            </w:r>
          </w:p>
          <w:p w14:paraId="3AD11566" w14:textId="77777777" w:rsidR="00375BD2" w:rsidRPr="00C05886" w:rsidRDefault="00375BD2" w:rsidP="007F4F4B">
            <w:pPr>
              <w:spacing w:line="240" w:lineRule="auto"/>
              <w:rPr>
                <w:sz w:val="22"/>
                <w:lang w:eastAsia="en-GB"/>
              </w:rPr>
            </w:pPr>
            <w:r w:rsidRPr="00C05886">
              <w:rPr>
                <w:sz w:val="22"/>
                <w:lang w:eastAsia="en-GB"/>
              </w:rPr>
              <w:t>1 = present</w:t>
            </w:r>
          </w:p>
        </w:tc>
      </w:tr>
      <w:tr w:rsidR="00375BD2" w:rsidRPr="00C05886" w14:paraId="5BFB2F9B" w14:textId="77777777" w:rsidTr="007F4F4B">
        <w:trPr>
          <w:trHeight w:val="202"/>
        </w:trPr>
        <w:tc>
          <w:tcPr>
            <w:tcW w:w="2552" w:type="dxa"/>
            <w:hideMark/>
          </w:tcPr>
          <w:p w14:paraId="5793D48F" w14:textId="77777777" w:rsidR="00375BD2" w:rsidRPr="00C05886" w:rsidRDefault="00375BD2" w:rsidP="007F4F4B">
            <w:pPr>
              <w:spacing w:line="240" w:lineRule="auto"/>
              <w:rPr>
                <w:rFonts w:ascii="Arial" w:hAnsi="Arial"/>
                <w:sz w:val="22"/>
                <w:lang w:eastAsia="en-GB"/>
              </w:rPr>
            </w:pPr>
            <w:r w:rsidRPr="00C05886">
              <w:rPr>
                <w:rFonts w:ascii="Calibri" w:hAnsi="Calibri" w:cs="Calibri"/>
                <w:color w:val="000000"/>
                <w:sz w:val="22"/>
              </w:rPr>
              <w:t>public art</w:t>
            </w:r>
          </w:p>
        </w:tc>
        <w:tc>
          <w:tcPr>
            <w:tcW w:w="5494" w:type="dxa"/>
            <w:hideMark/>
          </w:tcPr>
          <w:p w14:paraId="5D4E6231" w14:textId="77777777" w:rsidR="00375BD2" w:rsidRPr="00C05886" w:rsidRDefault="00375BD2" w:rsidP="007F4F4B">
            <w:pPr>
              <w:spacing w:line="240" w:lineRule="auto"/>
              <w:rPr>
                <w:rFonts w:ascii="Arial" w:hAnsi="Arial"/>
                <w:sz w:val="22"/>
                <w:lang w:eastAsia="en-GB"/>
              </w:rPr>
            </w:pPr>
            <w:r w:rsidRPr="00C05886">
              <w:rPr>
                <w:sz w:val="22"/>
                <w:lang w:eastAsia="en-GB"/>
              </w:rPr>
              <w:t>Present/portrayed in the photograph</w:t>
            </w:r>
          </w:p>
        </w:tc>
        <w:tc>
          <w:tcPr>
            <w:tcW w:w="1805" w:type="dxa"/>
            <w:gridSpan w:val="2"/>
          </w:tcPr>
          <w:p w14:paraId="2319E664" w14:textId="77777777" w:rsidR="00375BD2" w:rsidRPr="00C05886" w:rsidRDefault="00375BD2" w:rsidP="007F4F4B">
            <w:pPr>
              <w:spacing w:line="240" w:lineRule="auto"/>
              <w:rPr>
                <w:sz w:val="22"/>
                <w:lang w:eastAsia="en-GB"/>
              </w:rPr>
            </w:pPr>
            <w:r w:rsidRPr="00C05886">
              <w:rPr>
                <w:sz w:val="22"/>
                <w:lang w:eastAsia="en-GB"/>
              </w:rPr>
              <w:t>0 = absent</w:t>
            </w:r>
          </w:p>
          <w:p w14:paraId="33A85615" w14:textId="77777777" w:rsidR="00375BD2" w:rsidRPr="00C05886" w:rsidRDefault="00375BD2" w:rsidP="007F4F4B">
            <w:pPr>
              <w:spacing w:line="240" w:lineRule="auto"/>
              <w:rPr>
                <w:sz w:val="22"/>
                <w:lang w:eastAsia="en-GB"/>
              </w:rPr>
            </w:pPr>
            <w:r w:rsidRPr="00C05886">
              <w:rPr>
                <w:sz w:val="22"/>
                <w:lang w:eastAsia="en-GB"/>
              </w:rPr>
              <w:t>1 = present</w:t>
            </w:r>
          </w:p>
        </w:tc>
      </w:tr>
      <w:tr w:rsidR="00375BD2" w:rsidRPr="00C05886" w14:paraId="73C1A367" w14:textId="77777777" w:rsidTr="007F4F4B">
        <w:trPr>
          <w:cnfStyle w:val="000000100000" w:firstRow="0" w:lastRow="0" w:firstColumn="0" w:lastColumn="0" w:oddVBand="0" w:evenVBand="0" w:oddHBand="1" w:evenHBand="0" w:firstRowFirstColumn="0" w:firstRowLastColumn="0" w:lastRowFirstColumn="0" w:lastRowLastColumn="0"/>
          <w:trHeight w:val="202"/>
        </w:trPr>
        <w:tc>
          <w:tcPr>
            <w:tcW w:w="2552" w:type="dxa"/>
            <w:hideMark/>
          </w:tcPr>
          <w:p w14:paraId="4E5E2E31" w14:textId="77777777" w:rsidR="00375BD2" w:rsidRPr="00C05886" w:rsidRDefault="00375BD2" w:rsidP="007F4F4B">
            <w:pPr>
              <w:spacing w:line="240" w:lineRule="auto"/>
              <w:rPr>
                <w:rFonts w:ascii="Arial" w:hAnsi="Arial"/>
                <w:sz w:val="22"/>
                <w:lang w:eastAsia="en-GB"/>
              </w:rPr>
            </w:pPr>
            <w:r w:rsidRPr="00C05886">
              <w:rPr>
                <w:rFonts w:ascii="Calibri" w:hAnsi="Calibri" w:cs="Calibri"/>
                <w:color w:val="000000"/>
                <w:sz w:val="22"/>
              </w:rPr>
              <w:t>short grass</w:t>
            </w:r>
          </w:p>
        </w:tc>
        <w:tc>
          <w:tcPr>
            <w:tcW w:w="5494" w:type="dxa"/>
            <w:hideMark/>
          </w:tcPr>
          <w:p w14:paraId="0E1EE253" w14:textId="77777777" w:rsidR="00375BD2" w:rsidRPr="00C05886" w:rsidRDefault="00375BD2" w:rsidP="007F4F4B">
            <w:pPr>
              <w:spacing w:line="240" w:lineRule="auto"/>
              <w:rPr>
                <w:rFonts w:ascii="Arial" w:hAnsi="Arial"/>
                <w:sz w:val="22"/>
                <w:lang w:eastAsia="en-GB"/>
              </w:rPr>
            </w:pPr>
            <w:r w:rsidRPr="00C05886">
              <w:rPr>
                <w:sz w:val="22"/>
                <w:lang w:eastAsia="en-GB"/>
              </w:rPr>
              <w:t>Present/portrayed in the photograph</w:t>
            </w:r>
          </w:p>
        </w:tc>
        <w:tc>
          <w:tcPr>
            <w:tcW w:w="1805" w:type="dxa"/>
            <w:gridSpan w:val="2"/>
          </w:tcPr>
          <w:p w14:paraId="51DD396E" w14:textId="77777777" w:rsidR="00375BD2" w:rsidRPr="00C05886" w:rsidRDefault="00375BD2" w:rsidP="007F4F4B">
            <w:pPr>
              <w:spacing w:line="240" w:lineRule="auto"/>
              <w:rPr>
                <w:sz w:val="22"/>
                <w:lang w:eastAsia="en-GB"/>
              </w:rPr>
            </w:pPr>
            <w:r w:rsidRPr="00C05886">
              <w:rPr>
                <w:sz w:val="22"/>
                <w:lang w:eastAsia="en-GB"/>
              </w:rPr>
              <w:t>0 = absent</w:t>
            </w:r>
          </w:p>
          <w:p w14:paraId="2EF12267" w14:textId="77777777" w:rsidR="00375BD2" w:rsidRPr="00C05886" w:rsidRDefault="00375BD2" w:rsidP="007F4F4B">
            <w:pPr>
              <w:spacing w:line="240" w:lineRule="auto"/>
              <w:rPr>
                <w:sz w:val="22"/>
                <w:lang w:eastAsia="en-GB"/>
              </w:rPr>
            </w:pPr>
            <w:r w:rsidRPr="00C05886">
              <w:rPr>
                <w:sz w:val="22"/>
                <w:lang w:eastAsia="en-GB"/>
              </w:rPr>
              <w:t>1 = present</w:t>
            </w:r>
          </w:p>
        </w:tc>
      </w:tr>
      <w:tr w:rsidR="00375BD2" w:rsidRPr="00C05886" w14:paraId="509BD451" w14:textId="77777777" w:rsidTr="007F4F4B">
        <w:trPr>
          <w:trHeight w:val="202"/>
        </w:trPr>
        <w:tc>
          <w:tcPr>
            <w:tcW w:w="2552" w:type="dxa"/>
          </w:tcPr>
          <w:p w14:paraId="66A6AC63" w14:textId="77777777" w:rsidR="00375BD2" w:rsidRPr="00C05886" w:rsidRDefault="00375BD2" w:rsidP="007F4F4B">
            <w:pPr>
              <w:spacing w:line="240" w:lineRule="auto"/>
              <w:rPr>
                <w:sz w:val="22"/>
                <w:lang w:eastAsia="en-GB"/>
              </w:rPr>
            </w:pPr>
            <w:r w:rsidRPr="00C05886">
              <w:rPr>
                <w:rFonts w:ascii="Calibri" w:hAnsi="Calibri" w:cs="Calibri"/>
                <w:color w:val="000000"/>
                <w:sz w:val="22"/>
              </w:rPr>
              <w:t>sky</w:t>
            </w:r>
          </w:p>
        </w:tc>
        <w:tc>
          <w:tcPr>
            <w:tcW w:w="5494" w:type="dxa"/>
          </w:tcPr>
          <w:p w14:paraId="2330497A" w14:textId="77777777" w:rsidR="00375BD2" w:rsidRPr="00C05886" w:rsidRDefault="00375BD2" w:rsidP="007F4F4B">
            <w:pPr>
              <w:spacing w:line="240" w:lineRule="auto"/>
              <w:rPr>
                <w:sz w:val="22"/>
                <w:lang w:eastAsia="en-GB"/>
              </w:rPr>
            </w:pPr>
            <w:r w:rsidRPr="00C05886">
              <w:rPr>
                <w:sz w:val="22"/>
                <w:lang w:eastAsia="en-GB"/>
              </w:rPr>
              <w:t>The photograph is panoramic and portrays/includes the sky</w:t>
            </w:r>
          </w:p>
        </w:tc>
        <w:tc>
          <w:tcPr>
            <w:tcW w:w="1805" w:type="dxa"/>
            <w:gridSpan w:val="2"/>
          </w:tcPr>
          <w:p w14:paraId="0E7F9C4C" w14:textId="77777777" w:rsidR="00375BD2" w:rsidRPr="00C05886" w:rsidRDefault="00375BD2" w:rsidP="007F4F4B">
            <w:pPr>
              <w:spacing w:line="240" w:lineRule="auto"/>
              <w:rPr>
                <w:sz w:val="22"/>
                <w:lang w:eastAsia="en-GB"/>
              </w:rPr>
            </w:pPr>
            <w:r w:rsidRPr="00C05886">
              <w:rPr>
                <w:sz w:val="22"/>
                <w:lang w:eastAsia="en-GB"/>
              </w:rPr>
              <w:t>3.1</w:t>
            </w:r>
          </w:p>
        </w:tc>
      </w:tr>
      <w:tr w:rsidR="00375BD2" w:rsidRPr="00C05886" w14:paraId="1BA7D4DB" w14:textId="77777777" w:rsidTr="007F4F4B">
        <w:trPr>
          <w:cnfStyle w:val="000000100000" w:firstRow="0" w:lastRow="0" w:firstColumn="0" w:lastColumn="0" w:oddVBand="0" w:evenVBand="0" w:oddHBand="1" w:evenHBand="0" w:firstRowFirstColumn="0" w:firstRowLastColumn="0" w:lastRowFirstColumn="0" w:lastRowLastColumn="0"/>
          <w:trHeight w:val="202"/>
        </w:trPr>
        <w:tc>
          <w:tcPr>
            <w:tcW w:w="2552" w:type="dxa"/>
          </w:tcPr>
          <w:p w14:paraId="052D16EC" w14:textId="77777777" w:rsidR="00375BD2" w:rsidRPr="00C05886" w:rsidRDefault="00375BD2" w:rsidP="007F4F4B">
            <w:pPr>
              <w:spacing w:line="240" w:lineRule="auto"/>
              <w:rPr>
                <w:sz w:val="22"/>
                <w:lang w:eastAsia="en-GB"/>
              </w:rPr>
            </w:pPr>
            <w:r w:rsidRPr="00C05886">
              <w:rPr>
                <w:rFonts w:ascii="Calibri" w:hAnsi="Calibri" w:cs="Calibri"/>
                <w:color w:val="000000"/>
                <w:sz w:val="22"/>
              </w:rPr>
              <w:t>sport field</w:t>
            </w:r>
          </w:p>
        </w:tc>
        <w:tc>
          <w:tcPr>
            <w:tcW w:w="5494" w:type="dxa"/>
          </w:tcPr>
          <w:p w14:paraId="2DD51A00" w14:textId="77777777" w:rsidR="00375BD2" w:rsidRPr="00C05886" w:rsidRDefault="00375BD2" w:rsidP="007F4F4B">
            <w:pPr>
              <w:spacing w:line="240" w:lineRule="auto"/>
              <w:rPr>
                <w:sz w:val="22"/>
                <w:lang w:eastAsia="en-GB"/>
              </w:rPr>
            </w:pPr>
            <w:r w:rsidRPr="00C05886">
              <w:rPr>
                <w:sz w:val="22"/>
                <w:lang w:eastAsia="en-GB"/>
              </w:rPr>
              <w:t>Present/portrayed in the photograph</w:t>
            </w:r>
          </w:p>
        </w:tc>
        <w:tc>
          <w:tcPr>
            <w:tcW w:w="1805" w:type="dxa"/>
            <w:gridSpan w:val="2"/>
          </w:tcPr>
          <w:p w14:paraId="635349AA" w14:textId="77777777" w:rsidR="00375BD2" w:rsidRPr="00C05886" w:rsidRDefault="00375BD2" w:rsidP="007F4F4B">
            <w:pPr>
              <w:spacing w:line="240" w:lineRule="auto"/>
              <w:rPr>
                <w:sz w:val="22"/>
                <w:lang w:eastAsia="en-GB"/>
              </w:rPr>
            </w:pPr>
            <w:r w:rsidRPr="00C05886">
              <w:rPr>
                <w:sz w:val="22"/>
                <w:lang w:eastAsia="en-GB"/>
              </w:rPr>
              <w:t>0 = absent</w:t>
            </w:r>
          </w:p>
          <w:p w14:paraId="0D3DEC88" w14:textId="77777777" w:rsidR="00375BD2" w:rsidRPr="00C05886" w:rsidRDefault="00375BD2" w:rsidP="007F4F4B">
            <w:pPr>
              <w:spacing w:line="240" w:lineRule="auto"/>
              <w:rPr>
                <w:sz w:val="22"/>
                <w:lang w:eastAsia="en-GB"/>
              </w:rPr>
            </w:pPr>
            <w:r w:rsidRPr="00C05886">
              <w:rPr>
                <w:sz w:val="22"/>
                <w:lang w:eastAsia="en-GB"/>
              </w:rPr>
              <w:t>1 = present</w:t>
            </w:r>
          </w:p>
        </w:tc>
      </w:tr>
      <w:tr w:rsidR="00375BD2" w:rsidRPr="00C05886" w14:paraId="0DE62847" w14:textId="77777777" w:rsidTr="007F4F4B">
        <w:trPr>
          <w:trHeight w:val="202"/>
        </w:trPr>
        <w:tc>
          <w:tcPr>
            <w:tcW w:w="2552" w:type="dxa"/>
          </w:tcPr>
          <w:p w14:paraId="109D98EC" w14:textId="77777777" w:rsidR="00375BD2" w:rsidRPr="00C05886" w:rsidRDefault="00375BD2" w:rsidP="007F4F4B">
            <w:pPr>
              <w:spacing w:line="240" w:lineRule="auto"/>
              <w:rPr>
                <w:sz w:val="22"/>
                <w:lang w:eastAsia="en-GB"/>
              </w:rPr>
            </w:pPr>
            <w:r w:rsidRPr="00C05886">
              <w:rPr>
                <w:rFonts w:ascii="Calibri" w:hAnsi="Calibri" w:cs="Calibri"/>
                <w:color w:val="000000"/>
                <w:sz w:val="22"/>
              </w:rPr>
              <w:t>squirrel</w:t>
            </w:r>
          </w:p>
        </w:tc>
        <w:tc>
          <w:tcPr>
            <w:tcW w:w="5494" w:type="dxa"/>
          </w:tcPr>
          <w:p w14:paraId="09005487" w14:textId="77777777" w:rsidR="00375BD2" w:rsidRPr="00C05886" w:rsidRDefault="00375BD2" w:rsidP="007F4F4B">
            <w:pPr>
              <w:spacing w:line="240" w:lineRule="auto"/>
              <w:rPr>
                <w:sz w:val="22"/>
                <w:lang w:eastAsia="en-GB"/>
              </w:rPr>
            </w:pPr>
            <w:r w:rsidRPr="00C05886">
              <w:rPr>
                <w:sz w:val="22"/>
                <w:lang w:eastAsia="en-GB"/>
              </w:rPr>
              <w:t>Present/portrayed in the photograph</w:t>
            </w:r>
          </w:p>
        </w:tc>
        <w:tc>
          <w:tcPr>
            <w:tcW w:w="1805" w:type="dxa"/>
            <w:gridSpan w:val="2"/>
          </w:tcPr>
          <w:p w14:paraId="6CB77AC2" w14:textId="77777777" w:rsidR="00375BD2" w:rsidRPr="00C05886" w:rsidRDefault="00375BD2" w:rsidP="007F4F4B">
            <w:pPr>
              <w:spacing w:line="240" w:lineRule="auto"/>
              <w:rPr>
                <w:sz w:val="22"/>
                <w:lang w:eastAsia="en-GB"/>
              </w:rPr>
            </w:pPr>
            <w:r w:rsidRPr="00C05886">
              <w:rPr>
                <w:sz w:val="22"/>
                <w:lang w:eastAsia="en-GB"/>
              </w:rPr>
              <w:t>0 = absent</w:t>
            </w:r>
          </w:p>
          <w:p w14:paraId="55ED5BC3" w14:textId="77777777" w:rsidR="00375BD2" w:rsidRPr="00C05886" w:rsidRDefault="00375BD2" w:rsidP="007F4F4B">
            <w:pPr>
              <w:spacing w:line="240" w:lineRule="auto"/>
              <w:rPr>
                <w:sz w:val="22"/>
                <w:lang w:eastAsia="en-GB"/>
              </w:rPr>
            </w:pPr>
            <w:r w:rsidRPr="00C05886">
              <w:rPr>
                <w:sz w:val="22"/>
                <w:lang w:eastAsia="en-GB"/>
              </w:rPr>
              <w:t>1 = present</w:t>
            </w:r>
          </w:p>
        </w:tc>
      </w:tr>
      <w:tr w:rsidR="00375BD2" w:rsidRPr="00C05886" w14:paraId="318FEAEF" w14:textId="77777777" w:rsidTr="007F4F4B">
        <w:trPr>
          <w:cnfStyle w:val="000000100000" w:firstRow="0" w:lastRow="0" w:firstColumn="0" w:lastColumn="0" w:oddVBand="0" w:evenVBand="0" w:oddHBand="1" w:evenHBand="0" w:firstRowFirstColumn="0" w:firstRowLastColumn="0" w:lastRowFirstColumn="0" w:lastRowLastColumn="0"/>
          <w:trHeight w:val="202"/>
        </w:trPr>
        <w:tc>
          <w:tcPr>
            <w:tcW w:w="2552" w:type="dxa"/>
          </w:tcPr>
          <w:p w14:paraId="51A3D680" w14:textId="77777777" w:rsidR="00375BD2" w:rsidRPr="00C05886" w:rsidRDefault="00375BD2" w:rsidP="007F4F4B">
            <w:pPr>
              <w:spacing w:line="240" w:lineRule="auto"/>
              <w:rPr>
                <w:sz w:val="22"/>
                <w:lang w:eastAsia="en-GB"/>
              </w:rPr>
            </w:pPr>
            <w:r w:rsidRPr="00C05886">
              <w:rPr>
                <w:rFonts w:ascii="Calibri" w:hAnsi="Calibri" w:cs="Calibri"/>
                <w:color w:val="000000"/>
                <w:sz w:val="22"/>
              </w:rPr>
              <w:t>street green viewed from a window</w:t>
            </w:r>
          </w:p>
        </w:tc>
        <w:tc>
          <w:tcPr>
            <w:tcW w:w="5494" w:type="dxa"/>
          </w:tcPr>
          <w:p w14:paraId="1568DADF" w14:textId="77777777" w:rsidR="00375BD2" w:rsidRPr="00C05886" w:rsidRDefault="00375BD2" w:rsidP="007F4F4B">
            <w:pPr>
              <w:spacing w:line="240" w:lineRule="auto"/>
              <w:rPr>
                <w:sz w:val="22"/>
                <w:lang w:eastAsia="en-GB"/>
              </w:rPr>
            </w:pPr>
            <w:r w:rsidRPr="00C05886">
              <w:rPr>
                <w:sz w:val="22"/>
                <w:lang w:eastAsia="en-GB"/>
              </w:rPr>
              <w:t>The photograph was taken indoor and portrays what could be seen from a window</w:t>
            </w:r>
          </w:p>
        </w:tc>
        <w:tc>
          <w:tcPr>
            <w:tcW w:w="1805" w:type="dxa"/>
            <w:gridSpan w:val="2"/>
          </w:tcPr>
          <w:p w14:paraId="72A165D7" w14:textId="77777777" w:rsidR="00375BD2" w:rsidRPr="00C05886" w:rsidRDefault="00375BD2" w:rsidP="007F4F4B">
            <w:pPr>
              <w:spacing w:line="240" w:lineRule="auto"/>
              <w:rPr>
                <w:sz w:val="22"/>
                <w:lang w:eastAsia="en-GB"/>
              </w:rPr>
            </w:pPr>
            <w:r w:rsidRPr="00C05886">
              <w:rPr>
                <w:sz w:val="22"/>
                <w:lang w:eastAsia="en-GB"/>
              </w:rPr>
              <w:t>0 = no</w:t>
            </w:r>
          </w:p>
          <w:p w14:paraId="34CCD83A" w14:textId="77777777" w:rsidR="00375BD2" w:rsidRPr="00C05886" w:rsidRDefault="00375BD2" w:rsidP="007F4F4B">
            <w:pPr>
              <w:spacing w:line="240" w:lineRule="auto"/>
              <w:rPr>
                <w:sz w:val="22"/>
                <w:lang w:eastAsia="en-GB"/>
              </w:rPr>
            </w:pPr>
            <w:r w:rsidRPr="00C05886">
              <w:rPr>
                <w:sz w:val="22"/>
                <w:lang w:eastAsia="en-GB"/>
              </w:rPr>
              <w:t>1 = yes</w:t>
            </w:r>
          </w:p>
        </w:tc>
      </w:tr>
      <w:tr w:rsidR="00375BD2" w:rsidRPr="00C05886" w14:paraId="13A56A6B" w14:textId="77777777" w:rsidTr="007F4F4B">
        <w:trPr>
          <w:trHeight w:val="202"/>
        </w:trPr>
        <w:tc>
          <w:tcPr>
            <w:tcW w:w="2552" w:type="dxa"/>
          </w:tcPr>
          <w:p w14:paraId="79349FB3" w14:textId="77777777" w:rsidR="00375BD2" w:rsidRPr="00C05886" w:rsidRDefault="00375BD2" w:rsidP="007F4F4B">
            <w:pPr>
              <w:spacing w:line="240" w:lineRule="auto"/>
              <w:rPr>
                <w:sz w:val="22"/>
                <w:lang w:eastAsia="en-GB"/>
              </w:rPr>
            </w:pPr>
            <w:r w:rsidRPr="00C05886">
              <w:rPr>
                <w:rFonts w:ascii="Calibri" w:hAnsi="Calibri" w:cs="Calibri"/>
                <w:color w:val="000000"/>
                <w:sz w:val="22"/>
              </w:rPr>
              <w:t>tall grasses or shrubs</w:t>
            </w:r>
          </w:p>
        </w:tc>
        <w:tc>
          <w:tcPr>
            <w:tcW w:w="5494" w:type="dxa"/>
          </w:tcPr>
          <w:p w14:paraId="72DF7DCD" w14:textId="77777777" w:rsidR="00375BD2" w:rsidRPr="00C05886" w:rsidRDefault="00375BD2" w:rsidP="007F4F4B">
            <w:pPr>
              <w:spacing w:line="240" w:lineRule="auto"/>
              <w:rPr>
                <w:sz w:val="22"/>
                <w:lang w:eastAsia="en-GB"/>
              </w:rPr>
            </w:pPr>
            <w:r w:rsidRPr="00C05886">
              <w:rPr>
                <w:sz w:val="22"/>
                <w:lang w:eastAsia="en-GB"/>
              </w:rPr>
              <w:t>Present/portrayed in the photograph</w:t>
            </w:r>
          </w:p>
        </w:tc>
        <w:tc>
          <w:tcPr>
            <w:tcW w:w="1805" w:type="dxa"/>
            <w:gridSpan w:val="2"/>
          </w:tcPr>
          <w:p w14:paraId="02EA1158" w14:textId="77777777" w:rsidR="00375BD2" w:rsidRPr="00C05886" w:rsidRDefault="00375BD2" w:rsidP="007F4F4B">
            <w:pPr>
              <w:spacing w:line="240" w:lineRule="auto"/>
              <w:rPr>
                <w:sz w:val="22"/>
                <w:lang w:eastAsia="en-GB"/>
              </w:rPr>
            </w:pPr>
            <w:r w:rsidRPr="00C05886">
              <w:rPr>
                <w:sz w:val="22"/>
                <w:lang w:eastAsia="en-GB"/>
              </w:rPr>
              <w:t>0 = absent</w:t>
            </w:r>
          </w:p>
          <w:p w14:paraId="68A817C9" w14:textId="77777777" w:rsidR="00375BD2" w:rsidRPr="00C05886" w:rsidRDefault="00375BD2" w:rsidP="007F4F4B">
            <w:pPr>
              <w:spacing w:line="240" w:lineRule="auto"/>
              <w:rPr>
                <w:sz w:val="22"/>
                <w:lang w:eastAsia="en-GB"/>
              </w:rPr>
            </w:pPr>
            <w:r w:rsidRPr="00C05886">
              <w:rPr>
                <w:sz w:val="22"/>
                <w:lang w:eastAsia="en-GB"/>
              </w:rPr>
              <w:t>1 = present</w:t>
            </w:r>
          </w:p>
        </w:tc>
      </w:tr>
      <w:tr w:rsidR="00375BD2" w:rsidRPr="00C05886" w14:paraId="65A718DF" w14:textId="77777777" w:rsidTr="007F4F4B">
        <w:trPr>
          <w:cnfStyle w:val="000000100000" w:firstRow="0" w:lastRow="0" w:firstColumn="0" w:lastColumn="0" w:oddVBand="0" w:evenVBand="0" w:oddHBand="1" w:evenHBand="0" w:firstRowFirstColumn="0" w:firstRowLastColumn="0" w:lastRowFirstColumn="0" w:lastRowLastColumn="0"/>
          <w:trHeight w:val="202"/>
        </w:trPr>
        <w:tc>
          <w:tcPr>
            <w:tcW w:w="2552" w:type="dxa"/>
          </w:tcPr>
          <w:p w14:paraId="4BF040AB" w14:textId="77777777" w:rsidR="00375BD2" w:rsidRPr="00C05886" w:rsidRDefault="00375BD2" w:rsidP="007F4F4B">
            <w:pPr>
              <w:spacing w:line="240" w:lineRule="auto"/>
              <w:rPr>
                <w:rFonts w:ascii="Calibri" w:hAnsi="Calibri" w:cs="Calibri"/>
                <w:color w:val="000000"/>
                <w:sz w:val="22"/>
              </w:rPr>
            </w:pPr>
            <w:r w:rsidRPr="00C05886">
              <w:rPr>
                <w:rFonts w:ascii="Calibri" w:hAnsi="Calibri" w:cs="Calibri"/>
                <w:color w:val="000000"/>
                <w:sz w:val="22"/>
              </w:rPr>
              <w:t>Trees</w:t>
            </w:r>
          </w:p>
        </w:tc>
        <w:tc>
          <w:tcPr>
            <w:tcW w:w="5494" w:type="dxa"/>
          </w:tcPr>
          <w:p w14:paraId="5AEDC9FE" w14:textId="77777777" w:rsidR="00375BD2" w:rsidRPr="00C05886" w:rsidRDefault="00375BD2" w:rsidP="007F4F4B">
            <w:pPr>
              <w:spacing w:line="240" w:lineRule="auto"/>
              <w:rPr>
                <w:sz w:val="22"/>
                <w:lang w:eastAsia="en-GB"/>
              </w:rPr>
            </w:pPr>
            <w:r w:rsidRPr="00C05886">
              <w:rPr>
                <w:sz w:val="22"/>
                <w:lang w:eastAsia="en-GB"/>
              </w:rPr>
              <w:t>Present/portrayed in the photograph</w:t>
            </w:r>
          </w:p>
        </w:tc>
        <w:tc>
          <w:tcPr>
            <w:tcW w:w="1805" w:type="dxa"/>
            <w:gridSpan w:val="2"/>
          </w:tcPr>
          <w:p w14:paraId="6F6B085C" w14:textId="77777777" w:rsidR="00375BD2" w:rsidRPr="00C05886" w:rsidRDefault="00375BD2" w:rsidP="007F4F4B">
            <w:pPr>
              <w:spacing w:line="240" w:lineRule="auto"/>
              <w:rPr>
                <w:sz w:val="22"/>
                <w:lang w:eastAsia="en-GB"/>
              </w:rPr>
            </w:pPr>
            <w:r w:rsidRPr="00C05886">
              <w:rPr>
                <w:sz w:val="22"/>
                <w:lang w:eastAsia="en-GB"/>
              </w:rPr>
              <w:t>0 = absent</w:t>
            </w:r>
          </w:p>
          <w:p w14:paraId="782CB19F" w14:textId="77777777" w:rsidR="00375BD2" w:rsidRPr="00C05886" w:rsidRDefault="00375BD2" w:rsidP="007F4F4B">
            <w:pPr>
              <w:spacing w:line="240" w:lineRule="auto"/>
              <w:rPr>
                <w:sz w:val="22"/>
                <w:lang w:eastAsia="en-GB"/>
              </w:rPr>
            </w:pPr>
            <w:r w:rsidRPr="00C05886">
              <w:rPr>
                <w:sz w:val="22"/>
                <w:lang w:eastAsia="en-GB"/>
              </w:rPr>
              <w:t>1 = present</w:t>
            </w:r>
          </w:p>
        </w:tc>
      </w:tr>
      <w:tr w:rsidR="00375BD2" w:rsidRPr="00C05886" w14:paraId="4FAC5B04" w14:textId="77777777" w:rsidTr="007F4F4B">
        <w:trPr>
          <w:trHeight w:val="202"/>
        </w:trPr>
        <w:tc>
          <w:tcPr>
            <w:tcW w:w="2552" w:type="dxa"/>
          </w:tcPr>
          <w:p w14:paraId="56720372" w14:textId="77777777" w:rsidR="00375BD2" w:rsidRPr="00C05886" w:rsidRDefault="00375BD2" w:rsidP="007F4F4B">
            <w:pPr>
              <w:spacing w:line="240" w:lineRule="auto"/>
              <w:rPr>
                <w:rFonts w:ascii="Calibri" w:hAnsi="Calibri" w:cs="Calibri"/>
                <w:color w:val="000000"/>
                <w:sz w:val="22"/>
              </w:rPr>
            </w:pPr>
            <w:r w:rsidRPr="00C05886">
              <w:rPr>
                <w:rFonts w:ascii="Calibri" w:hAnsi="Calibri" w:cs="Calibri"/>
                <w:color w:val="000000"/>
                <w:sz w:val="22"/>
              </w:rPr>
              <w:t>Water bodies</w:t>
            </w:r>
          </w:p>
        </w:tc>
        <w:tc>
          <w:tcPr>
            <w:tcW w:w="5494" w:type="dxa"/>
          </w:tcPr>
          <w:p w14:paraId="6EFAFD7C" w14:textId="77777777" w:rsidR="00375BD2" w:rsidRPr="00C05886" w:rsidRDefault="00375BD2" w:rsidP="007F4F4B">
            <w:pPr>
              <w:spacing w:line="240" w:lineRule="auto"/>
              <w:rPr>
                <w:sz w:val="22"/>
                <w:lang w:eastAsia="en-GB"/>
              </w:rPr>
            </w:pPr>
            <w:r w:rsidRPr="00C05886">
              <w:rPr>
                <w:sz w:val="22"/>
                <w:lang w:eastAsia="en-GB"/>
              </w:rPr>
              <w:t>The photograph is panoramic and portrays/includes water bodies such as rivers, ponds and the seaside</w:t>
            </w:r>
          </w:p>
        </w:tc>
        <w:tc>
          <w:tcPr>
            <w:tcW w:w="1805" w:type="dxa"/>
            <w:gridSpan w:val="2"/>
          </w:tcPr>
          <w:p w14:paraId="2DDB6C6B" w14:textId="77777777" w:rsidR="00375BD2" w:rsidRPr="00C05886" w:rsidRDefault="00375BD2" w:rsidP="007F4F4B">
            <w:pPr>
              <w:spacing w:line="240" w:lineRule="auto"/>
              <w:rPr>
                <w:sz w:val="22"/>
                <w:lang w:eastAsia="en-GB"/>
              </w:rPr>
            </w:pPr>
            <w:r w:rsidRPr="00C05886">
              <w:rPr>
                <w:sz w:val="22"/>
                <w:lang w:eastAsia="en-GB"/>
              </w:rPr>
              <w:t>0 = no</w:t>
            </w:r>
          </w:p>
          <w:p w14:paraId="55DB0DC6" w14:textId="77777777" w:rsidR="00375BD2" w:rsidRPr="00C05886" w:rsidRDefault="00375BD2" w:rsidP="007F4F4B">
            <w:pPr>
              <w:spacing w:line="240" w:lineRule="auto"/>
              <w:rPr>
                <w:sz w:val="22"/>
                <w:lang w:eastAsia="en-GB"/>
              </w:rPr>
            </w:pPr>
            <w:r w:rsidRPr="00C05886">
              <w:rPr>
                <w:sz w:val="22"/>
                <w:lang w:eastAsia="en-GB"/>
              </w:rPr>
              <w:t>1 = yes</w:t>
            </w:r>
          </w:p>
        </w:tc>
      </w:tr>
      <w:tr w:rsidR="00375BD2" w:rsidRPr="00C05886" w14:paraId="6F31FAA3" w14:textId="77777777" w:rsidTr="007F4F4B">
        <w:trPr>
          <w:cnfStyle w:val="000000100000" w:firstRow="0" w:lastRow="0" w:firstColumn="0" w:lastColumn="0" w:oddVBand="0" w:evenVBand="0" w:oddHBand="1" w:evenHBand="0" w:firstRowFirstColumn="0" w:firstRowLastColumn="0" w:lastRowFirstColumn="0" w:lastRowLastColumn="0"/>
          <w:trHeight w:val="202"/>
        </w:trPr>
        <w:tc>
          <w:tcPr>
            <w:tcW w:w="2552" w:type="dxa"/>
            <w:hideMark/>
          </w:tcPr>
          <w:p w14:paraId="222C8C7C" w14:textId="77777777" w:rsidR="00375BD2" w:rsidRPr="00C05886" w:rsidRDefault="00375BD2" w:rsidP="007F4F4B">
            <w:pPr>
              <w:spacing w:line="240" w:lineRule="auto"/>
              <w:rPr>
                <w:rFonts w:ascii="Arial" w:eastAsia="Times New Roman" w:hAnsi="Arial" w:cs="Arial"/>
                <w:sz w:val="22"/>
                <w:lang w:eastAsia="en-GB"/>
              </w:rPr>
            </w:pPr>
            <w:r w:rsidRPr="00C05886">
              <w:rPr>
                <w:rFonts w:ascii="Trebuchet MS" w:eastAsia="Times New Roman" w:hAnsi="Trebuchet MS" w:cs="Arial"/>
                <w:b/>
                <w:bCs/>
                <w:kern w:val="24"/>
                <w:sz w:val="22"/>
                <w:lang w:eastAsia="en-GB"/>
              </w:rPr>
              <w:t>Participant variables</w:t>
            </w:r>
          </w:p>
        </w:tc>
        <w:tc>
          <w:tcPr>
            <w:tcW w:w="5528" w:type="dxa"/>
            <w:gridSpan w:val="2"/>
            <w:hideMark/>
          </w:tcPr>
          <w:p w14:paraId="22163755" w14:textId="77777777" w:rsidR="00375BD2" w:rsidRPr="00C05886" w:rsidRDefault="00375BD2" w:rsidP="007F4F4B">
            <w:pPr>
              <w:spacing w:line="240" w:lineRule="auto"/>
              <w:rPr>
                <w:rFonts w:ascii="Arial" w:eastAsia="Times New Roman" w:hAnsi="Arial" w:cs="Arial"/>
                <w:sz w:val="22"/>
                <w:lang w:eastAsia="en-GB"/>
              </w:rPr>
            </w:pPr>
          </w:p>
        </w:tc>
        <w:tc>
          <w:tcPr>
            <w:tcW w:w="1771" w:type="dxa"/>
          </w:tcPr>
          <w:p w14:paraId="495579E4" w14:textId="77777777" w:rsidR="00375BD2" w:rsidRPr="00C05886" w:rsidRDefault="00375BD2" w:rsidP="007F4F4B">
            <w:pPr>
              <w:spacing w:line="240" w:lineRule="auto"/>
              <w:rPr>
                <w:rFonts w:ascii="Trebuchet MS" w:eastAsia="Times New Roman" w:hAnsi="Trebuchet MS" w:cs="Arial"/>
                <w:b/>
                <w:bCs/>
                <w:kern w:val="24"/>
                <w:sz w:val="22"/>
                <w:lang w:eastAsia="en-GB"/>
              </w:rPr>
            </w:pPr>
          </w:p>
        </w:tc>
      </w:tr>
      <w:tr w:rsidR="00375BD2" w:rsidRPr="00C05886" w14:paraId="5AE929DC" w14:textId="77777777" w:rsidTr="007F4F4B">
        <w:trPr>
          <w:trHeight w:val="202"/>
        </w:trPr>
        <w:tc>
          <w:tcPr>
            <w:tcW w:w="2552" w:type="dxa"/>
            <w:hideMark/>
          </w:tcPr>
          <w:p w14:paraId="6B69451C" w14:textId="77777777" w:rsidR="00375BD2" w:rsidRPr="00C05886" w:rsidRDefault="00375BD2" w:rsidP="007F4F4B">
            <w:pPr>
              <w:spacing w:line="240" w:lineRule="auto"/>
              <w:rPr>
                <w:rFonts w:ascii="Arial" w:hAnsi="Arial"/>
                <w:sz w:val="22"/>
                <w:lang w:eastAsia="en-GB"/>
              </w:rPr>
            </w:pPr>
            <w:r w:rsidRPr="00C05886">
              <w:rPr>
                <w:sz w:val="22"/>
                <w:lang w:eastAsia="en-GB"/>
              </w:rPr>
              <w:t>Age</w:t>
            </w:r>
          </w:p>
        </w:tc>
        <w:tc>
          <w:tcPr>
            <w:tcW w:w="5528" w:type="dxa"/>
            <w:gridSpan w:val="2"/>
            <w:hideMark/>
          </w:tcPr>
          <w:p w14:paraId="408D33CA" w14:textId="77777777" w:rsidR="00375BD2" w:rsidRPr="00C05886" w:rsidRDefault="00375BD2" w:rsidP="007F4F4B">
            <w:pPr>
              <w:spacing w:line="240" w:lineRule="auto"/>
              <w:rPr>
                <w:rFonts w:ascii="Arial" w:hAnsi="Arial"/>
                <w:sz w:val="22"/>
                <w:lang w:eastAsia="en-GB"/>
              </w:rPr>
            </w:pPr>
            <w:r w:rsidRPr="00C05886">
              <w:rPr>
                <w:sz w:val="22"/>
                <w:lang w:eastAsia="en-GB"/>
              </w:rPr>
              <w:t>Age of the participant in years</w:t>
            </w:r>
          </w:p>
        </w:tc>
        <w:tc>
          <w:tcPr>
            <w:tcW w:w="1771" w:type="dxa"/>
          </w:tcPr>
          <w:p w14:paraId="0408A687" w14:textId="77777777" w:rsidR="00375BD2" w:rsidRPr="00C05886" w:rsidRDefault="00375BD2" w:rsidP="007F4F4B">
            <w:pPr>
              <w:spacing w:line="240" w:lineRule="auto"/>
              <w:rPr>
                <w:sz w:val="22"/>
                <w:lang w:eastAsia="en-GB"/>
              </w:rPr>
            </w:pPr>
            <w:r w:rsidRPr="00C05886">
              <w:rPr>
                <w:sz w:val="22"/>
                <w:lang w:eastAsia="en-GB"/>
              </w:rPr>
              <w:t xml:space="preserve">Continuous </w:t>
            </w:r>
          </w:p>
        </w:tc>
      </w:tr>
      <w:tr w:rsidR="00375BD2" w:rsidRPr="00C05886" w14:paraId="58AB8869" w14:textId="77777777" w:rsidTr="007F4F4B">
        <w:trPr>
          <w:cnfStyle w:val="000000100000" w:firstRow="0" w:lastRow="0" w:firstColumn="0" w:lastColumn="0" w:oddVBand="0" w:evenVBand="0" w:oddHBand="1" w:evenHBand="0" w:firstRowFirstColumn="0" w:firstRowLastColumn="0" w:lastRowFirstColumn="0" w:lastRowLastColumn="0"/>
          <w:trHeight w:val="202"/>
        </w:trPr>
        <w:tc>
          <w:tcPr>
            <w:tcW w:w="2552" w:type="dxa"/>
            <w:hideMark/>
          </w:tcPr>
          <w:p w14:paraId="3DF7CC31" w14:textId="77777777" w:rsidR="00375BD2" w:rsidRPr="00C05886" w:rsidRDefault="00375BD2" w:rsidP="007F4F4B">
            <w:pPr>
              <w:spacing w:line="240" w:lineRule="auto"/>
              <w:rPr>
                <w:rFonts w:ascii="Arial" w:hAnsi="Arial"/>
                <w:sz w:val="22"/>
                <w:lang w:eastAsia="en-GB"/>
              </w:rPr>
            </w:pPr>
            <w:r w:rsidRPr="00C05886">
              <w:rPr>
                <w:sz w:val="22"/>
                <w:lang w:eastAsia="en-GB"/>
              </w:rPr>
              <w:t>Time outside child</w:t>
            </w:r>
          </w:p>
        </w:tc>
        <w:tc>
          <w:tcPr>
            <w:tcW w:w="5528" w:type="dxa"/>
            <w:gridSpan w:val="2"/>
            <w:hideMark/>
          </w:tcPr>
          <w:p w14:paraId="66614386" w14:textId="77777777" w:rsidR="00375BD2" w:rsidRPr="00C05886" w:rsidRDefault="00375BD2" w:rsidP="007F4F4B">
            <w:pPr>
              <w:spacing w:line="240" w:lineRule="auto"/>
              <w:rPr>
                <w:rFonts w:ascii="Arial" w:hAnsi="Arial"/>
                <w:sz w:val="22"/>
                <w:lang w:eastAsia="en-GB"/>
              </w:rPr>
            </w:pPr>
            <w:r w:rsidRPr="00C05886">
              <w:rPr>
                <w:sz w:val="22"/>
                <w:lang w:eastAsia="en-GB"/>
              </w:rPr>
              <w:t>Response to the question:</w:t>
            </w:r>
            <w:r w:rsidRPr="00C05886">
              <w:rPr>
                <w:sz w:val="22"/>
              </w:rPr>
              <w:t xml:space="preserve"> “How much time did you spent outside as a child?</w:t>
            </w:r>
            <w:r w:rsidRPr="00C05886">
              <w:rPr>
                <w:rFonts w:cstheme="minorHAnsi"/>
                <w:sz w:val="22"/>
              </w:rPr>
              <w:t>”</w:t>
            </w:r>
          </w:p>
        </w:tc>
        <w:tc>
          <w:tcPr>
            <w:tcW w:w="1771" w:type="dxa"/>
          </w:tcPr>
          <w:p w14:paraId="3C684FB6" w14:textId="77777777" w:rsidR="00375BD2" w:rsidRPr="00C05886" w:rsidRDefault="00375BD2" w:rsidP="007F4F4B">
            <w:pPr>
              <w:spacing w:line="240" w:lineRule="auto"/>
              <w:rPr>
                <w:sz w:val="22"/>
                <w:lang w:eastAsia="en-GB"/>
              </w:rPr>
            </w:pPr>
            <w:r w:rsidRPr="00C05886">
              <w:rPr>
                <w:sz w:val="22"/>
                <w:lang w:eastAsia="en-GB"/>
              </w:rPr>
              <w:t>0 = none</w:t>
            </w:r>
          </w:p>
          <w:p w14:paraId="08C6BF67" w14:textId="77777777" w:rsidR="00375BD2" w:rsidRPr="00C05886" w:rsidRDefault="00375BD2" w:rsidP="007F4F4B">
            <w:pPr>
              <w:spacing w:line="240" w:lineRule="auto"/>
              <w:rPr>
                <w:sz w:val="22"/>
                <w:lang w:eastAsia="en-GB"/>
              </w:rPr>
            </w:pPr>
            <w:r w:rsidRPr="00C05886">
              <w:rPr>
                <w:sz w:val="22"/>
                <w:lang w:eastAsia="en-GB"/>
              </w:rPr>
              <w:t xml:space="preserve">1 </w:t>
            </w:r>
          </w:p>
          <w:p w14:paraId="4BA9946E" w14:textId="77777777" w:rsidR="00375BD2" w:rsidRPr="00C05886" w:rsidRDefault="00375BD2" w:rsidP="007F4F4B">
            <w:pPr>
              <w:spacing w:line="240" w:lineRule="auto"/>
              <w:rPr>
                <w:sz w:val="22"/>
                <w:lang w:eastAsia="en-GB"/>
              </w:rPr>
            </w:pPr>
            <w:r w:rsidRPr="00C05886">
              <w:rPr>
                <w:sz w:val="22"/>
                <w:lang w:eastAsia="en-GB"/>
              </w:rPr>
              <w:t xml:space="preserve">2 </w:t>
            </w:r>
          </w:p>
          <w:p w14:paraId="43B01AC6" w14:textId="77777777" w:rsidR="00375BD2" w:rsidRPr="00C05886" w:rsidRDefault="00375BD2" w:rsidP="007F4F4B">
            <w:pPr>
              <w:spacing w:line="240" w:lineRule="auto"/>
              <w:rPr>
                <w:sz w:val="22"/>
                <w:lang w:eastAsia="en-GB"/>
              </w:rPr>
            </w:pPr>
            <w:r w:rsidRPr="00C05886">
              <w:rPr>
                <w:sz w:val="22"/>
                <w:lang w:eastAsia="en-GB"/>
              </w:rPr>
              <w:t xml:space="preserve">3 </w:t>
            </w:r>
          </w:p>
          <w:p w14:paraId="55FFFD76" w14:textId="77777777" w:rsidR="00375BD2" w:rsidRPr="00C05886" w:rsidRDefault="00375BD2" w:rsidP="007F4F4B">
            <w:pPr>
              <w:spacing w:line="240" w:lineRule="auto"/>
              <w:rPr>
                <w:sz w:val="22"/>
                <w:lang w:eastAsia="en-GB"/>
              </w:rPr>
            </w:pPr>
            <w:r w:rsidRPr="00C05886">
              <w:rPr>
                <w:sz w:val="22"/>
                <w:lang w:eastAsia="en-GB"/>
              </w:rPr>
              <w:t>4 = a lot</w:t>
            </w:r>
          </w:p>
        </w:tc>
      </w:tr>
      <w:tr w:rsidR="00375BD2" w:rsidRPr="00C05886" w14:paraId="294FD35E" w14:textId="77777777" w:rsidTr="007F4F4B">
        <w:trPr>
          <w:trHeight w:val="202"/>
        </w:trPr>
        <w:tc>
          <w:tcPr>
            <w:tcW w:w="2552" w:type="dxa"/>
            <w:hideMark/>
          </w:tcPr>
          <w:p w14:paraId="479CF73D" w14:textId="77777777" w:rsidR="00375BD2" w:rsidRPr="00C05886" w:rsidRDefault="00375BD2" w:rsidP="007F4F4B">
            <w:pPr>
              <w:spacing w:line="240" w:lineRule="auto"/>
              <w:rPr>
                <w:rFonts w:ascii="Arial" w:hAnsi="Arial"/>
                <w:sz w:val="22"/>
                <w:lang w:eastAsia="en-GB"/>
              </w:rPr>
            </w:pPr>
            <w:r w:rsidRPr="00C05886">
              <w:rPr>
                <w:sz w:val="22"/>
                <w:lang w:eastAsia="en-GB"/>
              </w:rPr>
              <w:t>Time outside last</w:t>
            </w:r>
          </w:p>
        </w:tc>
        <w:tc>
          <w:tcPr>
            <w:tcW w:w="5528" w:type="dxa"/>
            <w:gridSpan w:val="2"/>
            <w:hideMark/>
          </w:tcPr>
          <w:p w14:paraId="6BC5C9DB" w14:textId="77777777" w:rsidR="00375BD2" w:rsidRPr="00C05886" w:rsidRDefault="00375BD2" w:rsidP="007F4F4B">
            <w:pPr>
              <w:spacing w:line="240" w:lineRule="auto"/>
              <w:rPr>
                <w:rFonts w:ascii="Arial" w:hAnsi="Arial"/>
                <w:sz w:val="22"/>
                <w:lang w:eastAsia="en-GB"/>
              </w:rPr>
            </w:pPr>
            <w:r w:rsidRPr="00C05886">
              <w:rPr>
                <w:sz w:val="22"/>
                <w:lang w:eastAsia="en-GB"/>
              </w:rPr>
              <w:t>Response to the question:</w:t>
            </w:r>
            <w:r w:rsidRPr="00C05886">
              <w:rPr>
                <w:sz w:val="22"/>
              </w:rPr>
              <w:t xml:space="preserve"> “How much time did you spent outside the last year?</w:t>
            </w:r>
            <w:r w:rsidRPr="00C05886">
              <w:rPr>
                <w:rFonts w:cstheme="minorHAnsi"/>
                <w:sz w:val="22"/>
              </w:rPr>
              <w:t>”</w:t>
            </w:r>
          </w:p>
        </w:tc>
        <w:tc>
          <w:tcPr>
            <w:tcW w:w="1771" w:type="dxa"/>
          </w:tcPr>
          <w:p w14:paraId="1DDDC993" w14:textId="77777777" w:rsidR="00375BD2" w:rsidRPr="00C05886" w:rsidRDefault="00375BD2" w:rsidP="007F4F4B">
            <w:pPr>
              <w:spacing w:line="240" w:lineRule="auto"/>
              <w:rPr>
                <w:sz w:val="22"/>
                <w:lang w:eastAsia="en-GB"/>
              </w:rPr>
            </w:pPr>
            <w:r w:rsidRPr="00C05886">
              <w:rPr>
                <w:sz w:val="22"/>
                <w:lang w:eastAsia="en-GB"/>
              </w:rPr>
              <w:t>0 = none</w:t>
            </w:r>
          </w:p>
          <w:p w14:paraId="608ADF59" w14:textId="77777777" w:rsidR="00375BD2" w:rsidRPr="00C05886" w:rsidRDefault="00375BD2" w:rsidP="007F4F4B">
            <w:pPr>
              <w:spacing w:line="240" w:lineRule="auto"/>
              <w:rPr>
                <w:sz w:val="22"/>
                <w:lang w:eastAsia="en-GB"/>
              </w:rPr>
            </w:pPr>
            <w:r w:rsidRPr="00C05886">
              <w:rPr>
                <w:sz w:val="22"/>
                <w:lang w:eastAsia="en-GB"/>
              </w:rPr>
              <w:t xml:space="preserve">1 </w:t>
            </w:r>
          </w:p>
          <w:p w14:paraId="4AA73618" w14:textId="77777777" w:rsidR="00375BD2" w:rsidRPr="00C05886" w:rsidRDefault="00375BD2" w:rsidP="007F4F4B">
            <w:pPr>
              <w:spacing w:line="240" w:lineRule="auto"/>
              <w:rPr>
                <w:sz w:val="22"/>
                <w:lang w:eastAsia="en-GB"/>
              </w:rPr>
            </w:pPr>
            <w:r w:rsidRPr="00C05886">
              <w:rPr>
                <w:sz w:val="22"/>
                <w:lang w:eastAsia="en-GB"/>
              </w:rPr>
              <w:t xml:space="preserve">2 </w:t>
            </w:r>
          </w:p>
          <w:p w14:paraId="0BD30B9E" w14:textId="77777777" w:rsidR="00375BD2" w:rsidRPr="00C05886" w:rsidRDefault="00375BD2" w:rsidP="007F4F4B">
            <w:pPr>
              <w:spacing w:line="240" w:lineRule="auto"/>
              <w:rPr>
                <w:sz w:val="22"/>
                <w:lang w:eastAsia="en-GB"/>
              </w:rPr>
            </w:pPr>
            <w:r w:rsidRPr="00C05886">
              <w:rPr>
                <w:sz w:val="22"/>
                <w:lang w:eastAsia="en-GB"/>
              </w:rPr>
              <w:t xml:space="preserve">3 </w:t>
            </w:r>
          </w:p>
          <w:p w14:paraId="3A715828" w14:textId="77777777" w:rsidR="00375BD2" w:rsidRPr="00C05886" w:rsidRDefault="00375BD2" w:rsidP="007F4F4B">
            <w:pPr>
              <w:spacing w:line="240" w:lineRule="auto"/>
              <w:rPr>
                <w:sz w:val="22"/>
                <w:lang w:eastAsia="en-GB"/>
              </w:rPr>
            </w:pPr>
            <w:r w:rsidRPr="00C05886">
              <w:rPr>
                <w:sz w:val="22"/>
                <w:lang w:eastAsia="en-GB"/>
              </w:rPr>
              <w:lastRenderedPageBreak/>
              <w:t>4 = a lot</w:t>
            </w:r>
          </w:p>
        </w:tc>
      </w:tr>
      <w:tr w:rsidR="00375BD2" w:rsidRPr="00C05886" w14:paraId="23D82BE4" w14:textId="77777777" w:rsidTr="007F4F4B">
        <w:trPr>
          <w:cnfStyle w:val="000000100000" w:firstRow="0" w:lastRow="0" w:firstColumn="0" w:lastColumn="0" w:oddVBand="0" w:evenVBand="0" w:oddHBand="1" w:evenHBand="0" w:firstRowFirstColumn="0" w:firstRowLastColumn="0" w:lastRowFirstColumn="0" w:lastRowLastColumn="0"/>
          <w:trHeight w:val="202"/>
        </w:trPr>
        <w:tc>
          <w:tcPr>
            <w:tcW w:w="2552" w:type="dxa"/>
          </w:tcPr>
          <w:p w14:paraId="766C9902" w14:textId="77777777" w:rsidR="00375BD2" w:rsidRPr="00C05886" w:rsidRDefault="00375BD2" w:rsidP="007F4F4B">
            <w:pPr>
              <w:spacing w:line="240" w:lineRule="auto"/>
              <w:rPr>
                <w:sz w:val="22"/>
                <w:lang w:eastAsia="en-GB"/>
              </w:rPr>
            </w:pPr>
            <w:r w:rsidRPr="00C05886">
              <w:rPr>
                <w:sz w:val="22"/>
                <w:lang w:eastAsia="en-GB"/>
              </w:rPr>
              <w:lastRenderedPageBreak/>
              <w:t>NR6 score</w:t>
            </w:r>
          </w:p>
        </w:tc>
        <w:tc>
          <w:tcPr>
            <w:tcW w:w="5528" w:type="dxa"/>
            <w:gridSpan w:val="2"/>
          </w:tcPr>
          <w:p w14:paraId="3F36D617" w14:textId="77777777" w:rsidR="00375BD2" w:rsidRPr="00C05886" w:rsidRDefault="00375BD2" w:rsidP="007F4F4B">
            <w:pPr>
              <w:spacing w:line="240" w:lineRule="auto"/>
              <w:rPr>
                <w:sz w:val="22"/>
                <w:lang w:eastAsia="en-GB"/>
              </w:rPr>
            </w:pPr>
            <w:r w:rsidRPr="00C05886">
              <w:rPr>
                <w:sz w:val="22"/>
                <w:lang w:eastAsia="en-GB"/>
              </w:rPr>
              <w:t>Result of the Nature Relatedness (short version)</w:t>
            </w:r>
          </w:p>
        </w:tc>
        <w:tc>
          <w:tcPr>
            <w:tcW w:w="1771" w:type="dxa"/>
          </w:tcPr>
          <w:p w14:paraId="35C00DA4" w14:textId="77777777" w:rsidR="00375BD2" w:rsidRPr="00C05886" w:rsidRDefault="00375BD2" w:rsidP="007F4F4B">
            <w:pPr>
              <w:spacing w:line="240" w:lineRule="auto"/>
              <w:rPr>
                <w:sz w:val="22"/>
                <w:lang w:eastAsia="en-GB"/>
              </w:rPr>
            </w:pPr>
            <w:r w:rsidRPr="00C05886">
              <w:rPr>
                <w:sz w:val="22"/>
                <w:lang w:eastAsia="en-GB"/>
              </w:rPr>
              <w:t>Continuous</w:t>
            </w:r>
          </w:p>
        </w:tc>
      </w:tr>
      <w:tr w:rsidR="00375BD2" w:rsidRPr="00C05886" w14:paraId="49FE22FD" w14:textId="77777777" w:rsidTr="007F4F4B">
        <w:trPr>
          <w:trHeight w:val="202"/>
        </w:trPr>
        <w:tc>
          <w:tcPr>
            <w:tcW w:w="2552" w:type="dxa"/>
          </w:tcPr>
          <w:p w14:paraId="37187F1A" w14:textId="77777777" w:rsidR="00375BD2" w:rsidRPr="00C05886" w:rsidRDefault="00375BD2" w:rsidP="007F4F4B">
            <w:pPr>
              <w:spacing w:line="240" w:lineRule="auto"/>
              <w:rPr>
                <w:sz w:val="22"/>
                <w:lang w:eastAsia="en-GB"/>
              </w:rPr>
            </w:pPr>
            <w:r w:rsidRPr="00C05886">
              <w:rPr>
                <w:sz w:val="22"/>
                <w:lang w:eastAsia="en-GB"/>
              </w:rPr>
              <w:t>INS score</w:t>
            </w:r>
          </w:p>
        </w:tc>
        <w:tc>
          <w:tcPr>
            <w:tcW w:w="5528" w:type="dxa"/>
            <w:gridSpan w:val="2"/>
          </w:tcPr>
          <w:p w14:paraId="41D0E7E7" w14:textId="77777777" w:rsidR="00375BD2" w:rsidRPr="00C05886" w:rsidRDefault="00375BD2" w:rsidP="007F4F4B">
            <w:pPr>
              <w:spacing w:line="240" w:lineRule="auto"/>
              <w:rPr>
                <w:sz w:val="22"/>
                <w:lang w:eastAsia="en-GB"/>
              </w:rPr>
            </w:pPr>
            <w:r w:rsidRPr="00C05886">
              <w:rPr>
                <w:sz w:val="22"/>
                <w:lang w:eastAsia="en-GB"/>
              </w:rPr>
              <w:t>Result of the Inclusion of Nature in Self</w:t>
            </w:r>
          </w:p>
        </w:tc>
        <w:tc>
          <w:tcPr>
            <w:tcW w:w="1771" w:type="dxa"/>
          </w:tcPr>
          <w:p w14:paraId="065D727F" w14:textId="77777777" w:rsidR="00375BD2" w:rsidRPr="00C05886" w:rsidRDefault="00375BD2" w:rsidP="007F4F4B">
            <w:pPr>
              <w:spacing w:line="240" w:lineRule="auto"/>
              <w:rPr>
                <w:sz w:val="22"/>
                <w:lang w:eastAsia="en-GB"/>
              </w:rPr>
            </w:pPr>
            <w:r w:rsidRPr="00C05886">
              <w:rPr>
                <w:sz w:val="22"/>
                <w:lang w:eastAsia="en-GB"/>
              </w:rPr>
              <w:t>Continuous</w:t>
            </w:r>
          </w:p>
        </w:tc>
      </w:tr>
    </w:tbl>
    <w:p w14:paraId="3E7EA892" w14:textId="77777777" w:rsidR="00375BD2" w:rsidRPr="00C05886" w:rsidRDefault="00375BD2" w:rsidP="00375BD2">
      <w:pPr>
        <w:spacing w:line="240" w:lineRule="auto"/>
      </w:pPr>
    </w:p>
    <w:p w14:paraId="1C15BCF6" w14:textId="77777777" w:rsidR="00375BD2" w:rsidRPr="00C05886" w:rsidRDefault="00375BD2" w:rsidP="00375BD2">
      <w:pPr>
        <w:pStyle w:val="Caption"/>
        <w:keepNext/>
      </w:pPr>
      <w:r w:rsidRPr="00C05886">
        <w:t>Table S.2 frequency of each code by group from highest to lowest</w:t>
      </w:r>
    </w:p>
    <w:tbl>
      <w:tblPr>
        <w:tblStyle w:val="PlainTable5"/>
        <w:tblW w:w="9831" w:type="dxa"/>
        <w:tblLook w:val="0420" w:firstRow="1" w:lastRow="0" w:firstColumn="0" w:lastColumn="0" w:noHBand="0" w:noVBand="1"/>
      </w:tblPr>
      <w:tblGrid>
        <w:gridCol w:w="3119"/>
        <w:gridCol w:w="1701"/>
        <w:gridCol w:w="3402"/>
        <w:gridCol w:w="1609"/>
      </w:tblGrid>
      <w:tr w:rsidR="00375BD2" w:rsidRPr="00C05886" w14:paraId="09C011FB" w14:textId="77777777" w:rsidTr="007F4F4B">
        <w:trPr>
          <w:cnfStyle w:val="100000000000" w:firstRow="1" w:lastRow="0" w:firstColumn="0" w:lastColumn="0" w:oddVBand="0" w:evenVBand="0" w:oddHBand="0" w:evenHBand="0" w:firstRowFirstColumn="0" w:firstRowLastColumn="0" w:lastRowFirstColumn="0" w:lastRowLastColumn="0"/>
          <w:trHeight w:val="200"/>
        </w:trPr>
        <w:tc>
          <w:tcPr>
            <w:tcW w:w="4820" w:type="dxa"/>
            <w:gridSpan w:val="2"/>
          </w:tcPr>
          <w:p w14:paraId="08FEEDA1" w14:textId="77777777" w:rsidR="00375BD2" w:rsidRPr="00C05886" w:rsidRDefault="00375BD2" w:rsidP="007F4F4B">
            <w:pPr>
              <w:spacing w:line="240" w:lineRule="auto"/>
              <w:jc w:val="center"/>
              <w:rPr>
                <w:rFonts w:ascii="Arial" w:eastAsia="Times New Roman" w:hAnsi="Arial" w:cs="Arial"/>
                <w:sz w:val="22"/>
                <w:lang w:eastAsia="en-GB"/>
              </w:rPr>
            </w:pPr>
            <w:r w:rsidRPr="00C05886">
              <w:rPr>
                <w:rFonts w:ascii="Arial" w:eastAsia="Times New Roman" w:hAnsi="Arial" w:cs="Arial"/>
                <w:sz w:val="22"/>
                <w:lang w:eastAsia="en-GB"/>
              </w:rPr>
              <w:t>Built condition</w:t>
            </w:r>
          </w:p>
        </w:tc>
        <w:tc>
          <w:tcPr>
            <w:tcW w:w="5011" w:type="dxa"/>
            <w:gridSpan w:val="2"/>
          </w:tcPr>
          <w:p w14:paraId="36EEFF2C" w14:textId="77777777" w:rsidR="00375BD2" w:rsidRPr="00C05886" w:rsidRDefault="00375BD2" w:rsidP="007F4F4B">
            <w:pPr>
              <w:spacing w:line="240" w:lineRule="auto"/>
              <w:jc w:val="center"/>
              <w:rPr>
                <w:rFonts w:ascii="Trebuchet MS" w:eastAsia="Times New Roman" w:hAnsi="Trebuchet MS" w:cs="Arial"/>
                <w:b/>
                <w:bCs/>
                <w:kern w:val="24"/>
                <w:sz w:val="22"/>
                <w:lang w:eastAsia="en-GB"/>
              </w:rPr>
            </w:pPr>
            <w:r w:rsidRPr="00C05886">
              <w:rPr>
                <w:rFonts w:ascii="Arial" w:eastAsia="Times New Roman" w:hAnsi="Arial" w:cs="Arial"/>
                <w:sz w:val="22"/>
                <w:lang w:eastAsia="en-GB"/>
              </w:rPr>
              <w:t>Nature condition</w:t>
            </w:r>
          </w:p>
        </w:tc>
      </w:tr>
      <w:tr w:rsidR="00375BD2" w:rsidRPr="00C05886" w14:paraId="6EB641E6" w14:textId="77777777" w:rsidTr="007F4F4B">
        <w:trPr>
          <w:cnfStyle w:val="000000100000" w:firstRow="0" w:lastRow="0" w:firstColumn="0" w:lastColumn="0" w:oddVBand="0" w:evenVBand="0" w:oddHBand="1" w:evenHBand="0" w:firstRowFirstColumn="0" w:firstRowLastColumn="0" w:lastRowFirstColumn="0" w:lastRowLastColumn="0"/>
          <w:trHeight w:val="200"/>
        </w:trPr>
        <w:tc>
          <w:tcPr>
            <w:tcW w:w="3119" w:type="dxa"/>
          </w:tcPr>
          <w:p w14:paraId="287E793E" w14:textId="77777777" w:rsidR="00375BD2" w:rsidRPr="00C05886" w:rsidRDefault="00375BD2" w:rsidP="007F4F4B">
            <w:pPr>
              <w:spacing w:line="240" w:lineRule="auto"/>
              <w:jc w:val="center"/>
              <w:rPr>
                <w:rFonts w:cstheme="minorHAnsi"/>
                <w:b/>
                <w:bCs/>
                <w:sz w:val="22"/>
                <w:lang w:eastAsia="en-GB"/>
              </w:rPr>
            </w:pPr>
            <w:r w:rsidRPr="00C05886">
              <w:rPr>
                <w:rFonts w:cstheme="minorHAnsi"/>
                <w:b/>
                <w:bCs/>
                <w:sz w:val="22"/>
                <w:lang w:eastAsia="en-GB"/>
              </w:rPr>
              <w:t>Code</w:t>
            </w:r>
          </w:p>
        </w:tc>
        <w:tc>
          <w:tcPr>
            <w:tcW w:w="1701" w:type="dxa"/>
          </w:tcPr>
          <w:p w14:paraId="16FDF5B3" w14:textId="77777777" w:rsidR="00375BD2" w:rsidRPr="00C05886" w:rsidRDefault="00375BD2" w:rsidP="007F4F4B">
            <w:pPr>
              <w:spacing w:line="240" w:lineRule="auto"/>
              <w:jc w:val="center"/>
              <w:rPr>
                <w:rFonts w:cstheme="minorHAnsi"/>
                <w:b/>
                <w:bCs/>
                <w:sz w:val="22"/>
                <w:lang w:eastAsia="en-GB"/>
              </w:rPr>
            </w:pPr>
            <w:r w:rsidRPr="00C05886">
              <w:rPr>
                <w:rFonts w:cstheme="minorHAnsi"/>
                <w:b/>
                <w:bCs/>
                <w:sz w:val="22"/>
                <w:lang w:eastAsia="en-GB"/>
              </w:rPr>
              <w:t>N (out of 370)</w:t>
            </w:r>
          </w:p>
        </w:tc>
        <w:tc>
          <w:tcPr>
            <w:tcW w:w="3402" w:type="dxa"/>
          </w:tcPr>
          <w:p w14:paraId="27C79405" w14:textId="77777777" w:rsidR="00375BD2" w:rsidRPr="00C05886" w:rsidRDefault="00375BD2" w:rsidP="007F4F4B">
            <w:pPr>
              <w:spacing w:line="240" w:lineRule="auto"/>
              <w:jc w:val="center"/>
              <w:rPr>
                <w:b/>
                <w:bCs/>
                <w:sz w:val="22"/>
                <w:lang w:eastAsia="en-GB"/>
              </w:rPr>
            </w:pPr>
            <w:r w:rsidRPr="00C05886">
              <w:rPr>
                <w:b/>
                <w:bCs/>
                <w:sz w:val="22"/>
                <w:lang w:eastAsia="en-GB"/>
              </w:rPr>
              <w:t>Code</w:t>
            </w:r>
          </w:p>
        </w:tc>
        <w:tc>
          <w:tcPr>
            <w:tcW w:w="1609" w:type="dxa"/>
          </w:tcPr>
          <w:p w14:paraId="2E863BF0" w14:textId="77777777" w:rsidR="00375BD2" w:rsidRPr="00C05886" w:rsidRDefault="00375BD2" w:rsidP="007F4F4B">
            <w:pPr>
              <w:spacing w:line="240" w:lineRule="auto"/>
              <w:jc w:val="center"/>
              <w:rPr>
                <w:b/>
                <w:bCs/>
                <w:sz w:val="22"/>
                <w:lang w:eastAsia="en-GB"/>
              </w:rPr>
            </w:pPr>
            <w:r w:rsidRPr="00C05886">
              <w:rPr>
                <w:b/>
                <w:bCs/>
                <w:sz w:val="22"/>
                <w:lang w:eastAsia="en-GB"/>
              </w:rPr>
              <w:t>N (out of 585)</w:t>
            </w:r>
          </w:p>
        </w:tc>
      </w:tr>
      <w:tr w:rsidR="00375BD2" w:rsidRPr="00C05886" w14:paraId="142AF818" w14:textId="77777777" w:rsidTr="007F4F4B">
        <w:trPr>
          <w:trHeight w:val="200"/>
        </w:trPr>
        <w:tc>
          <w:tcPr>
            <w:tcW w:w="3119" w:type="dxa"/>
            <w:vAlign w:val="bottom"/>
          </w:tcPr>
          <w:p w14:paraId="610AFAFB" w14:textId="77777777" w:rsidR="00375BD2" w:rsidRPr="00C05886" w:rsidRDefault="00375BD2" w:rsidP="007F4F4B">
            <w:pPr>
              <w:spacing w:line="240" w:lineRule="auto"/>
              <w:rPr>
                <w:rFonts w:cstheme="minorHAnsi"/>
                <w:sz w:val="22"/>
                <w:lang w:eastAsia="en-GB"/>
              </w:rPr>
            </w:pPr>
            <w:r w:rsidRPr="00C05886">
              <w:rPr>
                <w:rFonts w:cstheme="minorHAnsi"/>
                <w:sz w:val="22"/>
              </w:rPr>
              <w:t>Buildings</w:t>
            </w:r>
          </w:p>
        </w:tc>
        <w:tc>
          <w:tcPr>
            <w:tcW w:w="1701" w:type="dxa"/>
            <w:vAlign w:val="bottom"/>
          </w:tcPr>
          <w:p w14:paraId="7D4B54B5" w14:textId="77777777" w:rsidR="00375BD2" w:rsidRPr="00C05886" w:rsidRDefault="00375BD2" w:rsidP="007F4F4B">
            <w:pPr>
              <w:spacing w:line="240" w:lineRule="auto"/>
              <w:rPr>
                <w:rFonts w:cstheme="minorHAnsi"/>
                <w:sz w:val="22"/>
                <w:lang w:eastAsia="en-GB"/>
              </w:rPr>
            </w:pPr>
            <w:r w:rsidRPr="00C05886">
              <w:rPr>
                <w:rFonts w:cstheme="minorHAnsi"/>
                <w:sz w:val="22"/>
              </w:rPr>
              <w:t>197</w:t>
            </w:r>
          </w:p>
        </w:tc>
        <w:tc>
          <w:tcPr>
            <w:tcW w:w="3402" w:type="dxa"/>
            <w:vAlign w:val="bottom"/>
          </w:tcPr>
          <w:p w14:paraId="4DFDA8AD" w14:textId="77777777" w:rsidR="00375BD2" w:rsidRPr="00C05886" w:rsidRDefault="00375BD2" w:rsidP="007F4F4B">
            <w:pPr>
              <w:spacing w:line="240" w:lineRule="auto"/>
              <w:rPr>
                <w:rFonts w:cstheme="minorHAnsi"/>
                <w:sz w:val="22"/>
                <w:lang w:eastAsia="en-GB"/>
              </w:rPr>
            </w:pPr>
            <w:r w:rsidRPr="00C05886">
              <w:rPr>
                <w:rFonts w:cstheme="minorHAnsi"/>
                <w:sz w:val="22"/>
              </w:rPr>
              <w:t>Trees</w:t>
            </w:r>
          </w:p>
        </w:tc>
        <w:tc>
          <w:tcPr>
            <w:tcW w:w="1609" w:type="dxa"/>
            <w:vAlign w:val="bottom"/>
          </w:tcPr>
          <w:p w14:paraId="173CD7AE" w14:textId="77777777" w:rsidR="00375BD2" w:rsidRPr="00C05886" w:rsidRDefault="00375BD2" w:rsidP="007F4F4B">
            <w:pPr>
              <w:spacing w:line="240" w:lineRule="auto"/>
              <w:rPr>
                <w:rFonts w:cstheme="minorHAnsi"/>
                <w:sz w:val="22"/>
                <w:lang w:eastAsia="en-GB"/>
              </w:rPr>
            </w:pPr>
            <w:r w:rsidRPr="00C05886">
              <w:rPr>
                <w:rFonts w:cstheme="minorHAnsi"/>
                <w:sz w:val="22"/>
              </w:rPr>
              <w:t>203</w:t>
            </w:r>
          </w:p>
        </w:tc>
      </w:tr>
      <w:tr w:rsidR="00375BD2" w:rsidRPr="00C05886" w14:paraId="2BDF29D7" w14:textId="77777777" w:rsidTr="007F4F4B">
        <w:trPr>
          <w:cnfStyle w:val="000000100000" w:firstRow="0" w:lastRow="0" w:firstColumn="0" w:lastColumn="0" w:oddVBand="0" w:evenVBand="0" w:oddHBand="1" w:evenHBand="0" w:firstRowFirstColumn="0" w:firstRowLastColumn="0" w:lastRowFirstColumn="0" w:lastRowLastColumn="0"/>
          <w:trHeight w:val="200"/>
        </w:trPr>
        <w:tc>
          <w:tcPr>
            <w:tcW w:w="3119" w:type="dxa"/>
            <w:vAlign w:val="bottom"/>
          </w:tcPr>
          <w:p w14:paraId="4F7C67F1" w14:textId="77777777" w:rsidR="00375BD2" w:rsidRPr="00C05886" w:rsidRDefault="00375BD2" w:rsidP="007F4F4B">
            <w:pPr>
              <w:spacing w:line="240" w:lineRule="auto"/>
              <w:rPr>
                <w:rFonts w:cstheme="minorHAnsi"/>
                <w:sz w:val="22"/>
                <w:lang w:eastAsia="en-GB"/>
              </w:rPr>
            </w:pPr>
            <w:r w:rsidRPr="00C05886">
              <w:rPr>
                <w:rFonts w:cstheme="minorHAnsi"/>
                <w:sz w:val="22"/>
              </w:rPr>
              <w:t>Trees</w:t>
            </w:r>
          </w:p>
        </w:tc>
        <w:tc>
          <w:tcPr>
            <w:tcW w:w="1701" w:type="dxa"/>
            <w:vAlign w:val="bottom"/>
          </w:tcPr>
          <w:p w14:paraId="72AC5D5E" w14:textId="77777777" w:rsidR="00375BD2" w:rsidRPr="00C05886" w:rsidRDefault="00375BD2" w:rsidP="007F4F4B">
            <w:pPr>
              <w:spacing w:line="240" w:lineRule="auto"/>
              <w:rPr>
                <w:rFonts w:cstheme="minorHAnsi"/>
                <w:sz w:val="22"/>
                <w:lang w:eastAsia="en-GB"/>
              </w:rPr>
            </w:pPr>
            <w:r w:rsidRPr="00C05886">
              <w:rPr>
                <w:rFonts w:cstheme="minorHAnsi"/>
                <w:sz w:val="22"/>
              </w:rPr>
              <w:t>71</w:t>
            </w:r>
          </w:p>
        </w:tc>
        <w:tc>
          <w:tcPr>
            <w:tcW w:w="3402" w:type="dxa"/>
          </w:tcPr>
          <w:p w14:paraId="5986D0AA" w14:textId="77777777" w:rsidR="00375BD2" w:rsidRPr="00C05886" w:rsidRDefault="00375BD2" w:rsidP="007F4F4B">
            <w:pPr>
              <w:spacing w:line="240" w:lineRule="auto"/>
              <w:rPr>
                <w:rFonts w:cstheme="minorHAnsi"/>
                <w:sz w:val="22"/>
                <w:lang w:eastAsia="en-GB"/>
              </w:rPr>
            </w:pPr>
            <w:r w:rsidRPr="00C05886">
              <w:rPr>
                <w:rFonts w:ascii="Calibri" w:hAnsi="Calibri" w:cs="Calibri"/>
                <w:color w:val="000000"/>
                <w:sz w:val="22"/>
              </w:rPr>
              <w:t>Colourful flowers</w:t>
            </w:r>
          </w:p>
        </w:tc>
        <w:tc>
          <w:tcPr>
            <w:tcW w:w="1609" w:type="dxa"/>
            <w:vAlign w:val="bottom"/>
          </w:tcPr>
          <w:p w14:paraId="23FFEACB" w14:textId="77777777" w:rsidR="00375BD2" w:rsidRPr="00C05886" w:rsidRDefault="00375BD2" w:rsidP="007F4F4B">
            <w:pPr>
              <w:spacing w:line="240" w:lineRule="auto"/>
              <w:rPr>
                <w:rFonts w:cstheme="minorHAnsi"/>
                <w:sz w:val="22"/>
                <w:lang w:eastAsia="en-GB"/>
              </w:rPr>
            </w:pPr>
            <w:r w:rsidRPr="00C05886">
              <w:rPr>
                <w:rFonts w:cstheme="minorHAnsi"/>
                <w:sz w:val="22"/>
              </w:rPr>
              <w:t>126</w:t>
            </w:r>
          </w:p>
        </w:tc>
      </w:tr>
      <w:tr w:rsidR="00375BD2" w:rsidRPr="00C05886" w14:paraId="6B0480E2" w14:textId="77777777" w:rsidTr="007F4F4B">
        <w:trPr>
          <w:trHeight w:val="200"/>
        </w:trPr>
        <w:tc>
          <w:tcPr>
            <w:tcW w:w="3119" w:type="dxa"/>
            <w:vAlign w:val="bottom"/>
          </w:tcPr>
          <w:p w14:paraId="2B54EA82" w14:textId="77777777" w:rsidR="00375BD2" w:rsidRPr="00C05886" w:rsidRDefault="00375BD2" w:rsidP="007F4F4B">
            <w:pPr>
              <w:spacing w:line="240" w:lineRule="auto"/>
              <w:rPr>
                <w:rFonts w:cstheme="minorHAnsi"/>
                <w:sz w:val="22"/>
                <w:lang w:eastAsia="en-GB"/>
              </w:rPr>
            </w:pPr>
            <w:r w:rsidRPr="00C05886">
              <w:rPr>
                <w:rFonts w:cstheme="minorHAnsi"/>
                <w:sz w:val="22"/>
              </w:rPr>
              <w:t>Sky</w:t>
            </w:r>
          </w:p>
        </w:tc>
        <w:tc>
          <w:tcPr>
            <w:tcW w:w="1701" w:type="dxa"/>
            <w:vAlign w:val="bottom"/>
          </w:tcPr>
          <w:p w14:paraId="73B5490D" w14:textId="77777777" w:rsidR="00375BD2" w:rsidRPr="00C05886" w:rsidRDefault="00375BD2" w:rsidP="007F4F4B">
            <w:pPr>
              <w:spacing w:line="240" w:lineRule="auto"/>
              <w:rPr>
                <w:rFonts w:cstheme="minorHAnsi"/>
                <w:sz w:val="22"/>
                <w:lang w:eastAsia="en-GB"/>
              </w:rPr>
            </w:pPr>
            <w:r w:rsidRPr="00C05886">
              <w:rPr>
                <w:rFonts w:cstheme="minorHAnsi"/>
                <w:sz w:val="22"/>
              </w:rPr>
              <w:t>46</w:t>
            </w:r>
          </w:p>
        </w:tc>
        <w:tc>
          <w:tcPr>
            <w:tcW w:w="3402" w:type="dxa"/>
            <w:vAlign w:val="bottom"/>
          </w:tcPr>
          <w:p w14:paraId="0CC07109" w14:textId="77777777" w:rsidR="00375BD2" w:rsidRPr="00C05886" w:rsidRDefault="00375BD2" w:rsidP="007F4F4B">
            <w:pPr>
              <w:spacing w:line="240" w:lineRule="auto"/>
              <w:rPr>
                <w:rFonts w:cstheme="minorHAnsi"/>
                <w:sz w:val="22"/>
                <w:lang w:eastAsia="en-GB"/>
              </w:rPr>
            </w:pPr>
            <w:r w:rsidRPr="00C05886">
              <w:rPr>
                <w:rFonts w:ascii="Calibri" w:hAnsi="Calibri" w:cs="Calibri"/>
                <w:color w:val="000000"/>
                <w:sz w:val="22"/>
              </w:rPr>
              <w:t>Mixed planting</w:t>
            </w:r>
          </w:p>
        </w:tc>
        <w:tc>
          <w:tcPr>
            <w:tcW w:w="1609" w:type="dxa"/>
            <w:vAlign w:val="bottom"/>
          </w:tcPr>
          <w:p w14:paraId="4DBD1CBE" w14:textId="77777777" w:rsidR="00375BD2" w:rsidRPr="00C05886" w:rsidRDefault="00375BD2" w:rsidP="007F4F4B">
            <w:pPr>
              <w:spacing w:line="240" w:lineRule="auto"/>
              <w:rPr>
                <w:rFonts w:cstheme="minorHAnsi"/>
                <w:sz w:val="22"/>
                <w:lang w:eastAsia="en-GB"/>
              </w:rPr>
            </w:pPr>
            <w:r w:rsidRPr="00C05886">
              <w:rPr>
                <w:rFonts w:cstheme="minorHAnsi"/>
                <w:sz w:val="22"/>
              </w:rPr>
              <w:t>120</w:t>
            </w:r>
          </w:p>
        </w:tc>
      </w:tr>
      <w:tr w:rsidR="00375BD2" w:rsidRPr="00C05886" w14:paraId="3AFB1248" w14:textId="77777777" w:rsidTr="007F4F4B">
        <w:trPr>
          <w:cnfStyle w:val="000000100000" w:firstRow="0" w:lastRow="0" w:firstColumn="0" w:lastColumn="0" w:oddVBand="0" w:evenVBand="0" w:oddHBand="1" w:evenHBand="0" w:firstRowFirstColumn="0" w:firstRowLastColumn="0" w:lastRowFirstColumn="0" w:lastRowLastColumn="0"/>
          <w:trHeight w:val="200"/>
        </w:trPr>
        <w:tc>
          <w:tcPr>
            <w:tcW w:w="3119" w:type="dxa"/>
            <w:vAlign w:val="bottom"/>
          </w:tcPr>
          <w:p w14:paraId="26D15278" w14:textId="77777777" w:rsidR="00375BD2" w:rsidRPr="00C05886" w:rsidRDefault="00375BD2" w:rsidP="007F4F4B">
            <w:pPr>
              <w:spacing w:line="240" w:lineRule="auto"/>
              <w:rPr>
                <w:rFonts w:cstheme="minorHAnsi"/>
                <w:sz w:val="22"/>
                <w:lang w:eastAsia="en-GB"/>
              </w:rPr>
            </w:pPr>
            <w:r w:rsidRPr="00C05886">
              <w:rPr>
                <w:rFonts w:cstheme="minorHAnsi"/>
                <w:color w:val="000000"/>
                <w:sz w:val="22"/>
              </w:rPr>
              <w:t>Public art</w:t>
            </w:r>
          </w:p>
        </w:tc>
        <w:tc>
          <w:tcPr>
            <w:tcW w:w="1701" w:type="dxa"/>
            <w:vAlign w:val="bottom"/>
          </w:tcPr>
          <w:p w14:paraId="47557C84" w14:textId="77777777" w:rsidR="00375BD2" w:rsidRPr="00C05886" w:rsidRDefault="00375BD2" w:rsidP="007F4F4B">
            <w:pPr>
              <w:spacing w:line="240" w:lineRule="auto"/>
              <w:rPr>
                <w:rFonts w:cstheme="minorHAnsi"/>
                <w:sz w:val="22"/>
                <w:lang w:eastAsia="en-GB"/>
              </w:rPr>
            </w:pPr>
            <w:r w:rsidRPr="00C05886">
              <w:rPr>
                <w:rFonts w:cstheme="minorHAnsi"/>
                <w:sz w:val="22"/>
              </w:rPr>
              <w:t>42</w:t>
            </w:r>
          </w:p>
        </w:tc>
        <w:tc>
          <w:tcPr>
            <w:tcW w:w="3402" w:type="dxa"/>
            <w:vAlign w:val="bottom"/>
          </w:tcPr>
          <w:p w14:paraId="3596B343" w14:textId="77777777" w:rsidR="00375BD2" w:rsidRPr="00C05886" w:rsidRDefault="00375BD2" w:rsidP="007F4F4B">
            <w:pPr>
              <w:spacing w:line="240" w:lineRule="auto"/>
              <w:rPr>
                <w:rFonts w:cstheme="minorHAnsi"/>
                <w:sz w:val="22"/>
                <w:lang w:eastAsia="en-GB"/>
              </w:rPr>
            </w:pPr>
            <w:r w:rsidRPr="00C05886">
              <w:rPr>
                <w:rFonts w:cstheme="minorHAnsi"/>
                <w:sz w:val="22"/>
              </w:rPr>
              <w:t>Short grass</w:t>
            </w:r>
          </w:p>
        </w:tc>
        <w:tc>
          <w:tcPr>
            <w:tcW w:w="1609" w:type="dxa"/>
            <w:vAlign w:val="bottom"/>
          </w:tcPr>
          <w:p w14:paraId="7167ECF9" w14:textId="77777777" w:rsidR="00375BD2" w:rsidRPr="00C05886" w:rsidRDefault="00375BD2" w:rsidP="007F4F4B">
            <w:pPr>
              <w:spacing w:line="240" w:lineRule="auto"/>
              <w:rPr>
                <w:rFonts w:cstheme="minorHAnsi"/>
                <w:sz w:val="22"/>
                <w:lang w:eastAsia="en-GB"/>
              </w:rPr>
            </w:pPr>
            <w:r w:rsidRPr="00C05886">
              <w:rPr>
                <w:rFonts w:cstheme="minorHAnsi"/>
                <w:sz w:val="22"/>
              </w:rPr>
              <w:t>92</w:t>
            </w:r>
          </w:p>
        </w:tc>
      </w:tr>
      <w:tr w:rsidR="00375BD2" w:rsidRPr="00C05886" w14:paraId="1C28122F" w14:textId="77777777" w:rsidTr="007F4F4B">
        <w:trPr>
          <w:trHeight w:val="200"/>
        </w:trPr>
        <w:tc>
          <w:tcPr>
            <w:tcW w:w="3119" w:type="dxa"/>
            <w:vAlign w:val="bottom"/>
          </w:tcPr>
          <w:p w14:paraId="4CF91784" w14:textId="77777777" w:rsidR="00375BD2" w:rsidRPr="00C05886" w:rsidRDefault="00375BD2" w:rsidP="007F4F4B">
            <w:pPr>
              <w:spacing w:line="240" w:lineRule="auto"/>
              <w:rPr>
                <w:rFonts w:cstheme="minorHAnsi"/>
                <w:sz w:val="22"/>
              </w:rPr>
            </w:pPr>
            <w:r w:rsidRPr="00C05886">
              <w:rPr>
                <w:rFonts w:cstheme="minorHAnsi"/>
                <w:sz w:val="22"/>
              </w:rPr>
              <w:t>Short grass</w:t>
            </w:r>
          </w:p>
        </w:tc>
        <w:tc>
          <w:tcPr>
            <w:tcW w:w="1701" w:type="dxa"/>
            <w:vAlign w:val="bottom"/>
          </w:tcPr>
          <w:p w14:paraId="0B08081C" w14:textId="77777777" w:rsidR="00375BD2" w:rsidRPr="00C05886" w:rsidRDefault="00375BD2" w:rsidP="007F4F4B">
            <w:pPr>
              <w:spacing w:line="240" w:lineRule="auto"/>
              <w:rPr>
                <w:rFonts w:cstheme="minorHAnsi"/>
                <w:sz w:val="22"/>
                <w:lang w:eastAsia="en-GB"/>
              </w:rPr>
            </w:pPr>
            <w:r w:rsidRPr="00C05886">
              <w:rPr>
                <w:rFonts w:cstheme="minorHAnsi"/>
                <w:sz w:val="22"/>
              </w:rPr>
              <w:t>38</w:t>
            </w:r>
          </w:p>
        </w:tc>
        <w:tc>
          <w:tcPr>
            <w:tcW w:w="3402" w:type="dxa"/>
            <w:vAlign w:val="bottom"/>
          </w:tcPr>
          <w:p w14:paraId="4E2BD5E4" w14:textId="77777777" w:rsidR="00375BD2" w:rsidRPr="00C05886" w:rsidRDefault="00375BD2" w:rsidP="007F4F4B">
            <w:pPr>
              <w:spacing w:line="240" w:lineRule="auto"/>
              <w:rPr>
                <w:rFonts w:cstheme="minorHAnsi"/>
                <w:sz w:val="22"/>
                <w:lang w:eastAsia="en-GB"/>
              </w:rPr>
            </w:pPr>
            <w:r w:rsidRPr="00C05886">
              <w:rPr>
                <w:rFonts w:cstheme="minorHAnsi"/>
                <w:sz w:val="22"/>
              </w:rPr>
              <w:t>Water bodies</w:t>
            </w:r>
          </w:p>
        </w:tc>
        <w:tc>
          <w:tcPr>
            <w:tcW w:w="1609" w:type="dxa"/>
            <w:vAlign w:val="bottom"/>
          </w:tcPr>
          <w:p w14:paraId="02B95CC1" w14:textId="77777777" w:rsidR="00375BD2" w:rsidRPr="00C05886" w:rsidRDefault="00375BD2" w:rsidP="007F4F4B">
            <w:pPr>
              <w:spacing w:line="240" w:lineRule="auto"/>
              <w:rPr>
                <w:rFonts w:cstheme="minorHAnsi"/>
                <w:sz w:val="22"/>
                <w:lang w:eastAsia="en-GB"/>
              </w:rPr>
            </w:pPr>
            <w:r w:rsidRPr="00C05886">
              <w:rPr>
                <w:rFonts w:cstheme="minorHAnsi"/>
                <w:sz w:val="22"/>
              </w:rPr>
              <w:t>73</w:t>
            </w:r>
          </w:p>
        </w:tc>
      </w:tr>
      <w:tr w:rsidR="00375BD2" w:rsidRPr="00C05886" w14:paraId="663ED8E4" w14:textId="77777777" w:rsidTr="007F4F4B">
        <w:trPr>
          <w:cnfStyle w:val="000000100000" w:firstRow="0" w:lastRow="0" w:firstColumn="0" w:lastColumn="0" w:oddVBand="0" w:evenVBand="0" w:oddHBand="1" w:evenHBand="0" w:firstRowFirstColumn="0" w:firstRowLastColumn="0" w:lastRowFirstColumn="0" w:lastRowLastColumn="0"/>
          <w:trHeight w:val="200"/>
        </w:trPr>
        <w:tc>
          <w:tcPr>
            <w:tcW w:w="3119" w:type="dxa"/>
            <w:vAlign w:val="bottom"/>
          </w:tcPr>
          <w:p w14:paraId="484E6626" w14:textId="77777777" w:rsidR="00375BD2" w:rsidRPr="00C05886" w:rsidRDefault="00375BD2" w:rsidP="007F4F4B">
            <w:pPr>
              <w:spacing w:line="240" w:lineRule="auto"/>
              <w:rPr>
                <w:rFonts w:cstheme="minorHAnsi"/>
                <w:sz w:val="22"/>
              </w:rPr>
            </w:pPr>
            <w:r w:rsidRPr="00C05886">
              <w:rPr>
                <w:rFonts w:ascii="Calibri" w:hAnsi="Calibri" w:cs="Calibri"/>
                <w:color w:val="000000"/>
                <w:sz w:val="22"/>
              </w:rPr>
              <w:t>Mixed planting</w:t>
            </w:r>
          </w:p>
        </w:tc>
        <w:tc>
          <w:tcPr>
            <w:tcW w:w="1701" w:type="dxa"/>
            <w:vAlign w:val="bottom"/>
          </w:tcPr>
          <w:p w14:paraId="02B19ED1" w14:textId="77777777" w:rsidR="00375BD2" w:rsidRPr="00C05886" w:rsidRDefault="00375BD2" w:rsidP="007F4F4B">
            <w:pPr>
              <w:spacing w:line="240" w:lineRule="auto"/>
              <w:rPr>
                <w:rFonts w:cstheme="minorHAnsi"/>
                <w:sz w:val="22"/>
                <w:lang w:eastAsia="en-GB"/>
              </w:rPr>
            </w:pPr>
            <w:r w:rsidRPr="00C05886">
              <w:rPr>
                <w:rFonts w:cstheme="minorHAnsi"/>
                <w:sz w:val="22"/>
              </w:rPr>
              <w:t>27</w:t>
            </w:r>
          </w:p>
        </w:tc>
        <w:tc>
          <w:tcPr>
            <w:tcW w:w="3402" w:type="dxa"/>
            <w:vAlign w:val="bottom"/>
          </w:tcPr>
          <w:p w14:paraId="732677B0" w14:textId="77777777" w:rsidR="00375BD2" w:rsidRPr="00C05886" w:rsidRDefault="00375BD2" w:rsidP="007F4F4B">
            <w:pPr>
              <w:spacing w:line="240" w:lineRule="auto"/>
              <w:rPr>
                <w:rFonts w:cstheme="minorHAnsi"/>
                <w:sz w:val="22"/>
                <w:lang w:eastAsia="en-GB"/>
              </w:rPr>
            </w:pPr>
            <w:r w:rsidRPr="00C05886">
              <w:rPr>
                <w:rFonts w:cstheme="minorHAnsi"/>
                <w:sz w:val="22"/>
              </w:rPr>
              <w:t>Buildings</w:t>
            </w:r>
          </w:p>
        </w:tc>
        <w:tc>
          <w:tcPr>
            <w:tcW w:w="1609" w:type="dxa"/>
            <w:vAlign w:val="bottom"/>
          </w:tcPr>
          <w:p w14:paraId="25CA8AE2" w14:textId="77777777" w:rsidR="00375BD2" w:rsidRPr="00C05886" w:rsidRDefault="00375BD2" w:rsidP="007F4F4B">
            <w:pPr>
              <w:spacing w:line="240" w:lineRule="auto"/>
              <w:rPr>
                <w:rFonts w:cstheme="minorHAnsi"/>
                <w:sz w:val="22"/>
                <w:lang w:eastAsia="en-GB"/>
              </w:rPr>
            </w:pPr>
            <w:r w:rsidRPr="00C05886">
              <w:rPr>
                <w:rFonts w:cstheme="minorHAnsi"/>
                <w:sz w:val="22"/>
              </w:rPr>
              <w:t>58</w:t>
            </w:r>
          </w:p>
        </w:tc>
      </w:tr>
      <w:tr w:rsidR="00375BD2" w:rsidRPr="00C05886" w14:paraId="0ACF0C6E" w14:textId="77777777" w:rsidTr="007F4F4B">
        <w:trPr>
          <w:trHeight w:val="200"/>
        </w:trPr>
        <w:tc>
          <w:tcPr>
            <w:tcW w:w="3119" w:type="dxa"/>
          </w:tcPr>
          <w:p w14:paraId="14138609" w14:textId="77777777" w:rsidR="00375BD2" w:rsidRPr="00C05886" w:rsidRDefault="00375BD2" w:rsidP="007F4F4B">
            <w:pPr>
              <w:spacing w:line="240" w:lineRule="auto"/>
              <w:rPr>
                <w:rFonts w:cstheme="minorHAnsi"/>
                <w:sz w:val="22"/>
              </w:rPr>
            </w:pPr>
            <w:r w:rsidRPr="00C05886">
              <w:rPr>
                <w:rFonts w:ascii="Calibri" w:hAnsi="Calibri" w:cs="Calibri"/>
                <w:color w:val="000000"/>
                <w:sz w:val="22"/>
              </w:rPr>
              <w:t>Indoor without nature</w:t>
            </w:r>
          </w:p>
        </w:tc>
        <w:tc>
          <w:tcPr>
            <w:tcW w:w="1701" w:type="dxa"/>
            <w:vAlign w:val="bottom"/>
          </w:tcPr>
          <w:p w14:paraId="4C09CDA0" w14:textId="77777777" w:rsidR="00375BD2" w:rsidRPr="00C05886" w:rsidRDefault="00375BD2" w:rsidP="007F4F4B">
            <w:pPr>
              <w:spacing w:line="240" w:lineRule="auto"/>
              <w:rPr>
                <w:rFonts w:cstheme="minorHAnsi"/>
                <w:sz w:val="22"/>
                <w:lang w:eastAsia="en-GB"/>
              </w:rPr>
            </w:pPr>
            <w:r w:rsidRPr="00C05886">
              <w:rPr>
                <w:rFonts w:cstheme="minorHAnsi"/>
                <w:sz w:val="22"/>
              </w:rPr>
              <w:t>25</w:t>
            </w:r>
          </w:p>
        </w:tc>
        <w:tc>
          <w:tcPr>
            <w:tcW w:w="3402" w:type="dxa"/>
          </w:tcPr>
          <w:p w14:paraId="2F226278" w14:textId="77777777" w:rsidR="00375BD2" w:rsidRPr="00C05886" w:rsidRDefault="00375BD2" w:rsidP="007F4F4B">
            <w:pPr>
              <w:spacing w:line="240" w:lineRule="auto"/>
              <w:rPr>
                <w:rFonts w:cstheme="minorHAnsi"/>
                <w:sz w:val="22"/>
                <w:lang w:eastAsia="en-GB"/>
              </w:rPr>
            </w:pPr>
            <w:r w:rsidRPr="00C05886">
              <w:rPr>
                <w:rFonts w:ascii="Calibri" w:hAnsi="Calibri" w:cs="Calibri"/>
                <w:color w:val="000000"/>
                <w:sz w:val="22"/>
              </w:rPr>
              <w:t>Tall grasses or shrubs</w:t>
            </w:r>
          </w:p>
        </w:tc>
        <w:tc>
          <w:tcPr>
            <w:tcW w:w="1609" w:type="dxa"/>
            <w:vAlign w:val="bottom"/>
          </w:tcPr>
          <w:p w14:paraId="55286C49" w14:textId="77777777" w:rsidR="00375BD2" w:rsidRPr="00C05886" w:rsidRDefault="00375BD2" w:rsidP="007F4F4B">
            <w:pPr>
              <w:spacing w:line="240" w:lineRule="auto"/>
              <w:rPr>
                <w:rFonts w:cstheme="minorHAnsi"/>
                <w:sz w:val="22"/>
                <w:lang w:eastAsia="en-GB"/>
              </w:rPr>
            </w:pPr>
            <w:r w:rsidRPr="00C05886">
              <w:rPr>
                <w:rFonts w:cstheme="minorHAnsi"/>
                <w:sz w:val="22"/>
              </w:rPr>
              <w:t>55</w:t>
            </w:r>
          </w:p>
        </w:tc>
      </w:tr>
      <w:tr w:rsidR="00375BD2" w:rsidRPr="00C05886" w14:paraId="7E939398" w14:textId="77777777" w:rsidTr="007F4F4B">
        <w:trPr>
          <w:cnfStyle w:val="000000100000" w:firstRow="0" w:lastRow="0" w:firstColumn="0" w:lastColumn="0" w:oddVBand="0" w:evenVBand="0" w:oddHBand="1" w:evenHBand="0" w:firstRowFirstColumn="0" w:firstRowLastColumn="0" w:lastRowFirstColumn="0" w:lastRowLastColumn="0"/>
          <w:trHeight w:val="200"/>
        </w:trPr>
        <w:tc>
          <w:tcPr>
            <w:tcW w:w="3119" w:type="dxa"/>
            <w:vAlign w:val="bottom"/>
          </w:tcPr>
          <w:p w14:paraId="441C9E9E" w14:textId="77777777" w:rsidR="00375BD2" w:rsidRPr="00C05886" w:rsidRDefault="00375BD2" w:rsidP="007F4F4B">
            <w:pPr>
              <w:spacing w:line="240" w:lineRule="auto"/>
              <w:rPr>
                <w:rFonts w:cstheme="minorHAnsi"/>
                <w:sz w:val="22"/>
              </w:rPr>
            </w:pPr>
            <w:r w:rsidRPr="00C05886">
              <w:rPr>
                <w:rFonts w:cstheme="minorHAnsi"/>
                <w:sz w:val="22"/>
              </w:rPr>
              <w:t>Water bodies</w:t>
            </w:r>
          </w:p>
        </w:tc>
        <w:tc>
          <w:tcPr>
            <w:tcW w:w="1701" w:type="dxa"/>
            <w:vAlign w:val="bottom"/>
          </w:tcPr>
          <w:p w14:paraId="18FDF841" w14:textId="77777777" w:rsidR="00375BD2" w:rsidRPr="00C05886" w:rsidRDefault="00375BD2" w:rsidP="007F4F4B">
            <w:pPr>
              <w:spacing w:line="240" w:lineRule="auto"/>
              <w:rPr>
                <w:rFonts w:cstheme="minorHAnsi"/>
                <w:sz w:val="22"/>
                <w:lang w:eastAsia="en-GB"/>
              </w:rPr>
            </w:pPr>
            <w:r w:rsidRPr="00C05886">
              <w:rPr>
                <w:rFonts w:cstheme="minorHAnsi"/>
                <w:sz w:val="22"/>
              </w:rPr>
              <w:t>23</w:t>
            </w:r>
          </w:p>
        </w:tc>
        <w:tc>
          <w:tcPr>
            <w:tcW w:w="3402" w:type="dxa"/>
            <w:vAlign w:val="bottom"/>
          </w:tcPr>
          <w:p w14:paraId="62299BD2" w14:textId="77777777" w:rsidR="00375BD2" w:rsidRPr="00C05886" w:rsidRDefault="00375BD2" w:rsidP="007F4F4B">
            <w:pPr>
              <w:spacing w:line="240" w:lineRule="auto"/>
              <w:rPr>
                <w:rFonts w:cstheme="minorHAnsi"/>
                <w:sz w:val="22"/>
                <w:lang w:eastAsia="en-GB"/>
              </w:rPr>
            </w:pPr>
            <w:r w:rsidRPr="00C05886">
              <w:rPr>
                <w:rFonts w:cstheme="minorHAnsi"/>
                <w:sz w:val="22"/>
              </w:rPr>
              <w:t>Sky</w:t>
            </w:r>
          </w:p>
        </w:tc>
        <w:tc>
          <w:tcPr>
            <w:tcW w:w="1609" w:type="dxa"/>
            <w:vAlign w:val="bottom"/>
          </w:tcPr>
          <w:p w14:paraId="714BA8B1" w14:textId="77777777" w:rsidR="00375BD2" w:rsidRPr="00C05886" w:rsidRDefault="00375BD2" w:rsidP="007F4F4B">
            <w:pPr>
              <w:spacing w:line="240" w:lineRule="auto"/>
              <w:rPr>
                <w:rFonts w:cstheme="minorHAnsi"/>
                <w:sz w:val="22"/>
                <w:lang w:eastAsia="en-GB"/>
              </w:rPr>
            </w:pPr>
            <w:r w:rsidRPr="00C05886">
              <w:rPr>
                <w:rFonts w:cstheme="minorHAnsi"/>
                <w:sz w:val="22"/>
              </w:rPr>
              <w:t>52</w:t>
            </w:r>
          </w:p>
        </w:tc>
      </w:tr>
      <w:tr w:rsidR="00375BD2" w:rsidRPr="00C05886" w14:paraId="38A8F588" w14:textId="77777777" w:rsidTr="007F4F4B">
        <w:trPr>
          <w:trHeight w:val="200"/>
        </w:trPr>
        <w:tc>
          <w:tcPr>
            <w:tcW w:w="3119" w:type="dxa"/>
          </w:tcPr>
          <w:p w14:paraId="7E9233D0" w14:textId="77777777" w:rsidR="00375BD2" w:rsidRPr="00C05886" w:rsidRDefault="00375BD2" w:rsidP="007F4F4B">
            <w:pPr>
              <w:spacing w:line="240" w:lineRule="auto"/>
              <w:rPr>
                <w:rFonts w:cstheme="minorHAnsi"/>
                <w:sz w:val="22"/>
              </w:rPr>
            </w:pPr>
            <w:r w:rsidRPr="00C05886">
              <w:rPr>
                <w:rFonts w:ascii="Calibri" w:hAnsi="Calibri" w:cs="Calibri"/>
                <w:color w:val="000000"/>
                <w:sz w:val="22"/>
              </w:rPr>
              <w:t>Colourful flowers</w:t>
            </w:r>
          </w:p>
        </w:tc>
        <w:tc>
          <w:tcPr>
            <w:tcW w:w="1701" w:type="dxa"/>
            <w:vAlign w:val="bottom"/>
          </w:tcPr>
          <w:p w14:paraId="49DAADAB" w14:textId="77777777" w:rsidR="00375BD2" w:rsidRPr="00C05886" w:rsidRDefault="00375BD2" w:rsidP="007F4F4B">
            <w:pPr>
              <w:spacing w:line="240" w:lineRule="auto"/>
              <w:rPr>
                <w:rFonts w:cstheme="minorHAnsi"/>
                <w:sz w:val="22"/>
                <w:lang w:eastAsia="en-GB"/>
              </w:rPr>
            </w:pPr>
            <w:r w:rsidRPr="00C05886">
              <w:rPr>
                <w:rFonts w:cstheme="minorHAnsi"/>
                <w:sz w:val="22"/>
              </w:rPr>
              <w:t>20</w:t>
            </w:r>
          </w:p>
        </w:tc>
        <w:tc>
          <w:tcPr>
            <w:tcW w:w="3402" w:type="dxa"/>
            <w:vAlign w:val="bottom"/>
          </w:tcPr>
          <w:p w14:paraId="654563BE" w14:textId="77777777" w:rsidR="00375BD2" w:rsidRPr="00C05886" w:rsidRDefault="00375BD2" w:rsidP="007F4F4B">
            <w:pPr>
              <w:spacing w:line="240" w:lineRule="auto"/>
              <w:rPr>
                <w:rFonts w:cstheme="minorHAnsi"/>
                <w:sz w:val="22"/>
                <w:lang w:eastAsia="en-GB"/>
              </w:rPr>
            </w:pPr>
            <w:r w:rsidRPr="00C05886">
              <w:rPr>
                <w:rFonts w:ascii="Calibri" w:hAnsi="Calibri" w:cs="Calibri"/>
                <w:color w:val="000000"/>
                <w:sz w:val="22"/>
              </w:rPr>
              <w:t>Mixed ground cover or leaf litter</w:t>
            </w:r>
          </w:p>
        </w:tc>
        <w:tc>
          <w:tcPr>
            <w:tcW w:w="1609" w:type="dxa"/>
            <w:vAlign w:val="bottom"/>
          </w:tcPr>
          <w:p w14:paraId="32105C12" w14:textId="77777777" w:rsidR="00375BD2" w:rsidRPr="00C05886" w:rsidRDefault="00375BD2" w:rsidP="007F4F4B">
            <w:pPr>
              <w:spacing w:line="240" w:lineRule="auto"/>
              <w:rPr>
                <w:rFonts w:cstheme="minorHAnsi"/>
                <w:sz w:val="22"/>
                <w:lang w:eastAsia="en-GB"/>
              </w:rPr>
            </w:pPr>
            <w:r w:rsidRPr="00C05886">
              <w:rPr>
                <w:rFonts w:cstheme="minorHAnsi"/>
                <w:sz w:val="22"/>
              </w:rPr>
              <w:t>38</w:t>
            </w:r>
          </w:p>
        </w:tc>
      </w:tr>
      <w:tr w:rsidR="00375BD2" w:rsidRPr="00C05886" w14:paraId="1BF1345D" w14:textId="77777777" w:rsidTr="007F4F4B">
        <w:trPr>
          <w:cnfStyle w:val="000000100000" w:firstRow="0" w:lastRow="0" w:firstColumn="0" w:lastColumn="0" w:oddVBand="0" w:evenVBand="0" w:oddHBand="1" w:evenHBand="0" w:firstRowFirstColumn="0" w:firstRowLastColumn="0" w:lastRowFirstColumn="0" w:lastRowLastColumn="0"/>
          <w:trHeight w:val="200"/>
        </w:trPr>
        <w:tc>
          <w:tcPr>
            <w:tcW w:w="3119" w:type="dxa"/>
          </w:tcPr>
          <w:p w14:paraId="44E037D3" w14:textId="77777777" w:rsidR="00375BD2" w:rsidRPr="00C05886" w:rsidRDefault="00375BD2" w:rsidP="007F4F4B">
            <w:pPr>
              <w:spacing w:line="240" w:lineRule="auto"/>
              <w:rPr>
                <w:rFonts w:cstheme="minorHAnsi"/>
                <w:sz w:val="22"/>
              </w:rPr>
            </w:pPr>
            <w:r w:rsidRPr="00C05886">
              <w:rPr>
                <w:rFonts w:ascii="Calibri" w:hAnsi="Calibri" w:cs="Calibri"/>
                <w:color w:val="000000"/>
                <w:sz w:val="22"/>
              </w:rPr>
              <w:t>Tall grasses or shrubs</w:t>
            </w:r>
          </w:p>
        </w:tc>
        <w:tc>
          <w:tcPr>
            <w:tcW w:w="1701" w:type="dxa"/>
            <w:vAlign w:val="bottom"/>
          </w:tcPr>
          <w:p w14:paraId="68CA7630" w14:textId="77777777" w:rsidR="00375BD2" w:rsidRPr="00C05886" w:rsidRDefault="00375BD2" w:rsidP="007F4F4B">
            <w:pPr>
              <w:spacing w:line="240" w:lineRule="auto"/>
              <w:rPr>
                <w:rFonts w:cstheme="minorHAnsi"/>
                <w:sz w:val="22"/>
                <w:lang w:eastAsia="en-GB"/>
              </w:rPr>
            </w:pPr>
            <w:r w:rsidRPr="00C05886">
              <w:rPr>
                <w:rFonts w:cstheme="minorHAnsi"/>
                <w:sz w:val="22"/>
              </w:rPr>
              <w:t>14</w:t>
            </w:r>
          </w:p>
        </w:tc>
        <w:tc>
          <w:tcPr>
            <w:tcW w:w="3402" w:type="dxa"/>
            <w:vAlign w:val="bottom"/>
          </w:tcPr>
          <w:p w14:paraId="3A24F5CA" w14:textId="77777777" w:rsidR="00375BD2" w:rsidRPr="00C05886" w:rsidRDefault="00375BD2" w:rsidP="007F4F4B">
            <w:pPr>
              <w:spacing w:line="240" w:lineRule="auto"/>
              <w:rPr>
                <w:rFonts w:cstheme="minorHAnsi"/>
                <w:sz w:val="22"/>
                <w:lang w:eastAsia="en-GB"/>
              </w:rPr>
            </w:pPr>
            <w:r w:rsidRPr="00C05886">
              <w:rPr>
                <w:rFonts w:cstheme="minorHAnsi"/>
                <w:sz w:val="22"/>
              </w:rPr>
              <w:t xml:space="preserve">Birds </w:t>
            </w:r>
          </w:p>
        </w:tc>
        <w:tc>
          <w:tcPr>
            <w:tcW w:w="1609" w:type="dxa"/>
            <w:vAlign w:val="bottom"/>
          </w:tcPr>
          <w:p w14:paraId="36F624DE" w14:textId="77777777" w:rsidR="00375BD2" w:rsidRPr="00C05886" w:rsidRDefault="00375BD2" w:rsidP="007F4F4B">
            <w:pPr>
              <w:spacing w:line="240" w:lineRule="auto"/>
              <w:rPr>
                <w:rFonts w:cstheme="minorHAnsi"/>
                <w:sz w:val="22"/>
                <w:lang w:eastAsia="en-GB"/>
              </w:rPr>
            </w:pPr>
            <w:r w:rsidRPr="00C05886">
              <w:rPr>
                <w:rFonts w:cstheme="minorHAnsi"/>
                <w:sz w:val="22"/>
              </w:rPr>
              <w:t>30</w:t>
            </w:r>
          </w:p>
        </w:tc>
      </w:tr>
      <w:tr w:rsidR="00375BD2" w:rsidRPr="00C05886" w14:paraId="7CAE0763" w14:textId="77777777" w:rsidTr="007F4F4B">
        <w:trPr>
          <w:trHeight w:val="200"/>
        </w:trPr>
        <w:tc>
          <w:tcPr>
            <w:tcW w:w="3119" w:type="dxa"/>
            <w:vAlign w:val="bottom"/>
          </w:tcPr>
          <w:p w14:paraId="0F7293DA" w14:textId="77777777" w:rsidR="00375BD2" w:rsidRPr="00C05886" w:rsidRDefault="00375BD2" w:rsidP="007F4F4B">
            <w:pPr>
              <w:spacing w:line="240" w:lineRule="auto"/>
              <w:rPr>
                <w:rFonts w:cstheme="minorHAnsi"/>
                <w:sz w:val="22"/>
              </w:rPr>
            </w:pPr>
            <w:r w:rsidRPr="00C05886">
              <w:rPr>
                <w:rFonts w:cstheme="minorHAnsi"/>
                <w:sz w:val="22"/>
              </w:rPr>
              <w:t>Hedges</w:t>
            </w:r>
          </w:p>
        </w:tc>
        <w:tc>
          <w:tcPr>
            <w:tcW w:w="1701" w:type="dxa"/>
            <w:vAlign w:val="bottom"/>
          </w:tcPr>
          <w:p w14:paraId="399ED149" w14:textId="77777777" w:rsidR="00375BD2" w:rsidRPr="00C05886" w:rsidRDefault="00375BD2" w:rsidP="007F4F4B">
            <w:pPr>
              <w:spacing w:line="240" w:lineRule="auto"/>
              <w:rPr>
                <w:rFonts w:cstheme="minorHAnsi"/>
                <w:sz w:val="22"/>
                <w:lang w:eastAsia="en-GB"/>
              </w:rPr>
            </w:pPr>
            <w:r w:rsidRPr="00C05886">
              <w:rPr>
                <w:rFonts w:cstheme="minorHAnsi"/>
                <w:sz w:val="22"/>
              </w:rPr>
              <w:t>13</w:t>
            </w:r>
          </w:p>
        </w:tc>
        <w:tc>
          <w:tcPr>
            <w:tcW w:w="3402" w:type="dxa"/>
            <w:vAlign w:val="bottom"/>
          </w:tcPr>
          <w:p w14:paraId="1CCFB51D" w14:textId="77777777" w:rsidR="00375BD2" w:rsidRPr="00C05886" w:rsidRDefault="00375BD2" w:rsidP="007F4F4B">
            <w:pPr>
              <w:spacing w:line="240" w:lineRule="auto"/>
              <w:rPr>
                <w:rFonts w:cstheme="minorHAnsi"/>
                <w:sz w:val="22"/>
                <w:lang w:eastAsia="en-GB"/>
              </w:rPr>
            </w:pPr>
            <w:r w:rsidRPr="00C05886">
              <w:rPr>
                <w:rFonts w:cstheme="minorHAnsi"/>
                <w:sz w:val="22"/>
              </w:rPr>
              <w:t xml:space="preserve">Hills </w:t>
            </w:r>
          </w:p>
        </w:tc>
        <w:tc>
          <w:tcPr>
            <w:tcW w:w="1609" w:type="dxa"/>
            <w:vAlign w:val="bottom"/>
          </w:tcPr>
          <w:p w14:paraId="6763D9F9" w14:textId="77777777" w:rsidR="00375BD2" w:rsidRPr="00C05886" w:rsidRDefault="00375BD2" w:rsidP="007F4F4B">
            <w:pPr>
              <w:spacing w:line="240" w:lineRule="auto"/>
              <w:rPr>
                <w:rFonts w:cstheme="minorHAnsi"/>
                <w:sz w:val="22"/>
                <w:lang w:eastAsia="en-GB"/>
              </w:rPr>
            </w:pPr>
            <w:r w:rsidRPr="00C05886">
              <w:rPr>
                <w:rFonts w:cstheme="minorHAnsi"/>
                <w:sz w:val="22"/>
              </w:rPr>
              <w:t>28</w:t>
            </w:r>
          </w:p>
        </w:tc>
      </w:tr>
      <w:tr w:rsidR="00375BD2" w:rsidRPr="00C05886" w14:paraId="7551F8AA" w14:textId="77777777" w:rsidTr="007F4F4B">
        <w:trPr>
          <w:cnfStyle w:val="000000100000" w:firstRow="0" w:lastRow="0" w:firstColumn="0" w:lastColumn="0" w:oddVBand="0" w:evenVBand="0" w:oddHBand="1" w:evenHBand="0" w:firstRowFirstColumn="0" w:firstRowLastColumn="0" w:lastRowFirstColumn="0" w:lastRowLastColumn="0"/>
          <w:trHeight w:val="200"/>
        </w:trPr>
        <w:tc>
          <w:tcPr>
            <w:tcW w:w="3119" w:type="dxa"/>
            <w:vAlign w:val="bottom"/>
          </w:tcPr>
          <w:p w14:paraId="3B5E4A51" w14:textId="77777777" w:rsidR="00375BD2" w:rsidRPr="00C05886" w:rsidRDefault="00375BD2" w:rsidP="007F4F4B">
            <w:pPr>
              <w:spacing w:line="240" w:lineRule="auto"/>
              <w:rPr>
                <w:rFonts w:cstheme="minorHAnsi"/>
                <w:sz w:val="22"/>
              </w:rPr>
            </w:pPr>
            <w:r w:rsidRPr="00C05886">
              <w:rPr>
                <w:rFonts w:cstheme="minorHAnsi"/>
                <w:sz w:val="22"/>
              </w:rPr>
              <w:t>Darkness</w:t>
            </w:r>
          </w:p>
        </w:tc>
        <w:tc>
          <w:tcPr>
            <w:tcW w:w="1701" w:type="dxa"/>
            <w:vAlign w:val="bottom"/>
          </w:tcPr>
          <w:p w14:paraId="2B55C7E4" w14:textId="77777777" w:rsidR="00375BD2" w:rsidRPr="00C05886" w:rsidRDefault="00375BD2" w:rsidP="007F4F4B">
            <w:pPr>
              <w:spacing w:line="240" w:lineRule="auto"/>
              <w:rPr>
                <w:rFonts w:cstheme="minorHAnsi"/>
                <w:sz w:val="22"/>
                <w:lang w:eastAsia="en-GB"/>
              </w:rPr>
            </w:pPr>
            <w:r w:rsidRPr="00C05886">
              <w:rPr>
                <w:rFonts w:cstheme="minorHAnsi"/>
                <w:sz w:val="22"/>
              </w:rPr>
              <w:t>11</w:t>
            </w:r>
          </w:p>
        </w:tc>
        <w:tc>
          <w:tcPr>
            <w:tcW w:w="3402" w:type="dxa"/>
            <w:vAlign w:val="bottom"/>
          </w:tcPr>
          <w:p w14:paraId="14E22DBA" w14:textId="77777777" w:rsidR="00375BD2" w:rsidRPr="00C05886" w:rsidRDefault="00375BD2" w:rsidP="007F4F4B">
            <w:pPr>
              <w:spacing w:line="240" w:lineRule="auto"/>
              <w:rPr>
                <w:rFonts w:cstheme="minorHAnsi"/>
                <w:sz w:val="22"/>
                <w:lang w:eastAsia="en-GB"/>
              </w:rPr>
            </w:pPr>
            <w:r w:rsidRPr="00C05886">
              <w:rPr>
                <w:rFonts w:cstheme="minorHAnsi"/>
                <w:sz w:val="22"/>
              </w:rPr>
              <w:t>Window</w:t>
            </w:r>
          </w:p>
        </w:tc>
        <w:tc>
          <w:tcPr>
            <w:tcW w:w="1609" w:type="dxa"/>
            <w:vAlign w:val="bottom"/>
          </w:tcPr>
          <w:p w14:paraId="4400FF61" w14:textId="77777777" w:rsidR="00375BD2" w:rsidRPr="00C05886" w:rsidRDefault="00375BD2" w:rsidP="007F4F4B">
            <w:pPr>
              <w:spacing w:line="240" w:lineRule="auto"/>
              <w:rPr>
                <w:rFonts w:cstheme="minorHAnsi"/>
                <w:sz w:val="22"/>
                <w:lang w:eastAsia="en-GB"/>
              </w:rPr>
            </w:pPr>
            <w:r w:rsidRPr="00C05886">
              <w:rPr>
                <w:rFonts w:cstheme="minorHAnsi"/>
                <w:sz w:val="22"/>
              </w:rPr>
              <w:t>26</w:t>
            </w:r>
          </w:p>
        </w:tc>
      </w:tr>
      <w:tr w:rsidR="00375BD2" w:rsidRPr="00C05886" w14:paraId="5025CD78" w14:textId="77777777" w:rsidTr="007F4F4B">
        <w:trPr>
          <w:trHeight w:val="200"/>
        </w:trPr>
        <w:tc>
          <w:tcPr>
            <w:tcW w:w="3119" w:type="dxa"/>
            <w:vAlign w:val="bottom"/>
          </w:tcPr>
          <w:p w14:paraId="64BD7616" w14:textId="77777777" w:rsidR="00375BD2" w:rsidRPr="00C05886" w:rsidRDefault="00375BD2" w:rsidP="007F4F4B">
            <w:pPr>
              <w:spacing w:line="240" w:lineRule="auto"/>
              <w:rPr>
                <w:rFonts w:cstheme="minorHAnsi"/>
                <w:sz w:val="22"/>
              </w:rPr>
            </w:pPr>
            <w:r w:rsidRPr="00C05886">
              <w:rPr>
                <w:rFonts w:cstheme="minorHAnsi"/>
                <w:sz w:val="22"/>
              </w:rPr>
              <w:t>Hills</w:t>
            </w:r>
          </w:p>
        </w:tc>
        <w:tc>
          <w:tcPr>
            <w:tcW w:w="1701" w:type="dxa"/>
            <w:vAlign w:val="bottom"/>
          </w:tcPr>
          <w:p w14:paraId="53680C39" w14:textId="77777777" w:rsidR="00375BD2" w:rsidRPr="00C05886" w:rsidRDefault="00375BD2" w:rsidP="007F4F4B">
            <w:pPr>
              <w:spacing w:line="240" w:lineRule="auto"/>
              <w:rPr>
                <w:rFonts w:cstheme="minorHAnsi"/>
                <w:sz w:val="22"/>
                <w:lang w:eastAsia="en-GB"/>
              </w:rPr>
            </w:pPr>
            <w:r w:rsidRPr="00C05886">
              <w:rPr>
                <w:rFonts w:cstheme="minorHAnsi"/>
                <w:sz w:val="22"/>
              </w:rPr>
              <w:t>11</w:t>
            </w:r>
          </w:p>
        </w:tc>
        <w:tc>
          <w:tcPr>
            <w:tcW w:w="3402" w:type="dxa"/>
          </w:tcPr>
          <w:p w14:paraId="59A9C591" w14:textId="77777777" w:rsidR="00375BD2" w:rsidRPr="00C05886" w:rsidRDefault="00375BD2" w:rsidP="007F4F4B">
            <w:pPr>
              <w:spacing w:line="240" w:lineRule="auto"/>
              <w:rPr>
                <w:rFonts w:cstheme="minorHAnsi"/>
                <w:sz w:val="22"/>
                <w:lang w:eastAsia="en-GB"/>
              </w:rPr>
            </w:pPr>
            <w:r w:rsidRPr="00C05886">
              <w:rPr>
                <w:rFonts w:ascii="Calibri" w:hAnsi="Calibri" w:cs="Calibri"/>
                <w:color w:val="000000"/>
                <w:sz w:val="22"/>
              </w:rPr>
              <w:t>Participant garden</w:t>
            </w:r>
          </w:p>
        </w:tc>
        <w:tc>
          <w:tcPr>
            <w:tcW w:w="1609" w:type="dxa"/>
            <w:vAlign w:val="bottom"/>
          </w:tcPr>
          <w:p w14:paraId="610D23DD" w14:textId="77777777" w:rsidR="00375BD2" w:rsidRPr="00C05886" w:rsidRDefault="00375BD2" w:rsidP="007F4F4B">
            <w:pPr>
              <w:spacing w:line="240" w:lineRule="auto"/>
              <w:rPr>
                <w:rFonts w:cstheme="minorHAnsi"/>
                <w:sz w:val="22"/>
                <w:lang w:eastAsia="en-GB"/>
              </w:rPr>
            </w:pPr>
            <w:r w:rsidRPr="00C05886">
              <w:rPr>
                <w:rFonts w:cstheme="minorHAnsi"/>
                <w:sz w:val="22"/>
              </w:rPr>
              <w:t>21</w:t>
            </w:r>
          </w:p>
        </w:tc>
      </w:tr>
      <w:tr w:rsidR="00375BD2" w:rsidRPr="00C05886" w14:paraId="6E626EBC" w14:textId="77777777" w:rsidTr="007F4F4B">
        <w:trPr>
          <w:cnfStyle w:val="000000100000" w:firstRow="0" w:lastRow="0" w:firstColumn="0" w:lastColumn="0" w:oddVBand="0" w:evenVBand="0" w:oddHBand="1" w:evenHBand="0" w:firstRowFirstColumn="0" w:firstRowLastColumn="0" w:lastRowFirstColumn="0" w:lastRowLastColumn="0"/>
          <w:trHeight w:val="200"/>
        </w:trPr>
        <w:tc>
          <w:tcPr>
            <w:tcW w:w="3119" w:type="dxa"/>
            <w:vAlign w:val="bottom"/>
          </w:tcPr>
          <w:p w14:paraId="55485BEB" w14:textId="77777777" w:rsidR="00375BD2" w:rsidRPr="00C05886" w:rsidRDefault="00375BD2" w:rsidP="007F4F4B">
            <w:pPr>
              <w:spacing w:line="240" w:lineRule="auto"/>
              <w:rPr>
                <w:rFonts w:cstheme="minorHAnsi"/>
                <w:sz w:val="22"/>
              </w:rPr>
            </w:pPr>
            <w:r w:rsidRPr="00C05886">
              <w:rPr>
                <w:rFonts w:cstheme="minorHAnsi"/>
                <w:sz w:val="22"/>
              </w:rPr>
              <w:t>Window</w:t>
            </w:r>
          </w:p>
        </w:tc>
        <w:tc>
          <w:tcPr>
            <w:tcW w:w="1701" w:type="dxa"/>
            <w:vAlign w:val="bottom"/>
          </w:tcPr>
          <w:p w14:paraId="53FB32B7" w14:textId="77777777" w:rsidR="00375BD2" w:rsidRPr="00C05886" w:rsidRDefault="00375BD2" w:rsidP="007F4F4B">
            <w:pPr>
              <w:spacing w:line="240" w:lineRule="auto"/>
              <w:rPr>
                <w:rFonts w:cstheme="minorHAnsi"/>
                <w:sz w:val="22"/>
                <w:lang w:eastAsia="en-GB"/>
              </w:rPr>
            </w:pPr>
            <w:r w:rsidRPr="00C05886">
              <w:rPr>
                <w:rFonts w:cstheme="minorHAnsi"/>
                <w:sz w:val="22"/>
              </w:rPr>
              <w:t>11</w:t>
            </w:r>
          </w:p>
        </w:tc>
        <w:tc>
          <w:tcPr>
            <w:tcW w:w="3402" w:type="dxa"/>
            <w:vAlign w:val="bottom"/>
          </w:tcPr>
          <w:p w14:paraId="66D58958" w14:textId="77777777" w:rsidR="00375BD2" w:rsidRPr="00C05886" w:rsidRDefault="00375BD2" w:rsidP="007F4F4B">
            <w:pPr>
              <w:spacing w:line="240" w:lineRule="auto"/>
              <w:rPr>
                <w:rFonts w:cstheme="minorHAnsi"/>
                <w:sz w:val="22"/>
                <w:lang w:eastAsia="en-GB"/>
              </w:rPr>
            </w:pPr>
            <w:r w:rsidRPr="00C05886">
              <w:rPr>
                <w:rFonts w:cstheme="minorHAnsi"/>
                <w:sz w:val="22"/>
              </w:rPr>
              <w:t xml:space="preserve">Insects </w:t>
            </w:r>
          </w:p>
        </w:tc>
        <w:tc>
          <w:tcPr>
            <w:tcW w:w="1609" w:type="dxa"/>
            <w:vAlign w:val="bottom"/>
          </w:tcPr>
          <w:p w14:paraId="2902E045" w14:textId="77777777" w:rsidR="00375BD2" w:rsidRPr="00C05886" w:rsidRDefault="00375BD2" w:rsidP="007F4F4B">
            <w:pPr>
              <w:spacing w:line="240" w:lineRule="auto"/>
              <w:rPr>
                <w:rFonts w:cstheme="minorHAnsi"/>
                <w:sz w:val="22"/>
                <w:lang w:eastAsia="en-GB"/>
              </w:rPr>
            </w:pPr>
            <w:r w:rsidRPr="00C05886">
              <w:rPr>
                <w:rFonts w:cstheme="minorHAnsi"/>
                <w:sz w:val="22"/>
              </w:rPr>
              <w:t>18</w:t>
            </w:r>
          </w:p>
        </w:tc>
      </w:tr>
      <w:tr w:rsidR="00375BD2" w:rsidRPr="00C05886" w14:paraId="672DAEAB" w14:textId="77777777" w:rsidTr="007F4F4B">
        <w:trPr>
          <w:trHeight w:val="200"/>
        </w:trPr>
        <w:tc>
          <w:tcPr>
            <w:tcW w:w="3119" w:type="dxa"/>
            <w:vAlign w:val="bottom"/>
          </w:tcPr>
          <w:p w14:paraId="513F20ED" w14:textId="77777777" w:rsidR="00375BD2" w:rsidRPr="00C05886" w:rsidRDefault="00375BD2" w:rsidP="007F4F4B">
            <w:pPr>
              <w:spacing w:line="240" w:lineRule="auto"/>
              <w:rPr>
                <w:rFonts w:cstheme="minorHAnsi"/>
                <w:sz w:val="22"/>
              </w:rPr>
            </w:pPr>
            <w:r w:rsidRPr="00C05886">
              <w:rPr>
                <w:rFonts w:ascii="Calibri" w:hAnsi="Calibri" w:cs="Calibri"/>
                <w:color w:val="000000"/>
                <w:sz w:val="22"/>
              </w:rPr>
              <w:t>Mixed ground cover or leaf litter</w:t>
            </w:r>
          </w:p>
        </w:tc>
        <w:tc>
          <w:tcPr>
            <w:tcW w:w="1701" w:type="dxa"/>
            <w:vAlign w:val="bottom"/>
          </w:tcPr>
          <w:p w14:paraId="7DDEFD09" w14:textId="77777777" w:rsidR="00375BD2" w:rsidRPr="00C05886" w:rsidRDefault="00375BD2" w:rsidP="007F4F4B">
            <w:pPr>
              <w:spacing w:line="240" w:lineRule="auto"/>
              <w:rPr>
                <w:rFonts w:cstheme="minorHAnsi"/>
                <w:sz w:val="22"/>
                <w:lang w:eastAsia="en-GB"/>
              </w:rPr>
            </w:pPr>
            <w:r w:rsidRPr="00C05886">
              <w:rPr>
                <w:rFonts w:cstheme="minorHAnsi"/>
                <w:sz w:val="22"/>
              </w:rPr>
              <w:t>9</w:t>
            </w:r>
          </w:p>
        </w:tc>
        <w:tc>
          <w:tcPr>
            <w:tcW w:w="3402" w:type="dxa"/>
            <w:vAlign w:val="bottom"/>
          </w:tcPr>
          <w:p w14:paraId="6E9E3369" w14:textId="77777777" w:rsidR="00375BD2" w:rsidRPr="00C05886" w:rsidRDefault="00375BD2" w:rsidP="007F4F4B">
            <w:pPr>
              <w:spacing w:line="240" w:lineRule="auto"/>
              <w:rPr>
                <w:rFonts w:cstheme="minorHAnsi"/>
                <w:sz w:val="22"/>
                <w:lang w:eastAsia="en-GB"/>
              </w:rPr>
            </w:pPr>
            <w:r w:rsidRPr="00C05886">
              <w:rPr>
                <w:rFonts w:cstheme="minorHAnsi"/>
                <w:sz w:val="22"/>
              </w:rPr>
              <w:t xml:space="preserve">Hedges </w:t>
            </w:r>
          </w:p>
        </w:tc>
        <w:tc>
          <w:tcPr>
            <w:tcW w:w="1609" w:type="dxa"/>
            <w:vAlign w:val="bottom"/>
          </w:tcPr>
          <w:p w14:paraId="462727C6" w14:textId="77777777" w:rsidR="00375BD2" w:rsidRPr="00C05886" w:rsidRDefault="00375BD2" w:rsidP="007F4F4B">
            <w:pPr>
              <w:spacing w:line="240" w:lineRule="auto"/>
              <w:rPr>
                <w:rFonts w:cstheme="minorHAnsi"/>
                <w:sz w:val="22"/>
                <w:lang w:eastAsia="en-GB"/>
              </w:rPr>
            </w:pPr>
            <w:r w:rsidRPr="00C05886">
              <w:rPr>
                <w:rFonts w:cstheme="minorHAnsi"/>
                <w:sz w:val="22"/>
              </w:rPr>
              <w:t>17</w:t>
            </w:r>
          </w:p>
        </w:tc>
      </w:tr>
      <w:tr w:rsidR="00375BD2" w:rsidRPr="00C05886" w14:paraId="302FF601" w14:textId="77777777" w:rsidTr="007F4F4B">
        <w:trPr>
          <w:cnfStyle w:val="000000100000" w:firstRow="0" w:lastRow="0" w:firstColumn="0" w:lastColumn="0" w:oddVBand="0" w:evenVBand="0" w:oddHBand="1" w:evenHBand="0" w:firstRowFirstColumn="0" w:firstRowLastColumn="0" w:lastRowFirstColumn="0" w:lastRowLastColumn="0"/>
          <w:trHeight w:val="200"/>
        </w:trPr>
        <w:tc>
          <w:tcPr>
            <w:tcW w:w="3119" w:type="dxa"/>
          </w:tcPr>
          <w:p w14:paraId="5E92CADC" w14:textId="77777777" w:rsidR="00375BD2" w:rsidRPr="00C05886" w:rsidRDefault="00375BD2" w:rsidP="007F4F4B">
            <w:pPr>
              <w:spacing w:line="240" w:lineRule="auto"/>
              <w:rPr>
                <w:rFonts w:cstheme="minorHAnsi"/>
                <w:sz w:val="22"/>
              </w:rPr>
            </w:pPr>
            <w:r w:rsidRPr="00C05886">
              <w:rPr>
                <w:rFonts w:ascii="Calibri" w:hAnsi="Calibri" w:cs="Calibri"/>
                <w:color w:val="000000"/>
                <w:sz w:val="22"/>
              </w:rPr>
              <w:t>Participant garden</w:t>
            </w:r>
          </w:p>
        </w:tc>
        <w:tc>
          <w:tcPr>
            <w:tcW w:w="1701" w:type="dxa"/>
            <w:vAlign w:val="bottom"/>
          </w:tcPr>
          <w:p w14:paraId="407D339D" w14:textId="77777777" w:rsidR="00375BD2" w:rsidRPr="00C05886" w:rsidRDefault="00375BD2" w:rsidP="007F4F4B">
            <w:pPr>
              <w:spacing w:line="240" w:lineRule="auto"/>
              <w:rPr>
                <w:rFonts w:cstheme="minorHAnsi"/>
                <w:sz w:val="22"/>
                <w:lang w:eastAsia="en-GB"/>
              </w:rPr>
            </w:pPr>
            <w:r w:rsidRPr="00C05886">
              <w:rPr>
                <w:rFonts w:cstheme="minorHAnsi"/>
                <w:sz w:val="22"/>
              </w:rPr>
              <w:t>9</w:t>
            </w:r>
          </w:p>
        </w:tc>
        <w:tc>
          <w:tcPr>
            <w:tcW w:w="3402" w:type="dxa"/>
            <w:vAlign w:val="bottom"/>
          </w:tcPr>
          <w:p w14:paraId="1E31D1C6" w14:textId="77777777" w:rsidR="00375BD2" w:rsidRPr="00C05886" w:rsidRDefault="00375BD2" w:rsidP="007F4F4B">
            <w:pPr>
              <w:spacing w:line="240" w:lineRule="auto"/>
              <w:rPr>
                <w:rFonts w:cstheme="minorHAnsi"/>
                <w:sz w:val="22"/>
                <w:lang w:eastAsia="en-GB"/>
              </w:rPr>
            </w:pPr>
            <w:r w:rsidRPr="00C05886">
              <w:rPr>
                <w:rFonts w:cstheme="minorHAnsi"/>
                <w:color w:val="000000"/>
                <w:sz w:val="22"/>
              </w:rPr>
              <w:t>Public art</w:t>
            </w:r>
          </w:p>
        </w:tc>
        <w:tc>
          <w:tcPr>
            <w:tcW w:w="1609" w:type="dxa"/>
            <w:vAlign w:val="bottom"/>
          </w:tcPr>
          <w:p w14:paraId="78495432" w14:textId="77777777" w:rsidR="00375BD2" w:rsidRPr="00C05886" w:rsidRDefault="00375BD2" w:rsidP="007F4F4B">
            <w:pPr>
              <w:spacing w:line="240" w:lineRule="auto"/>
              <w:rPr>
                <w:rFonts w:cstheme="minorHAnsi"/>
                <w:sz w:val="22"/>
                <w:lang w:eastAsia="en-GB"/>
              </w:rPr>
            </w:pPr>
            <w:r w:rsidRPr="00C05886">
              <w:rPr>
                <w:rFonts w:cstheme="minorHAnsi"/>
                <w:sz w:val="22"/>
              </w:rPr>
              <w:t>13</w:t>
            </w:r>
          </w:p>
        </w:tc>
      </w:tr>
      <w:tr w:rsidR="00375BD2" w:rsidRPr="00C05886" w14:paraId="18C7BD35" w14:textId="77777777" w:rsidTr="007F4F4B">
        <w:trPr>
          <w:trHeight w:val="200"/>
        </w:trPr>
        <w:tc>
          <w:tcPr>
            <w:tcW w:w="3119" w:type="dxa"/>
          </w:tcPr>
          <w:p w14:paraId="3AFD574F" w14:textId="77777777" w:rsidR="00375BD2" w:rsidRPr="00C05886" w:rsidRDefault="00375BD2" w:rsidP="007F4F4B">
            <w:pPr>
              <w:spacing w:line="240" w:lineRule="auto"/>
              <w:rPr>
                <w:rFonts w:cstheme="minorHAnsi"/>
                <w:sz w:val="22"/>
              </w:rPr>
            </w:pPr>
            <w:r w:rsidRPr="00C05886">
              <w:rPr>
                <w:rFonts w:ascii="Calibri" w:hAnsi="Calibri" w:cs="Calibri"/>
                <w:color w:val="000000"/>
                <w:sz w:val="22"/>
              </w:rPr>
              <w:t>Potted plants</w:t>
            </w:r>
          </w:p>
        </w:tc>
        <w:tc>
          <w:tcPr>
            <w:tcW w:w="1701" w:type="dxa"/>
            <w:vAlign w:val="bottom"/>
          </w:tcPr>
          <w:p w14:paraId="240B4E76" w14:textId="77777777" w:rsidR="00375BD2" w:rsidRPr="00C05886" w:rsidRDefault="00375BD2" w:rsidP="007F4F4B">
            <w:pPr>
              <w:spacing w:line="240" w:lineRule="auto"/>
              <w:rPr>
                <w:rFonts w:cstheme="minorHAnsi"/>
                <w:sz w:val="22"/>
                <w:lang w:eastAsia="en-GB"/>
              </w:rPr>
            </w:pPr>
            <w:r w:rsidRPr="00C05886">
              <w:rPr>
                <w:rFonts w:cstheme="minorHAnsi"/>
                <w:sz w:val="22"/>
              </w:rPr>
              <w:t>6</w:t>
            </w:r>
          </w:p>
        </w:tc>
        <w:tc>
          <w:tcPr>
            <w:tcW w:w="3402" w:type="dxa"/>
            <w:vAlign w:val="bottom"/>
          </w:tcPr>
          <w:p w14:paraId="60CDD9C2" w14:textId="77777777" w:rsidR="00375BD2" w:rsidRPr="00C05886" w:rsidRDefault="00375BD2" w:rsidP="007F4F4B">
            <w:pPr>
              <w:spacing w:line="240" w:lineRule="auto"/>
              <w:rPr>
                <w:rFonts w:cstheme="minorHAnsi"/>
                <w:sz w:val="22"/>
                <w:lang w:eastAsia="en-GB"/>
              </w:rPr>
            </w:pPr>
            <w:r w:rsidRPr="00C05886">
              <w:rPr>
                <w:rFonts w:cstheme="minorHAnsi"/>
                <w:sz w:val="22"/>
              </w:rPr>
              <w:t xml:space="preserve">Berries </w:t>
            </w:r>
          </w:p>
        </w:tc>
        <w:tc>
          <w:tcPr>
            <w:tcW w:w="1609" w:type="dxa"/>
            <w:vAlign w:val="bottom"/>
          </w:tcPr>
          <w:p w14:paraId="5427DFF6" w14:textId="77777777" w:rsidR="00375BD2" w:rsidRPr="00C05886" w:rsidRDefault="00375BD2" w:rsidP="007F4F4B">
            <w:pPr>
              <w:spacing w:line="240" w:lineRule="auto"/>
              <w:rPr>
                <w:rFonts w:cstheme="minorHAnsi"/>
                <w:sz w:val="22"/>
                <w:lang w:eastAsia="en-GB"/>
              </w:rPr>
            </w:pPr>
            <w:r w:rsidRPr="00C05886">
              <w:rPr>
                <w:rFonts w:cstheme="minorHAnsi"/>
                <w:sz w:val="22"/>
              </w:rPr>
              <w:t>8</w:t>
            </w:r>
          </w:p>
        </w:tc>
      </w:tr>
      <w:tr w:rsidR="00375BD2" w:rsidRPr="00C05886" w14:paraId="5002B854" w14:textId="77777777" w:rsidTr="007F4F4B">
        <w:trPr>
          <w:cnfStyle w:val="000000100000" w:firstRow="0" w:lastRow="0" w:firstColumn="0" w:lastColumn="0" w:oddVBand="0" w:evenVBand="0" w:oddHBand="1" w:evenHBand="0" w:firstRowFirstColumn="0" w:firstRowLastColumn="0" w:lastRowFirstColumn="0" w:lastRowLastColumn="0"/>
          <w:trHeight w:val="200"/>
        </w:trPr>
        <w:tc>
          <w:tcPr>
            <w:tcW w:w="3119" w:type="dxa"/>
          </w:tcPr>
          <w:p w14:paraId="41B24FC1" w14:textId="77777777" w:rsidR="00375BD2" w:rsidRPr="00C05886" w:rsidRDefault="00375BD2" w:rsidP="007F4F4B">
            <w:pPr>
              <w:spacing w:line="240" w:lineRule="auto"/>
              <w:rPr>
                <w:rFonts w:cstheme="minorHAnsi"/>
                <w:sz w:val="22"/>
              </w:rPr>
            </w:pPr>
            <w:r w:rsidRPr="00C05886">
              <w:rPr>
                <w:rFonts w:ascii="Calibri" w:hAnsi="Calibri" w:cs="Calibri"/>
                <w:color w:val="000000"/>
                <w:sz w:val="22"/>
              </w:rPr>
              <w:t>Interstitial plants</w:t>
            </w:r>
          </w:p>
        </w:tc>
        <w:tc>
          <w:tcPr>
            <w:tcW w:w="1701" w:type="dxa"/>
            <w:vAlign w:val="bottom"/>
          </w:tcPr>
          <w:p w14:paraId="70AA6D1C" w14:textId="77777777" w:rsidR="00375BD2" w:rsidRPr="00C05886" w:rsidRDefault="00375BD2" w:rsidP="007F4F4B">
            <w:pPr>
              <w:spacing w:line="240" w:lineRule="auto"/>
              <w:rPr>
                <w:rFonts w:cstheme="minorHAnsi"/>
                <w:sz w:val="22"/>
                <w:lang w:eastAsia="en-GB"/>
              </w:rPr>
            </w:pPr>
            <w:r w:rsidRPr="00C05886">
              <w:rPr>
                <w:rFonts w:cstheme="minorHAnsi"/>
                <w:sz w:val="22"/>
              </w:rPr>
              <w:t>5</w:t>
            </w:r>
          </w:p>
        </w:tc>
        <w:tc>
          <w:tcPr>
            <w:tcW w:w="3402" w:type="dxa"/>
            <w:vAlign w:val="bottom"/>
          </w:tcPr>
          <w:p w14:paraId="5528CEBF" w14:textId="77777777" w:rsidR="00375BD2" w:rsidRPr="00C05886" w:rsidRDefault="00375BD2" w:rsidP="007F4F4B">
            <w:pPr>
              <w:spacing w:line="240" w:lineRule="auto"/>
              <w:rPr>
                <w:rFonts w:cstheme="minorHAnsi"/>
                <w:sz w:val="22"/>
                <w:lang w:eastAsia="en-GB"/>
              </w:rPr>
            </w:pPr>
            <w:r w:rsidRPr="00C05886">
              <w:rPr>
                <w:rFonts w:cstheme="minorHAnsi"/>
                <w:sz w:val="22"/>
              </w:rPr>
              <w:t xml:space="preserve">Fungi </w:t>
            </w:r>
          </w:p>
        </w:tc>
        <w:tc>
          <w:tcPr>
            <w:tcW w:w="1609" w:type="dxa"/>
            <w:vAlign w:val="bottom"/>
          </w:tcPr>
          <w:p w14:paraId="19904DBB" w14:textId="77777777" w:rsidR="00375BD2" w:rsidRPr="00C05886" w:rsidRDefault="00375BD2" w:rsidP="007F4F4B">
            <w:pPr>
              <w:spacing w:line="240" w:lineRule="auto"/>
              <w:rPr>
                <w:rFonts w:cstheme="minorHAnsi"/>
                <w:sz w:val="22"/>
                <w:lang w:eastAsia="en-GB"/>
              </w:rPr>
            </w:pPr>
            <w:r w:rsidRPr="00C05886">
              <w:rPr>
                <w:rFonts w:cstheme="minorHAnsi"/>
                <w:sz w:val="22"/>
              </w:rPr>
              <w:t>8</w:t>
            </w:r>
          </w:p>
        </w:tc>
      </w:tr>
      <w:tr w:rsidR="00375BD2" w:rsidRPr="00C05886" w14:paraId="2ECCE1F9" w14:textId="77777777" w:rsidTr="007F4F4B">
        <w:trPr>
          <w:trHeight w:val="200"/>
        </w:trPr>
        <w:tc>
          <w:tcPr>
            <w:tcW w:w="3119" w:type="dxa"/>
          </w:tcPr>
          <w:p w14:paraId="13664D9A" w14:textId="77777777" w:rsidR="00375BD2" w:rsidRPr="00C05886" w:rsidRDefault="00375BD2" w:rsidP="007F4F4B">
            <w:pPr>
              <w:spacing w:line="240" w:lineRule="auto"/>
              <w:rPr>
                <w:rFonts w:cstheme="minorHAnsi"/>
                <w:sz w:val="22"/>
              </w:rPr>
            </w:pPr>
            <w:r w:rsidRPr="00C05886">
              <w:rPr>
                <w:rFonts w:ascii="Calibri" w:hAnsi="Calibri" w:cs="Calibri"/>
                <w:color w:val="000000"/>
                <w:sz w:val="22"/>
              </w:rPr>
              <w:t>Outdoor without nature</w:t>
            </w:r>
          </w:p>
        </w:tc>
        <w:tc>
          <w:tcPr>
            <w:tcW w:w="1701" w:type="dxa"/>
            <w:vAlign w:val="bottom"/>
          </w:tcPr>
          <w:p w14:paraId="56BBD3AD" w14:textId="77777777" w:rsidR="00375BD2" w:rsidRPr="00C05886" w:rsidRDefault="00375BD2" w:rsidP="007F4F4B">
            <w:pPr>
              <w:spacing w:line="240" w:lineRule="auto"/>
              <w:rPr>
                <w:rFonts w:cstheme="minorHAnsi"/>
                <w:sz w:val="22"/>
                <w:lang w:eastAsia="en-GB"/>
              </w:rPr>
            </w:pPr>
            <w:r w:rsidRPr="00C05886">
              <w:rPr>
                <w:rFonts w:cstheme="minorHAnsi"/>
                <w:sz w:val="22"/>
              </w:rPr>
              <w:t>5</w:t>
            </w:r>
          </w:p>
        </w:tc>
        <w:tc>
          <w:tcPr>
            <w:tcW w:w="3402" w:type="dxa"/>
            <w:vAlign w:val="bottom"/>
          </w:tcPr>
          <w:p w14:paraId="7EB47FAA" w14:textId="77777777" w:rsidR="00375BD2" w:rsidRPr="00C05886" w:rsidRDefault="00375BD2" w:rsidP="007F4F4B">
            <w:pPr>
              <w:spacing w:line="240" w:lineRule="auto"/>
              <w:rPr>
                <w:rFonts w:cstheme="minorHAnsi"/>
                <w:sz w:val="22"/>
                <w:lang w:eastAsia="en-GB"/>
              </w:rPr>
            </w:pPr>
            <w:r w:rsidRPr="00C05886">
              <w:rPr>
                <w:rFonts w:ascii="Calibri" w:hAnsi="Calibri" w:cs="Calibri"/>
                <w:color w:val="000000"/>
                <w:sz w:val="22"/>
              </w:rPr>
              <w:t>Plants as food</w:t>
            </w:r>
          </w:p>
        </w:tc>
        <w:tc>
          <w:tcPr>
            <w:tcW w:w="1609" w:type="dxa"/>
            <w:vAlign w:val="bottom"/>
          </w:tcPr>
          <w:p w14:paraId="6D92AB92" w14:textId="77777777" w:rsidR="00375BD2" w:rsidRPr="00C05886" w:rsidRDefault="00375BD2" w:rsidP="007F4F4B">
            <w:pPr>
              <w:spacing w:line="240" w:lineRule="auto"/>
              <w:rPr>
                <w:rFonts w:cstheme="minorHAnsi"/>
                <w:sz w:val="22"/>
                <w:lang w:eastAsia="en-GB"/>
              </w:rPr>
            </w:pPr>
            <w:r w:rsidRPr="00C05886">
              <w:rPr>
                <w:rFonts w:cstheme="minorHAnsi"/>
                <w:sz w:val="22"/>
              </w:rPr>
              <w:t>7</w:t>
            </w:r>
          </w:p>
        </w:tc>
      </w:tr>
      <w:tr w:rsidR="00375BD2" w:rsidRPr="00C05886" w14:paraId="6AB5F791" w14:textId="77777777" w:rsidTr="007F4F4B">
        <w:trPr>
          <w:cnfStyle w:val="000000100000" w:firstRow="0" w:lastRow="0" w:firstColumn="0" w:lastColumn="0" w:oddVBand="0" w:evenVBand="0" w:oddHBand="1" w:evenHBand="0" w:firstRowFirstColumn="0" w:firstRowLastColumn="0" w:lastRowFirstColumn="0" w:lastRowLastColumn="0"/>
          <w:trHeight w:val="200"/>
        </w:trPr>
        <w:tc>
          <w:tcPr>
            <w:tcW w:w="3119" w:type="dxa"/>
            <w:vAlign w:val="bottom"/>
          </w:tcPr>
          <w:p w14:paraId="0505D086" w14:textId="77777777" w:rsidR="00375BD2" w:rsidRPr="00C05886" w:rsidRDefault="00375BD2" w:rsidP="007F4F4B">
            <w:pPr>
              <w:spacing w:line="240" w:lineRule="auto"/>
              <w:rPr>
                <w:rFonts w:cstheme="minorHAnsi"/>
                <w:sz w:val="22"/>
              </w:rPr>
            </w:pPr>
            <w:r w:rsidRPr="00C05886">
              <w:rPr>
                <w:rFonts w:cstheme="minorHAnsi"/>
                <w:sz w:val="22"/>
              </w:rPr>
              <w:t xml:space="preserve">Playground </w:t>
            </w:r>
          </w:p>
        </w:tc>
        <w:tc>
          <w:tcPr>
            <w:tcW w:w="1701" w:type="dxa"/>
            <w:vAlign w:val="bottom"/>
          </w:tcPr>
          <w:p w14:paraId="4B1D4799" w14:textId="77777777" w:rsidR="00375BD2" w:rsidRPr="00C05886" w:rsidRDefault="00375BD2" w:rsidP="007F4F4B">
            <w:pPr>
              <w:spacing w:line="240" w:lineRule="auto"/>
              <w:rPr>
                <w:rFonts w:cstheme="minorHAnsi"/>
                <w:sz w:val="22"/>
                <w:lang w:eastAsia="en-GB"/>
              </w:rPr>
            </w:pPr>
            <w:r w:rsidRPr="00C05886">
              <w:rPr>
                <w:rFonts w:cstheme="minorHAnsi"/>
                <w:sz w:val="22"/>
              </w:rPr>
              <w:t>5</w:t>
            </w:r>
          </w:p>
        </w:tc>
        <w:tc>
          <w:tcPr>
            <w:tcW w:w="3402" w:type="dxa"/>
            <w:vAlign w:val="bottom"/>
          </w:tcPr>
          <w:p w14:paraId="3D5084C9" w14:textId="77777777" w:rsidR="00375BD2" w:rsidRPr="00C05886" w:rsidRDefault="00375BD2" w:rsidP="007F4F4B">
            <w:pPr>
              <w:spacing w:line="240" w:lineRule="auto"/>
              <w:rPr>
                <w:rFonts w:cstheme="minorHAnsi"/>
                <w:sz w:val="22"/>
                <w:lang w:eastAsia="en-GB"/>
              </w:rPr>
            </w:pPr>
            <w:r w:rsidRPr="00C05886">
              <w:rPr>
                <w:rFonts w:cstheme="minorHAnsi"/>
                <w:sz w:val="22"/>
              </w:rPr>
              <w:t>Creeper plants</w:t>
            </w:r>
          </w:p>
        </w:tc>
        <w:tc>
          <w:tcPr>
            <w:tcW w:w="1609" w:type="dxa"/>
            <w:vAlign w:val="bottom"/>
          </w:tcPr>
          <w:p w14:paraId="5502E271" w14:textId="77777777" w:rsidR="00375BD2" w:rsidRPr="00C05886" w:rsidRDefault="00375BD2" w:rsidP="007F4F4B">
            <w:pPr>
              <w:spacing w:line="240" w:lineRule="auto"/>
              <w:rPr>
                <w:rFonts w:cstheme="minorHAnsi"/>
                <w:sz w:val="22"/>
                <w:lang w:eastAsia="en-GB"/>
              </w:rPr>
            </w:pPr>
            <w:r w:rsidRPr="00C05886">
              <w:rPr>
                <w:rFonts w:cstheme="minorHAnsi"/>
                <w:sz w:val="22"/>
              </w:rPr>
              <w:t>6</w:t>
            </w:r>
          </w:p>
        </w:tc>
      </w:tr>
      <w:tr w:rsidR="00375BD2" w:rsidRPr="00C05886" w14:paraId="63969442" w14:textId="77777777" w:rsidTr="007F4F4B">
        <w:trPr>
          <w:trHeight w:val="200"/>
        </w:trPr>
        <w:tc>
          <w:tcPr>
            <w:tcW w:w="3119" w:type="dxa"/>
            <w:vAlign w:val="bottom"/>
          </w:tcPr>
          <w:p w14:paraId="61E772CE" w14:textId="77777777" w:rsidR="00375BD2" w:rsidRPr="00C05886" w:rsidRDefault="00375BD2" w:rsidP="007F4F4B">
            <w:pPr>
              <w:spacing w:line="240" w:lineRule="auto"/>
              <w:rPr>
                <w:rFonts w:cstheme="minorHAnsi"/>
                <w:sz w:val="22"/>
              </w:rPr>
            </w:pPr>
            <w:r w:rsidRPr="00C05886">
              <w:rPr>
                <w:rFonts w:cstheme="minorHAnsi"/>
                <w:sz w:val="22"/>
              </w:rPr>
              <w:t xml:space="preserve">Birds </w:t>
            </w:r>
          </w:p>
        </w:tc>
        <w:tc>
          <w:tcPr>
            <w:tcW w:w="1701" w:type="dxa"/>
            <w:vAlign w:val="bottom"/>
          </w:tcPr>
          <w:p w14:paraId="072C2FB7" w14:textId="77777777" w:rsidR="00375BD2" w:rsidRPr="00C05886" w:rsidRDefault="00375BD2" w:rsidP="007F4F4B">
            <w:pPr>
              <w:spacing w:line="240" w:lineRule="auto"/>
              <w:rPr>
                <w:rFonts w:cstheme="minorHAnsi"/>
                <w:sz w:val="22"/>
                <w:lang w:eastAsia="en-GB"/>
              </w:rPr>
            </w:pPr>
            <w:r w:rsidRPr="00C05886">
              <w:rPr>
                <w:rFonts w:cstheme="minorHAnsi"/>
                <w:sz w:val="22"/>
              </w:rPr>
              <w:t>3</w:t>
            </w:r>
          </w:p>
        </w:tc>
        <w:tc>
          <w:tcPr>
            <w:tcW w:w="3402" w:type="dxa"/>
            <w:vAlign w:val="bottom"/>
          </w:tcPr>
          <w:p w14:paraId="452F4204" w14:textId="77777777" w:rsidR="00375BD2" w:rsidRPr="00C05886" w:rsidRDefault="00375BD2" w:rsidP="007F4F4B">
            <w:pPr>
              <w:spacing w:line="240" w:lineRule="auto"/>
              <w:rPr>
                <w:rFonts w:cstheme="minorHAnsi"/>
                <w:sz w:val="22"/>
                <w:lang w:eastAsia="en-GB"/>
              </w:rPr>
            </w:pPr>
            <w:r w:rsidRPr="00C05886">
              <w:rPr>
                <w:rFonts w:cstheme="minorHAnsi"/>
                <w:sz w:val="22"/>
              </w:rPr>
              <w:t xml:space="preserve">Darkness </w:t>
            </w:r>
          </w:p>
        </w:tc>
        <w:tc>
          <w:tcPr>
            <w:tcW w:w="1609" w:type="dxa"/>
            <w:vAlign w:val="bottom"/>
          </w:tcPr>
          <w:p w14:paraId="410478AE" w14:textId="77777777" w:rsidR="00375BD2" w:rsidRPr="00C05886" w:rsidRDefault="00375BD2" w:rsidP="007F4F4B">
            <w:pPr>
              <w:spacing w:line="240" w:lineRule="auto"/>
              <w:rPr>
                <w:rFonts w:cstheme="minorHAnsi"/>
                <w:sz w:val="22"/>
                <w:lang w:eastAsia="en-GB"/>
              </w:rPr>
            </w:pPr>
            <w:r w:rsidRPr="00C05886">
              <w:rPr>
                <w:rFonts w:cstheme="minorHAnsi"/>
                <w:sz w:val="22"/>
              </w:rPr>
              <w:t>6</w:t>
            </w:r>
          </w:p>
        </w:tc>
      </w:tr>
      <w:tr w:rsidR="00375BD2" w:rsidRPr="00C05886" w14:paraId="3E57BC0C" w14:textId="77777777" w:rsidTr="007F4F4B">
        <w:trPr>
          <w:cnfStyle w:val="000000100000" w:firstRow="0" w:lastRow="0" w:firstColumn="0" w:lastColumn="0" w:oddVBand="0" w:evenVBand="0" w:oddHBand="1" w:evenHBand="0" w:firstRowFirstColumn="0" w:firstRowLastColumn="0" w:lastRowFirstColumn="0" w:lastRowLastColumn="0"/>
          <w:trHeight w:val="200"/>
        </w:trPr>
        <w:tc>
          <w:tcPr>
            <w:tcW w:w="3119" w:type="dxa"/>
            <w:vAlign w:val="bottom"/>
          </w:tcPr>
          <w:p w14:paraId="22C29B25" w14:textId="77777777" w:rsidR="00375BD2" w:rsidRPr="00C05886" w:rsidRDefault="00375BD2" w:rsidP="007F4F4B">
            <w:pPr>
              <w:spacing w:line="240" w:lineRule="auto"/>
              <w:rPr>
                <w:rFonts w:cstheme="minorHAnsi"/>
                <w:sz w:val="22"/>
              </w:rPr>
            </w:pPr>
            <w:r w:rsidRPr="00C05886">
              <w:rPr>
                <w:rFonts w:cstheme="minorHAnsi"/>
                <w:sz w:val="22"/>
              </w:rPr>
              <w:t xml:space="preserve">Dog </w:t>
            </w:r>
          </w:p>
        </w:tc>
        <w:tc>
          <w:tcPr>
            <w:tcW w:w="1701" w:type="dxa"/>
            <w:vAlign w:val="bottom"/>
          </w:tcPr>
          <w:p w14:paraId="1EC694E3" w14:textId="77777777" w:rsidR="00375BD2" w:rsidRPr="00C05886" w:rsidRDefault="00375BD2" w:rsidP="007F4F4B">
            <w:pPr>
              <w:spacing w:line="240" w:lineRule="auto"/>
              <w:rPr>
                <w:rFonts w:cstheme="minorHAnsi"/>
                <w:sz w:val="22"/>
                <w:lang w:eastAsia="en-GB"/>
              </w:rPr>
            </w:pPr>
            <w:r w:rsidRPr="00C05886">
              <w:rPr>
                <w:rFonts w:cstheme="minorHAnsi"/>
                <w:sz w:val="22"/>
              </w:rPr>
              <w:t>3</w:t>
            </w:r>
          </w:p>
        </w:tc>
        <w:tc>
          <w:tcPr>
            <w:tcW w:w="3402" w:type="dxa"/>
            <w:vAlign w:val="bottom"/>
          </w:tcPr>
          <w:p w14:paraId="434A9604" w14:textId="77777777" w:rsidR="00375BD2" w:rsidRPr="00C05886" w:rsidRDefault="00375BD2" w:rsidP="007F4F4B">
            <w:pPr>
              <w:spacing w:line="240" w:lineRule="auto"/>
              <w:rPr>
                <w:rFonts w:cstheme="minorHAnsi"/>
                <w:sz w:val="22"/>
                <w:lang w:eastAsia="en-GB"/>
              </w:rPr>
            </w:pPr>
            <w:r w:rsidRPr="00C05886">
              <w:rPr>
                <w:rFonts w:cstheme="minorHAnsi"/>
                <w:sz w:val="22"/>
              </w:rPr>
              <w:t xml:space="preserve">Dog </w:t>
            </w:r>
          </w:p>
        </w:tc>
        <w:tc>
          <w:tcPr>
            <w:tcW w:w="1609" w:type="dxa"/>
            <w:vAlign w:val="bottom"/>
          </w:tcPr>
          <w:p w14:paraId="1F69F138" w14:textId="77777777" w:rsidR="00375BD2" w:rsidRPr="00C05886" w:rsidRDefault="00375BD2" w:rsidP="007F4F4B">
            <w:pPr>
              <w:spacing w:line="240" w:lineRule="auto"/>
              <w:rPr>
                <w:rFonts w:cstheme="minorHAnsi"/>
                <w:sz w:val="22"/>
                <w:lang w:eastAsia="en-GB"/>
              </w:rPr>
            </w:pPr>
            <w:r w:rsidRPr="00C05886">
              <w:rPr>
                <w:rFonts w:cstheme="minorHAnsi"/>
                <w:sz w:val="22"/>
              </w:rPr>
              <w:t>6</w:t>
            </w:r>
          </w:p>
        </w:tc>
      </w:tr>
      <w:tr w:rsidR="00375BD2" w:rsidRPr="00C05886" w14:paraId="761AC86A" w14:textId="77777777" w:rsidTr="007F4F4B">
        <w:trPr>
          <w:trHeight w:val="200"/>
        </w:trPr>
        <w:tc>
          <w:tcPr>
            <w:tcW w:w="3119" w:type="dxa"/>
            <w:vAlign w:val="bottom"/>
          </w:tcPr>
          <w:p w14:paraId="46D5F5DF" w14:textId="77777777" w:rsidR="00375BD2" w:rsidRPr="00C05886" w:rsidRDefault="00375BD2" w:rsidP="007F4F4B">
            <w:pPr>
              <w:spacing w:line="240" w:lineRule="auto"/>
              <w:rPr>
                <w:rFonts w:cstheme="minorHAnsi"/>
                <w:sz w:val="22"/>
              </w:rPr>
            </w:pPr>
            <w:r w:rsidRPr="00C05886">
              <w:rPr>
                <w:rFonts w:cstheme="minorHAnsi"/>
                <w:sz w:val="22"/>
              </w:rPr>
              <w:t xml:space="preserve">Berries </w:t>
            </w:r>
          </w:p>
        </w:tc>
        <w:tc>
          <w:tcPr>
            <w:tcW w:w="1701" w:type="dxa"/>
            <w:vAlign w:val="bottom"/>
          </w:tcPr>
          <w:p w14:paraId="194639DD" w14:textId="77777777" w:rsidR="00375BD2" w:rsidRPr="00C05886" w:rsidRDefault="00375BD2" w:rsidP="007F4F4B">
            <w:pPr>
              <w:spacing w:line="240" w:lineRule="auto"/>
              <w:rPr>
                <w:rFonts w:cstheme="minorHAnsi"/>
                <w:sz w:val="22"/>
                <w:lang w:eastAsia="en-GB"/>
              </w:rPr>
            </w:pPr>
            <w:r w:rsidRPr="00C05886">
              <w:rPr>
                <w:rFonts w:cstheme="minorHAnsi"/>
                <w:sz w:val="22"/>
              </w:rPr>
              <w:t>2</w:t>
            </w:r>
          </w:p>
        </w:tc>
        <w:tc>
          <w:tcPr>
            <w:tcW w:w="3402" w:type="dxa"/>
            <w:vAlign w:val="bottom"/>
          </w:tcPr>
          <w:p w14:paraId="3626A28F" w14:textId="77777777" w:rsidR="00375BD2" w:rsidRPr="00C05886" w:rsidRDefault="00375BD2" w:rsidP="007F4F4B">
            <w:pPr>
              <w:spacing w:line="240" w:lineRule="auto"/>
              <w:rPr>
                <w:rFonts w:cstheme="minorHAnsi"/>
                <w:sz w:val="22"/>
                <w:lang w:eastAsia="en-GB"/>
              </w:rPr>
            </w:pPr>
            <w:r w:rsidRPr="00C05886">
              <w:rPr>
                <w:rFonts w:cstheme="minorHAnsi"/>
                <w:sz w:val="22"/>
              </w:rPr>
              <w:t xml:space="preserve">Hedgehog </w:t>
            </w:r>
          </w:p>
        </w:tc>
        <w:tc>
          <w:tcPr>
            <w:tcW w:w="1609" w:type="dxa"/>
            <w:vAlign w:val="bottom"/>
          </w:tcPr>
          <w:p w14:paraId="03372889" w14:textId="77777777" w:rsidR="00375BD2" w:rsidRPr="00C05886" w:rsidRDefault="00375BD2" w:rsidP="007F4F4B">
            <w:pPr>
              <w:spacing w:line="240" w:lineRule="auto"/>
              <w:rPr>
                <w:rFonts w:cstheme="minorHAnsi"/>
                <w:sz w:val="22"/>
                <w:lang w:eastAsia="en-GB"/>
              </w:rPr>
            </w:pPr>
            <w:r w:rsidRPr="00C05886">
              <w:rPr>
                <w:rFonts w:cstheme="minorHAnsi"/>
                <w:sz w:val="22"/>
              </w:rPr>
              <w:t>5</w:t>
            </w:r>
          </w:p>
        </w:tc>
      </w:tr>
      <w:tr w:rsidR="00375BD2" w:rsidRPr="00C05886" w14:paraId="75B47AE2" w14:textId="77777777" w:rsidTr="007F4F4B">
        <w:trPr>
          <w:cnfStyle w:val="000000100000" w:firstRow="0" w:lastRow="0" w:firstColumn="0" w:lastColumn="0" w:oddVBand="0" w:evenVBand="0" w:oddHBand="1" w:evenHBand="0" w:firstRowFirstColumn="0" w:firstRowLastColumn="0" w:lastRowFirstColumn="0" w:lastRowLastColumn="0"/>
          <w:trHeight w:val="200"/>
        </w:trPr>
        <w:tc>
          <w:tcPr>
            <w:tcW w:w="3119" w:type="dxa"/>
            <w:vAlign w:val="bottom"/>
          </w:tcPr>
          <w:p w14:paraId="7C8770A2" w14:textId="77777777" w:rsidR="00375BD2" w:rsidRPr="00C05886" w:rsidRDefault="00375BD2" w:rsidP="007F4F4B">
            <w:pPr>
              <w:spacing w:line="240" w:lineRule="auto"/>
              <w:rPr>
                <w:rFonts w:cstheme="minorHAnsi"/>
                <w:sz w:val="22"/>
              </w:rPr>
            </w:pPr>
            <w:r w:rsidRPr="00C05886">
              <w:rPr>
                <w:rFonts w:cstheme="minorHAnsi"/>
                <w:sz w:val="22"/>
              </w:rPr>
              <w:t xml:space="preserve">Cat </w:t>
            </w:r>
          </w:p>
        </w:tc>
        <w:tc>
          <w:tcPr>
            <w:tcW w:w="1701" w:type="dxa"/>
            <w:vAlign w:val="bottom"/>
          </w:tcPr>
          <w:p w14:paraId="72F8FDCB" w14:textId="77777777" w:rsidR="00375BD2" w:rsidRPr="00C05886" w:rsidRDefault="00375BD2" w:rsidP="007F4F4B">
            <w:pPr>
              <w:spacing w:line="240" w:lineRule="auto"/>
              <w:rPr>
                <w:rFonts w:cstheme="minorHAnsi"/>
                <w:sz w:val="22"/>
                <w:lang w:eastAsia="en-GB"/>
              </w:rPr>
            </w:pPr>
            <w:r w:rsidRPr="00C05886">
              <w:rPr>
                <w:rFonts w:cstheme="minorHAnsi"/>
                <w:sz w:val="22"/>
              </w:rPr>
              <w:t>2</w:t>
            </w:r>
          </w:p>
        </w:tc>
        <w:tc>
          <w:tcPr>
            <w:tcW w:w="3402" w:type="dxa"/>
            <w:vAlign w:val="bottom"/>
          </w:tcPr>
          <w:p w14:paraId="552D5A31" w14:textId="77777777" w:rsidR="00375BD2" w:rsidRPr="00C05886" w:rsidRDefault="00375BD2" w:rsidP="007F4F4B">
            <w:pPr>
              <w:spacing w:line="240" w:lineRule="auto"/>
              <w:rPr>
                <w:rFonts w:cstheme="minorHAnsi"/>
                <w:sz w:val="22"/>
                <w:lang w:eastAsia="en-GB"/>
              </w:rPr>
            </w:pPr>
            <w:r w:rsidRPr="00C05886">
              <w:rPr>
                <w:rFonts w:cstheme="minorHAnsi"/>
                <w:sz w:val="22"/>
              </w:rPr>
              <w:t xml:space="preserve">Houseplant </w:t>
            </w:r>
          </w:p>
        </w:tc>
        <w:tc>
          <w:tcPr>
            <w:tcW w:w="1609" w:type="dxa"/>
            <w:vAlign w:val="bottom"/>
          </w:tcPr>
          <w:p w14:paraId="47E9F6F9" w14:textId="77777777" w:rsidR="00375BD2" w:rsidRPr="00C05886" w:rsidRDefault="00375BD2" w:rsidP="007F4F4B">
            <w:pPr>
              <w:spacing w:line="240" w:lineRule="auto"/>
              <w:rPr>
                <w:rFonts w:cstheme="minorHAnsi"/>
                <w:sz w:val="22"/>
                <w:lang w:eastAsia="en-GB"/>
              </w:rPr>
            </w:pPr>
            <w:r w:rsidRPr="00C05886">
              <w:rPr>
                <w:rFonts w:cstheme="minorHAnsi"/>
                <w:sz w:val="22"/>
              </w:rPr>
              <w:t>5</w:t>
            </w:r>
          </w:p>
        </w:tc>
      </w:tr>
      <w:tr w:rsidR="00375BD2" w:rsidRPr="00C05886" w14:paraId="3D097B50" w14:textId="77777777" w:rsidTr="007F4F4B">
        <w:trPr>
          <w:trHeight w:val="200"/>
        </w:trPr>
        <w:tc>
          <w:tcPr>
            <w:tcW w:w="3119" w:type="dxa"/>
            <w:vAlign w:val="bottom"/>
          </w:tcPr>
          <w:p w14:paraId="27DB146F" w14:textId="77777777" w:rsidR="00375BD2" w:rsidRPr="00C05886" w:rsidRDefault="00375BD2" w:rsidP="007F4F4B">
            <w:pPr>
              <w:spacing w:line="240" w:lineRule="auto"/>
              <w:rPr>
                <w:rFonts w:cstheme="minorHAnsi"/>
                <w:sz w:val="22"/>
              </w:rPr>
            </w:pPr>
            <w:r w:rsidRPr="00C05886">
              <w:rPr>
                <w:rFonts w:ascii="Calibri" w:hAnsi="Calibri" w:cs="Calibri"/>
                <w:color w:val="000000"/>
                <w:sz w:val="22"/>
              </w:rPr>
              <w:t>Litter and rubbish</w:t>
            </w:r>
          </w:p>
        </w:tc>
        <w:tc>
          <w:tcPr>
            <w:tcW w:w="1701" w:type="dxa"/>
            <w:vAlign w:val="bottom"/>
          </w:tcPr>
          <w:p w14:paraId="1AABA232" w14:textId="77777777" w:rsidR="00375BD2" w:rsidRPr="00C05886" w:rsidRDefault="00375BD2" w:rsidP="007F4F4B">
            <w:pPr>
              <w:spacing w:line="240" w:lineRule="auto"/>
              <w:rPr>
                <w:rFonts w:cstheme="minorHAnsi"/>
                <w:sz w:val="22"/>
                <w:lang w:eastAsia="en-GB"/>
              </w:rPr>
            </w:pPr>
            <w:r w:rsidRPr="00C05886">
              <w:rPr>
                <w:rFonts w:cstheme="minorHAnsi"/>
                <w:sz w:val="22"/>
              </w:rPr>
              <w:t>2</w:t>
            </w:r>
          </w:p>
        </w:tc>
        <w:tc>
          <w:tcPr>
            <w:tcW w:w="3402" w:type="dxa"/>
          </w:tcPr>
          <w:p w14:paraId="457A10A9" w14:textId="77777777" w:rsidR="00375BD2" w:rsidRPr="00C05886" w:rsidRDefault="00375BD2" w:rsidP="007F4F4B">
            <w:pPr>
              <w:spacing w:line="240" w:lineRule="auto"/>
              <w:rPr>
                <w:rFonts w:cstheme="minorHAnsi"/>
                <w:sz w:val="22"/>
                <w:lang w:eastAsia="en-GB"/>
              </w:rPr>
            </w:pPr>
            <w:r w:rsidRPr="00C05886">
              <w:rPr>
                <w:rFonts w:ascii="Calibri" w:hAnsi="Calibri" w:cs="Calibri"/>
                <w:color w:val="000000"/>
                <w:sz w:val="22"/>
              </w:rPr>
              <w:t>Indoor without nature</w:t>
            </w:r>
          </w:p>
        </w:tc>
        <w:tc>
          <w:tcPr>
            <w:tcW w:w="1609" w:type="dxa"/>
            <w:vAlign w:val="bottom"/>
          </w:tcPr>
          <w:p w14:paraId="76DDFB95" w14:textId="77777777" w:rsidR="00375BD2" w:rsidRPr="00C05886" w:rsidRDefault="00375BD2" w:rsidP="007F4F4B">
            <w:pPr>
              <w:spacing w:line="240" w:lineRule="auto"/>
              <w:rPr>
                <w:rFonts w:cstheme="minorHAnsi"/>
                <w:sz w:val="22"/>
                <w:lang w:eastAsia="en-GB"/>
              </w:rPr>
            </w:pPr>
            <w:r w:rsidRPr="00C05886">
              <w:rPr>
                <w:rFonts w:cstheme="minorHAnsi"/>
                <w:sz w:val="22"/>
              </w:rPr>
              <w:t>4</w:t>
            </w:r>
          </w:p>
        </w:tc>
      </w:tr>
      <w:tr w:rsidR="00375BD2" w:rsidRPr="00C05886" w14:paraId="71A4FFB4" w14:textId="77777777" w:rsidTr="007F4F4B">
        <w:trPr>
          <w:cnfStyle w:val="000000100000" w:firstRow="0" w:lastRow="0" w:firstColumn="0" w:lastColumn="0" w:oddVBand="0" w:evenVBand="0" w:oddHBand="1" w:evenHBand="0" w:firstRowFirstColumn="0" w:firstRowLastColumn="0" w:lastRowFirstColumn="0" w:lastRowLastColumn="0"/>
          <w:trHeight w:val="200"/>
        </w:trPr>
        <w:tc>
          <w:tcPr>
            <w:tcW w:w="3119" w:type="dxa"/>
            <w:vAlign w:val="bottom"/>
          </w:tcPr>
          <w:p w14:paraId="2FCC9364" w14:textId="77777777" w:rsidR="00375BD2" w:rsidRPr="00C05886" w:rsidRDefault="00375BD2" w:rsidP="007F4F4B">
            <w:pPr>
              <w:spacing w:line="240" w:lineRule="auto"/>
              <w:rPr>
                <w:rFonts w:cstheme="minorHAnsi"/>
                <w:sz w:val="22"/>
              </w:rPr>
            </w:pPr>
            <w:r w:rsidRPr="00C05886">
              <w:rPr>
                <w:rFonts w:ascii="Calibri" w:hAnsi="Calibri" w:cs="Calibri"/>
                <w:color w:val="000000"/>
                <w:sz w:val="22"/>
              </w:rPr>
              <w:t>Plants as food</w:t>
            </w:r>
          </w:p>
        </w:tc>
        <w:tc>
          <w:tcPr>
            <w:tcW w:w="1701" w:type="dxa"/>
            <w:vAlign w:val="bottom"/>
          </w:tcPr>
          <w:p w14:paraId="563F294F" w14:textId="77777777" w:rsidR="00375BD2" w:rsidRPr="00C05886" w:rsidRDefault="00375BD2" w:rsidP="007F4F4B">
            <w:pPr>
              <w:spacing w:line="240" w:lineRule="auto"/>
              <w:rPr>
                <w:rFonts w:cstheme="minorHAnsi"/>
                <w:sz w:val="22"/>
                <w:lang w:eastAsia="en-GB"/>
              </w:rPr>
            </w:pPr>
            <w:r w:rsidRPr="00C05886">
              <w:rPr>
                <w:rFonts w:cstheme="minorHAnsi"/>
                <w:sz w:val="22"/>
              </w:rPr>
              <w:t>2</w:t>
            </w:r>
          </w:p>
        </w:tc>
        <w:tc>
          <w:tcPr>
            <w:tcW w:w="3402" w:type="dxa"/>
            <w:vAlign w:val="bottom"/>
          </w:tcPr>
          <w:p w14:paraId="5020AE90" w14:textId="77777777" w:rsidR="00375BD2" w:rsidRPr="00C05886" w:rsidRDefault="00375BD2" w:rsidP="007F4F4B">
            <w:pPr>
              <w:spacing w:line="240" w:lineRule="auto"/>
              <w:rPr>
                <w:rFonts w:cstheme="minorHAnsi"/>
                <w:sz w:val="22"/>
                <w:lang w:eastAsia="en-GB"/>
              </w:rPr>
            </w:pPr>
            <w:r w:rsidRPr="00C05886">
              <w:rPr>
                <w:rFonts w:cstheme="minorHAnsi"/>
                <w:sz w:val="22"/>
              </w:rPr>
              <w:t xml:space="preserve">Livestock </w:t>
            </w:r>
          </w:p>
        </w:tc>
        <w:tc>
          <w:tcPr>
            <w:tcW w:w="1609" w:type="dxa"/>
            <w:vAlign w:val="bottom"/>
          </w:tcPr>
          <w:p w14:paraId="10D5B59D" w14:textId="77777777" w:rsidR="00375BD2" w:rsidRPr="00C05886" w:rsidRDefault="00375BD2" w:rsidP="007F4F4B">
            <w:pPr>
              <w:spacing w:line="240" w:lineRule="auto"/>
              <w:rPr>
                <w:rFonts w:cstheme="minorHAnsi"/>
                <w:sz w:val="22"/>
                <w:lang w:eastAsia="en-GB"/>
              </w:rPr>
            </w:pPr>
            <w:r w:rsidRPr="00C05886">
              <w:rPr>
                <w:rFonts w:cstheme="minorHAnsi"/>
                <w:sz w:val="22"/>
              </w:rPr>
              <w:t>4</w:t>
            </w:r>
          </w:p>
        </w:tc>
      </w:tr>
      <w:tr w:rsidR="00375BD2" w:rsidRPr="00C05886" w14:paraId="4ECE4473" w14:textId="77777777" w:rsidTr="007F4F4B">
        <w:trPr>
          <w:trHeight w:val="200"/>
        </w:trPr>
        <w:tc>
          <w:tcPr>
            <w:tcW w:w="3119" w:type="dxa"/>
            <w:vAlign w:val="bottom"/>
          </w:tcPr>
          <w:p w14:paraId="61F29B05" w14:textId="77777777" w:rsidR="00375BD2" w:rsidRPr="00C05886" w:rsidRDefault="00375BD2" w:rsidP="007F4F4B">
            <w:pPr>
              <w:spacing w:line="240" w:lineRule="auto"/>
              <w:rPr>
                <w:rFonts w:cstheme="minorHAnsi"/>
                <w:sz w:val="22"/>
              </w:rPr>
            </w:pPr>
            <w:r w:rsidRPr="00C05886">
              <w:rPr>
                <w:rFonts w:cstheme="minorHAnsi"/>
                <w:sz w:val="22"/>
              </w:rPr>
              <w:t xml:space="preserve">Hedgehog </w:t>
            </w:r>
          </w:p>
        </w:tc>
        <w:tc>
          <w:tcPr>
            <w:tcW w:w="1701" w:type="dxa"/>
            <w:vAlign w:val="bottom"/>
          </w:tcPr>
          <w:p w14:paraId="3331E7C2" w14:textId="77777777" w:rsidR="00375BD2" w:rsidRPr="00C05886" w:rsidRDefault="00375BD2" w:rsidP="007F4F4B">
            <w:pPr>
              <w:spacing w:line="240" w:lineRule="auto"/>
              <w:rPr>
                <w:rFonts w:cstheme="minorHAnsi"/>
                <w:sz w:val="22"/>
                <w:lang w:eastAsia="en-GB"/>
              </w:rPr>
            </w:pPr>
            <w:r w:rsidRPr="00C05886">
              <w:rPr>
                <w:rFonts w:cstheme="minorHAnsi"/>
                <w:sz w:val="22"/>
              </w:rPr>
              <w:t>1</w:t>
            </w:r>
          </w:p>
        </w:tc>
        <w:tc>
          <w:tcPr>
            <w:tcW w:w="3402" w:type="dxa"/>
            <w:vAlign w:val="bottom"/>
          </w:tcPr>
          <w:p w14:paraId="1C94C842" w14:textId="77777777" w:rsidR="00375BD2" w:rsidRPr="00C05886" w:rsidRDefault="00375BD2" w:rsidP="007F4F4B">
            <w:pPr>
              <w:spacing w:line="240" w:lineRule="auto"/>
              <w:rPr>
                <w:rFonts w:cstheme="minorHAnsi"/>
                <w:sz w:val="22"/>
                <w:lang w:eastAsia="en-GB"/>
              </w:rPr>
            </w:pPr>
            <w:r w:rsidRPr="00C05886">
              <w:rPr>
                <w:rFonts w:ascii="Calibri" w:hAnsi="Calibri" w:cs="Calibri"/>
                <w:color w:val="000000"/>
                <w:sz w:val="22"/>
              </w:rPr>
              <w:t>Litter and rubbish</w:t>
            </w:r>
          </w:p>
        </w:tc>
        <w:tc>
          <w:tcPr>
            <w:tcW w:w="1609" w:type="dxa"/>
            <w:vAlign w:val="bottom"/>
          </w:tcPr>
          <w:p w14:paraId="12D34A18" w14:textId="77777777" w:rsidR="00375BD2" w:rsidRPr="00C05886" w:rsidRDefault="00375BD2" w:rsidP="007F4F4B">
            <w:pPr>
              <w:spacing w:line="240" w:lineRule="auto"/>
              <w:rPr>
                <w:rFonts w:cstheme="minorHAnsi"/>
                <w:sz w:val="22"/>
                <w:lang w:eastAsia="en-GB"/>
              </w:rPr>
            </w:pPr>
            <w:r w:rsidRPr="00C05886">
              <w:rPr>
                <w:rFonts w:cstheme="minorHAnsi"/>
                <w:sz w:val="22"/>
              </w:rPr>
              <w:t>3</w:t>
            </w:r>
          </w:p>
        </w:tc>
      </w:tr>
      <w:tr w:rsidR="00375BD2" w:rsidRPr="00C05886" w14:paraId="52C91081" w14:textId="77777777" w:rsidTr="007F4F4B">
        <w:trPr>
          <w:cnfStyle w:val="000000100000" w:firstRow="0" w:lastRow="0" w:firstColumn="0" w:lastColumn="0" w:oddVBand="0" w:evenVBand="0" w:oddHBand="1" w:evenHBand="0" w:firstRowFirstColumn="0" w:firstRowLastColumn="0" w:lastRowFirstColumn="0" w:lastRowLastColumn="0"/>
          <w:trHeight w:val="200"/>
        </w:trPr>
        <w:tc>
          <w:tcPr>
            <w:tcW w:w="3119" w:type="dxa"/>
            <w:vAlign w:val="bottom"/>
          </w:tcPr>
          <w:p w14:paraId="5A24BF6D" w14:textId="77777777" w:rsidR="00375BD2" w:rsidRPr="00C05886" w:rsidRDefault="00375BD2" w:rsidP="007F4F4B">
            <w:pPr>
              <w:spacing w:line="240" w:lineRule="auto"/>
              <w:rPr>
                <w:rFonts w:cstheme="minorHAnsi"/>
                <w:sz w:val="22"/>
              </w:rPr>
            </w:pPr>
            <w:r w:rsidRPr="00C05886">
              <w:rPr>
                <w:rFonts w:cstheme="minorHAnsi"/>
                <w:sz w:val="22"/>
              </w:rPr>
              <w:t xml:space="preserve">Sport field </w:t>
            </w:r>
          </w:p>
        </w:tc>
        <w:tc>
          <w:tcPr>
            <w:tcW w:w="1701" w:type="dxa"/>
            <w:vAlign w:val="bottom"/>
          </w:tcPr>
          <w:p w14:paraId="4ED095A8" w14:textId="77777777" w:rsidR="00375BD2" w:rsidRPr="00C05886" w:rsidRDefault="00375BD2" w:rsidP="007F4F4B">
            <w:pPr>
              <w:spacing w:line="240" w:lineRule="auto"/>
              <w:rPr>
                <w:rFonts w:cstheme="minorHAnsi"/>
                <w:sz w:val="22"/>
                <w:lang w:eastAsia="en-GB"/>
              </w:rPr>
            </w:pPr>
            <w:r w:rsidRPr="00C05886">
              <w:rPr>
                <w:rFonts w:cstheme="minorHAnsi"/>
                <w:sz w:val="22"/>
              </w:rPr>
              <w:t>1</w:t>
            </w:r>
          </w:p>
        </w:tc>
        <w:tc>
          <w:tcPr>
            <w:tcW w:w="3402" w:type="dxa"/>
          </w:tcPr>
          <w:p w14:paraId="330A3ECD" w14:textId="77777777" w:rsidR="00375BD2" w:rsidRPr="00C05886" w:rsidRDefault="00375BD2" w:rsidP="007F4F4B">
            <w:pPr>
              <w:spacing w:line="240" w:lineRule="auto"/>
              <w:rPr>
                <w:rFonts w:cstheme="minorHAnsi"/>
                <w:sz w:val="22"/>
                <w:lang w:eastAsia="en-GB"/>
              </w:rPr>
            </w:pPr>
            <w:r w:rsidRPr="00C05886">
              <w:rPr>
                <w:rFonts w:ascii="Calibri" w:hAnsi="Calibri" w:cs="Calibri"/>
                <w:color w:val="000000"/>
                <w:sz w:val="22"/>
              </w:rPr>
              <w:t>Interstitial plants</w:t>
            </w:r>
          </w:p>
        </w:tc>
        <w:tc>
          <w:tcPr>
            <w:tcW w:w="1609" w:type="dxa"/>
            <w:vAlign w:val="bottom"/>
          </w:tcPr>
          <w:p w14:paraId="2B18001D" w14:textId="77777777" w:rsidR="00375BD2" w:rsidRPr="00C05886" w:rsidRDefault="00375BD2" w:rsidP="007F4F4B">
            <w:pPr>
              <w:spacing w:line="240" w:lineRule="auto"/>
              <w:rPr>
                <w:rFonts w:cstheme="minorHAnsi"/>
                <w:sz w:val="22"/>
                <w:lang w:eastAsia="en-GB"/>
              </w:rPr>
            </w:pPr>
            <w:r w:rsidRPr="00C05886">
              <w:rPr>
                <w:rFonts w:cstheme="minorHAnsi"/>
                <w:sz w:val="22"/>
              </w:rPr>
              <w:t>3</w:t>
            </w:r>
          </w:p>
        </w:tc>
      </w:tr>
      <w:tr w:rsidR="00375BD2" w:rsidRPr="00C05886" w14:paraId="0B4FF62C" w14:textId="77777777" w:rsidTr="007F4F4B">
        <w:trPr>
          <w:trHeight w:val="200"/>
        </w:trPr>
        <w:tc>
          <w:tcPr>
            <w:tcW w:w="3119" w:type="dxa"/>
            <w:vAlign w:val="bottom"/>
          </w:tcPr>
          <w:p w14:paraId="068B1902" w14:textId="77777777" w:rsidR="00375BD2" w:rsidRPr="00C05886" w:rsidRDefault="00375BD2" w:rsidP="007F4F4B">
            <w:pPr>
              <w:spacing w:line="240" w:lineRule="auto"/>
              <w:rPr>
                <w:rFonts w:cstheme="minorHAnsi"/>
                <w:sz w:val="22"/>
              </w:rPr>
            </w:pPr>
            <w:r w:rsidRPr="00C05886">
              <w:rPr>
                <w:rFonts w:cstheme="minorHAnsi"/>
                <w:sz w:val="22"/>
              </w:rPr>
              <w:t xml:space="preserve">Squirrel </w:t>
            </w:r>
          </w:p>
        </w:tc>
        <w:tc>
          <w:tcPr>
            <w:tcW w:w="1701" w:type="dxa"/>
            <w:vAlign w:val="bottom"/>
          </w:tcPr>
          <w:p w14:paraId="214B03AC" w14:textId="77777777" w:rsidR="00375BD2" w:rsidRPr="00C05886" w:rsidRDefault="00375BD2" w:rsidP="007F4F4B">
            <w:pPr>
              <w:spacing w:line="240" w:lineRule="auto"/>
              <w:rPr>
                <w:rFonts w:cstheme="minorHAnsi"/>
                <w:sz w:val="22"/>
                <w:lang w:eastAsia="en-GB"/>
              </w:rPr>
            </w:pPr>
            <w:r w:rsidRPr="00C05886">
              <w:rPr>
                <w:rFonts w:cstheme="minorHAnsi"/>
                <w:sz w:val="22"/>
              </w:rPr>
              <w:t>1</w:t>
            </w:r>
          </w:p>
        </w:tc>
        <w:tc>
          <w:tcPr>
            <w:tcW w:w="3402" w:type="dxa"/>
          </w:tcPr>
          <w:p w14:paraId="55D89BD3" w14:textId="77777777" w:rsidR="00375BD2" w:rsidRPr="00C05886" w:rsidRDefault="00375BD2" w:rsidP="007F4F4B">
            <w:pPr>
              <w:spacing w:line="240" w:lineRule="auto"/>
              <w:rPr>
                <w:rFonts w:cstheme="minorHAnsi"/>
                <w:sz w:val="22"/>
                <w:lang w:eastAsia="en-GB"/>
              </w:rPr>
            </w:pPr>
            <w:r w:rsidRPr="00C05886">
              <w:rPr>
                <w:rFonts w:ascii="Calibri" w:hAnsi="Calibri" w:cs="Calibri"/>
                <w:color w:val="000000"/>
                <w:sz w:val="22"/>
              </w:rPr>
              <w:t>Outdoor without nature</w:t>
            </w:r>
          </w:p>
        </w:tc>
        <w:tc>
          <w:tcPr>
            <w:tcW w:w="1609" w:type="dxa"/>
            <w:vAlign w:val="bottom"/>
          </w:tcPr>
          <w:p w14:paraId="71DECC49" w14:textId="77777777" w:rsidR="00375BD2" w:rsidRPr="00C05886" w:rsidRDefault="00375BD2" w:rsidP="007F4F4B">
            <w:pPr>
              <w:spacing w:line="240" w:lineRule="auto"/>
              <w:rPr>
                <w:rFonts w:cstheme="minorHAnsi"/>
                <w:sz w:val="22"/>
                <w:lang w:eastAsia="en-GB"/>
              </w:rPr>
            </w:pPr>
            <w:r w:rsidRPr="00C05886">
              <w:rPr>
                <w:rFonts w:cstheme="minorHAnsi"/>
                <w:sz w:val="22"/>
              </w:rPr>
              <w:t>2</w:t>
            </w:r>
          </w:p>
        </w:tc>
      </w:tr>
      <w:tr w:rsidR="00375BD2" w:rsidRPr="00C05886" w14:paraId="2B929C2D" w14:textId="77777777" w:rsidTr="007F4F4B">
        <w:trPr>
          <w:cnfStyle w:val="000000100000" w:firstRow="0" w:lastRow="0" w:firstColumn="0" w:lastColumn="0" w:oddVBand="0" w:evenVBand="0" w:oddHBand="1" w:evenHBand="0" w:firstRowFirstColumn="0" w:firstRowLastColumn="0" w:lastRowFirstColumn="0" w:lastRowLastColumn="0"/>
          <w:trHeight w:val="200"/>
        </w:trPr>
        <w:tc>
          <w:tcPr>
            <w:tcW w:w="3119" w:type="dxa"/>
            <w:vAlign w:val="bottom"/>
          </w:tcPr>
          <w:p w14:paraId="15A3ADF5" w14:textId="77777777" w:rsidR="00375BD2" w:rsidRPr="00C05886" w:rsidRDefault="00375BD2" w:rsidP="007F4F4B">
            <w:pPr>
              <w:spacing w:line="240" w:lineRule="auto"/>
              <w:rPr>
                <w:rFonts w:cstheme="minorHAnsi"/>
                <w:sz w:val="22"/>
              </w:rPr>
            </w:pPr>
            <w:r w:rsidRPr="00C05886">
              <w:rPr>
                <w:rFonts w:cstheme="minorHAnsi"/>
                <w:sz w:val="22"/>
              </w:rPr>
              <w:t>Creeper plants</w:t>
            </w:r>
          </w:p>
        </w:tc>
        <w:tc>
          <w:tcPr>
            <w:tcW w:w="1701" w:type="dxa"/>
            <w:vAlign w:val="bottom"/>
          </w:tcPr>
          <w:p w14:paraId="43555DC8" w14:textId="77777777" w:rsidR="00375BD2" w:rsidRPr="00C05886" w:rsidRDefault="00375BD2" w:rsidP="007F4F4B">
            <w:pPr>
              <w:spacing w:line="240" w:lineRule="auto"/>
              <w:rPr>
                <w:rFonts w:cstheme="minorHAnsi"/>
                <w:sz w:val="22"/>
                <w:lang w:eastAsia="en-GB"/>
              </w:rPr>
            </w:pPr>
            <w:r w:rsidRPr="00C05886">
              <w:rPr>
                <w:rFonts w:cstheme="minorHAnsi"/>
                <w:sz w:val="22"/>
              </w:rPr>
              <w:t>0</w:t>
            </w:r>
          </w:p>
        </w:tc>
        <w:tc>
          <w:tcPr>
            <w:tcW w:w="3402" w:type="dxa"/>
          </w:tcPr>
          <w:p w14:paraId="3CFB89F6" w14:textId="77777777" w:rsidR="00375BD2" w:rsidRPr="00C05886" w:rsidRDefault="00375BD2" w:rsidP="007F4F4B">
            <w:pPr>
              <w:spacing w:line="240" w:lineRule="auto"/>
              <w:rPr>
                <w:rFonts w:cstheme="minorHAnsi"/>
                <w:sz w:val="22"/>
                <w:lang w:eastAsia="en-GB"/>
              </w:rPr>
            </w:pPr>
            <w:r w:rsidRPr="00C05886">
              <w:rPr>
                <w:rFonts w:ascii="Calibri" w:hAnsi="Calibri" w:cs="Calibri"/>
                <w:color w:val="000000"/>
                <w:sz w:val="22"/>
              </w:rPr>
              <w:t>Potted plants</w:t>
            </w:r>
          </w:p>
        </w:tc>
        <w:tc>
          <w:tcPr>
            <w:tcW w:w="1609" w:type="dxa"/>
            <w:vAlign w:val="bottom"/>
          </w:tcPr>
          <w:p w14:paraId="18E88713" w14:textId="77777777" w:rsidR="00375BD2" w:rsidRPr="00C05886" w:rsidRDefault="00375BD2" w:rsidP="007F4F4B">
            <w:pPr>
              <w:spacing w:line="240" w:lineRule="auto"/>
              <w:rPr>
                <w:rFonts w:cstheme="minorHAnsi"/>
                <w:sz w:val="22"/>
                <w:lang w:eastAsia="en-GB"/>
              </w:rPr>
            </w:pPr>
            <w:r w:rsidRPr="00C05886">
              <w:rPr>
                <w:rFonts w:cstheme="minorHAnsi"/>
                <w:sz w:val="22"/>
              </w:rPr>
              <w:t>2</w:t>
            </w:r>
          </w:p>
        </w:tc>
      </w:tr>
      <w:tr w:rsidR="00375BD2" w:rsidRPr="00C05886" w14:paraId="79BC0FD0" w14:textId="77777777" w:rsidTr="007F4F4B">
        <w:trPr>
          <w:trHeight w:val="200"/>
        </w:trPr>
        <w:tc>
          <w:tcPr>
            <w:tcW w:w="3119" w:type="dxa"/>
            <w:vAlign w:val="bottom"/>
          </w:tcPr>
          <w:p w14:paraId="327E2DA2" w14:textId="77777777" w:rsidR="00375BD2" w:rsidRPr="00C05886" w:rsidRDefault="00375BD2" w:rsidP="007F4F4B">
            <w:pPr>
              <w:spacing w:line="240" w:lineRule="auto"/>
              <w:rPr>
                <w:rFonts w:cstheme="minorHAnsi"/>
                <w:sz w:val="22"/>
              </w:rPr>
            </w:pPr>
            <w:r w:rsidRPr="00C05886">
              <w:rPr>
                <w:rFonts w:cstheme="minorHAnsi"/>
                <w:sz w:val="22"/>
              </w:rPr>
              <w:t xml:space="preserve">Fungi </w:t>
            </w:r>
          </w:p>
        </w:tc>
        <w:tc>
          <w:tcPr>
            <w:tcW w:w="1701" w:type="dxa"/>
            <w:vAlign w:val="bottom"/>
          </w:tcPr>
          <w:p w14:paraId="2DA97E0A" w14:textId="77777777" w:rsidR="00375BD2" w:rsidRPr="00C05886" w:rsidRDefault="00375BD2" w:rsidP="007F4F4B">
            <w:pPr>
              <w:spacing w:line="240" w:lineRule="auto"/>
              <w:rPr>
                <w:rFonts w:cstheme="minorHAnsi"/>
                <w:sz w:val="22"/>
                <w:lang w:eastAsia="en-GB"/>
              </w:rPr>
            </w:pPr>
            <w:r w:rsidRPr="00C05886">
              <w:rPr>
                <w:rFonts w:cstheme="minorHAnsi"/>
                <w:sz w:val="22"/>
              </w:rPr>
              <w:t>0</w:t>
            </w:r>
          </w:p>
        </w:tc>
        <w:tc>
          <w:tcPr>
            <w:tcW w:w="3402" w:type="dxa"/>
            <w:vAlign w:val="bottom"/>
          </w:tcPr>
          <w:p w14:paraId="5A550578" w14:textId="77777777" w:rsidR="00375BD2" w:rsidRPr="00C05886" w:rsidRDefault="00375BD2" w:rsidP="007F4F4B">
            <w:pPr>
              <w:spacing w:line="240" w:lineRule="auto"/>
              <w:rPr>
                <w:rFonts w:cstheme="minorHAnsi"/>
                <w:sz w:val="22"/>
                <w:lang w:eastAsia="en-GB"/>
              </w:rPr>
            </w:pPr>
            <w:r w:rsidRPr="00C05886">
              <w:rPr>
                <w:rFonts w:cstheme="minorHAnsi"/>
                <w:sz w:val="22"/>
              </w:rPr>
              <w:t xml:space="preserve">Squirrel </w:t>
            </w:r>
          </w:p>
        </w:tc>
        <w:tc>
          <w:tcPr>
            <w:tcW w:w="1609" w:type="dxa"/>
            <w:vAlign w:val="bottom"/>
          </w:tcPr>
          <w:p w14:paraId="0ABFC382" w14:textId="77777777" w:rsidR="00375BD2" w:rsidRPr="00C05886" w:rsidRDefault="00375BD2" w:rsidP="007F4F4B">
            <w:pPr>
              <w:spacing w:line="240" w:lineRule="auto"/>
              <w:rPr>
                <w:rFonts w:cstheme="minorHAnsi"/>
                <w:sz w:val="22"/>
                <w:lang w:eastAsia="en-GB"/>
              </w:rPr>
            </w:pPr>
            <w:r w:rsidRPr="00C05886">
              <w:rPr>
                <w:rFonts w:cstheme="minorHAnsi"/>
                <w:sz w:val="22"/>
              </w:rPr>
              <w:t>2</w:t>
            </w:r>
          </w:p>
        </w:tc>
      </w:tr>
      <w:tr w:rsidR="00375BD2" w:rsidRPr="00C05886" w14:paraId="6A2F054A" w14:textId="77777777" w:rsidTr="007F4F4B">
        <w:trPr>
          <w:cnfStyle w:val="000000100000" w:firstRow="0" w:lastRow="0" w:firstColumn="0" w:lastColumn="0" w:oddVBand="0" w:evenVBand="0" w:oddHBand="1" w:evenHBand="0" w:firstRowFirstColumn="0" w:firstRowLastColumn="0" w:lastRowFirstColumn="0" w:lastRowLastColumn="0"/>
          <w:trHeight w:val="200"/>
        </w:trPr>
        <w:tc>
          <w:tcPr>
            <w:tcW w:w="3119" w:type="dxa"/>
            <w:vAlign w:val="bottom"/>
          </w:tcPr>
          <w:p w14:paraId="3EB7AA9B" w14:textId="77777777" w:rsidR="00375BD2" w:rsidRPr="00C05886" w:rsidRDefault="00375BD2" w:rsidP="007F4F4B">
            <w:pPr>
              <w:spacing w:line="240" w:lineRule="auto"/>
              <w:rPr>
                <w:rFonts w:cstheme="minorHAnsi"/>
                <w:sz w:val="22"/>
              </w:rPr>
            </w:pPr>
            <w:r w:rsidRPr="00C05886">
              <w:rPr>
                <w:rFonts w:cstheme="minorHAnsi"/>
                <w:sz w:val="22"/>
              </w:rPr>
              <w:t xml:space="preserve">Houseplant </w:t>
            </w:r>
          </w:p>
        </w:tc>
        <w:tc>
          <w:tcPr>
            <w:tcW w:w="1701" w:type="dxa"/>
            <w:vAlign w:val="bottom"/>
          </w:tcPr>
          <w:p w14:paraId="2718C285" w14:textId="77777777" w:rsidR="00375BD2" w:rsidRPr="00C05886" w:rsidRDefault="00375BD2" w:rsidP="007F4F4B">
            <w:pPr>
              <w:spacing w:line="240" w:lineRule="auto"/>
              <w:rPr>
                <w:rFonts w:cstheme="minorHAnsi"/>
                <w:sz w:val="22"/>
                <w:lang w:eastAsia="en-GB"/>
              </w:rPr>
            </w:pPr>
            <w:r w:rsidRPr="00C05886">
              <w:rPr>
                <w:rFonts w:cstheme="minorHAnsi"/>
                <w:sz w:val="22"/>
              </w:rPr>
              <w:t>0</w:t>
            </w:r>
          </w:p>
        </w:tc>
        <w:tc>
          <w:tcPr>
            <w:tcW w:w="3402" w:type="dxa"/>
            <w:vAlign w:val="bottom"/>
          </w:tcPr>
          <w:p w14:paraId="7BEB235B" w14:textId="77777777" w:rsidR="00375BD2" w:rsidRPr="00C05886" w:rsidRDefault="00375BD2" w:rsidP="007F4F4B">
            <w:pPr>
              <w:spacing w:line="240" w:lineRule="auto"/>
              <w:rPr>
                <w:rFonts w:cstheme="minorHAnsi"/>
                <w:sz w:val="22"/>
                <w:lang w:eastAsia="en-GB"/>
              </w:rPr>
            </w:pPr>
            <w:r w:rsidRPr="00C05886">
              <w:rPr>
                <w:rFonts w:cstheme="minorHAnsi"/>
                <w:sz w:val="22"/>
              </w:rPr>
              <w:t xml:space="preserve">Cat </w:t>
            </w:r>
          </w:p>
        </w:tc>
        <w:tc>
          <w:tcPr>
            <w:tcW w:w="1609" w:type="dxa"/>
            <w:vAlign w:val="bottom"/>
          </w:tcPr>
          <w:p w14:paraId="06B85F5C" w14:textId="77777777" w:rsidR="00375BD2" w:rsidRPr="00C05886" w:rsidRDefault="00375BD2" w:rsidP="007F4F4B">
            <w:pPr>
              <w:spacing w:line="240" w:lineRule="auto"/>
              <w:rPr>
                <w:rFonts w:cstheme="minorHAnsi"/>
                <w:sz w:val="22"/>
                <w:lang w:eastAsia="en-GB"/>
              </w:rPr>
            </w:pPr>
            <w:r w:rsidRPr="00C05886">
              <w:rPr>
                <w:rFonts w:cstheme="minorHAnsi"/>
                <w:sz w:val="22"/>
              </w:rPr>
              <w:t>1</w:t>
            </w:r>
          </w:p>
        </w:tc>
      </w:tr>
      <w:tr w:rsidR="00375BD2" w:rsidRPr="00C05886" w14:paraId="5FE29632" w14:textId="77777777" w:rsidTr="007F4F4B">
        <w:trPr>
          <w:trHeight w:val="200"/>
        </w:trPr>
        <w:tc>
          <w:tcPr>
            <w:tcW w:w="3119" w:type="dxa"/>
            <w:vAlign w:val="bottom"/>
          </w:tcPr>
          <w:p w14:paraId="28EAE2EB" w14:textId="77777777" w:rsidR="00375BD2" w:rsidRPr="00C05886" w:rsidRDefault="00375BD2" w:rsidP="007F4F4B">
            <w:pPr>
              <w:spacing w:line="240" w:lineRule="auto"/>
              <w:rPr>
                <w:rFonts w:cstheme="minorHAnsi"/>
                <w:sz w:val="22"/>
              </w:rPr>
            </w:pPr>
            <w:r w:rsidRPr="00C05886">
              <w:rPr>
                <w:rFonts w:cstheme="minorHAnsi"/>
                <w:sz w:val="22"/>
              </w:rPr>
              <w:t xml:space="preserve">Insects </w:t>
            </w:r>
          </w:p>
        </w:tc>
        <w:tc>
          <w:tcPr>
            <w:tcW w:w="1701" w:type="dxa"/>
            <w:vAlign w:val="bottom"/>
          </w:tcPr>
          <w:p w14:paraId="56100E96" w14:textId="77777777" w:rsidR="00375BD2" w:rsidRPr="00C05886" w:rsidRDefault="00375BD2" w:rsidP="007F4F4B">
            <w:pPr>
              <w:spacing w:line="240" w:lineRule="auto"/>
              <w:rPr>
                <w:rFonts w:cstheme="minorHAnsi"/>
                <w:sz w:val="22"/>
                <w:lang w:eastAsia="en-GB"/>
              </w:rPr>
            </w:pPr>
            <w:r w:rsidRPr="00C05886">
              <w:rPr>
                <w:rFonts w:cstheme="minorHAnsi"/>
                <w:sz w:val="22"/>
              </w:rPr>
              <w:t>0</w:t>
            </w:r>
          </w:p>
        </w:tc>
        <w:tc>
          <w:tcPr>
            <w:tcW w:w="3402" w:type="dxa"/>
            <w:vAlign w:val="bottom"/>
          </w:tcPr>
          <w:p w14:paraId="410C79B1" w14:textId="77777777" w:rsidR="00375BD2" w:rsidRPr="00C05886" w:rsidRDefault="00375BD2" w:rsidP="007F4F4B">
            <w:pPr>
              <w:spacing w:line="240" w:lineRule="auto"/>
              <w:rPr>
                <w:rFonts w:cstheme="minorHAnsi"/>
                <w:sz w:val="22"/>
                <w:lang w:eastAsia="en-GB"/>
              </w:rPr>
            </w:pPr>
            <w:r w:rsidRPr="00C05886">
              <w:rPr>
                <w:rFonts w:cstheme="minorHAnsi"/>
                <w:sz w:val="22"/>
              </w:rPr>
              <w:t xml:space="preserve">Sport field </w:t>
            </w:r>
          </w:p>
        </w:tc>
        <w:tc>
          <w:tcPr>
            <w:tcW w:w="1609" w:type="dxa"/>
            <w:vAlign w:val="bottom"/>
          </w:tcPr>
          <w:p w14:paraId="16A5560B" w14:textId="77777777" w:rsidR="00375BD2" w:rsidRPr="00C05886" w:rsidRDefault="00375BD2" w:rsidP="007F4F4B">
            <w:pPr>
              <w:spacing w:line="240" w:lineRule="auto"/>
              <w:rPr>
                <w:rFonts w:cstheme="minorHAnsi"/>
                <w:sz w:val="22"/>
                <w:lang w:eastAsia="en-GB"/>
              </w:rPr>
            </w:pPr>
            <w:r w:rsidRPr="00C05886">
              <w:rPr>
                <w:rFonts w:cstheme="minorHAnsi"/>
                <w:sz w:val="22"/>
              </w:rPr>
              <w:t>1</w:t>
            </w:r>
          </w:p>
        </w:tc>
      </w:tr>
      <w:tr w:rsidR="00375BD2" w:rsidRPr="00C05886" w14:paraId="67D57A7C" w14:textId="77777777" w:rsidTr="007F4F4B">
        <w:trPr>
          <w:cnfStyle w:val="000000100000" w:firstRow="0" w:lastRow="0" w:firstColumn="0" w:lastColumn="0" w:oddVBand="0" w:evenVBand="0" w:oddHBand="1" w:evenHBand="0" w:firstRowFirstColumn="0" w:firstRowLastColumn="0" w:lastRowFirstColumn="0" w:lastRowLastColumn="0"/>
          <w:trHeight w:val="200"/>
        </w:trPr>
        <w:tc>
          <w:tcPr>
            <w:tcW w:w="3119" w:type="dxa"/>
            <w:vAlign w:val="bottom"/>
          </w:tcPr>
          <w:p w14:paraId="12A8F0D5" w14:textId="77777777" w:rsidR="00375BD2" w:rsidRPr="00C05886" w:rsidRDefault="00375BD2" w:rsidP="007F4F4B">
            <w:pPr>
              <w:spacing w:line="240" w:lineRule="auto"/>
              <w:rPr>
                <w:rFonts w:cstheme="minorHAnsi"/>
                <w:sz w:val="22"/>
              </w:rPr>
            </w:pPr>
            <w:r w:rsidRPr="00C05886">
              <w:rPr>
                <w:rFonts w:cstheme="minorHAnsi"/>
                <w:sz w:val="22"/>
              </w:rPr>
              <w:t xml:space="preserve">Livestock </w:t>
            </w:r>
          </w:p>
        </w:tc>
        <w:tc>
          <w:tcPr>
            <w:tcW w:w="1701" w:type="dxa"/>
            <w:vAlign w:val="bottom"/>
          </w:tcPr>
          <w:p w14:paraId="762BC7BC" w14:textId="77777777" w:rsidR="00375BD2" w:rsidRPr="00C05886" w:rsidRDefault="00375BD2" w:rsidP="007F4F4B">
            <w:pPr>
              <w:spacing w:line="240" w:lineRule="auto"/>
              <w:rPr>
                <w:rFonts w:cstheme="minorHAnsi"/>
                <w:sz w:val="22"/>
                <w:lang w:eastAsia="en-GB"/>
              </w:rPr>
            </w:pPr>
            <w:r w:rsidRPr="00C05886">
              <w:rPr>
                <w:rFonts w:cstheme="minorHAnsi"/>
                <w:sz w:val="22"/>
              </w:rPr>
              <w:t>0</w:t>
            </w:r>
          </w:p>
        </w:tc>
        <w:tc>
          <w:tcPr>
            <w:tcW w:w="3402" w:type="dxa"/>
            <w:vAlign w:val="bottom"/>
          </w:tcPr>
          <w:p w14:paraId="089A6585" w14:textId="77777777" w:rsidR="00375BD2" w:rsidRPr="00C05886" w:rsidRDefault="00375BD2" w:rsidP="007F4F4B">
            <w:pPr>
              <w:spacing w:line="240" w:lineRule="auto"/>
              <w:rPr>
                <w:rFonts w:cstheme="minorHAnsi"/>
                <w:sz w:val="22"/>
                <w:lang w:eastAsia="en-GB"/>
              </w:rPr>
            </w:pPr>
            <w:r w:rsidRPr="00C05886">
              <w:rPr>
                <w:rFonts w:cstheme="minorHAnsi"/>
                <w:sz w:val="22"/>
              </w:rPr>
              <w:t xml:space="preserve">Playground </w:t>
            </w:r>
          </w:p>
        </w:tc>
        <w:tc>
          <w:tcPr>
            <w:tcW w:w="1609" w:type="dxa"/>
            <w:vAlign w:val="bottom"/>
          </w:tcPr>
          <w:p w14:paraId="26355A49" w14:textId="77777777" w:rsidR="00375BD2" w:rsidRPr="00C05886" w:rsidRDefault="00375BD2" w:rsidP="007F4F4B">
            <w:pPr>
              <w:spacing w:line="240" w:lineRule="auto"/>
              <w:rPr>
                <w:rFonts w:cstheme="minorHAnsi"/>
                <w:sz w:val="22"/>
                <w:lang w:eastAsia="en-GB"/>
              </w:rPr>
            </w:pPr>
            <w:r w:rsidRPr="00C05886">
              <w:rPr>
                <w:rFonts w:cstheme="minorHAnsi"/>
                <w:sz w:val="22"/>
              </w:rPr>
              <w:t>0</w:t>
            </w:r>
          </w:p>
        </w:tc>
      </w:tr>
    </w:tbl>
    <w:p w14:paraId="03C8CA55" w14:textId="77777777" w:rsidR="00375BD2" w:rsidRPr="00C05886" w:rsidRDefault="00375BD2" w:rsidP="00375BD2">
      <w:pPr>
        <w:pStyle w:val="Caption"/>
        <w:keepNext/>
      </w:pPr>
    </w:p>
    <w:p w14:paraId="4906C5D7" w14:textId="77777777" w:rsidR="00375BD2" w:rsidRPr="00C05886" w:rsidRDefault="00375BD2" w:rsidP="00375BD2">
      <w:pPr>
        <w:pStyle w:val="Caption"/>
        <w:keepNext/>
      </w:pPr>
    </w:p>
    <w:p w14:paraId="26FC42B1" w14:textId="77777777" w:rsidR="00FA59EA" w:rsidRPr="00C05886" w:rsidRDefault="00FA59EA">
      <w:pPr>
        <w:spacing w:line="259" w:lineRule="auto"/>
        <w:jc w:val="left"/>
        <w:rPr>
          <w:i/>
          <w:iCs/>
          <w:color w:val="44546A" w:themeColor="text2"/>
          <w:kern w:val="2"/>
          <w:sz w:val="18"/>
          <w:szCs w:val="18"/>
          <w14:ligatures w14:val="standardContextual"/>
        </w:rPr>
      </w:pPr>
      <w:r w:rsidRPr="00C05886">
        <w:br w:type="page"/>
      </w:r>
    </w:p>
    <w:p w14:paraId="23E0B454" w14:textId="57A66EFA" w:rsidR="00375BD2" w:rsidRPr="00C05886" w:rsidRDefault="00375BD2" w:rsidP="00375BD2">
      <w:pPr>
        <w:pStyle w:val="Caption"/>
        <w:keepNext/>
      </w:pPr>
      <w:r w:rsidRPr="00C05886">
        <w:lastRenderedPageBreak/>
        <w:t>Table S.3 list of all the predictors that met bivariate selection criteria (nature condition)</w:t>
      </w:r>
    </w:p>
    <w:tbl>
      <w:tblPr>
        <w:tblStyle w:val="GridTable6Colourful"/>
        <w:tblW w:w="9782" w:type="dxa"/>
        <w:tblLook w:val="04A0" w:firstRow="1" w:lastRow="0" w:firstColumn="1" w:lastColumn="0" w:noHBand="0" w:noVBand="1"/>
      </w:tblPr>
      <w:tblGrid>
        <w:gridCol w:w="2830"/>
        <w:gridCol w:w="2060"/>
        <w:gridCol w:w="2446"/>
        <w:gridCol w:w="2446"/>
      </w:tblGrid>
      <w:tr w:rsidR="00375BD2" w:rsidRPr="00C05886" w14:paraId="496B933A" w14:textId="77777777" w:rsidTr="007F4F4B">
        <w:trPr>
          <w:cnfStyle w:val="100000000000" w:firstRow="1" w:lastRow="0" w:firstColumn="0" w:lastColumn="0" w:oddVBand="0" w:evenVBand="0" w:oddHBand="0" w:evenHBand="0" w:firstRowFirstColumn="0" w:firstRowLastColumn="0" w:lastRowFirstColumn="0" w:lastRowLastColumn="0"/>
          <w:trHeight w:val="282"/>
        </w:trPr>
        <w:tc>
          <w:tcPr>
            <w:cnfStyle w:val="001000000000" w:firstRow="0" w:lastRow="0" w:firstColumn="1" w:lastColumn="0" w:oddVBand="0" w:evenVBand="0" w:oddHBand="0" w:evenHBand="0" w:firstRowFirstColumn="0" w:firstRowLastColumn="0" w:lastRowFirstColumn="0" w:lastRowLastColumn="0"/>
            <w:tcW w:w="2830" w:type="dxa"/>
          </w:tcPr>
          <w:p w14:paraId="7E72D194" w14:textId="77777777" w:rsidR="00375BD2" w:rsidRPr="00C05886" w:rsidRDefault="00375BD2" w:rsidP="007F4F4B">
            <w:pPr>
              <w:spacing w:line="240" w:lineRule="auto"/>
            </w:pPr>
            <w:r w:rsidRPr="00C05886">
              <w:t>Predictor</w:t>
            </w:r>
          </w:p>
        </w:tc>
        <w:tc>
          <w:tcPr>
            <w:tcW w:w="2060" w:type="dxa"/>
          </w:tcPr>
          <w:p w14:paraId="15DF1D85" w14:textId="77777777" w:rsidR="00375BD2" w:rsidRPr="00C05886" w:rsidRDefault="00375BD2" w:rsidP="007F4F4B">
            <w:pPr>
              <w:spacing w:line="240" w:lineRule="auto"/>
              <w:jc w:val="center"/>
              <w:cnfStyle w:val="100000000000" w:firstRow="1" w:lastRow="0" w:firstColumn="0" w:lastColumn="0" w:oddVBand="0" w:evenVBand="0" w:oddHBand="0" w:evenHBand="0" w:firstRowFirstColumn="0" w:firstRowLastColumn="0" w:lastRowFirstColumn="0" w:lastRowLastColumn="0"/>
            </w:pPr>
            <w:proofErr w:type="spellStart"/>
            <w:r w:rsidRPr="00C05886">
              <w:t>LogOdds</w:t>
            </w:r>
            <w:proofErr w:type="spellEnd"/>
            <w:r w:rsidRPr="00C05886">
              <w:t xml:space="preserve"> (S.E.)</w:t>
            </w:r>
          </w:p>
        </w:tc>
        <w:tc>
          <w:tcPr>
            <w:tcW w:w="2446" w:type="dxa"/>
          </w:tcPr>
          <w:p w14:paraId="2B7C2972" w14:textId="77777777" w:rsidR="00375BD2" w:rsidRPr="00C05886" w:rsidRDefault="00375BD2" w:rsidP="007F4F4B">
            <w:pPr>
              <w:spacing w:line="240" w:lineRule="auto"/>
              <w:jc w:val="center"/>
              <w:cnfStyle w:val="100000000000" w:firstRow="1" w:lastRow="0" w:firstColumn="0" w:lastColumn="0" w:oddVBand="0" w:evenVBand="0" w:oddHBand="0" w:evenHBand="0" w:firstRowFirstColumn="0" w:firstRowLastColumn="0" w:lastRowFirstColumn="0" w:lastRowLastColumn="0"/>
            </w:pPr>
            <w:r w:rsidRPr="00C05886">
              <w:t>p-value</w:t>
            </w:r>
          </w:p>
        </w:tc>
        <w:tc>
          <w:tcPr>
            <w:tcW w:w="2446" w:type="dxa"/>
          </w:tcPr>
          <w:p w14:paraId="554EC1BF" w14:textId="77777777" w:rsidR="00375BD2" w:rsidRPr="00C05886" w:rsidRDefault="00375BD2" w:rsidP="007F4F4B">
            <w:pPr>
              <w:spacing w:line="240" w:lineRule="auto"/>
              <w:jc w:val="center"/>
              <w:cnfStyle w:val="100000000000" w:firstRow="1" w:lastRow="0" w:firstColumn="0" w:lastColumn="0" w:oddVBand="0" w:evenVBand="0" w:oddHBand="0" w:evenHBand="0" w:firstRowFirstColumn="0" w:firstRowLastColumn="0" w:lastRowFirstColumn="0" w:lastRowLastColumn="0"/>
            </w:pPr>
            <w:r w:rsidRPr="00C05886">
              <w:t>95% Conf. Int.</w:t>
            </w:r>
          </w:p>
        </w:tc>
      </w:tr>
      <w:tr w:rsidR="00375BD2" w:rsidRPr="00C05886" w14:paraId="29C4D70E" w14:textId="77777777" w:rsidTr="007F4F4B">
        <w:trPr>
          <w:cnfStyle w:val="000000100000" w:firstRow="0" w:lastRow="0" w:firstColumn="0" w:lastColumn="0" w:oddVBand="0" w:evenVBand="0" w:oddHBand="1" w:evenHBand="0" w:firstRowFirstColumn="0" w:firstRowLastColumn="0" w:lastRowFirstColumn="0" w:lastRowLastColumn="0"/>
          <w:trHeight w:val="1158"/>
        </w:trPr>
        <w:tc>
          <w:tcPr>
            <w:cnfStyle w:val="001000000000" w:firstRow="0" w:lastRow="0" w:firstColumn="1" w:lastColumn="0" w:oddVBand="0" w:evenVBand="0" w:oddHBand="0" w:evenHBand="0" w:firstRowFirstColumn="0" w:firstRowLastColumn="0" w:lastRowFirstColumn="0" w:lastRowLastColumn="0"/>
            <w:tcW w:w="2830" w:type="dxa"/>
          </w:tcPr>
          <w:p w14:paraId="3EFC05EA" w14:textId="77777777" w:rsidR="00375BD2" w:rsidRPr="00C05886" w:rsidRDefault="00375BD2" w:rsidP="007F4F4B">
            <w:pPr>
              <w:spacing w:line="240" w:lineRule="auto"/>
              <w:rPr>
                <w:b w:val="0"/>
                <w:bCs w:val="0"/>
              </w:rPr>
            </w:pPr>
            <w:r w:rsidRPr="00C05886">
              <w:t>Childhood outside</w:t>
            </w:r>
          </w:p>
          <w:p w14:paraId="657BC6C9" w14:textId="77777777" w:rsidR="00375BD2" w:rsidRPr="00C05886" w:rsidRDefault="00375BD2" w:rsidP="007F4F4B">
            <w:pPr>
              <w:spacing w:line="240" w:lineRule="auto"/>
              <w:jc w:val="right"/>
              <w:rPr>
                <w:b w:val="0"/>
                <w:bCs w:val="0"/>
              </w:rPr>
            </w:pPr>
            <w:r w:rsidRPr="00C05886">
              <w:t>2</w:t>
            </w:r>
          </w:p>
          <w:p w14:paraId="5885F29F" w14:textId="77777777" w:rsidR="00375BD2" w:rsidRPr="00C05886" w:rsidRDefault="00375BD2" w:rsidP="007F4F4B">
            <w:pPr>
              <w:spacing w:line="240" w:lineRule="auto"/>
              <w:jc w:val="right"/>
              <w:rPr>
                <w:b w:val="0"/>
                <w:bCs w:val="0"/>
              </w:rPr>
            </w:pPr>
            <w:r w:rsidRPr="00C05886">
              <w:t>3</w:t>
            </w:r>
          </w:p>
          <w:p w14:paraId="25B9A34B" w14:textId="77777777" w:rsidR="00375BD2" w:rsidRPr="00C05886" w:rsidRDefault="00375BD2" w:rsidP="007F4F4B">
            <w:pPr>
              <w:spacing w:line="240" w:lineRule="auto"/>
              <w:jc w:val="right"/>
            </w:pPr>
            <w:r w:rsidRPr="00C05886">
              <w:t>4</w:t>
            </w:r>
          </w:p>
        </w:tc>
        <w:tc>
          <w:tcPr>
            <w:tcW w:w="2060" w:type="dxa"/>
          </w:tcPr>
          <w:p w14:paraId="5DBA2C71" w14:textId="77777777" w:rsidR="00375BD2" w:rsidRPr="00C05886" w:rsidRDefault="00375BD2" w:rsidP="007F4F4B">
            <w:pPr>
              <w:spacing w:line="240" w:lineRule="auto"/>
              <w:jc w:val="center"/>
              <w:cnfStyle w:val="000000100000" w:firstRow="0" w:lastRow="0" w:firstColumn="0" w:lastColumn="0" w:oddVBand="0" w:evenVBand="0" w:oddHBand="1" w:evenHBand="0" w:firstRowFirstColumn="0" w:firstRowLastColumn="0" w:lastRowFirstColumn="0" w:lastRowLastColumn="0"/>
            </w:pPr>
          </w:p>
          <w:p w14:paraId="4A47CDBB" w14:textId="77777777" w:rsidR="00375BD2" w:rsidRPr="00C05886" w:rsidRDefault="00375BD2" w:rsidP="007F4F4B">
            <w:pPr>
              <w:spacing w:line="240" w:lineRule="auto"/>
              <w:jc w:val="center"/>
              <w:cnfStyle w:val="000000100000" w:firstRow="0" w:lastRow="0" w:firstColumn="0" w:lastColumn="0" w:oddVBand="0" w:evenVBand="0" w:oddHBand="1" w:evenHBand="0" w:firstRowFirstColumn="0" w:firstRowLastColumn="0" w:lastRowFirstColumn="0" w:lastRowLastColumn="0"/>
            </w:pPr>
            <w:r w:rsidRPr="00C05886">
              <w:t>-0.17 (0.51)</w:t>
            </w:r>
          </w:p>
          <w:p w14:paraId="3FAC613D" w14:textId="77777777" w:rsidR="00375BD2" w:rsidRPr="00C05886" w:rsidRDefault="00375BD2" w:rsidP="007F4F4B">
            <w:pPr>
              <w:spacing w:line="240" w:lineRule="auto"/>
              <w:jc w:val="center"/>
              <w:cnfStyle w:val="000000100000" w:firstRow="0" w:lastRow="0" w:firstColumn="0" w:lastColumn="0" w:oddVBand="0" w:evenVBand="0" w:oddHBand="1" w:evenHBand="0" w:firstRowFirstColumn="0" w:firstRowLastColumn="0" w:lastRowFirstColumn="0" w:lastRowLastColumn="0"/>
            </w:pPr>
            <w:r w:rsidRPr="00C05886">
              <w:t>0.45 (0.42)</w:t>
            </w:r>
          </w:p>
          <w:p w14:paraId="531B46FD" w14:textId="77777777" w:rsidR="00375BD2" w:rsidRPr="00C05886" w:rsidRDefault="00375BD2" w:rsidP="007F4F4B">
            <w:pPr>
              <w:spacing w:line="240" w:lineRule="auto"/>
              <w:jc w:val="center"/>
              <w:cnfStyle w:val="000000100000" w:firstRow="0" w:lastRow="0" w:firstColumn="0" w:lastColumn="0" w:oddVBand="0" w:evenVBand="0" w:oddHBand="1" w:evenHBand="0" w:firstRowFirstColumn="0" w:firstRowLastColumn="0" w:lastRowFirstColumn="0" w:lastRowLastColumn="0"/>
            </w:pPr>
            <w:r w:rsidRPr="00C05886">
              <w:t>0.93 (0.44)</w:t>
            </w:r>
          </w:p>
        </w:tc>
        <w:tc>
          <w:tcPr>
            <w:tcW w:w="2446" w:type="dxa"/>
          </w:tcPr>
          <w:p w14:paraId="587F2BFB" w14:textId="77777777" w:rsidR="00375BD2" w:rsidRPr="00C05886" w:rsidRDefault="00375BD2" w:rsidP="007F4F4B">
            <w:pPr>
              <w:spacing w:line="240" w:lineRule="auto"/>
              <w:jc w:val="center"/>
              <w:cnfStyle w:val="000000100000" w:firstRow="0" w:lastRow="0" w:firstColumn="0" w:lastColumn="0" w:oddVBand="0" w:evenVBand="0" w:oddHBand="1" w:evenHBand="0" w:firstRowFirstColumn="0" w:firstRowLastColumn="0" w:lastRowFirstColumn="0" w:lastRowLastColumn="0"/>
            </w:pPr>
          </w:p>
          <w:p w14:paraId="21C70E62" w14:textId="77777777" w:rsidR="00375BD2" w:rsidRPr="00C05886" w:rsidRDefault="00375BD2" w:rsidP="007F4F4B">
            <w:pPr>
              <w:spacing w:line="240" w:lineRule="auto"/>
              <w:jc w:val="center"/>
              <w:cnfStyle w:val="000000100000" w:firstRow="0" w:lastRow="0" w:firstColumn="0" w:lastColumn="0" w:oddVBand="0" w:evenVBand="0" w:oddHBand="1" w:evenHBand="0" w:firstRowFirstColumn="0" w:firstRowLastColumn="0" w:lastRowFirstColumn="0" w:lastRowLastColumn="0"/>
            </w:pPr>
            <w:r w:rsidRPr="00C05886">
              <w:t>0.732</w:t>
            </w:r>
          </w:p>
          <w:p w14:paraId="6C7F830A" w14:textId="77777777" w:rsidR="00375BD2" w:rsidRPr="00C05886" w:rsidRDefault="00375BD2" w:rsidP="007F4F4B">
            <w:pPr>
              <w:spacing w:line="240" w:lineRule="auto"/>
              <w:jc w:val="center"/>
              <w:cnfStyle w:val="000000100000" w:firstRow="0" w:lastRow="0" w:firstColumn="0" w:lastColumn="0" w:oddVBand="0" w:evenVBand="0" w:oddHBand="1" w:evenHBand="0" w:firstRowFirstColumn="0" w:firstRowLastColumn="0" w:lastRowFirstColumn="0" w:lastRowLastColumn="0"/>
            </w:pPr>
            <w:r w:rsidRPr="00C05886">
              <w:t>0.285</w:t>
            </w:r>
          </w:p>
          <w:p w14:paraId="72D314BC" w14:textId="77777777" w:rsidR="00375BD2" w:rsidRPr="00C05886" w:rsidRDefault="00375BD2" w:rsidP="007F4F4B">
            <w:pPr>
              <w:spacing w:line="240" w:lineRule="auto"/>
              <w:jc w:val="center"/>
              <w:cnfStyle w:val="000000100000" w:firstRow="0" w:lastRow="0" w:firstColumn="0" w:lastColumn="0" w:oddVBand="0" w:evenVBand="0" w:oddHBand="1" w:evenHBand="0" w:firstRowFirstColumn="0" w:firstRowLastColumn="0" w:lastRowFirstColumn="0" w:lastRowLastColumn="0"/>
            </w:pPr>
            <w:r w:rsidRPr="00C05886">
              <w:t>0.034</w:t>
            </w:r>
          </w:p>
        </w:tc>
        <w:tc>
          <w:tcPr>
            <w:tcW w:w="2446" w:type="dxa"/>
          </w:tcPr>
          <w:p w14:paraId="26CF651D" w14:textId="77777777" w:rsidR="00375BD2" w:rsidRPr="00C05886" w:rsidRDefault="00375BD2" w:rsidP="007F4F4B">
            <w:pPr>
              <w:spacing w:line="240" w:lineRule="auto"/>
              <w:jc w:val="center"/>
              <w:cnfStyle w:val="000000100000" w:firstRow="0" w:lastRow="0" w:firstColumn="0" w:lastColumn="0" w:oddVBand="0" w:evenVBand="0" w:oddHBand="1" w:evenHBand="0" w:firstRowFirstColumn="0" w:firstRowLastColumn="0" w:lastRowFirstColumn="0" w:lastRowLastColumn="0"/>
            </w:pPr>
          </w:p>
          <w:p w14:paraId="7D66C3E7" w14:textId="77777777" w:rsidR="00375BD2" w:rsidRPr="00C05886" w:rsidRDefault="00375BD2" w:rsidP="007F4F4B">
            <w:pPr>
              <w:spacing w:line="240" w:lineRule="auto"/>
              <w:jc w:val="center"/>
              <w:cnfStyle w:val="000000100000" w:firstRow="0" w:lastRow="0" w:firstColumn="0" w:lastColumn="0" w:oddVBand="0" w:evenVBand="0" w:oddHBand="1" w:evenHBand="0" w:firstRowFirstColumn="0" w:firstRowLastColumn="0" w:lastRowFirstColumn="0" w:lastRowLastColumn="0"/>
            </w:pPr>
            <w:r w:rsidRPr="00C05886">
              <w:t>-1.172, 0.823</w:t>
            </w:r>
          </w:p>
          <w:p w14:paraId="6A7661DD" w14:textId="77777777" w:rsidR="00375BD2" w:rsidRPr="00C05886" w:rsidRDefault="00375BD2" w:rsidP="007F4F4B">
            <w:pPr>
              <w:spacing w:line="240" w:lineRule="auto"/>
              <w:jc w:val="center"/>
              <w:cnfStyle w:val="000000100000" w:firstRow="0" w:lastRow="0" w:firstColumn="0" w:lastColumn="0" w:oddVBand="0" w:evenVBand="0" w:oddHBand="1" w:evenHBand="0" w:firstRowFirstColumn="0" w:firstRowLastColumn="0" w:lastRowFirstColumn="0" w:lastRowLastColumn="0"/>
            </w:pPr>
            <w:r w:rsidRPr="00C05886">
              <w:t>-0.372, 1.265</w:t>
            </w:r>
          </w:p>
          <w:p w14:paraId="5A953952" w14:textId="77777777" w:rsidR="00375BD2" w:rsidRPr="00C05886" w:rsidRDefault="00375BD2" w:rsidP="007F4F4B">
            <w:pPr>
              <w:spacing w:line="240" w:lineRule="auto"/>
              <w:jc w:val="center"/>
              <w:cnfStyle w:val="000000100000" w:firstRow="0" w:lastRow="0" w:firstColumn="0" w:lastColumn="0" w:oddVBand="0" w:evenVBand="0" w:oddHBand="1" w:evenHBand="0" w:firstRowFirstColumn="0" w:firstRowLastColumn="0" w:lastRowFirstColumn="0" w:lastRowLastColumn="0"/>
            </w:pPr>
            <w:r w:rsidRPr="00C05886">
              <w:t>0.072, 1.781</w:t>
            </w:r>
          </w:p>
        </w:tc>
      </w:tr>
      <w:tr w:rsidR="00375BD2" w:rsidRPr="00C05886" w14:paraId="1D96AECF" w14:textId="77777777" w:rsidTr="007F4F4B">
        <w:trPr>
          <w:trHeight w:val="947"/>
        </w:trPr>
        <w:tc>
          <w:tcPr>
            <w:cnfStyle w:val="001000000000" w:firstRow="0" w:lastRow="0" w:firstColumn="1" w:lastColumn="0" w:oddVBand="0" w:evenVBand="0" w:oddHBand="0" w:evenHBand="0" w:firstRowFirstColumn="0" w:firstRowLastColumn="0" w:lastRowFirstColumn="0" w:lastRowLastColumn="0"/>
            <w:tcW w:w="2830" w:type="dxa"/>
          </w:tcPr>
          <w:p w14:paraId="7F7B0CDF" w14:textId="77777777" w:rsidR="00375BD2" w:rsidRPr="00C05886" w:rsidRDefault="00375BD2" w:rsidP="007F4F4B">
            <w:pPr>
              <w:spacing w:line="240" w:lineRule="auto"/>
              <w:rPr>
                <w:b w:val="0"/>
                <w:bCs w:val="0"/>
              </w:rPr>
            </w:pPr>
            <w:r w:rsidRPr="00C05886">
              <w:t>Past year outside</w:t>
            </w:r>
          </w:p>
          <w:p w14:paraId="2EA9D095" w14:textId="77777777" w:rsidR="00375BD2" w:rsidRPr="00C05886" w:rsidRDefault="00375BD2" w:rsidP="007F4F4B">
            <w:pPr>
              <w:spacing w:line="240" w:lineRule="auto"/>
              <w:jc w:val="right"/>
              <w:rPr>
                <w:b w:val="0"/>
                <w:bCs w:val="0"/>
              </w:rPr>
            </w:pPr>
            <w:r w:rsidRPr="00C05886">
              <w:t>2</w:t>
            </w:r>
          </w:p>
          <w:p w14:paraId="43B3AA7D" w14:textId="77777777" w:rsidR="00375BD2" w:rsidRPr="00C05886" w:rsidRDefault="00375BD2" w:rsidP="007F4F4B">
            <w:pPr>
              <w:spacing w:line="240" w:lineRule="auto"/>
              <w:jc w:val="right"/>
              <w:rPr>
                <w:b w:val="0"/>
                <w:bCs w:val="0"/>
              </w:rPr>
            </w:pPr>
            <w:r w:rsidRPr="00C05886">
              <w:t>3</w:t>
            </w:r>
          </w:p>
          <w:p w14:paraId="5EA04664" w14:textId="77777777" w:rsidR="00375BD2" w:rsidRPr="00C05886" w:rsidRDefault="00375BD2" w:rsidP="007F4F4B">
            <w:pPr>
              <w:spacing w:line="240" w:lineRule="auto"/>
              <w:jc w:val="right"/>
            </w:pPr>
            <w:r w:rsidRPr="00C05886">
              <w:t>4</w:t>
            </w:r>
          </w:p>
        </w:tc>
        <w:tc>
          <w:tcPr>
            <w:tcW w:w="2060" w:type="dxa"/>
          </w:tcPr>
          <w:p w14:paraId="45B94105" w14:textId="77777777" w:rsidR="00375BD2" w:rsidRPr="00C05886" w:rsidRDefault="00375BD2" w:rsidP="007F4F4B">
            <w:pPr>
              <w:spacing w:line="240" w:lineRule="auto"/>
              <w:jc w:val="center"/>
              <w:cnfStyle w:val="000000000000" w:firstRow="0" w:lastRow="0" w:firstColumn="0" w:lastColumn="0" w:oddVBand="0" w:evenVBand="0" w:oddHBand="0" w:evenHBand="0" w:firstRowFirstColumn="0" w:firstRowLastColumn="0" w:lastRowFirstColumn="0" w:lastRowLastColumn="0"/>
            </w:pPr>
          </w:p>
          <w:p w14:paraId="6F003CB9" w14:textId="77777777" w:rsidR="00375BD2" w:rsidRPr="00C05886" w:rsidRDefault="00375BD2" w:rsidP="007F4F4B">
            <w:pPr>
              <w:spacing w:line="240" w:lineRule="auto"/>
              <w:jc w:val="center"/>
              <w:cnfStyle w:val="000000000000" w:firstRow="0" w:lastRow="0" w:firstColumn="0" w:lastColumn="0" w:oddVBand="0" w:evenVBand="0" w:oddHBand="0" w:evenHBand="0" w:firstRowFirstColumn="0" w:firstRowLastColumn="0" w:lastRowFirstColumn="0" w:lastRowLastColumn="0"/>
            </w:pPr>
            <w:r w:rsidRPr="00C05886">
              <w:t>0.10 (0.39)</w:t>
            </w:r>
          </w:p>
          <w:p w14:paraId="7726723A" w14:textId="77777777" w:rsidR="00375BD2" w:rsidRPr="00C05886" w:rsidRDefault="00375BD2" w:rsidP="007F4F4B">
            <w:pPr>
              <w:spacing w:line="240" w:lineRule="auto"/>
              <w:jc w:val="center"/>
              <w:cnfStyle w:val="000000000000" w:firstRow="0" w:lastRow="0" w:firstColumn="0" w:lastColumn="0" w:oddVBand="0" w:evenVBand="0" w:oddHBand="0" w:evenHBand="0" w:firstRowFirstColumn="0" w:firstRowLastColumn="0" w:lastRowFirstColumn="0" w:lastRowLastColumn="0"/>
            </w:pPr>
            <w:r w:rsidRPr="00C05886">
              <w:t>0.44 (0.33)</w:t>
            </w:r>
          </w:p>
          <w:p w14:paraId="18F90000" w14:textId="77777777" w:rsidR="00375BD2" w:rsidRPr="00C05886" w:rsidRDefault="00375BD2" w:rsidP="007F4F4B">
            <w:pPr>
              <w:spacing w:line="240" w:lineRule="auto"/>
              <w:jc w:val="center"/>
              <w:cnfStyle w:val="000000000000" w:firstRow="0" w:lastRow="0" w:firstColumn="0" w:lastColumn="0" w:oddVBand="0" w:evenVBand="0" w:oddHBand="0" w:evenHBand="0" w:firstRowFirstColumn="0" w:firstRowLastColumn="0" w:lastRowFirstColumn="0" w:lastRowLastColumn="0"/>
            </w:pPr>
            <w:r w:rsidRPr="00C05886">
              <w:t>0.32 (0.41)</w:t>
            </w:r>
          </w:p>
        </w:tc>
        <w:tc>
          <w:tcPr>
            <w:tcW w:w="2446" w:type="dxa"/>
          </w:tcPr>
          <w:p w14:paraId="2381CD41" w14:textId="77777777" w:rsidR="00375BD2" w:rsidRPr="00C05886" w:rsidRDefault="00375BD2" w:rsidP="007F4F4B">
            <w:pPr>
              <w:spacing w:line="240" w:lineRule="auto"/>
              <w:jc w:val="center"/>
              <w:cnfStyle w:val="000000000000" w:firstRow="0" w:lastRow="0" w:firstColumn="0" w:lastColumn="0" w:oddVBand="0" w:evenVBand="0" w:oddHBand="0" w:evenHBand="0" w:firstRowFirstColumn="0" w:firstRowLastColumn="0" w:lastRowFirstColumn="0" w:lastRowLastColumn="0"/>
            </w:pPr>
          </w:p>
          <w:p w14:paraId="45ABF481" w14:textId="77777777" w:rsidR="00375BD2" w:rsidRPr="00C05886" w:rsidRDefault="00375BD2" w:rsidP="007F4F4B">
            <w:pPr>
              <w:spacing w:line="240" w:lineRule="auto"/>
              <w:jc w:val="center"/>
              <w:cnfStyle w:val="000000000000" w:firstRow="0" w:lastRow="0" w:firstColumn="0" w:lastColumn="0" w:oddVBand="0" w:evenVBand="0" w:oddHBand="0" w:evenHBand="0" w:firstRowFirstColumn="0" w:firstRowLastColumn="0" w:lastRowFirstColumn="0" w:lastRowLastColumn="0"/>
            </w:pPr>
            <w:r w:rsidRPr="00C05886">
              <w:t>0.788</w:t>
            </w:r>
          </w:p>
          <w:p w14:paraId="70CFD40C" w14:textId="77777777" w:rsidR="00375BD2" w:rsidRPr="00C05886" w:rsidRDefault="00375BD2" w:rsidP="007F4F4B">
            <w:pPr>
              <w:spacing w:line="240" w:lineRule="auto"/>
              <w:jc w:val="center"/>
              <w:cnfStyle w:val="000000000000" w:firstRow="0" w:lastRow="0" w:firstColumn="0" w:lastColumn="0" w:oddVBand="0" w:evenVBand="0" w:oddHBand="0" w:evenHBand="0" w:firstRowFirstColumn="0" w:firstRowLastColumn="0" w:lastRowFirstColumn="0" w:lastRowLastColumn="0"/>
            </w:pPr>
            <w:r w:rsidRPr="00C05886">
              <w:t>0.185</w:t>
            </w:r>
          </w:p>
          <w:p w14:paraId="7006D2BB" w14:textId="77777777" w:rsidR="00375BD2" w:rsidRPr="00C05886" w:rsidRDefault="00375BD2" w:rsidP="007F4F4B">
            <w:pPr>
              <w:spacing w:line="240" w:lineRule="auto"/>
              <w:jc w:val="center"/>
              <w:cnfStyle w:val="000000000000" w:firstRow="0" w:lastRow="0" w:firstColumn="0" w:lastColumn="0" w:oddVBand="0" w:evenVBand="0" w:oddHBand="0" w:evenHBand="0" w:firstRowFirstColumn="0" w:firstRowLastColumn="0" w:lastRowFirstColumn="0" w:lastRowLastColumn="0"/>
            </w:pPr>
            <w:r w:rsidRPr="00C05886">
              <w:t>0.437</w:t>
            </w:r>
          </w:p>
        </w:tc>
        <w:tc>
          <w:tcPr>
            <w:tcW w:w="2446" w:type="dxa"/>
          </w:tcPr>
          <w:p w14:paraId="50CF523C" w14:textId="77777777" w:rsidR="00375BD2" w:rsidRPr="00C05886" w:rsidRDefault="00375BD2" w:rsidP="007F4F4B">
            <w:pPr>
              <w:spacing w:line="240" w:lineRule="auto"/>
              <w:jc w:val="center"/>
              <w:cnfStyle w:val="000000000000" w:firstRow="0" w:lastRow="0" w:firstColumn="0" w:lastColumn="0" w:oddVBand="0" w:evenVBand="0" w:oddHBand="0" w:evenHBand="0" w:firstRowFirstColumn="0" w:firstRowLastColumn="0" w:lastRowFirstColumn="0" w:lastRowLastColumn="0"/>
            </w:pPr>
          </w:p>
          <w:p w14:paraId="3C929CD7" w14:textId="77777777" w:rsidR="00375BD2" w:rsidRPr="00C05886" w:rsidRDefault="00375BD2" w:rsidP="007F4F4B">
            <w:pPr>
              <w:spacing w:line="240" w:lineRule="auto"/>
              <w:jc w:val="center"/>
              <w:cnfStyle w:val="000000000000" w:firstRow="0" w:lastRow="0" w:firstColumn="0" w:lastColumn="0" w:oddVBand="0" w:evenVBand="0" w:oddHBand="0" w:evenHBand="0" w:firstRowFirstColumn="0" w:firstRowLastColumn="0" w:lastRowFirstColumn="0" w:lastRowLastColumn="0"/>
            </w:pPr>
            <w:r w:rsidRPr="00C05886">
              <w:t>-0.653, 0.861</w:t>
            </w:r>
          </w:p>
          <w:p w14:paraId="5F97C429" w14:textId="77777777" w:rsidR="00375BD2" w:rsidRPr="00C05886" w:rsidRDefault="00375BD2" w:rsidP="007F4F4B">
            <w:pPr>
              <w:spacing w:line="240" w:lineRule="auto"/>
              <w:jc w:val="center"/>
              <w:cnfStyle w:val="000000000000" w:firstRow="0" w:lastRow="0" w:firstColumn="0" w:lastColumn="0" w:oddVBand="0" w:evenVBand="0" w:oddHBand="0" w:evenHBand="0" w:firstRowFirstColumn="0" w:firstRowLastColumn="0" w:lastRowFirstColumn="0" w:lastRowLastColumn="0"/>
            </w:pPr>
            <w:r w:rsidRPr="00C05886">
              <w:t>-0.212, 1.095</w:t>
            </w:r>
          </w:p>
          <w:p w14:paraId="5C4D53DA" w14:textId="77777777" w:rsidR="00375BD2" w:rsidRPr="00C05886" w:rsidRDefault="00375BD2" w:rsidP="007F4F4B">
            <w:pPr>
              <w:spacing w:line="240" w:lineRule="auto"/>
              <w:jc w:val="center"/>
              <w:cnfStyle w:val="000000000000" w:firstRow="0" w:lastRow="0" w:firstColumn="0" w:lastColumn="0" w:oddVBand="0" w:evenVBand="0" w:oddHBand="0" w:evenHBand="0" w:firstRowFirstColumn="0" w:firstRowLastColumn="0" w:lastRowFirstColumn="0" w:lastRowLastColumn="0"/>
            </w:pPr>
            <w:r w:rsidRPr="00C05886">
              <w:t>-0.486, 1.124</w:t>
            </w:r>
          </w:p>
        </w:tc>
      </w:tr>
      <w:tr w:rsidR="00375BD2" w:rsidRPr="00C05886" w14:paraId="161580E1" w14:textId="77777777" w:rsidTr="007F4F4B">
        <w:trPr>
          <w:cnfStyle w:val="000000100000" w:firstRow="0" w:lastRow="0" w:firstColumn="0" w:lastColumn="0" w:oddVBand="0" w:evenVBand="0" w:oddHBand="1" w:evenHBand="0" w:firstRowFirstColumn="0" w:firstRowLastColumn="0" w:lastRowFirstColumn="0" w:lastRowLastColumn="0"/>
          <w:trHeight w:val="207"/>
        </w:trPr>
        <w:tc>
          <w:tcPr>
            <w:cnfStyle w:val="001000000000" w:firstRow="0" w:lastRow="0" w:firstColumn="1" w:lastColumn="0" w:oddVBand="0" w:evenVBand="0" w:oddHBand="0" w:evenHBand="0" w:firstRowFirstColumn="0" w:firstRowLastColumn="0" w:lastRowFirstColumn="0" w:lastRowLastColumn="0"/>
            <w:tcW w:w="2830" w:type="dxa"/>
          </w:tcPr>
          <w:p w14:paraId="38BD0228" w14:textId="77777777" w:rsidR="00375BD2" w:rsidRPr="00C05886" w:rsidRDefault="00375BD2" w:rsidP="007F4F4B">
            <w:pPr>
              <w:spacing w:line="240" w:lineRule="auto"/>
            </w:pPr>
            <w:r w:rsidRPr="00C05886">
              <w:t>Nature relatedness</w:t>
            </w:r>
          </w:p>
        </w:tc>
        <w:tc>
          <w:tcPr>
            <w:tcW w:w="2060" w:type="dxa"/>
          </w:tcPr>
          <w:p w14:paraId="460892E5" w14:textId="77777777" w:rsidR="00375BD2" w:rsidRPr="00C05886" w:rsidRDefault="00375BD2" w:rsidP="007F4F4B">
            <w:pPr>
              <w:spacing w:line="240" w:lineRule="auto"/>
              <w:jc w:val="center"/>
              <w:cnfStyle w:val="000000100000" w:firstRow="0" w:lastRow="0" w:firstColumn="0" w:lastColumn="0" w:oddVBand="0" w:evenVBand="0" w:oddHBand="1" w:evenHBand="0" w:firstRowFirstColumn="0" w:firstRowLastColumn="0" w:lastRowFirstColumn="0" w:lastRowLastColumn="0"/>
            </w:pPr>
            <w:r w:rsidRPr="00C05886">
              <w:t>0.23 (0.15)</w:t>
            </w:r>
          </w:p>
        </w:tc>
        <w:tc>
          <w:tcPr>
            <w:tcW w:w="2446" w:type="dxa"/>
          </w:tcPr>
          <w:p w14:paraId="51F83747" w14:textId="77777777" w:rsidR="00375BD2" w:rsidRPr="00C05886" w:rsidRDefault="00375BD2" w:rsidP="007F4F4B">
            <w:pPr>
              <w:spacing w:line="240" w:lineRule="auto"/>
              <w:jc w:val="center"/>
              <w:cnfStyle w:val="000000100000" w:firstRow="0" w:lastRow="0" w:firstColumn="0" w:lastColumn="0" w:oddVBand="0" w:evenVBand="0" w:oddHBand="1" w:evenHBand="0" w:firstRowFirstColumn="0" w:firstRowLastColumn="0" w:lastRowFirstColumn="0" w:lastRowLastColumn="0"/>
            </w:pPr>
            <w:r w:rsidRPr="00C05886">
              <w:t>0.146</w:t>
            </w:r>
          </w:p>
        </w:tc>
        <w:tc>
          <w:tcPr>
            <w:tcW w:w="2446" w:type="dxa"/>
          </w:tcPr>
          <w:p w14:paraId="3A6D81B3" w14:textId="77777777" w:rsidR="00375BD2" w:rsidRPr="00C05886" w:rsidRDefault="00375BD2" w:rsidP="007F4F4B">
            <w:pPr>
              <w:spacing w:line="240" w:lineRule="auto"/>
              <w:jc w:val="center"/>
              <w:cnfStyle w:val="000000100000" w:firstRow="0" w:lastRow="0" w:firstColumn="0" w:lastColumn="0" w:oddVBand="0" w:evenVBand="0" w:oddHBand="1" w:evenHBand="0" w:firstRowFirstColumn="0" w:firstRowLastColumn="0" w:lastRowFirstColumn="0" w:lastRowLastColumn="0"/>
            </w:pPr>
            <w:r w:rsidRPr="00C05886">
              <w:t>-0.078, 0.529</w:t>
            </w:r>
          </w:p>
        </w:tc>
      </w:tr>
      <w:tr w:rsidR="00375BD2" w:rsidRPr="00C05886" w14:paraId="438042C1" w14:textId="77777777" w:rsidTr="007F4F4B">
        <w:trPr>
          <w:trHeight w:val="70"/>
        </w:trPr>
        <w:tc>
          <w:tcPr>
            <w:cnfStyle w:val="001000000000" w:firstRow="0" w:lastRow="0" w:firstColumn="1" w:lastColumn="0" w:oddVBand="0" w:evenVBand="0" w:oddHBand="0" w:evenHBand="0" w:firstRowFirstColumn="0" w:firstRowLastColumn="0" w:lastRowFirstColumn="0" w:lastRowLastColumn="0"/>
            <w:tcW w:w="2830" w:type="dxa"/>
          </w:tcPr>
          <w:p w14:paraId="51FDEAD7" w14:textId="77777777" w:rsidR="00375BD2" w:rsidRPr="00C05886" w:rsidRDefault="00375BD2" w:rsidP="007F4F4B">
            <w:pPr>
              <w:spacing w:line="240" w:lineRule="auto"/>
            </w:pPr>
            <w:r w:rsidRPr="00C05886">
              <w:t>Inclusion of Nature in Self</w:t>
            </w:r>
          </w:p>
        </w:tc>
        <w:tc>
          <w:tcPr>
            <w:tcW w:w="2060" w:type="dxa"/>
          </w:tcPr>
          <w:p w14:paraId="15270F4D" w14:textId="77777777" w:rsidR="00375BD2" w:rsidRPr="00C05886" w:rsidRDefault="00375BD2" w:rsidP="007F4F4B">
            <w:pPr>
              <w:spacing w:line="240" w:lineRule="auto"/>
              <w:jc w:val="center"/>
              <w:cnfStyle w:val="000000000000" w:firstRow="0" w:lastRow="0" w:firstColumn="0" w:lastColumn="0" w:oddVBand="0" w:evenVBand="0" w:oddHBand="0" w:evenHBand="0" w:firstRowFirstColumn="0" w:firstRowLastColumn="0" w:lastRowFirstColumn="0" w:lastRowLastColumn="0"/>
            </w:pPr>
            <w:r w:rsidRPr="00C05886">
              <w:t>0.01 (0.00)</w:t>
            </w:r>
          </w:p>
        </w:tc>
        <w:tc>
          <w:tcPr>
            <w:tcW w:w="2446" w:type="dxa"/>
          </w:tcPr>
          <w:p w14:paraId="1682C49B" w14:textId="77777777" w:rsidR="00375BD2" w:rsidRPr="00C05886" w:rsidRDefault="00375BD2" w:rsidP="007F4F4B">
            <w:pPr>
              <w:spacing w:line="240" w:lineRule="auto"/>
              <w:jc w:val="center"/>
              <w:cnfStyle w:val="000000000000" w:firstRow="0" w:lastRow="0" w:firstColumn="0" w:lastColumn="0" w:oddVBand="0" w:evenVBand="0" w:oddHBand="0" w:evenHBand="0" w:firstRowFirstColumn="0" w:firstRowLastColumn="0" w:lastRowFirstColumn="0" w:lastRowLastColumn="0"/>
            </w:pPr>
            <w:r w:rsidRPr="00C05886">
              <w:t>0.01</w:t>
            </w:r>
          </w:p>
        </w:tc>
        <w:tc>
          <w:tcPr>
            <w:tcW w:w="2446" w:type="dxa"/>
          </w:tcPr>
          <w:p w14:paraId="31BD3AA9" w14:textId="77777777" w:rsidR="00375BD2" w:rsidRPr="00C05886" w:rsidRDefault="00375BD2" w:rsidP="007F4F4B">
            <w:pPr>
              <w:spacing w:line="240" w:lineRule="auto"/>
              <w:jc w:val="center"/>
              <w:cnfStyle w:val="000000000000" w:firstRow="0" w:lastRow="0" w:firstColumn="0" w:lastColumn="0" w:oddVBand="0" w:evenVBand="0" w:oddHBand="0" w:evenHBand="0" w:firstRowFirstColumn="0" w:firstRowLastColumn="0" w:lastRowFirstColumn="0" w:lastRowLastColumn="0"/>
            </w:pPr>
            <w:r w:rsidRPr="00C05886">
              <w:t>0.003, 0.021</w:t>
            </w:r>
          </w:p>
        </w:tc>
      </w:tr>
      <w:tr w:rsidR="00375BD2" w:rsidRPr="00C05886" w14:paraId="0B14D828" w14:textId="77777777" w:rsidTr="007F4F4B">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2830" w:type="dxa"/>
          </w:tcPr>
          <w:p w14:paraId="2A8DCC64" w14:textId="77777777" w:rsidR="00375BD2" w:rsidRPr="00C05886" w:rsidRDefault="00375BD2" w:rsidP="007F4F4B">
            <w:pPr>
              <w:spacing w:line="240" w:lineRule="auto"/>
            </w:pPr>
            <w:r w:rsidRPr="00C05886">
              <w:t>Birds</w:t>
            </w:r>
          </w:p>
        </w:tc>
        <w:tc>
          <w:tcPr>
            <w:tcW w:w="2060" w:type="dxa"/>
          </w:tcPr>
          <w:p w14:paraId="1CE6EFD9" w14:textId="77777777" w:rsidR="00375BD2" w:rsidRPr="00C05886" w:rsidRDefault="00375BD2" w:rsidP="007F4F4B">
            <w:pPr>
              <w:spacing w:line="240" w:lineRule="auto"/>
              <w:jc w:val="center"/>
              <w:cnfStyle w:val="000000100000" w:firstRow="0" w:lastRow="0" w:firstColumn="0" w:lastColumn="0" w:oddVBand="0" w:evenVBand="0" w:oddHBand="1" w:evenHBand="0" w:firstRowFirstColumn="0" w:firstRowLastColumn="0" w:lastRowFirstColumn="0" w:lastRowLastColumn="0"/>
            </w:pPr>
            <w:r w:rsidRPr="00C05886">
              <w:t>0.51 (0.39)</w:t>
            </w:r>
          </w:p>
        </w:tc>
        <w:tc>
          <w:tcPr>
            <w:tcW w:w="2446" w:type="dxa"/>
          </w:tcPr>
          <w:p w14:paraId="628C114D" w14:textId="77777777" w:rsidR="00375BD2" w:rsidRPr="00C05886" w:rsidRDefault="00375BD2" w:rsidP="007F4F4B">
            <w:pPr>
              <w:spacing w:line="240" w:lineRule="auto"/>
              <w:jc w:val="center"/>
              <w:cnfStyle w:val="000000100000" w:firstRow="0" w:lastRow="0" w:firstColumn="0" w:lastColumn="0" w:oddVBand="0" w:evenVBand="0" w:oddHBand="1" w:evenHBand="0" w:firstRowFirstColumn="0" w:firstRowLastColumn="0" w:lastRowFirstColumn="0" w:lastRowLastColumn="0"/>
            </w:pPr>
            <w:r w:rsidRPr="00C05886">
              <w:t>0.187</w:t>
            </w:r>
          </w:p>
        </w:tc>
        <w:tc>
          <w:tcPr>
            <w:tcW w:w="2446" w:type="dxa"/>
          </w:tcPr>
          <w:p w14:paraId="32809D07" w14:textId="77777777" w:rsidR="00375BD2" w:rsidRPr="00C05886" w:rsidRDefault="00375BD2" w:rsidP="007F4F4B">
            <w:pPr>
              <w:spacing w:line="240" w:lineRule="auto"/>
              <w:jc w:val="center"/>
              <w:cnfStyle w:val="000000100000" w:firstRow="0" w:lastRow="0" w:firstColumn="0" w:lastColumn="0" w:oddVBand="0" w:evenVBand="0" w:oddHBand="1" w:evenHBand="0" w:firstRowFirstColumn="0" w:firstRowLastColumn="0" w:lastRowFirstColumn="0" w:lastRowLastColumn="0"/>
            </w:pPr>
            <w:r w:rsidRPr="00C05886">
              <w:t>-0.249, 1.275</w:t>
            </w:r>
          </w:p>
        </w:tc>
      </w:tr>
      <w:tr w:rsidR="00375BD2" w:rsidRPr="00C05886" w14:paraId="6A564579" w14:textId="77777777" w:rsidTr="007F4F4B">
        <w:trPr>
          <w:trHeight w:val="282"/>
        </w:trPr>
        <w:tc>
          <w:tcPr>
            <w:cnfStyle w:val="001000000000" w:firstRow="0" w:lastRow="0" w:firstColumn="1" w:lastColumn="0" w:oddVBand="0" w:evenVBand="0" w:oddHBand="0" w:evenHBand="0" w:firstRowFirstColumn="0" w:firstRowLastColumn="0" w:lastRowFirstColumn="0" w:lastRowLastColumn="0"/>
            <w:tcW w:w="2830" w:type="dxa"/>
          </w:tcPr>
          <w:p w14:paraId="39B53C5D" w14:textId="77777777" w:rsidR="00375BD2" w:rsidRPr="00C05886" w:rsidRDefault="00375BD2" w:rsidP="007F4F4B">
            <w:pPr>
              <w:spacing w:line="240" w:lineRule="auto"/>
            </w:pPr>
            <w:r w:rsidRPr="00C05886">
              <w:t>Buildings</w:t>
            </w:r>
          </w:p>
        </w:tc>
        <w:tc>
          <w:tcPr>
            <w:tcW w:w="2060" w:type="dxa"/>
          </w:tcPr>
          <w:p w14:paraId="78D9A0B6" w14:textId="77777777" w:rsidR="00375BD2" w:rsidRPr="00C05886" w:rsidRDefault="00375BD2" w:rsidP="007F4F4B">
            <w:pPr>
              <w:spacing w:line="240" w:lineRule="auto"/>
              <w:jc w:val="center"/>
              <w:cnfStyle w:val="000000000000" w:firstRow="0" w:lastRow="0" w:firstColumn="0" w:lastColumn="0" w:oddVBand="0" w:evenVBand="0" w:oddHBand="0" w:evenHBand="0" w:firstRowFirstColumn="0" w:firstRowLastColumn="0" w:lastRowFirstColumn="0" w:lastRowLastColumn="0"/>
            </w:pPr>
            <w:r w:rsidRPr="00C05886">
              <w:t>-1.03 (0.28)</w:t>
            </w:r>
          </w:p>
        </w:tc>
        <w:tc>
          <w:tcPr>
            <w:tcW w:w="2446" w:type="dxa"/>
          </w:tcPr>
          <w:p w14:paraId="4FF759A8" w14:textId="77777777" w:rsidR="00375BD2" w:rsidRPr="00C05886" w:rsidRDefault="00375BD2" w:rsidP="007F4F4B">
            <w:pPr>
              <w:spacing w:line="240" w:lineRule="auto"/>
              <w:jc w:val="center"/>
              <w:cnfStyle w:val="000000000000" w:firstRow="0" w:lastRow="0" w:firstColumn="0" w:lastColumn="0" w:oddVBand="0" w:evenVBand="0" w:oddHBand="0" w:evenHBand="0" w:firstRowFirstColumn="0" w:firstRowLastColumn="0" w:lastRowFirstColumn="0" w:lastRowLastColumn="0"/>
            </w:pPr>
            <w:r w:rsidRPr="00C05886">
              <w:t>&lt;0.000</w:t>
            </w:r>
          </w:p>
        </w:tc>
        <w:tc>
          <w:tcPr>
            <w:tcW w:w="2446" w:type="dxa"/>
          </w:tcPr>
          <w:p w14:paraId="5F375F77" w14:textId="77777777" w:rsidR="00375BD2" w:rsidRPr="00C05886" w:rsidRDefault="00375BD2" w:rsidP="007F4F4B">
            <w:pPr>
              <w:spacing w:line="240" w:lineRule="auto"/>
              <w:jc w:val="center"/>
              <w:cnfStyle w:val="000000000000" w:firstRow="0" w:lastRow="0" w:firstColumn="0" w:lastColumn="0" w:oddVBand="0" w:evenVBand="0" w:oddHBand="0" w:evenHBand="0" w:firstRowFirstColumn="0" w:firstRowLastColumn="0" w:lastRowFirstColumn="0" w:lastRowLastColumn="0"/>
            </w:pPr>
            <w:r w:rsidRPr="00C05886">
              <w:t>-1.580, -0.477</w:t>
            </w:r>
          </w:p>
        </w:tc>
      </w:tr>
      <w:tr w:rsidR="00375BD2" w:rsidRPr="00C05886" w14:paraId="759F386F" w14:textId="77777777" w:rsidTr="007F4F4B">
        <w:trPr>
          <w:cnfStyle w:val="000000100000" w:firstRow="0" w:lastRow="0" w:firstColumn="0" w:lastColumn="0" w:oddVBand="0" w:evenVBand="0" w:oddHBand="1" w:evenHBand="0" w:firstRowFirstColumn="0" w:firstRowLastColumn="0" w:lastRowFirstColumn="0" w:lastRowLastColumn="0"/>
          <w:trHeight w:val="282"/>
        </w:trPr>
        <w:tc>
          <w:tcPr>
            <w:cnfStyle w:val="001000000000" w:firstRow="0" w:lastRow="0" w:firstColumn="1" w:lastColumn="0" w:oddVBand="0" w:evenVBand="0" w:oddHBand="0" w:evenHBand="0" w:firstRowFirstColumn="0" w:firstRowLastColumn="0" w:lastRowFirstColumn="0" w:lastRowLastColumn="0"/>
            <w:tcW w:w="2830" w:type="dxa"/>
            <w:tcBorders>
              <w:bottom w:val="single" w:sz="4" w:space="0" w:color="auto"/>
            </w:tcBorders>
          </w:tcPr>
          <w:p w14:paraId="0AB42CB8" w14:textId="77777777" w:rsidR="00375BD2" w:rsidRPr="00C05886" w:rsidRDefault="00375BD2" w:rsidP="007F4F4B">
            <w:pPr>
              <w:spacing w:line="240" w:lineRule="auto"/>
            </w:pPr>
            <w:r w:rsidRPr="00C05886">
              <w:t>Hills</w:t>
            </w:r>
          </w:p>
        </w:tc>
        <w:tc>
          <w:tcPr>
            <w:tcW w:w="2060" w:type="dxa"/>
            <w:tcBorders>
              <w:bottom w:val="single" w:sz="4" w:space="0" w:color="auto"/>
            </w:tcBorders>
          </w:tcPr>
          <w:p w14:paraId="3D2448B0" w14:textId="77777777" w:rsidR="00375BD2" w:rsidRPr="00C05886" w:rsidRDefault="00375BD2" w:rsidP="007F4F4B">
            <w:pPr>
              <w:spacing w:line="240" w:lineRule="auto"/>
              <w:jc w:val="center"/>
              <w:cnfStyle w:val="000000100000" w:firstRow="0" w:lastRow="0" w:firstColumn="0" w:lastColumn="0" w:oddVBand="0" w:evenVBand="0" w:oddHBand="1" w:evenHBand="0" w:firstRowFirstColumn="0" w:firstRowLastColumn="0" w:lastRowFirstColumn="0" w:lastRowLastColumn="0"/>
            </w:pPr>
            <w:r w:rsidRPr="00C05886">
              <w:t>1.05 (0.43)</w:t>
            </w:r>
          </w:p>
        </w:tc>
        <w:tc>
          <w:tcPr>
            <w:tcW w:w="2446" w:type="dxa"/>
            <w:tcBorders>
              <w:bottom w:val="single" w:sz="4" w:space="0" w:color="auto"/>
            </w:tcBorders>
          </w:tcPr>
          <w:p w14:paraId="34056A78" w14:textId="77777777" w:rsidR="00375BD2" w:rsidRPr="00C05886" w:rsidRDefault="00375BD2" w:rsidP="007F4F4B">
            <w:pPr>
              <w:spacing w:line="240" w:lineRule="auto"/>
              <w:jc w:val="center"/>
              <w:cnfStyle w:val="000000100000" w:firstRow="0" w:lastRow="0" w:firstColumn="0" w:lastColumn="0" w:oddVBand="0" w:evenVBand="0" w:oddHBand="1" w:evenHBand="0" w:firstRowFirstColumn="0" w:firstRowLastColumn="0" w:lastRowFirstColumn="0" w:lastRowLastColumn="0"/>
            </w:pPr>
            <w:r w:rsidRPr="00C05886">
              <w:t>0.013</w:t>
            </w:r>
          </w:p>
        </w:tc>
        <w:tc>
          <w:tcPr>
            <w:tcW w:w="2446" w:type="dxa"/>
            <w:tcBorders>
              <w:bottom w:val="single" w:sz="4" w:space="0" w:color="auto"/>
            </w:tcBorders>
          </w:tcPr>
          <w:p w14:paraId="4ED251F6" w14:textId="77777777" w:rsidR="00375BD2" w:rsidRPr="00C05886" w:rsidRDefault="00375BD2" w:rsidP="007F4F4B">
            <w:pPr>
              <w:spacing w:line="240" w:lineRule="auto"/>
              <w:jc w:val="center"/>
              <w:cnfStyle w:val="000000100000" w:firstRow="0" w:lastRow="0" w:firstColumn="0" w:lastColumn="0" w:oddVBand="0" w:evenVBand="0" w:oddHBand="1" w:evenHBand="0" w:firstRowFirstColumn="0" w:firstRowLastColumn="0" w:lastRowFirstColumn="0" w:lastRowLastColumn="0"/>
            </w:pPr>
            <w:r w:rsidRPr="00C05886">
              <w:t>0.218, 1.885</w:t>
            </w:r>
          </w:p>
        </w:tc>
      </w:tr>
      <w:tr w:rsidR="00375BD2" w:rsidRPr="00C05886" w14:paraId="7B6E60B3" w14:textId="77777777" w:rsidTr="007F4F4B">
        <w:trPr>
          <w:trHeight w:val="282"/>
        </w:trPr>
        <w:tc>
          <w:tcPr>
            <w:cnfStyle w:val="001000000000" w:firstRow="0" w:lastRow="0" w:firstColumn="1" w:lastColumn="0" w:oddVBand="0" w:evenVBand="0" w:oddHBand="0" w:evenHBand="0" w:firstRowFirstColumn="0" w:firstRowLastColumn="0" w:lastRowFirstColumn="0" w:lastRowLastColumn="0"/>
            <w:tcW w:w="2830" w:type="dxa"/>
            <w:tcBorders>
              <w:bottom w:val="single" w:sz="4" w:space="0" w:color="auto"/>
            </w:tcBorders>
          </w:tcPr>
          <w:p w14:paraId="7844F401" w14:textId="77777777" w:rsidR="00375BD2" w:rsidRPr="00C05886" w:rsidRDefault="00375BD2" w:rsidP="007F4F4B">
            <w:pPr>
              <w:spacing w:line="240" w:lineRule="auto"/>
            </w:pPr>
            <w:r w:rsidRPr="00C05886">
              <w:t>Outdoor without nature</w:t>
            </w:r>
          </w:p>
        </w:tc>
        <w:tc>
          <w:tcPr>
            <w:tcW w:w="2060" w:type="dxa"/>
            <w:tcBorders>
              <w:bottom w:val="single" w:sz="4" w:space="0" w:color="auto"/>
            </w:tcBorders>
          </w:tcPr>
          <w:p w14:paraId="0851C9F8" w14:textId="77777777" w:rsidR="00375BD2" w:rsidRPr="00C05886" w:rsidRDefault="00375BD2" w:rsidP="007F4F4B">
            <w:pPr>
              <w:spacing w:line="240" w:lineRule="auto"/>
              <w:jc w:val="center"/>
              <w:cnfStyle w:val="000000000000" w:firstRow="0" w:lastRow="0" w:firstColumn="0" w:lastColumn="0" w:oddVBand="0" w:evenVBand="0" w:oddHBand="0" w:evenHBand="0" w:firstRowFirstColumn="0" w:firstRowLastColumn="0" w:lastRowFirstColumn="0" w:lastRowLastColumn="0"/>
            </w:pPr>
            <w:r w:rsidRPr="00C05886">
              <w:t>-1.91 (1.39)</w:t>
            </w:r>
          </w:p>
        </w:tc>
        <w:tc>
          <w:tcPr>
            <w:tcW w:w="2446" w:type="dxa"/>
            <w:tcBorders>
              <w:bottom w:val="single" w:sz="4" w:space="0" w:color="auto"/>
            </w:tcBorders>
          </w:tcPr>
          <w:p w14:paraId="44BDEF75" w14:textId="77777777" w:rsidR="00375BD2" w:rsidRPr="00C05886" w:rsidRDefault="00375BD2" w:rsidP="007F4F4B">
            <w:pPr>
              <w:spacing w:line="240" w:lineRule="auto"/>
              <w:jc w:val="center"/>
              <w:cnfStyle w:val="000000000000" w:firstRow="0" w:lastRow="0" w:firstColumn="0" w:lastColumn="0" w:oddVBand="0" w:evenVBand="0" w:oddHBand="0" w:evenHBand="0" w:firstRowFirstColumn="0" w:firstRowLastColumn="0" w:lastRowFirstColumn="0" w:lastRowLastColumn="0"/>
            </w:pPr>
            <w:r w:rsidRPr="00C05886">
              <w:t>0.168</w:t>
            </w:r>
          </w:p>
        </w:tc>
        <w:tc>
          <w:tcPr>
            <w:tcW w:w="2446" w:type="dxa"/>
            <w:tcBorders>
              <w:bottom w:val="single" w:sz="4" w:space="0" w:color="auto"/>
            </w:tcBorders>
          </w:tcPr>
          <w:p w14:paraId="45983678" w14:textId="77777777" w:rsidR="00375BD2" w:rsidRPr="00C05886" w:rsidRDefault="00375BD2" w:rsidP="007F4F4B">
            <w:pPr>
              <w:spacing w:line="240" w:lineRule="auto"/>
              <w:jc w:val="center"/>
              <w:cnfStyle w:val="000000000000" w:firstRow="0" w:lastRow="0" w:firstColumn="0" w:lastColumn="0" w:oddVBand="0" w:evenVBand="0" w:oddHBand="0" w:evenHBand="0" w:firstRowFirstColumn="0" w:firstRowLastColumn="0" w:lastRowFirstColumn="0" w:lastRowLastColumn="0"/>
            </w:pPr>
            <w:r w:rsidRPr="00C05886">
              <w:t>-4.634, 0.805</w:t>
            </w:r>
          </w:p>
        </w:tc>
      </w:tr>
      <w:tr w:rsidR="00375BD2" w:rsidRPr="00C05886" w14:paraId="2FF70028" w14:textId="77777777" w:rsidTr="007F4F4B">
        <w:trPr>
          <w:cnfStyle w:val="000000100000" w:firstRow="0" w:lastRow="0" w:firstColumn="0" w:lastColumn="0" w:oddVBand="0" w:evenVBand="0" w:oddHBand="1" w:evenHBand="0" w:firstRowFirstColumn="0" w:firstRowLastColumn="0" w:lastRowFirstColumn="0" w:lastRowLastColumn="0"/>
          <w:trHeight w:val="297"/>
        </w:trPr>
        <w:tc>
          <w:tcPr>
            <w:cnfStyle w:val="001000000000" w:firstRow="0" w:lastRow="0" w:firstColumn="1" w:lastColumn="0" w:oddVBand="0" w:evenVBand="0" w:oddHBand="0" w:evenHBand="0" w:firstRowFirstColumn="0" w:firstRowLastColumn="0" w:lastRowFirstColumn="0" w:lastRowLastColumn="0"/>
            <w:tcW w:w="2830" w:type="dxa"/>
            <w:tcBorders>
              <w:top w:val="single" w:sz="4" w:space="0" w:color="auto"/>
              <w:bottom w:val="single" w:sz="4" w:space="0" w:color="auto"/>
            </w:tcBorders>
          </w:tcPr>
          <w:p w14:paraId="54809B54" w14:textId="77777777" w:rsidR="00375BD2" w:rsidRPr="00C05886" w:rsidRDefault="00375BD2" w:rsidP="007F4F4B">
            <w:pPr>
              <w:spacing w:line="240" w:lineRule="auto"/>
            </w:pPr>
            <w:r w:rsidRPr="00C05886">
              <w:t>Participant’s garden</w:t>
            </w:r>
          </w:p>
        </w:tc>
        <w:tc>
          <w:tcPr>
            <w:tcW w:w="2060" w:type="dxa"/>
            <w:tcBorders>
              <w:top w:val="single" w:sz="4" w:space="0" w:color="auto"/>
              <w:bottom w:val="single" w:sz="4" w:space="0" w:color="auto"/>
            </w:tcBorders>
          </w:tcPr>
          <w:p w14:paraId="64D3B95C" w14:textId="77777777" w:rsidR="00375BD2" w:rsidRPr="00C05886" w:rsidRDefault="00375BD2" w:rsidP="007F4F4B">
            <w:pPr>
              <w:spacing w:line="240" w:lineRule="auto"/>
              <w:jc w:val="center"/>
              <w:cnfStyle w:val="000000100000" w:firstRow="0" w:lastRow="0" w:firstColumn="0" w:lastColumn="0" w:oddVBand="0" w:evenVBand="0" w:oddHBand="1" w:evenHBand="0" w:firstRowFirstColumn="0" w:firstRowLastColumn="0" w:lastRowFirstColumn="0" w:lastRowLastColumn="0"/>
            </w:pPr>
            <w:r w:rsidRPr="00C05886">
              <w:t>1.00 (0.52)</w:t>
            </w:r>
          </w:p>
        </w:tc>
        <w:tc>
          <w:tcPr>
            <w:tcW w:w="2446" w:type="dxa"/>
            <w:tcBorders>
              <w:top w:val="single" w:sz="4" w:space="0" w:color="auto"/>
              <w:bottom w:val="single" w:sz="4" w:space="0" w:color="auto"/>
            </w:tcBorders>
          </w:tcPr>
          <w:p w14:paraId="297AE214" w14:textId="77777777" w:rsidR="00375BD2" w:rsidRPr="00C05886" w:rsidRDefault="00375BD2" w:rsidP="007F4F4B">
            <w:pPr>
              <w:spacing w:line="240" w:lineRule="auto"/>
              <w:jc w:val="center"/>
              <w:cnfStyle w:val="000000100000" w:firstRow="0" w:lastRow="0" w:firstColumn="0" w:lastColumn="0" w:oddVBand="0" w:evenVBand="0" w:oddHBand="1" w:evenHBand="0" w:firstRowFirstColumn="0" w:firstRowLastColumn="0" w:lastRowFirstColumn="0" w:lastRowLastColumn="0"/>
            </w:pPr>
            <w:r w:rsidRPr="00C05886">
              <w:t>0.052</w:t>
            </w:r>
          </w:p>
        </w:tc>
        <w:tc>
          <w:tcPr>
            <w:tcW w:w="2446" w:type="dxa"/>
            <w:tcBorders>
              <w:top w:val="single" w:sz="4" w:space="0" w:color="auto"/>
              <w:bottom w:val="single" w:sz="4" w:space="0" w:color="auto"/>
            </w:tcBorders>
          </w:tcPr>
          <w:p w14:paraId="6A3FE311" w14:textId="77777777" w:rsidR="00375BD2" w:rsidRPr="00C05886" w:rsidRDefault="00375BD2" w:rsidP="007F4F4B">
            <w:pPr>
              <w:spacing w:line="240" w:lineRule="auto"/>
              <w:jc w:val="center"/>
              <w:cnfStyle w:val="000000100000" w:firstRow="0" w:lastRow="0" w:firstColumn="0" w:lastColumn="0" w:oddVBand="0" w:evenVBand="0" w:oddHBand="1" w:evenHBand="0" w:firstRowFirstColumn="0" w:firstRowLastColumn="0" w:lastRowFirstColumn="0" w:lastRowLastColumn="0"/>
            </w:pPr>
            <w:r w:rsidRPr="00C05886">
              <w:t>-0.010, 2.011</w:t>
            </w:r>
          </w:p>
        </w:tc>
      </w:tr>
      <w:tr w:rsidR="00375BD2" w:rsidRPr="00C05886" w14:paraId="6F4614D3" w14:textId="77777777" w:rsidTr="007F4F4B">
        <w:trPr>
          <w:trHeight w:val="297"/>
        </w:trPr>
        <w:tc>
          <w:tcPr>
            <w:cnfStyle w:val="001000000000" w:firstRow="0" w:lastRow="0" w:firstColumn="1" w:lastColumn="0" w:oddVBand="0" w:evenVBand="0" w:oddHBand="0" w:evenHBand="0" w:firstRowFirstColumn="0" w:firstRowLastColumn="0" w:lastRowFirstColumn="0" w:lastRowLastColumn="0"/>
            <w:tcW w:w="2830" w:type="dxa"/>
            <w:tcBorders>
              <w:top w:val="single" w:sz="4" w:space="0" w:color="auto"/>
              <w:bottom w:val="single" w:sz="4" w:space="0" w:color="auto"/>
            </w:tcBorders>
          </w:tcPr>
          <w:p w14:paraId="31CDD779" w14:textId="77777777" w:rsidR="00375BD2" w:rsidRPr="00C05886" w:rsidRDefault="00375BD2" w:rsidP="007F4F4B">
            <w:pPr>
              <w:spacing w:line="240" w:lineRule="auto"/>
            </w:pPr>
            <w:r w:rsidRPr="00C05886">
              <w:t>Potted plants</w:t>
            </w:r>
          </w:p>
        </w:tc>
        <w:tc>
          <w:tcPr>
            <w:tcW w:w="2060" w:type="dxa"/>
            <w:tcBorders>
              <w:top w:val="single" w:sz="4" w:space="0" w:color="auto"/>
              <w:bottom w:val="single" w:sz="4" w:space="0" w:color="auto"/>
            </w:tcBorders>
          </w:tcPr>
          <w:p w14:paraId="40D007BC" w14:textId="77777777" w:rsidR="00375BD2" w:rsidRPr="00C05886" w:rsidRDefault="00375BD2" w:rsidP="007F4F4B">
            <w:pPr>
              <w:spacing w:line="240" w:lineRule="auto"/>
              <w:jc w:val="center"/>
              <w:cnfStyle w:val="000000000000" w:firstRow="0" w:lastRow="0" w:firstColumn="0" w:lastColumn="0" w:oddVBand="0" w:evenVBand="0" w:oddHBand="0" w:evenHBand="0" w:firstRowFirstColumn="0" w:firstRowLastColumn="0" w:lastRowFirstColumn="0" w:lastRowLastColumn="0"/>
            </w:pPr>
            <w:r w:rsidRPr="00C05886">
              <w:t>-1.75 (1.31)</w:t>
            </w:r>
          </w:p>
        </w:tc>
        <w:tc>
          <w:tcPr>
            <w:tcW w:w="2446" w:type="dxa"/>
            <w:tcBorders>
              <w:top w:val="single" w:sz="4" w:space="0" w:color="auto"/>
              <w:bottom w:val="single" w:sz="4" w:space="0" w:color="auto"/>
            </w:tcBorders>
          </w:tcPr>
          <w:p w14:paraId="07C59BC8" w14:textId="77777777" w:rsidR="00375BD2" w:rsidRPr="00C05886" w:rsidRDefault="00375BD2" w:rsidP="007F4F4B">
            <w:pPr>
              <w:spacing w:line="240" w:lineRule="auto"/>
              <w:jc w:val="center"/>
              <w:cnfStyle w:val="000000000000" w:firstRow="0" w:lastRow="0" w:firstColumn="0" w:lastColumn="0" w:oddVBand="0" w:evenVBand="0" w:oddHBand="0" w:evenHBand="0" w:firstRowFirstColumn="0" w:firstRowLastColumn="0" w:lastRowFirstColumn="0" w:lastRowLastColumn="0"/>
            </w:pPr>
            <w:r w:rsidRPr="00C05886">
              <w:t>0.0183</w:t>
            </w:r>
          </w:p>
        </w:tc>
        <w:tc>
          <w:tcPr>
            <w:tcW w:w="2446" w:type="dxa"/>
            <w:tcBorders>
              <w:top w:val="single" w:sz="4" w:space="0" w:color="auto"/>
              <w:bottom w:val="single" w:sz="4" w:space="0" w:color="auto"/>
            </w:tcBorders>
          </w:tcPr>
          <w:p w14:paraId="42F5EB06" w14:textId="77777777" w:rsidR="00375BD2" w:rsidRPr="00C05886" w:rsidRDefault="00375BD2" w:rsidP="007F4F4B">
            <w:pPr>
              <w:spacing w:line="240" w:lineRule="auto"/>
              <w:jc w:val="center"/>
              <w:cnfStyle w:val="000000000000" w:firstRow="0" w:lastRow="0" w:firstColumn="0" w:lastColumn="0" w:oddVBand="0" w:evenVBand="0" w:oddHBand="0" w:evenHBand="0" w:firstRowFirstColumn="0" w:firstRowLastColumn="0" w:lastRowFirstColumn="0" w:lastRowLastColumn="0"/>
            </w:pPr>
            <w:r w:rsidRPr="00C05886">
              <w:t>-4.329, 0.825</w:t>
            </w:r>
          </w:p>
        </w:tc>
      </w:tr>
      <w:tr w:rsidR="00375BD2" w:rsidRPr="00C05886" w14:paraId="38FFD7A8" w14:textId="77777777" w:rsidTr="007F4F4B">
        <w:trPr>
          <w:cnfStyle w:val="000000100000" w:firstRow="0" w:lastRow="0" w:firstColumn="0" w:lastColumn="0" w:oddVBand="0" w:evenVBand="0" w:oddHBand="1" w:evenHBand="0" w:firstRowFirstColumn="0" w:firstRowLastColumn="0" w:lastRowFirstColumn="0" w:lastRowLastColumn="0"/>
          <w:trHeight w:val="297"/>
        </w:trPr>
        <w:tc>
          <w:tcPr>
            <w:cnfStyle w:val="001000000000" w:firstRow="0" w:lastRow="0" w:firstColumn="1" w:lastColumn="0" w:oddVBand="0" w:evenVBand="0" w:oddHBand="0" w:evenHBand="0" w:firstRowFirstColumn="0" w:firstRowLastColumn="0" w:lastRowFirstColumn="0" w:lastRowLastColumn="0"/>
            <w:tcW w:w="2830" w:type="dxa"/>
            <w:tcBorders>
              <w:top w:val="single" w:sz="4" w:space="0" w:color="auto"/>
              <w:bottom w:val="single" w:sz="4" w:space="0" w:color="auto"/>
            </w:tcBorders>
          </w:tcPr>
          <w:p w14:paraId="6E99E613" w14:textId="77777777" w:rsidR="00375BD2" w:rsidRPr="00C05886" w:rsidRDefault="00375BD2" w:rsidP="007F4F4B">
            <w:pPr>
              <w:spacing w:line="240" w:lineRule="auto"/>
            </w:pPr>
            <w:r w:rsidRPr="00C05886">
              <w:t>Shortgrass</w:t>
            </w:r>
          </w:p>
        </w:tc>
        <w:tc>
          <w:tcPr>
            <w:tcW w:w="2060" w:type="dxa"/>
            <w:tcBorders>
              <w:top w:val="single" w:sz="4" w:space="0" w:color="auto"/>
              <w:bottom w:val="single" w:sz="4" w:space="0" w:color="auto"/>
            </w:tcBorders>
          </w:tcPr>
          <w:p w14:paraId="211C57D2" w14:textId="77777777" w:rsidR="00375BD2" w:rsidRPr="00C05886" w:rsidRDefault="00375BD2" w:rsidP="007F4F4B">
            <w:pPr>
              <w:spacing w:line="240" w:lineRule="auto"/>
              <w:jc w:val="center"/>
              <w:cnfStyle w:val="000000100000" w:firstRow="0" w:lastRow="0" w:firstColumn="0" w:lastColumn="0" w:oddVBand="0" w:evenVBand="0" w:oddHBand="1" w:evenHBand="0" w:firstRowFirstColumn="0" w:firstRowLastColumn="0" w:lastRowFirstColumn="0" w:lastRowLastColumn="0"/>
            </w:pPr>
            <w:r w:rsidRPr="00C05886">
              <w:t>0.38 (0.24)</w:t>
            </w:r>
          </w:p>
        </w:tc>
        <w:tc>
          <w:tcPr>
            <w:tcW w:w="2446" w:type="dxa"/>
            <w:tcBorders>
              <w:top w:val="single" w:sz="4" w:space="0" w:color="auto"/>
              <w:bottom w:val="single" w:sz="4" w:space="0" w:color="auto"/>
            </w:tcBorders>
          </w:tcPr>
          <w:p w14:paraId="5761E2F0" w14:textId="77777777" w:rsidR="00375BD2" w:rsidRPr="00C05886" w:rsidRDefault="00375BD2" w:rsidP="007F4F4B">
            <w:pPr>
              <w:spacing w:line="240" w:lineRule="auto"/>
              <w:jc w:val="center"/>
              <w:cnfStyle w:val="000000100000" w:firstRow="0" w:lastRow="0" w:firstColumn="0" w:lastColumn="0" w:oddVBand="0" w:evenVBand="0" w:oddHBand="1" w:evenHBand="0" w:firstRowFirstColumn="0" w:firstRowLastColumn="0" w:lastRowFirstColumn="0" w:lastRowLastColumn="0"/>
            </w:pPr>
            <w:r w:rsidRPr="00C05886">
              <w:t>0.115</w:t>
            </w:r>
          </w:p>
        </w:tc>
        <w:tc>
          <w:tcPr>
            <w:tcW w:w="2446" w:type="dxa"/>
            <w:tcBorders>
              <w:top w:val="single" w:sz="4" w:space="0" w:color="auto"/>
              <w:bottom w:val="single" w:sz="4" w:space="0" w:color="auto"/>
            </w:tcBorders>
          </w:tcPr>
          <w:p w14:paraId="614BEE3F" w14:textId="77777777" w:rsidR="00375BD2" w:rsidRPr="00C05886" w:rsidRDefault="00375BD2" w:rsidP="007F4F4B">
            <w:pPr>
              <w:spacing w:line="240" w:lineRule="auto"/>
              <w:jc w:val="center"/>
              <w:cnfStyle w:val="000000100000" w:firstRow="0" w:lastRow="0" w:firstColumn="0" w:lastColumn="0" w:oddVBand="0" w:evenVBand="0" w:oddHBand="1" w:evenHBand="0" w:firstRowFirstColumn="0" w:firstRowLastColumn="0" w:lastRowFirstColumn="0" w:lastRowLastColumn="0"/>
            </w:pPr>
            <w:r w:rsidRPr="00C05886">
              <w:t>-0.093, 0.858</w:t>
            </w:r>
          </w:p>
        </w:tc>
      </w:tr>
      <w:tr w:rsidR="00375BD2" w:rsidRPr="00C05886" w14:paraId="3651F292" w14:textId="77777777" w:rsidTr="007F4F4B">
        <w:trPr>
          <w:trHeight w:val="297"/>
        </w:trPr>
        <w:tc>
          <w:tcPr>
            <w:cnfStyle w:val="001000000000" w:firstRow="0" w:lastRow="0" w:firstColumn="1" w:lastColumn="0" w:oddVBand="0" w:evenVBand="0" w:oddHBand="0" w:evenHBand="0" w:firstRowFirstColumn="0" w:firstRowLastColumn="0" w:lastRowFirstColumn="0" w:lastRowLastColumn="0"/>
            <w:tcW w:w="2830" w:type="dxa"/>
            <w:tcBorders>
              <w:top w:val="single" w:sz="4" w:space="0" w:color="auto"/>
              <w:bottom w:val="single" w:sz="4" w:space="0" w:color="auto"/>
            </w:tcBorders>
          </w:tcPr>
          <w:p w14:paraId="4A0109AB" w14:textId="77777777" w:rsidR="00375BD2" w:rsidRPr="00C05886" w:rsidRDefault="00375BD2" w:rsidP="007F4F4B">
            <w:pPr>
              <w:spacing w:line="240" w:lineRule="auto"/>
            </w:pPr>
            <w:r w:rsidRPr="00C05886">
              <w:t>Sky</w:t>
            </w:r>
          </w:p>
        </w:tc>
        <w:tc>
          <w:tcPr>
            <w:tcW w:w="2060" w:type="dxa"/>
            <w:tcBorders>
              <w:top w:val="single" w:sz="4" w:space="0" w:color="auto"/>
              <w:bottom w:val="single" w:sz="4" w:space="0" w:color="auto"/>
            </w:tcBorders>
          </w:tcPr>
          <w:p w14:paraId="24DCC375" w14:textId="77777777" w:rsidR="00375BD2" w:rsidRPr="00C05886" w:rsidRDefault="00375BD2" w:rsidP="007F4F4B">
            <w:pPr>
              <w:spacing w:line="240" w:lineRule="auto"/>
              <w:jc w:val="center"/>
              <w:cnfStyle w:val="000000000000" w:firstRow="0" w:lastRow="0" w:firstColumn="0" w:lastColumn="0" w:oddVBand="0" w:evenVBand="0" w:oddHBand="0" w:evenHBand="0" w:firstRowFirstColumn="0" w:firstRowLastColumn="0" w:lastRowFirstColumn="0" w:lastRowLastColumn="0"/>
            </w:pPr>
            <w:r w:rsidRPr="00C05886">
              <w:t>0.48 (0.31)</w:t>
            </w:r>
          </w:p>
        </w:tc>
        <w:tc>
          <w:tcPr>
            <w:tcW w:w="2446" w:type="dxa"/>
            <w:tcBorders>
              <w:top w:val="single" w:sz="4" w:space="0" w:color="auto"/>
              <w:bottom w:val="single" w:sz="4" w:space="0" w:color="auto"/>
            </w:tcBorders>
          </w:tcPr>
          <w:p w14:paraId="44432D48" w14:textId="77777777" w:rsidR="00375BD2" w:rsidRPr="00C05886" w:rsidRDefault="00375BD2" w:rsidP="007F4F4B">
            <w:pPr>
              <w:spacing w:line="240" w:lineRule="auto"/>
              <w:jc w:val="center"/>
              <w:cnfStyle w:val="000000000000" w:firstRow="0" w:lastRow="0" w:firstColumn="0" w:lastColumn="0" w:oddVBand="0" w:evenVBand="0" w:oddHBand="0" w:evenHBand="0" w:firstRowFirstColumn="0" w:firstRowLastColumn="0" w:lastRowFirstColumn="0" w:lastRowLastColumn="0"/>
            </w:pPr>
            <w:r w:rsidRPr="00C05886">
              <w:t>0.114</w:t>
            </w:r>
          </w:p>
        </w:tc>
        <w:tc>
          <w:tcPr>
            <w:tcW w:w="2446" w:type="dxa"/>
            <w:tcBorders>
              <w:top w:val="single" w:sz="4" w:space="0" w:color="auto"/>
              <w:bottom w:val="single" w:sz="4" w:space="0" w:color="auto"/>
            </w:tcBorders>
          </w:tcPr>
          <w:p w14:paraId="602CEB76" w14:textId="77777777" w:rsidR="00375BD2" w:rsidRPr="00C05886" w:rsidRDefault="00375BD2" w:rsidP="007F4F4B">
            <w:pPr>
              <w:spacing w:line="240" w:lineRule="auto"/>
              <w:jc w:val="center"/>
              <w:cnfStyle w:val="000000000000" w:firstRow="0" w:lastRow="0" w:firstColumn="0" w:lastColumn="0" w:oddVBand="0" w:evenVBand="0" w:oddHBand="0" w:evenHBand="0" w:firstRowFirstColumn="0" w:firstRowLastColumn="0" w:lastRowFirstColumn="0" w:lastRowLastColumn="0"/>
            </w:pPr>
            <w:r w:rsidRPr="00C05886">
              <w:t>-0.116, 1.081</w:t>
            </w:r>
          </w:p>
        </w:tc>
      </w:tr>
      <w:tr w:rsidR="00375BD2" w:rsidRPr="00C05886" w14:paraId="43021538" w14:textId="77777777" w:rsidTr="007F4F4B">
        <w:trPr>
          <w:cnfStyle w:val="000000100000" w:firstRow="0" w:lastRow="0" w:firstColumn="0" w:lastColumn="0" w:oddVBand="0" w:evenVBand="0" w:oddHBand="1" w:evenHBand="0" w:firstRowFirstColumn="0" w:firstRowLastColumn="0" w:lastRowFirstColumn="0" w:lastRowLastColumn="0"/>
          <w:trHeight w:val="297"/>
        </w:trPr>
        <w:tc>
          <w:tcPr>
            <w:cnfStyle w:val="001000000000" w:firstRow="0" w:lastRow="0" w:firstColumn="1" w:lastColumn="0" w:oddVBand="0" w:evenVBand="0" w:oddHBand="0" w:evenHBand="0" w:firstRowFirstColumn="0" w:firstRowLastColumn="0" w:lastRowFirstColumn="0" w:lastRowLastColumn="0"/>
            <w:tcW w:w="2830" w:type="dxa"/>
            <w:tcBorders>
              <w:top w:val="single" w:sz="4" w:space="0" w:color="auto"/>
              <w:bottom w:val="single" w:sz="4" w:space="0" w:color="auto"/>
            </w:tcBorders>
          </w:tcPr>
          <w:p w14:paraId="00D3A9AD" w14:textId="77777777" w:rsidR="00375BD2" w:rsidRPr="00C05886" w:rsidRDefault="00375BD2" w:rsidP="007F4F4B">
            <w:pPr>
              <w:spacing w:line="240" w:lineRule="auto"/>
            </w:pPr>
            <w:r w:rsidRPr="00C05886">
              <w:t>View from window</w:t>
            </w:r>
          </w:p>
        </w:tc>
        <w:tc>
          <w:tcPr>
            <w:tcW w:w="2060" w:type="dxa"/>
            <w:tcBorders>
              <w:top w:val="single" w:sz="4" w:space="0" w:color="auto"/>
              <w:bottom w:val="single" w:sz="4" w:space="0" w:color="auto"/>
            </w:tcBorders>
          </w:tcPr>
          <w:p w14:paraId="53211522" w14:textId="77777777" w:rsidR="00375BD2" w:rsidRPr="00C05886" w:rsidRDefault="00375BD2" w:rsidP="007F4F4B">
            <w:pPr>
              <w:spacing w:line="240" w:lineRule="auto"/>
              <w:jc w:val="center"/>
              <w:cnfStyle w:val="000000100000" w:firstRow="0" w:lastRow="0" w:firstColumn="0" w:lastColumn="0" w:oddVBand="0" w:evenVBand="0" w:oddHBand="1" w:evenHBand="0" w:firstRowFirstColumn="0" w:firstRowLastColumn="0" w:lastRowFirstColumn="0" w:lastRowLastColumn="0"/>
            </w:pPr>
            <w:r w:rsidRPr="00C05886">
              <w:t>-0.69 (0.39)</w:t>
            </w:r>
          </w:p>
        </w:tc>
        <w:tc>
          <w:tcPr>
            <w:tcW w:w="2446" w:type="dxa"/>
            <w:tcBorders>
              <w:top w:val="single" w:sz="4" w:space="0" w:color="auto"/>
              <w:bottom w:val="single" w:sz="4" w:space="0" w:color="auto"/>
            </w:tcBorders>
          </w:tcPr>
          <w:p w14:paraId="3734978A" w14:textId="77777777" w:rsidR="00375BD2" w:rsidRPr="00C05886" w:rsidRDefault="00375BD2" w:rsidP="007F4F4B">
            <w:pPr>
              <w:spacing w:line="240" w:lineRule="auto"/>
              <w:jc w:val="center"/>
              <w:cnfStyle w:val="000000100000" w:firstRow="0" w:lastRow="0" w:firstColumn="0" w:lastColumn="0" w:oddVBand="0" w:evenVBand="0" w:oddHBand="1" w:evenHBand="0" w:firstRowFirstColumn="0" w:firstRowLastColumn="0" w:lastRowFirstColumn="0" w:lastRowLastColumn="0"/>
            </w:pPr>
            <w:r w:rsidRPr="00C05886">
              <w:t>0.077</w:t>
            </w:r>
          </w:p>
        </w:tc>
        <w:tc>
          <w:tcPr>
            <w:tcW w:w="2446" w:type="dxa"/>
            <w:tcBorders>
              <w:top w:val="single" w:sz="4" w:space="0" w:color="auto"/>
              <w:bottom w:val="single" w:sz="4" w:space="0" w:color="auto"/>
            </w:tcBorders>
          </w:tcPr>
          <w:p w14:paraId="77A6546F" w14:textId="77777777" w:rsidR="00375BD2" w:rsidRPr="00C05886" w:rsidRDefault="00375BD2" w:rsidP="007F4F4B">
            <w:pPr>
              <w:spacing w:line="240" w:lineRule="auto"/>
              <w:jc w:val="center"/>
              <w:cnfStyle w:val="000000100000" w:firstRow="0" w:lastRow="0" w:firstColumn="0" w:lastColumn="0" w:oddVBand="0" w:evenVBand="0" w:oddHBand="1" w:evenHBand="0" w:firstRowFirstColumn="0" w:firstRowLastColumn="0" w:lastRowFirstColumn="0" w:lastRowLastColumn="0"/>
            </w:pPr>
            <w:r w:rsidRPr="00C05886">
              <w:t>-1.465, 0.076</w:t>
            </w:r>
          </w:p>
        </w:tc>
      </w:tr>
      <w:tr w:rsidR="00375BD2" w:rsidRPr="00C05886" w14:paraId="1D20649A" w14:textId="77777777" w:rsidTr="007F4F4B">
        <w:trPr>
          <w:trHeight w:val="297"/>
        </w:trPr>
        <w:tc>
          <w:tcPr>
            <w:cnfStyle w:val="001000000000" w:firstRow="0" w:lastRow="0" w:firstColumn="1" w:lastColumn="0" w:oddVBand="0" w:evenVBand="0" w:oddHBand="0" w:evenHBand="0" w:firstRowFirstColumn="0" w:firstRowLastColumn="0" w:lastRowFirstColumn="0" w:lastRowLastColumn="0"/>
            <w:tcW w:w="2830" w:type="dxa"/>
            <w:tcBorders>
              <w:top w:val="single" w:sz="4" w:space="0" w:color="auto"/>
              <w:bottom w:val="single" w:sz="4" w:space="0" w:color="auto"/>
            </w:tcBorders>
          </w:tcPr>
          <w:p w14:paraId="41F4D897" w14:textId="77777777" w:rsidR="00375BD2" w:rsidRPr="00C05886" w:rsidRDefault="00375BD2" w:rsidP="007F4F4B">
            <w:pPr>
              <w:spacing w:line="240" w:lineRule="auto"/>
            </w:pPr>
            <w:r w:rsidRPr="00C05886">
              <w:t>Trees</w:t>
            </w:r>
          </w:p>
        </w:tc>
        <w:tc>
          <w:tcPr>
            <w:tcW w:w="2060" w:type="dxa"/>
            <w:tcBorders>
              <w:top w:val="single" w:sz="4" w:space="0" w:color="auto"/>
              <w:bottom w:val="single" w:sz="4" w:space="0" w:color="auto"/>
            </w:tcBorders>
          </w:tcPr>
          <w:p w14:paraId="6925EB20" w14:textId="77777777" w:rsidR="00375BD2" w:rsidRPr="00C05886" w:rsidRDefault="00375BD2" w:rsidP="007F4F4B">
            <w:pPr>
              <w:spacing w:line="240" w:lineRule="auto"/>
              <w:jc w:val="center"/>
              <w:cnfStyle w:val="000000000000" w:firstRow="0" w:lastRow="0" w:firstColumn="0" w:lastColumn="0" w:oddVBand="0" w:evenVBand="0" w:oddHBand="0" w:evenHBand="0" w:firstRowFirstColumn="0" w:firstRowLastColumn="0" w:lastRowFirstColumn="0" w:lastRowLastColumn="0"/>
            </w:pPr>
            <w:r w:rsidRPr="00C05886">
              <w:t>-0.32 (0.18)</w:t>
            </w:r>
          </w:p>
        </w:tc>
        <w:tc>
          <w:tcPr>
            <w:tcW w:w="2446" w:type="dxa"/>
            <w:tcBorders>
              <w:top w:val="single" w:sz="4" w:space="0" w:color="auto"/>
              <w:bottom w:val="single" w:sz="4" w:space="0" w:color="auto"/>
            </w:tcBorders>
          </w:tcPr>
          <w:p w14:paraId="6EBA1565" w14:textId="77777777" w:rsidR="00375BD2" w:rsidRPr="00C05886" w:rsidRDefault="00375BD2" w:rsidP="007F4F4B">
            <w:pPr>
              <w:spacing w:line="240" w:lineRule="auto"/>
              <w:jc w:val="center"/>
              <w:cnfStyle w:val="000000000000" w:firstRow="0" w:lastRow="0" w:firstColumn="0" w:lastColumn="0" w:oddVBand="0" w:evenVBand="0" w:oddHBand="0" w:evenHBand="0" w:firstRowFirstColumn="0" w:firstRowLastColumn="0" w:lastRowFirstColumn="0" w:lastRowLastColumn="0"/>
            </w:pPr>
            <w:r w:rsidRPr="00C05886">
              <w:t>0.078</w:t>
            </w:r>
          </w:p>
        </w:tc>
        <w:tc>
          <w:tcPr>
            <w:tcW w:w="2446" w:type="dxa"/>
            <w:tcBorders>
              <w:top w:val="single" w:sz="4" w:space="0" w:color="auto"/>
              <w:bottom w:val="single" w:sz="4" w:space="0" w:color="auto"/>
            </w:tcBorders>
          </w:tcPr>
          <w:p w14:paraId="73D3BDAC" w14:textId="77777777" w:rsidR="00375BD2" w:rsidRPr="00C05886" w:rsidRDefault="00375BD2" w:rsidP="007F4F4B">
            <w:pPr>
              <w:spacing w:line="240" w:lineRule="auto"/>
              <w:jc w:val="center"/>
              <w:cnfStyle w:val="000000000000" w:firstRow="0" w:lastRow="0" w:firstColumn="0" w:lastColumn="0" w:oddVBand="0" w:evenVBand="0" w:oddHBand="0" w:evenHBand="0" w:firstRowFirstColumn="0" w:firstRowLastColumn="0" w:lastRowFirstColumn="0" w:lastRowLastColumn="0"/>
            </w:pPr>
            <w:r w:rsidRPr="00C05886">
              <w:t>-0.685, 0.037</w:t>
            </w:r>
          </w:p>
        </w:tc>
      </w:tr>
      <w:tr w:rsidR="00375BD2" w:rsidRPr="00C05886" w14:paraId="481797F0" w14:textId="77777777" w:rsidTr="007F4F4B">
        <w:trPr>
          <w:cnfStyle w:val="000000100000" w:firstRow="0" w:lastRow="0" w:firstColumn="0" w:lastColumn="0" w:oddVBand="0" w:evenVBand="0" w:oddHBand="1" w:evenHBand="0" w:firstRowFirstColumn="0" w:firstRowLastColumn="0" w:lastRowFirstColumn="0" w:lastRowLastColumn="0"/>
          <w:trHeight w:val="297"/>
        </w:trPr>
        <w:tc>
          <w:tcPr>
            <w:cnfStyle w:val="001000000000" w:firstRow="0" w:lastRow="0" w:firstColumn="1" w:lastColumn="0" w:oddVBand="0" w:evenVBand="0" w:oddHBand="0" w:evenHBand="0" w:firstRowFirstColumn="0" w:firstRowLastColumn="0" w:lastRowFirstColumn="0" w:lastRowLastColumn="0"/>
            <w:tcW w:w="2830" w:type="dxa"/>
            <w:tcBorders>
              <w:top w:val="single" w:sz="4" w:space="0" w:color="auto"/>
              <w:bottom w:val="single" w:sz="4" w:space="0" w:color="auto"/>
            </w:tcBorders>
          </w:tcPr>
          <w:p w14:paraId="7EC017D2" w14:textId="77777777" w:rsidR="00375BD2" w:rsidRPr="00C05886" w:rsidRDefault="00375BD2" w:rsidP="007F4F4B">
            <w:pPr>
              <w:spacing w:line="240" w:lineRule="auto"/>
            </w:pPr>
            <w:r w:rsidRPr="00C05886">
              <w:t>Water bodies</w:t>
            </w:r>
          </w:p>
        </w:tc>
        <w:tc>
          <w:tcPr>
            <w:tcW w:w="2060" w:type="dxa"/>
            <w:tcBorders>
              <w:top w:val="single" w:sz="4" w:space="0" w:color="auto"/>
              <w:bottom w:val="single" w:sz="4" w:space="0" w:color="auto"/>
            </w:tcBorders>
          </w:tcPr>
          <w:p w14:paraId="2A5ED61E" w14:textId="77777777" w:rsidR="00375BD2" w:rsidRPr="00C05886" w:rsidRDefault="00375BD2" w:rsidP="007F4F4B">
            <w:pPr>
              <w:spacing w:line="240" w:lineRule="auto"/>
              <w:jc w:val="center"/>
              <w:cnfStyle w:val="000000100000" w:firstRow="0" w:lastRow="0" w:firstColumn="0" w:lastColumn="0" w:oddVBand="0" w:evenVBand="0" w:oddHBand="1" w:evenHBand="0" w:firstRowFirstColumn="0" w:firstRowLastColumn="0" w:lastRowFirstColumn="0" w:lastRowLastColumn="0"/>
            </w:pPr>
            <w:r w:rsidRPr="00C05886">
              <w:t>0.89 (0.28)</w:t>
            </w:r>
          </w:p>
        </w:tc>
        <w:tc>
          <w:tcPr>
            <w:tcW w:w="2446" w:type="dxa"/>
            <w:tcBorders>
              <w:top w:val="single" w:sz="4" w:space="0" w:color="auto"/>
              <w:bottom w:val="single" w:sz="4" w:space="0" w:color="auto"/>
            </w:tcBorders>
          </w:tcPr>
          <w:p w14:paraId="1348F612" w14:textId="77777777" w:rsidR="00375BD2" w:rsidRPr="00C05886" w:rsidRDefault="00375BD2" w:rsidP="007F4F4B">
            <w:pPr>
              <w:spacing w:line="240" w:lineRule="auto"/>
              <w:jc w:val="center"/>
              <w:cnfStyle w:val="000000100000" w:firstRow="0" w:lastRow="0" w:firstColumn="0" w:lastColumn="0" w:oddVBand="0" w:evenVBand="0" w:oddHBand="1" w:evenHBand="0" w:firstRowFirstColumn="0" w:firstRowLastColumn="0" w:lastRowFirstColumn="0" w:lastRowLastColumn="0"/>
            </w:pPr>
            <w:r w:rsidRPr="00C05886">
              <w:t>0.001</w:t>
            </w:r>
          </w:p>
        </w:tc>
        <w:tc>
          <w:tcPr>
            <w:tcW w:w="2446" w:type="dxa"/>
            <w:tcBorders>
              <w:top w:val="single" w:sz="4" w:space="0" w:color="auto"/>
              <w:bottom w:val="single" w:sz="4" w:space="0" w:color="auto"/>
            </w:tcBorders>
          </w:tcPr>
          <w:p w14:paraId="7114DAB7" w14:textId="77777777" w:rsidR="00375BD2" w:rsidRPr="00C05886" w:rsidRDefault="00375BD2" w:rsidP="007F4F4B">
            <w:pPr>
              <w:spacing w:line="240" w:lineRule="auto"/>
              <w:jc w:val="center"/>
              <w:cnfStyle w:val="000000100000" w:firstRow="0" w:lastRow="0" w:firstColumn="0" w:lastColumn="0" w:oddVBand="0" w:evenVBand="0" w:oddHBand="1" w:evenHBand="0" w:firstRowFirstColumn="0" w:firstRowLastColumn="0" w:lastRowFirstColumn="0" w:lastRowLastColumn="0"/>
            </w:pPr>
            <w:r w:rsidRPr="00C05886">
              <w:t>0.346, 1.440</w:t>
            </w:r>
          </w:p>
        </w:tc>
      </w:tr>
    </w:tbl>
    <w:p w14:paraId="4C2CBCF6" w14:textId="77777777" w:rsidR="00375BD2" w:rsidRPr="00C05886" w:rsidRDefault="00375BD2" w:rsidP="00375BD2">
      <w:pPr>
        <w:spacing w:line="240" w:lineRule="auto"/>
      </w:pPr>
    </w:p>
    <w:p w14:paraId="6B59FCFC" w14:textId="77777777" w:rsidR="00375BD2" w:rsidRPr="00C05886" w:rsidRDefault="00375BD2" w:rsidP="00375BD2">
      <w:pPr>
        <w:pStyle w:val="Caption"/>
        <w:keepNext/>
      </w:pPr>
      <w:r w:rsidRPr="00C05886">
        <w:t>Table S.4 list of all the predictors that met bivariate selection criteria (built condition)</w:t>
      </w:r>
    </w:p>
    <w:tbl>
      <w:tblPr>
        <w:tblStyle w:val="GridTable6Colourful"/>
        <w:tblW w:w="9782" w:type="dxa"/>
        <w:tblLook w:val="04A0" w:firstRow="1" w:lastRow="0" w:firstColumn="1" w:lastColumn="0" w:noHBand="0" w:noVBand="1"/>
      </w:tblPr>
      <w:tblGrid>
        <w:gridCol w:w="2830"/>
        <w:gridCol w:w="2060"/>
        <w:gridCol w:w="2446"/>
        <w:gridCol w:w="2446"/>
      </w:tblGrid>
      <w:tr w:rsidR="00375BD2" w:rsidRPr="00C05886" w14:paraId="757CE1ED" w14:textId="77777777" w:rsidTr="007F4F4B">
        <w:trPr>
          <w:cnfStyle w:val="100000000000" w:firstRow="1" w:lastRow="0" w:firstColumn="0" w:lastColumn="0" w:oddVBand="0" w:evenVBand="0" w:oddHBand="0" w:evenHBand="0" w:firstRowFirstColumn="0" w:firstRowLastColumn="0" w:lastRowFirstColumn="0" w:lastRowLastColumn="0"/>
          <w:trHeight w:val="282"/>
        </w:trPr>
        <w:tc>
          <w:tcPr>
            <w:cnfStyle w:val="001000000000" w:firstRow="0" w:lastRow="0" w:firstColumn="1" w:lastColumn="0" w:oddVBand="0" w:evenVBand="0" w:oddHBand="0" w:evenHBand="0" w:firstRowFirstColumn="0" w:firstRowLastColumn="0" w:lastRowFirstColumn="0" w:lastRowLastColumn="0"/>
            <w:tcW w:w="2830" w:type="dxa"/>
          </w:tcPr>
          <w:p w14:paraId="764B44A8" w14:textId="77777777" w:rsidR="00375BD2" w:rsidRPr="00C05886" w:rsidRDefault="00375BD2" w:rsidP="007F4F4B">
            <w:pPr>
              <w:spacing w:line="240" w:lineRule="auto"/>
            </w:pPr>
            <w:r w:rsidRPr="00C05886">
              <w:t>Predictor</w:t>
            </w:r>
          </w:p>
        </w:tc>
        <w:tc>
          <w:tcPr>
            <w:tcW w:w="2060" w:type="dxa"/>
          </w:tcPr>
          <w:p w14:paraId="4095DDA3" w14:textId="77777777" w:rsidR="00375BD2" w:rsidRPr="00C05886" w:rsidRDefault="00375BD2" w:rsidP="007F4F4B">
            <w:pPr>
              <w:spacing w:line="240" w:lineRule="auto"/>
              <w:jc w:val="center"/>
              <w:cnfStyle w:val="100000000000" w:firstRow="1" w:lastRow="0" w:firstColumn="0" w:lastColumn="0" w:oddVBand="0" w:evenVBand="0" w:oddHBand="0" w:evenHBand="0" w:firstRowFirstColumn="0" w:firstRowLastColumn="0" w:lastRowFirstColumn="0" w:lastRowLastColumn="0"/>
            </w:pPr>
            <w:proofErr w:type="spellStart"/>
            <w:r w:rsidRPr="00C05886">
              <w:t>LogOdds</w:t>
            </w:r>
            <w:proofErr w:type="spellEnd"/>
            <w:r w:rsidRPr="00C05886">
              <w:t xml:space="preserve"> (S.E.)</w:t>
            </w:r>
          </w:p>
        </w:tc>
        <w:tc>
          <w:tcPr>
            <w:tcW w:w="2446" w:type="dxa"/>
          </w:tcPr>
          <w:p w14:paraId="506492C0" w14:textId="77777777" w:rsidR="00375BD2" w:rsidRPr="00C05886" w:rsidRDefault="00375BD2" w:rsidP="007F4F4B">
            <w:pPr>
              <w:spacing w:line="240" w:lineRule="auto"/>
              <w:jc w:val="center"/>
              <w:cnfStyle w:val="100000000000" w:firstRow="1" w:lastRow="0" w:firstColumn="0" w:lastColumn="0" w:oddVBand="0" w:evenVBand="0" w:oddHBand="0" w:evenHBand="0" w:firstRowFirstColumn="0" w:firstRowLastColumn="0" w:lastRowFirstColumn="0" w:lastRowLastColumn="0"/>
            </w:pPr>
            <w:r w:rsidRPr="00C05886">
              <w:t>p-value</w:t>
            </w:r>
          </w:p>
        </w:tc>
        <w:tc>
          <w:tcPr>
            <w:tcW w:w="2446" w:type="dxa"/>
          </w:tcPr>
          <w:p w14:paraId="3D5EB61A" w14:textId="77777777" w:rsidR="00375BD2" w:rsidRPr="00C05886" w:rsidRDefault="00375BD2" w:rsidP="007F4F4B">
            <w:pPr>
              <w:spacing w:line="240" w:lineRule="auto"/>
              <w:jc w:val="center"/>
              <w:cnfStyle w:val="100000000000" w:firstRow="1" w:lastRow="0" w:firstColumn="0" w:lastColumn="0" w:oddVBand="0" w:evenVBand="0" w:oddHBand="0" w:evenHBand="0" w:firstRowFirstColumn="0" w:firstRowLastColumn="0" w:lastRowFirstColumn="0" w:lastRowLastColumn="0"/>
            </w:pPr>
            <w:r w:rsidRPr="00C05886">
              <w:t>95% Conf. Int.</w:t>
            </w:r>
          </w:p>
        </w:tc>
      </w:tr>
      <w:tr w:rsidR="00375BD2" w:rsidRPr="00C05886" w14:paraId="4DDE6187" w14:textId="77777777" w:rsidTr="007F4F4B">
        <w:trPr>
          <w:cnfStyle w:val="000000100000" w:firstRow="0" w:lastRow="0" w:firstColumn="0" w:lastColumn="0" w:oddVBand="0" w:evenVBand="0" w:oddHBand="1" w:evenHBand="0" w:firstRowFirstColumn="0" w:firstRowLastColumn="0" w:lastRowFirstColumn="0" w:lastRowLastColumn="0"/>
          <w:trHeight w:val="207"/>
        </w:trPr>
        <w:tc>
          <w:tcPr>
            <w:cnfStyle w:val="001000000000" w:firstRow="0" w:lastRow="0" w:firstColumn="1" w:lastColumn="0" w:oddVBand="0" w:evenVBand="0" w:oddHBand="0" w:evenHBand="0" w:firstRowFirstColumn="0" w:firstRowLastColumn="0" w:lastRowFirstColumn="0" w:lastRowLastColumn="0"/>
            <w:tcW w:w="2830" w:type="dxa"/>
          </w:tcPr>
          <w:p w14:paraId="52F4432C" w14:textId="77777777" w:rsidR="00375BD2" w:rsidRPr="00C05886" w:rsidRDefault="00375BD2" w:rsidP="007F4F4B">
            <w:pPr>
              <w:spacing w:line="240" w:lineRule="auto"/>
            </w:pPr>
            <w:r w:rsidRPr="00C05886">
              <w:t>Berries</w:t>
            </w:r>
          </w:p>
        </w:tc>
        <w:tc>
          <w:tcPr>
            <w:tcW w:w="2060" w:type="dxa"/>
          </w:tcPr>
          <w:p w14:paraId="7FC1D568" w14:textId="77777777" w:rsidR="00375BD2" w:rsidRPr="00C05886" w:rsidRDefault="00375BD2" w:rsidP="007F4F4B">
            <w:pPr>
              <w:spacing w:line="240" w:lineRule="auto"/>
              <w:jc w:val="center"/>
              <w:cnfStyle w:val="000000100000" w:firstRow="0" w:lastRow="0" w:firstColumn="0" w:lastColumn="0" w:oddVBand="0" w:evenVBand="0" w:oddHBand="1" w:evenHBand="0" w:firstRowFirstColumn="0" w:firstRowLastColumn="0" w:lastRowFirstColumn="0" w:lastRowLastColumn="0"/>
            </w:pPr>
            <w:r w:rsidRPr="00C05886">
              <w:t>-2.46 (1.46)</w:t>
            </w:r>
          </w:p>
        </w:tc>
        <w:tc>
          <w:tcPr>
            <w:tcW w:w="2446" w:type="dxa"/>
          </w:tcPr>
          <w:p w14:paraId="4A250299" w14:textId="77777777" w:rsidR="00375BD2" w:rsidRPr="00C05886" w:rsidRDefault="00375BD2" w:rsidP="007F4F4B">
            <w:pPr>
              <w:spacing w:line="240" w:lineRule="auto"/>
              <w:jc w:val="center"/>
              <w:cnfStyle w:val="000000100000" w:firstRow="0" w:lastRow="0" w:firstColumn="0" w:lastColumn="0" w:oddVBand="0" w:evenVBand="0" w:oddHBand="1" w:evenHBand="0" w:firstRowFirstColumn="0" w:firstRowLastColumn="0" w:lastRowFirstColumn="0" w:lastRowLastColumn="0"/>
            </w:pPr>
            <w:r w:rsidRPr="00C05886">
              <w:t>0.092</w:t>
            </w:r>
          </w:p>
        </w:tc>
        <w:tc>
          <w:tcPr>
            <w:tcW w:w="2446" w:type="dxa"/>
          </w:tcPr>
          <w:p w14:paraId="08E17F54" w14:textId="77777777" w:rsidR="00375BD2" w:rsidRPr="00C05886" w:rsidRDefault="00375BD2" w:rsidP="007F4F4B">
            <w:pPr>
              <w:spacing w:line="240" w:lineRule="auto"/>
              <w:jc w:val="center"/>
              <w:cnfStyle w:val="000000100000" w:firstRow="0" w:lastRow="0" w:firstColumn="0" w:lastColumn="0" w:oddVBand="0" w:evenVBand="0" w:oddHBand="1" w:evenHBand="0" w:firstRowFirstColumn="0" w:firstRowLastColumn="0" w:lastRowFirstColumn="0" w:lastRowLastColumn="0"/>
            </w:pPr>
            <w:r w:rsidRPr="00C05886">
              <w:t>-5.314, 0.400</w:t>
            </w:r>
          </w:p>
        </w:tc>
      </w:tr>
      <w:tr w:rsidR="00375BD2" w:rsidRPr="00C05886" w14:paraId="19D76778" w14:textId="77777777" w:rsidTr="007F4F4B">
        <w:trPr>
          <w:trHeight w:val="70"/>
        </w:trPr>
        <w:tc>
          <w:tcPr>
            <w:cnfStyle w:val="001000000000" w:firstRow="0" w:lastRow="0" w:firstColumn="1" w:lastColumn="0" w:oddVBand="0" w:evenVBand="0" w:oddHBand="0" w:evenHBand="0" w:firstRowFirstColumn="0" w:firstRowLastColumn="0" w:lastRowFirstColumn="0" w:lastRowLastColumn="0"/>
            <w:tcW w:w="2830" w:type="dxa"/>
          </w:tcPr>
          <w:p w14:paraId="675051BB" w14:textId="77777777" w:rsidR="00375BD2" w:rsidRPr="00C05886" w:rsidRDefault="00375BD2" w:rsidP="007F4F4B">
            <w:pPr>
              <w:spacing w:line="240" w:lineRule="auto"/>
            </w:pPr>
            <w:r w:rsidRPr="00C05886">
              <w:t>Buildings</w:t>
            </w:r>
          </w:p>
        </w:tc>
        <w:tc>
          <w:tcPr>
            <w:tcW w:w="2060" w:type="dxa"/>
          </w:tcPr>
          <w:p w14:paraId="0F5C5D09" w14:textId="77777777" w:rsidR="00375BD2" w:rsidRPr="00C05886" w:rsidRDefault="00375BD2" w:rsidP="007F4F4B">
            <w:pPr>
              <w:spacing w:line="240" w:lineRule="auto"/>
              <w:jc w:val="center"/>
              <w:cnfStyle w:val="000000000000" w:firstRow="0" w:lastRow="0" w:firstColumn="0" w:lastColumn="0" w:oddVBand="0" w:evenVBand="0" w:oddHBand="0" w:evenHBand="0" w:firstRowFirstColumn="0" w:firstRowLastColumn="0" w:lastRowFirstColumn="0" w:lastRowLastColumn="0"/>
            </w:pPr>
            <w:r w:rsidRPr="00C05886">
              <w:t>-0.47 (0.22)</w:t>
            </w:r>
          </w:p>
        </w:tc>
        <w:tc>
          <w:tcPr>
            <w:tcW w:w="2446" w:type="dxa"/>
          </w:tcPr>
          <w:p w14:paraId="6569DD89" w14:textId="77777777" w:rsidR="00375BD2" w:rsidRPr="00C05886" w:rsidRDefault="00375BD2" w:rsidP="007F4F4B">
            <w:pPr>
              <w:spacing w:line="240" w:lineRule="auto"/>
              <w:jc w:val="center"/>
              <w:cnfStyle w:val="000000000000" w:firstRow="0" w:lastRow="0" w:firstColumn="0" w:lastColumn="0" w:oddVBand="0" w:evenVBand="0" w:oddHBand="0" w:evenHBand="0" w:firstRowFirstColumn="0" w:firstRowLastColumn="0" w:lastRowFirstColumn="0" w:lastRowLastColumn="0"/>
            </w:pPr>
            <w:r w:rsidRPr="00C05886">
              <w:t>0.031</w:t>
            </w:r>
          </w:p>
        </w:tc>
        <w:tc>
          <w:tcPr>
            <w:tcW w:w="2446" w:type="dxa"/>
          </w:tcPr>
          <w:p w14:paraId="2964C49C" w14:textId="77777777" w:rsidR="00375BD2" w:rsidRPr="00C05886" w:rsidRDefault="00375BD2" w:rsidP="007F4F4B">
            <w:pPr>
              <w:spacing w:line="240" w:lineRule="auto"/>
              <w:jc w:val="center"/>
              <w:cnfStyle w:val="000000000000" w:firstRow="0" w:lastRow="0" w:firstColumn="0" w:lastColumn="0" w:oddVBand="0" w:evenVBand="0" w:oddHBand="0" w:evenHBand="0" w:firstRowFirstColumn="0" w:firstRowLastColumn="0" w:lastRowFirstColumn="0" w:lastRowLastColumn="0"/>
            </w:pPr>
            <w:r w:rsidRPr="00C05886">
              <w:t>-0.902, -0.042</w:t>
            </w:r>
          </w:p>
        </w:tc>
      </w:tr>
      <w:tr w:rsidR="00375BD2" w:rsidRPr="00C05886" w14:paraId="37B950F8" w14:textId="77777777" w:rsidTr="007F4F4B">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2830" w:type="dxa"/>
          </w:tcPr>
          <w:p w14:paraId="77A9356A" w14:textId="77777777" w:rsidR="00375BD2" w:rsidRPr="00C05886" w:rsidRDefault="00375BD2" w:rsidP="007F4F4B">
            <w:pPr>
              <w:spacing w:line="240" w:lineRule="auto"/>
            </w:pPr>
            <w:r w:rsidRPr="00C05886">
              <w:t>Darkness</w:t>
            </w:r>
          </w:p>
        </w:tc>
        <w:tc>
          <w:tcPr>
            <w:tcW w:w="2060" w:type="dxa"/>
          </w:tcPr>
          <w:p w14:paraId="31732702" w14:textId="77777777" w:rsidR="00375BD2" w:rsidRPr="00C05886" w:rsidRDefault="00375BD2" w:rsidP="007F4F4B">
            <w:pPr>
              <w:spacing w:line="240" w:lineRule="auto"/>
              <w:jc w:val="center"/>
              <w:cnfStyle w:val="000000100000" w:firstRow="0" w:lastRow="0" w:firstColumn="0" w:lastColumn="0" w:oddVBand="0" w:evenVBand="0" w:oddHBand="1" w:evenHBand="0" w:firstRowFirstColumn="0" w:firstRowLastColumn="0" w:lastRowFirstColumn="0" w:lastRowLastColumn="0"/>
            </w:pPr>
            <w:r w:rsidRPr="00C05886">
              <w:t>-0.87 (0.60)</w:t>
            </w:r>
          </w:p>
        </w:tc>
        <w:tc>
          <w:tcPr>
            <w:tcW w:w="2446" w:type="dxa"/>
          </w:tcPr>
          <w:p w14:paraId="29AC492D" w14:textId="77777777" w:rsidR="00375BD2" w:rsidRPr="00C05886" w:rsidRDefault="00375BD2" w:rsidP="007F4F4B">
            <w:pPr>
              <w:spacing w:line="240" w:lineRule="auto"/>
              <w:jc w:val="center"/>
              <w:cnfStyle w:val="000000100000" w:firstRow="0" w:lastRow="0" w:firstColumn="0" w:lastColumn="0" w:oddVBand="0" w:evenVBand="0" w:oddHBand="1" w:evenHBand="0" w:firstRowFirstColumn="0" w:firstRowLastColumn="0" w:lastRowFirstColumn="0" w:lastRowLastColumn="0"/>
            </w:pPr>
            <w:r w:rsidRPr="00C05886">
              <w:t>0.145</w:t>
            </w:r>
          </w:p>
        </w:tc>
        <w:tc>
          <w:tcPr>
            <w:tcW w:w="2446" w:type="dxa"/>
          </w:tcPr>
          <w:p w14:paraId="518007D5" w14:textId="77777777" w:rsidR="00375BD2" w:rsidRPr="00C05886" w:rsidRDefault="00375BD2" w:rsidP="007F4F4B">
            <w:pPr>
              <w:spacing w:line="240" w:lineRule="auto"/>
              <w:jc w:val="center"/>
              <w:cnfStyle w:val="000000100000" w:firstRow="0" w:lastRow="0" w:firstColumn="0" w:lastColumn="0" w:oddVBand="0" w:evenVBand="0" w:oddHBand="1" w:evenHBand="0" w:firstRowFirstColumn="0" w:firstRowLastColumn="0" w:lastRowFirstColumn="0" w:lastRowLastColumn="0"/>
            </w:pPr>
            <w:r w:rsidRPr="00C05886">
              <w:t>-2.049, 0.302</w:t>
            </w:r>
          </w:p>
        </w:tc>
      </w:tr>
      <w:tr w:rsidR="00375BD2" w:rsidRPr="00C05886" w14:paraId="1CE2F5EA" w14:textId="77777777" w:rsidTr="007F4F4B">
        <w:trPr>
          <w:trHeight w:val="282"/>
        </w:trPr>
        <w:tc>
          <w:tcPr>
            <w:cnfStyle w:val="001000000000" w:firstRow="0" w:lastRow="0" w:firstColumn="1" w:lastColumn="0" w:oddVBand="0" w:evenVBand="0" w:oddHBand="0" w:evenHBand="0" w:firstRowFirstColumn="0" w:firstRowLastColumn="0" w:lastRowFirstColumn="0" w:lastRowLastColumn="0"/>
            <w:tcW w:w="2830" w:type="dxa"/>
          </w:tcPr>
          <w:p w14:paraId="5B6404B9" w14:textId="77777777" w:rsidR="00375BD2" w:rsidRPr="00C05886" w:rsidRDefault="00375BD2" w:rsidP="007F4F4B">
            <w:pPr>
              <w:spacing w:line="240" w:lineRule="auto"/>
            </w:pPr>
            <w:r w:rsidRPr="00C05886">
              <w:t>Dogs</w:t>
            </w:r>
          </w:p>
        </w:tc>
        <w:tc>
          <w:tcPr>
            <w:tcW w:w="2060" w:type="dxa"/>
          </w:tcPr>
          <w:p w14:paraId="271603C0" w14:textId="77777777" w:rsidR="00375BD2" w:rsidRPr="00C05886" w:rsidRDefault="00375BD2" w:rsidP="007F4F4B">
            <w:pPr>
              <w:spacing w:line="240" w:lineRule="auto"/>
              <w:jc w:val="center"/>
              <w:cnfStyle w:val="000000000000" w:firstRow="0" w:lastRow="0" w:firstColumn="0" w:lastColumn="0" w:oddVBand="0" w:evenVBand="0" w:oddHBand="0" w:evenHBand="0" w:firstRowFirstColumn="0" w:firstRowLastColumn="0" w:lastRowFirstColumn="0" w:lastRowLastColumn="0"/>
            </w:pPr>
            <w:r w:rsidRPr="00C05886">
              <w:t>1.80 (1.33)</w:t>
            </w:r>
          </w:p>
        </w:tc>
        <w:tc>
          <w:tcPr>
            <w:tcW w:w="2446" w:type="dxa"/>
          </w:tcPr>
          <w:p w14:paraId="129AAEBA" w14:textId="77777777" w:rsidR="00375BD2" w:rsidRPr="00C05886" w:rsidRDefault="00375BD2" w:rsidP="007F4F4B">
            <w:pPr>
              <w:spacing w:line="240" w:lineRule="auto"/>
              <w:jc w:val="center"/>
              <w:cnfStyle w:val="000000000000" w:firstRow="0" w:lastRow="0" w:firstColumn="0" w:lastColumn="0" w:oddVBand="0" w:evenVBand="0" w:oddHBand="0" w:evenHBand="0" w:firstRowFirstColumn="0" w:firstRowLastColumn="0" w:lastRowFirstColumn="0" w:lastRowLastColumn="0"/>
            </w:pPr>
            <w:r w:rsidRPr="00C05886">
              <w:t>0.175</w:t>
            </w:r>
          </w:p>
        </w:tc>
        <w:tc>
          <w:tcPr>
            <w:tcW w:w="2446" w:type="dxa"/>
          </w:tcPr>
          <w:p w14:paraId="532DBE1B" w14:textId="77777777" w:rsidR="00375BD2" w:rsidRPr="00C05886" w:rsidRDefault="00375BD2" w:rsidP="007F4F4B">
            <w:pPr>
              <w:spacing w:line="240" w:lineRule="auto"/>
              <w:jc w:val="center"/>
              <w:cnfStyle w:val="000000000000" w:firstRow="0" w:lastRow="0" w:firstColumn="0" w:lastColumn="0" w:oddVBand="0" w:evenVBand="0" w:oddHBand="0" w:evenHBand="0" w:firstRowFirstColumn="0" w:firstRowLastColumn="0" w:lastRowFirstColumn="0" w:lastRowLastColumn="0"/>
            </w:pPr>
            <w:r w:rsidRPr="00C05886">
              <w:t>-0.799, 4.395</w:t>
            </w:r>
          </w:p>
        </w:tc>
      </w:tr>
      <w:tr w:rsidR="00375BD2" w:rsidRPr="00C05886" w14:paraId="500BD3DE" w14:textId="77777777" w:rsidTr="007F4F4B">
        <w:trPr>
          <w:cnfStyle w:val="000000100000" w:firstRow="0" w:lastRow="0" w:firstColumn="0" w:lastColumn="0" w:oddVBand="0" w:evenVBand="0" w:oddHBand="1" w:evenHBand="0" w:firstRowFirstColumn="0" w:firstRowLastColumn="0" w:lastRowFirstColumn="0" w:lastRowLastColumn="0"/>
          <w:trHeight w:val="282"/>
        </w:trPr>
        <w:tc>
          <w:tcPr>
            <w:cnfStyle w:val="001000000000" w:firstRow="0" w:lastRow="0" w:firstColumn="1" w:lastColumn="0" w:oddVBand="0" w:evenVBand="0" w:oddHBand="0" w:evenHBand="0" w:firstRowFirstColumn="0" w:firstRowLastColumn="0" w:lastRowFirstColumn="0" w:lastRowLastColumn="0"/>
            <w:tcW w:w="2830" w:type="dxa"/>
            <w:tcBorders>
              <w:bottom w:val="single" w:sz="4" w:space="0" w:color="auto"/>
            </w:tcBorders>
          </w:tcPr>
          <w:p w14:paraId="4A00DF42" w14:textId="77777777" w:rsidR="00375BD2" w:rsidRPr="00C05886" w:rsidRDefault="00375BD2" w:rsidP="007F4F4B">
            <w:pPr>
              <w:spacing w:line="240" w:lineRule="auto"/>
            </w:pPr>
            <w:r w:rsidRPr="00C05886">
              <w:t>Hedges</w:t>
            </w:r>
          </w:p>
        </w:tc>
        <w:tc>
          <w:tcPr>
            <w:tcW w:w="2060" w:type="dxa"/>
            <w:tcBorders>
              <w:bottom w:val="single" w:sz="4" w:space="0" w:color="auto"/>
            </w:tcBorders>
          </w:tcPr>
          <w:p w14:paraId="1E81CB3C" w14:textId="77777777" w:rsidR="00375BD2" w:rsidRPr="00C05886" w:rsidRDefault="00375BD2" w:rsidP="007F4F4B">
            <w:pPr>
              <w:spacing w:line="240" w:lineRule="auto"/>
              <w:jc w:val="center"/>
              <w:cnfStyle w:val="000000100000" w:firstRow="0" w:lastRow="0" w:firstColumn="0" w:lastColumn="0" w:oddVBand="0" w:evenVBand="0" w:oddHBand="1" w:evenHBand="0" w:firstRowFirstColumn="0" w:firstRowLastColumn="0" w:lastRowFirstColumn="0" w:lastRowLastColumn="0"/>
            </w:pPr>
            <w:r w:rsidRPr="00C05886">
              <w:t>-1.01 (0.56)</w:t>
            </w:r>
          </w:p>
        </w:tc>
        <w:tc>
          <w:tcPr>
            <w:tcW w:w="2446" w:type="dxa"/>
            <w:tcBorders>
              <w:bottom w:val="single" w:sz="4" w:space="0" w:color="auto"/>
            </w:tcBorders>
          </w:tcPr>
          <w:p w14:paraId="745E719E" w14:textId="77777777" w:rsidR="00375BD2" w:rsidRPr="00C05886" w:rsidRDefault="00375BD2" w:rsidP="007F4F4B">
            <w:pPr>
              <w:spacing w:line="240" w:lineRule="auto"/>
              <w:jc w:val="center"/>
              <w:cnfStyle w:val="000000100000" w:firstRow="0" w:lastRow="0" w:firstColumn="0" w:lastColumn="0" w:oddVBand="0" w:evenVBand="0" w:oddHBand="1" w:evenHBand="0" w:firstRowFirstColumn="0" w:firstRowLastColumn="0" w:lastRowFirstColumn="0" w:lastRowLastColumn="0"/>
            </w:pPr>
            <w:r w:rsidRPr="00C05886">
              <w:t>0.072</w:t>
            </w:r>
          </w:p>
        </w:tc>
        <w:tc>
          <w:tcPr>
            <w:tcW w:w="2446" w:type="dxa"/>
            <w:tcBorders>
              <w:bottom w:val="single" w:sz="4" w:space="0" w:color="auto"/>
            </w:tcBorders>
          </w:tcPr>
          <w:p w14:paraId="6639BCC6" w14:textId="77777777" w:rsidR="00375BD2" w:rsidRPr="00C05886" w:rsidRDefault="00375BD2" w:rsidP="007F4F4B">
            <w:pPr>
              <w:spacing w:line="240" w:lineRule="auto"/>
              <w:jc w:val="center"/>
              <w:cnfStyle w:val="000000100000" w:firstRow="0" w:lastRow="0" w:firstColumn="0" w:lastColumn="0" w:oddVBand="0" w:evenVBand="0" w:oddHBand="1" w:evenHBand="0" w:firstRowFirstColumn="0" w:firstRowLastColumn="0" w:lastRowFirstColumn="0" w:lastRowLastColumn="0"/>
            </w:pPr>
            <w:r w:rsidRPr="00C05886">
              <w:t>-2.113, 0.091</w:t>
            </w:r>
          </w:p>
        </w:tc>
      </w:tr>
      <w:tr w:rsidR="00375BD2" w:rsidRPr="00C05886" w14:paraId="18B58FA8" w14:textId="77777777" w:rsidTr="007F4F4B">
        <w:trPr>
          <w:trHeight w:val="282"/>
        </w:trPr>
        <w:tc>
          <w:tcPr>
            <w:cnfStyle w:val="001000000000" w:firstRow="0" w:lastRow="0" w:firstColumn="1" w:lastColumn="0" w:oddVBand="0" w:evenVBand="0" w:oddHBand="0" w:evenHBand="0" w:firstRowFirstColumn="0" w:firstRowLastColumn="0" w:lastRowFirstColumn="0" w:lastRowLastColumn="0"/>
            <w:tcW w:w="2830" w:type="dxa"/>
            <w:tcBorders>
              <w:bottom w:val="single" w:sz="4" w:space="0" w:color="auto"/>
            </w:tcBorders>
          </w:tcPr>
          <w:p w14:paraId="70CBC09D" w14:textId="77777777" w:rsidR="00375BD2" w:rsidRPr="00C05886" w:rsidRDefault="00375BD2" w:rsidP="007F4F4B">
            <w:pPr>
              <w:spacing w:line="240" w:lineRule="auto"/>
            </w:pPr>
            <w:r w:rsidRPr="00C05886">
              <w:t>Mixed ground cover</w:t>
            </w:r>
          </w:p>
        </w:tc>
        <w:tc>
          <w:tcPr>
            <w:tcW w:w="2060" w:type="dxa"/>
            <w:tcBorders>
              <w:bottom w:val="single" w:sz="4" w:space="0" w:color="auto"/>
            </w:tcBorders>
          </w:tcPr>
          <w:p w14:paraId="53A9467D" w14:textId="77777777" w:rsidR="00375BD2" w:rsidRPr="00C05886" w:rsidRDefault="00375BD2" w:rsidP="007F4F4B">
            <w:pPr>
              <w:spacing w:line="240" w:lineRule="auto"/>
              <w:jc w:val="center"/>
              <w:cnfStyle w:val="000000000000" w:firstRow="0" w:lastRow="0" w:firstColumn="0" w:lastColumn="0" w:oddVBand="0" w:evenVBand="0" w:oddHBand="0" w:evenHBand="0" w:firstRowFirstColumn="0" w:firstRowLastColumn="0" w:lastRowFirstColumn="0" w:lastRowLastColumn="0"/>
            </w:pPr>
            <w:r w:rsidRPr="00C05886">
              <w:t>1.70 (0.89)</w:t>
            </w:r>
          </w:p>
        </w:tc>
        <w:tc>
          <w:tcPr>
            <w:tcW w:w="2446" w:type="dxa"/>
            <w:tcBorders>
              <w:bottom w:val="single" w:sz="4" w:space="0" w:color="auto"/>
            </w:tcBorders>
          </w:tcPr>
          <w:p w14:paraId="20020234" w14:textId="77777777" w:rsidR="00375BD2" w:rsidRPr="00C05886" w:rsidRDefault="00375BD2" w:rsidP="007F4F4B">
            <w:pPr>
              <w:spacing w:line="240" w:lineRule="auto"/>
              <w:jc w:val="center"/>
              <w:cnfStyle w:val="000000000000" w:firstRow="0" w:lastRow="0" w:firstColumn="0" w:lastColumn="0" w:oddVBand="0" w:evenVBand="0" w:oddHBand="0" w:evenHBand="0" w:firstRowFirstColumn="0" w:firstRowLastColumn="0" w:lastRowFirstColumn="0" w:lastRowLastColumn="0"/>
            </w:pPr>
            <w:r w:rsidRPr="00C05886">
              <w:t>0.055</w:t>
            </w:r>
          </w:p>
        </w:tc>
        <w:tc>
          <w:tcPr>
            <w:tcW w:w="2446" w:type="dxa"/>
            <w:tcBorders>
              <w:bottom w:val="single" w:sz="4" w:space="0" w:color="auto"/>
            </w:tcBorders>
          </w:tcPr>
          <w:p w14:paraId="081B41BC" w14:textId="77777777" w:rsidR="00375BD2" w:rsidRPr="00C05886" w:rsidRDefault="00375BD2" w:rsidP="007F4F4B">
            <w:pPr>
              <w:spacing w:line="240" w:lineRule="auto"/>
              <w:jc w:val="center"/>
              <w:cnfStyle w:val="000000000000" w:firstRow="0" w:lastRow="0" w:firstColumn="0" w:lastColumn="0" w:oddVBand="0" w:evenVBand="0" w:oddHBand="0" w:evenHBand="0" w:firstRowFirstColumn="0" w:firstRowLastColumn="0" w:lastRowFirstColumn="0" w:lastRowLastColumn="0"/>
            </w:pPr>
            <w:r w:rsidRPr="00C05886">
              <w:t>-0.038, 3.433</w:t>
            </w:r>
          </w:p>
        </w:tc>
      </w:tr>
      <w:tr w:rsidR="00375BD2" w:rsidRPr="00C05886" w14:paraId="5E3FBCCE" w14:textId="77777777" w:rsidTr="007F4F4B">
        <w:trPr>
          <w:cnfStyle w:val="000000100000" w:firstRow="0" w:lastRow="0" w:firstColumn="0" w:lastColumn="0" w:oddVBand="0" w:evenVBand="0" w:oddHBand="1" w:evenHBand="0" w:firstRowFirstColumn="0" w:firstRowLastColumn="0" w:lastRowFirstColumn="0" w:lastRowLastColumn="0"/>
          <w:trHeight w:val="297"/>
        </w:trPr>
        <w:tc>
          <w:tcPr>
            <w:cnfStyle w:val="001000000000" w:firstRow="0" w:lastRow="0" w:firstColumn="1" w:lastColumn="0" w:oddVBand="0" w:evenVBand="0" w:oddHBand="0" w:evenHBand="0" w:firstRowFirstColumn="0" w:firstRowLastColumn="0" w:lastRowFirstColumn="0" w:lastRowLastColumn="0"/>
            <w:tcW w:w="2830" w:type="dxa"/>
            <w:tcBorders>
              <w:top w:val="single" w:sz="4" w:space="0" w:color="auto"/>
              <w:bottom w:val="single" w:sz="4" w:space="0" w:color="auto"/>
            </w:tcBorders>
          </w:tcPr>
          <w:p w14:paraId="0854E904" w14:textId="77777777" w:rsidR="00375BD2" w:rsidRPr="00C05886" w:rsidRDefault="00375BD2" w:rsidP="007F4F4B">
            <w:pPr>
              <w:spacing w:line="240" w:lineRule="auto"/>
            </w:pPr>
            <w:r w:rsidRPr="00C05886">
              <w:t>Mixes planting</w:t>
            </w:r>
          </w:p>
        </w:tc>
        <w:tc>
          <w:tcPr>
            <w:tcW w:w="2060" w:type="dxa"/>
            <w:tcBorders>
              <w:top w:val="single" w:sz="4" w:space="0" w:color="auto"/>
              <w:bottom w:val="single" w:sz="4" w:space="0" w:color="auto"/>
            </w:tcBorders>
          </w:tcPr>
          <w:p w14:paraId="3C7BEEC8" w14:textId="77777777" w:rsidR="00375BD2" w:rsidRPr="00C05886" w:rsidRDefault="00375BD2" w:rsidP="007F4F4B">
            <w:pPr>
              <w:spacing w:line="240" w:lineRule="auto"/>
              <w:jc w:val="center"/>
              <w:cnfStyle w:val="000000100000" w:firstRow="0" w:lastRow="0" w:firstColumn="0" w:lastColumn="0" w:oddVBand="0" w:evenVBand="0" w:oddHBand="1" w:evenHBand="0" w:firstRowFirstColumn="0" w:firstRowLastColumn="0" w:lastRowFirstColumn="0" w:lastRowLastColumn="0"/>
            </w:pPr>
            <w:r w:rsidRPr="00C05886">
              <w:t>0.84 (0.43)</w:t>
            </w:r>
          </w:p>
        </w:tc>
        <w:tc>
          <w:tcPr>
            <w:tcW w:w="2446" w:type="dxa"/>
            <w:tcBorders>
              <w:top w:val="single" w:sz="4" w:space="0" w:color="auto"/>
              <w:bottom w:val="single" w:sz="4" w:space="0" w:color="auto"/>
            </w:tcBorders>
          </w:tcPr>
          <w:p w14:paraId="79844E90" w14:textId="77777777" w:rsidR="00375BD2" w:rsidRPr="00C05886" w:rsidRDefault="00375BD2" w:rsidP="007F4F4B">
            <w:pPr>
              <w:spacing w:line="240" w:lineRule="auto"/>
              <w:jc w:val="center"/>
              <w:cnfStyle w:val="000000100000" w:firstRow="0" w:lastRow="0" w:firstColumn="0" w:lastColumn="0" w:oddVBand="0" w:evenVBand="0" w:oddHBand="1" w:evenHBand="0" w:firstRowFirstColumn="0" w:firstRowLastColumn="0" w:lastRowFirstColumn="0" w:lastRowLastColumn="0"/>
            </w:pPr>
            <w:r w:rsidRPr="00C05886">
              <w:t>0.047</w:t>
            </w:r>
          </w:p>
        </w:tc>
        <w:tc>
          <w:tcPr>
            <w:tcW w:w="2446" w:type="dxa"/>
            <w:tcBorders>
              <w:top w:val="single" w:sz="4" w:space="0" w:color="auto"/>
              <w:bottom w:val="single" w:sz="4" w:space="0" w:color="auto"/>
            </w:tcBorders>
          </w:tcPr>
          <w:p w14:paraId="63C6D755" w14:textId="77777777" w:rsidR="00375BD2" w:rsidRPr="00C05886" w:rsidRDefault="00375BD2" w:rsidP="007F4F4B">
            <w:pPr>
              <w:spacing w:line="240" w:lineRule="auto"/>
              <w:jc w:val="center"/>
              <w:cnfStyle w:val="000000100000" w:firstRow="0" w:lastRow="0" w:firstColumn="0" w:lastColumn="0" w:oddVBand="0" w:evenVBand="0" w:oddHBand="1" w:evenHBand="0" w:firstRowFirstColumn="0" w:firstRowLastColumn="0" w:lastRowFirstColumn="0" w:lastRowLastColumn="0"/>
            </w:pPr>
            <w:r w:rsidRPr="00C05886">
              <w:t>0.010, 1.678</w:t>
            </w:r>
          </w:p>
        </w:tc>
      </w:tr>
      <w:tr w:rsidR="00375BD2" w:rsidRPr="00C05886" w14:paraId="43054A94" w14:textId="77777777" w:rsidTr="007F4F4B">
        <w:trPr>
          <w:trHeight w:val="297"/>
        </w:trPr>
        <w:tc>
          <w:tcPr>
            <w:cnfStyle w:val="001000000000" w:firstRow="0" w:lastRow="0" w:firstColumn="1" w:lastColumn="0" w:oddVBand="0" w:evenVBand="0" w:oddHBand="0" w:evenHBand="0" w:firstRowFirstColumn="0" w:firstRowLastColumn="0" w:lastRowFirstColumn="0" w:lastRowLastColumn="0"/>
            <w:tcW w:w="2830" w:type="dxa"/>
            <w:tcBorders>
              <w:top w:val="single" w:sz="4" w:space="0" w:color="auto"/>
              <w:bottom w:val="single" w:sz="4" w:space="0" w:color="auto"/>
            </w:tcBorders>
          </w:tcPr>
          <w:p w14:paraId="4E3B1E60" w14:textId="77777777" w:rsidR="00375BD2" w:rsidRPr="00C05886" w:rsidRDefault="00375BD2" w:rsidP="007F4F4B">
            <w:pPr>
              <w:spacing w:line="240" w:lineRule="auto"/>
            </w:pPr>
            <w:r w:rsidRPr="00C05886">
              <w:t>Shortgrass</w:t>
            </w:r>
          </w:p>
        </w:tc>
        <w:tc>
          <w:tcPr>
            <w:tcW w:w="2060" w:type="dxa"/>
            <w:tcBorders>
              <w:top w:val="single" w:sz="4" w:space="0" w:color="auto"/>
              <w:bottom w:val="single" w:sz="4" w:space="0" w:color="auto"/>
            </w:tcBorders>
          </w:tcPr>
          <w:p w14:paraId="4D092629" w14:textId="77777777" w:rsidR="00375BD2" w:rsidRPr="00C05886" w:rsidRDefault="00375BD2" w:rsidP="007F4F4B">
            <w:pPr>
              <w:spacing w:line="240" w:lineRule="auto"/>
              <w:jc w:val="center"/>
              <w:cnfStyle w:val="000000000000" w:firstRow="0" w:lastRow="0" w:firstColumn="0" w:lastColumn="0" w:oddVBand="0" w:evenVBand="0" w:oddHBand="0" w:evenHBand="0" w:firstRowFirstColumn="0" w:firstRowLastColumn="0" w:lastRowFirstColumn="0" w:lastRowLastColumn="0"/>
            </w:pPr>
            <w:r w:rsidRPr="00C05886">
              <w:t>0.64 (0.36)</w:t>
            </w:r>
          </w:p>
        </w:tc>
        <w:tc>
          <w:tcPr>
            <w:tcW w:w="2446" w:type="dxa"/>
            <w:tcBorders>
              <w:top w:val="single" w:sz="4" w:space="0" w:color="auto"/>
              <w:bottom w:val="single" w:sz="4" w:space="0" w:color="auto"/>
            </w:tcBorders>
          </w:tcPr>
          <w:p w14:paraId="7309D233" w14:textId="77777777" w:rsidR="00375BD2" w:rsidRPr="00C05886" w:rsidRDefault="00375BD2" w:rsidP="007F4F4B">
            <w:pPr>
              <w:spacing w:line="240" w:lineRule="auto"/>
              <w:jc w:val="center"/>
              <w:cnfStyle w:val="000000000000" w:firstRow="0" w:lastRow="0" w:firstColumn="0" w:lastColumn="0" w:oddVBand="0" w:evenVBand="0" w:oddHBand="0" w:evenHBand="0" w:firstRowFirstColumn="0" w:firstRowLastColumn="0" w:lastRowFirstColumn="0" w:lastRowLastColumn="0"/>
            </w:pPr>
            <w:r w:rsidRPr="00C05886">
              <w:t>0.076</w:t>
            </w:r>
          </w:p>
        </w:tc>
        <w:tc>
          <w:tcPr>
            <w:tcW w:w="2446" w:type="dxa"/>
            <w:tcBorders>
              <w:top w:val="single" w:sz="4" w:space="0" w:color="auto"/>
              <w:bottom w:val="single" w:sz="4" w:space="0" w:color="auto"/>
            </w:tcBorders>
          </w:tcPr>
          <w:p w14:paraId="5AD1F087" w14:textId="77777777" w:rsidR="00375BD2" w:rsidRPr="00C05886" w:rsidRDefault="00375BD2" w:rsidP="007F4F4B">
            <w:pPr>
              <w:spacing w:line="240" w:lineRule="auto"/>
              <w:jc w:val="center"/>
              <w:cnfStyle w:val="000000000000" w:firstRow="0" w:lastRow="0" w:firstColumn="0" w:lastColumn="0" w:oddVBand="0" w:evenVBand="0" w:oddHBand="0" w:evenHBand="0" w:firstRowFirstColumn="0" w:firstRowLastColumn="0" w:lastRowFirstColumn="0" w:lastRowLastColumn="0"/>
            </w:pPr>
            <w:r w:rsidRPr="00C05886">
              <w:t>-0.067, 1.340</w:t>
            </w:r>
          </w:p>
        </w:tc>
      </w:tr>
      <w:tr w:rsidR="00375BD2" w:rsidRPr="00C05886" w14:paraId="79CA8F1E" w14:textId="77777777" w:rsidTr="007F4F4B">
        <w:trPr>
          <w:cnfStyle w:val="000000100000" w:firstRow="0" w:lastRow="0" w:firstColumn="0" w:lastColumn="0" w:oddVBand="0" w:evenVBand="0" w:oddHBand="1" w:evenHBand="0" w:firstRowFirstColumn="0" w:firstRowLastColumn="0" w:lastRowFirstColumn="0" w:lastRowLastColumn="0"/>
          <w:trHeight w:val="297"/>
        </w:trPr>
        <w:tc>
          <w:tcPr>
            <w:cnfStyle w:val="001000000000" w:firstRow="0" w:lastRow="0" w:firstColumn="1" w:lastColumn="0" w:oddVBand="0" w:evenVBand="0" w:oddHBand="0" w:evenHBand="0" w:firstRowFirstColumn="0" w:firstRowLastColumn="0" w:lastRowFirstColumn="0" w:lastRowLastColumn="0"/>
            <w:tcW w:w="2830" w:type="dxa"/>
            <w:tcBorders>
              <w:top w:val="single" w:sz="4" w:space="0" w:color="auto"/>
              <w:bottom w:val="single" w:sz="4" w:space="0" w:color="auto"/>
            </w:tcBorders>
          </w:tcPr>
          <w:p w14:paraId="3D0AD9F2" w14:textId="77777777" w:rsidR="00375BD2" w:rsidRPr="00C05886" w:rsidRDefault="00375BD2" w:rsidP="007F4F4B">
            <w:pPr>
              <w:spacing w:line="240" w:lineRule="auto"/>
            </w:pPr>
            <w:r w:rsidRPr="00C05886">
              <w:t>View from window</w:t>
            </w:r>
          </w:p>
        </w:tc>
        <w:tc>
          <w:tcPr>
            <w:tcW w:w="2060" w:type="dxa"/>
            <w:tcBorders>
              <w:top w:val="single" w:sz="4" w:space="0" w:color="auto"/>
              <w:bottom w:val="single" w:sz="4" w:space="0" w:color="auto"/>
            </w:tcBorders>
          </w:tcPr>
          <w:p w14:paraId="6457EC02" w14:textId="77777777" w:rsidR="00375BD2" w:rsidRPr="00C05886" w:rsidRDefault="00375BD2" w:rsidP="007F4F4B">
            <w:pPr>
              <w:spacing w:line="240" w:lineRule="auto"/>
              <w:jc w:val="center"/>
              <w:cnfStyle w:val="000000100000" w:firstRow="0" w:lastRow="0" w:firstColumn="0" w:lastColumn="0" w:oddVBand="0" w:evenVBand="0" w:oddHBand="1" w:evenHBand="0" w:firstRowFirstColumn="0" w:firstRowLastColumn="0" w:lastRowFirstColumn="0" w:lastRowLastColumn="0"/>
            </w:pPr>
            <w:r w:rsidRPr="00C05886">
              <w:t>-1.69 (0.65)</w:t>
            </w:r>
          </w:p>
        </w:tc>
        <w:tc>
          <w:tcPr>
            <w:tcW w:w="2446" w:type="dxa"/>
            <w:tcBorders>
              <w:top w:val="single" w:sz="4" w:space="0" w:color="auto"/>
              <w:bottom w:val="single" w:sz="4" w:space="0" w:color="auto"/>
            </w:tcBorders>
          </w:tcPr>
          <w:p w14:paraId="1C05F36D" w14:textId="77777777" w:rsidR="00375BD2" w:rsidRPr="00C05886" w:rsidRDefault="00375BD2" w:rsidP="007F4F4B">
            <w:pPr>
              <w:spacing w:line="240" w:lineRule="auto"/>
              <w:jc w:val="center"/>
              <w:cnfStyle w:val="000000100000" w:firstRow="0" w:lastRow="0" w:firstColumn="0" w:lastColumn="0" w:oddVBand="0" w:evenVBand="0" w:oddHBand="1" w:evenHBand="0" w:firstRowFirstColumn="0" w:firstRowLastColumn="0" w:lastRowFirstColumn="0" w:lastRowLastColumn="0"/>
            </w:pPr>
            <w:r w:rsidRPr="00C05886">
              <w:t>0.009</w:t>
            </w:r>
          </w:p>
        </w:tc>
        <w:tc>
          <w:tcPr>
            <w:tcW w:w="2446" w:type="dxa"/>
            <w:tcBorders>
              <w:top w:val="single" w:sz="4" w:space="0" w:color="auto"/>
              <w:bottom w:val="single" w:sz="4" w:space="0" w:color="auto"/>
            </w:tcBorders>
          </w:tcPr>
          <w:p w14:paraId="2B586940" w14:textId="77777777" w:rsidR="00375BD2" w:rsidRPr="00C05886" w:rsidRDefault="00375BD2" w:rsidP="007F4F4B">
            <w:pPr>
              <w:spacing w:line="240" w:lineRule="auto"/>
              <w:jc w:val="center"/>
              <w:cnfStyle w:val="000000100000" w:firstRow="0" w:lastRow="0" w:firstColumn="0" w:lastColumn="0" w:oddVBand="0" w:evenVBand="0" w:oddHBand="1" w:evenHBand="0" w:firstRowFirstColumn="0" w:firstRowLastColumn="0" w:lastRowFirstColumn="0" w:lastRowLastColumn="0"/>
            </w:pPr>
            <w:r w:rsidRPr="00C05886">
              <w:t>-2.971, -0.416</w:t>
            </w:r>
          </w:p>
        </w:tc>
      </w:tr>
      <w:tr w:rsidR="00375BD2" w:rsidRPr="00C05886" w14:paraId="63303817" w14:textId="77777777" w:rsidTr="007F4F4B">
        <w:trPr>
          <w:trHeight w:val="297"/>
        </w:trPr>
        <w:tc>
          <w:tcPr>
            <w:cnfStyle w:val="001000000000" w:firstRow="0" w:lastRow="0" w:firstColumn="1" w:lastColumn="0" w:oddVBand="0" w:evenVBand="0" w:oddHBand="0" w:evenHBand="0" w:firstRowFirstColumn="0" w:firstRowLastColumn="0" w:lastRowFirstColumn="0" w:lastRowLastColumn="0"/>
            <w:tcW w:w="2830" w:type="dxa"/>
            <w:tcBorders>
              <w:top w:val="single" w:sz="4" w:space="0" w:color="auto"/>
              <w:bottom w:val="single" w:sz="4" w:space="0" w:color="auto"/>
            </w:tcBorders>
          </w:tcPr>
          <w:p w14:paraId="6AE16E0D" w14:textId="77777777" w:rsidR="00375BD2" w:rsidRPr="00C05886" w:rsidRDefault="00375BD2" w:rsidP="007F4F4B">
            <w:pPr>
              <w:spacing w:line="240" w:lineRule="auto"/>
            </w:pPr>
            <w:r w:rsidRPr="00C05886">
              <w:t>Tall grass or shrubs</w:t>
            </w:r>
          </w:p>
        </w:tc>
        <w:tc>
          <w:tcPr>
            <w:tcW w:w="2060" w:type="dxa"/>
            <w:tcBorders>
              <w:top w:val="single" w:sz="4" w:space="0" w:color="auto"/>
              <w:bottom w:val="single" w:sz="4" w:space="0" w:color="auto"/>
            </w:tcBorders>
          </w:tcPr>
          <w:p w14:paraId="6547E82C" w14:textId="77777777" w:rsidR="00375BD2" w:rsidRPr="00C05886" w:rsidRDefault="00375BD2" w:rsidP="007F4F4B">
            <w:pPr>
              <w:spacing w:line="240" w:lineRule="auto"/>
              <w:jc w:val="center"/>
              <w:cnfStyle w:val="000000000000" w:firstRow="0" w:lastRow="0" w:firstColumn="0" w:lastColumn="0" w:oddVBand="0" w:evenVBand="0" w:oddHBand="0" w:evenHBand="0" w:firstRowFirstColumn="0" w:firstRowLastColumn="0" w:lastRowFirstColumn="0" w:lastRowLastColumn="0"/>
            </w:pPr>
            <w:r w:rsidRPr="00C05886">
              <w:t>1.25 (0.65)</w:t>
            </w:r>
          </w:p>
        </w:tc>
        <w:tc>
          <w:tcPr>
            <w:tcW w:w="2446" w:type="dxa"/>
            <w:tcBorders>
              <w:top w:val="single" w:sz="4" w:space="0" w:color="auto"/>
              <w:bottom w:val="single" w:sz="4" w:space="0" w:color="auto"/>
            </w:tcBorders>
          </w:tcPr>
          <w:p w14:paraId="12A2DF24" w14:textId="77777777" w:rsidR="00375BD2" w:rsidRPr="00C05886" w:rsidRDefault="00375BD2" w:rsidP="007F4F4B">
            <w:pPr>
              <w:spacing w:line="240" w:lineRule="auto"/>
              <w:jc w:val="center"/>
              <w:cnfStyle w:val="000000000000" w:firstRow="0" w:lastRow="0" w:firstColumn="0" w:lastColumn="0" w:oddVBand="0" w:evenVBand="0" w:oddHBand="0" w:evenHBand="0" w:firstRowFirstColumn="0" w:firstRowLastColumn="0" w:lastRowFirstColumn="0" w:lastRowLastColumn="0"/>
            </w:pPr>
            <w:r w:rsidRPr="00C05886">
              <w:t>0.053</w:t>
            </w:r>
          </w:p>
        </w:tc>
        <w:tc>
          <w:tcPr>
            <w:tcW w:w="2446" w:type="dxa"/>
            <w:tcBorders>
              <w:top w:val="single" w:sz="4" w:space="0" w:color="auto"/>
              <w:bottom w:val="single" w:sz="4" w:space="0" w:color="auto"/>
            </w:tcBorders>
          </w:tcPr>
          <w:p w14:paraId="0D5724EC" w14:textId="77777777" w:rsidR="00375BD2" w:rsidRPr="00C05886" w:rsidRDefault="00375BD2" w:rsidP="007F4F4B">
            <w:pPr>
              <w:spacing w:line="240" w:lineRule="auto"/>
              <w:jc w:val="center"/>
              <w:cnfStyle w:val="000000000000" w:firstRow="0" w:lastRow="0" w:firstColumn="0" w:lastColumn="0" w:oddVBand="0" w:evenVBand="0" w:oddHBand="0" w:evenHBand="0" w:firstRowFirstColumn="0" w:firstRowLastColumn="0" w:lastRowFirstColumn="0" w:lastRowLastColumn="0"/>
            </w:pPr>
            <w:r w:rsidRPr="00C05886">
              <w:t>-0.015, 2.521</w:t>
            </w:r>
          </w:p>
        </w:tc>
      </w:tr>
      <w:tr w:rsidR="00375BD2" w:rsidRPr="00C05886" w14:paraId="519FEC6B" w14:textId="77777777" w:rsidTr="007F4F4B">
        <w:trPr>
          <w:cnfStyle w:val="000000100000" w:firstRow="0" w:lastRow="0" w:firstColumn="0" w:lastColumn="0" w:oddVBand="0" w:evenVBand="0" w:oddHBand="1" w:evenHBand="0" w:firstRowFirstColumn="0" w:firstRowLastColumn="0" w:lastRowFirstColumn="0" w:lastRowLastColumn="0"/>
          <w:trHeight w:val="297"/>
        </w:trPr>
        <w:tc>
          <w:tcPr>
            <w:cnfStyle w:val="001000000000" w:firstRow="0" w:lastRow="0" w:firstColumn="1" w:lastColumn="0" w:oddVBand="0" w:evenVBand="0" w:oddHBand="0" w:evenHBand="0" w:firstRowFirstColumn="0" w:firstRowLastColumn="0" w:lastRowFirstColumn="0" w:lastRowLastColumn="0"/>
            <w:tcW w:w="2830" w:type="dxa"/>
            <w:tcBorders>
              <w:top w:val="single" w:sz="4" w:space="0" w:color="auto"/>
              <w:bottom w:val="single" w:sz="4" w:space="0" w:color="auto"/>
            </w:tcBorders>
          </w:tcPr>
          <w:p w14:paraId="4BE4B9B3" w14:textId="77777777" w:rsidR="00375BD2" w:rsidRPr="00C05886" w:rsidRDefault="00375BD2" w:rsidP="007F4F4B">
            <w:pPr>
              <w:spacing w:line="240" w:lineRule="auto"/>
            </w:pPr>
            <w:r w:rsidRPr="00C05886">
              <w:t>Trees</w:t>
            </w:r>
          </w:p>
        </w:tc>
        <w:tc>
          <w:tcPr>
            <w:tcW w:w="2060" w:type="dxa"/>
            <w:tcBorders>
              <w:top w:val="single" w:sz="4" w:space="0" w:color="auto"/>
              <w:bottom w:val="single" w:sz="4" w:space="0" w:color="auto"/>
            </w:tcBorders>
          </w:tcPr>
          <w:p w14:paraId="20B4DEB9" w14:textId="77777777" w:rsidR="00375BD2" w:rsidRPr="00C05886" w:rsidRDefault="00375BD2" w:rsidP="007F4F4B">
            <w:pPr>
              <w:spacing w:line="240" w:lineRule="auto"/>
              <w:jc w:val="center"/>
              <w:cnfStyle w:val="000000100000" w:firstRow="0" w:lastRow="0" w:firstColumn="0" w:lastColumn="0" w:oddVBand="0" w:evenVBand="0" w:oddHBand="1" w:evenHBand="0" w:firstRowFirstColumn="0" w:firstRowLastColumn="0" w:lastRowFirstColumn="0" w:lastRowLastColumn="0"/>
            </w:pPr>
            <w:r w:rsidRPr="00C05886">
              <w:t>0.65 (0.28)</w:t>
            </w:r>
          </w:p>
        </w:tc>
        <w:tc>
          <w:tcPr>
            <w:tcW w:w="2446" w:type="dxa"/>
            <w:tcBorders>
              <w:top w:val="single" w:sz="4" w:space="0" w:color="auto"/>
              <w:bottom w:val="single" w:sz="4" w:space="0" w:color="auto"/>
            </w:tcBorders>
          </w:tcPr>
          <w:p w14:paraId="55D118C0" w14:textId="77777777" w:rsidR="00375BD2" w:rsidRPr="00C05886" w:rsidRDefault="00375BD2" w:rsidP="007F4F4B">
            <w:pPr>
              <w:spacing w:line="240" w:lineRule="auto"/>
              <w:jc w:val="center"/>
              <w:cnfStyle w:val="000000100000" w:firstRow="0" w:lastRow="0" w:firstColumn="0" w:lastColumn="0" w:oddVBand="0" w:evenVBand="0" w:oddHBand="1" w:evenHBand="0" w:firstRowFirstColumn="0" w:firstRowLastColumn="0" w:lastRowFirstColumn="0" w:lastRowLastColumn="0"/>
            </w:pPr>
            <w:r w:rsidRPr="00C05886">
              <w:t>0.022</w:t>
            </w:r>
          </w:p>
        </w:tc>
        <w:tc>
          <w:tcPr>
            <w:tcW w:w="2446" w:type="dxa"/>
            <w:tcBorders>
              <w:top w:val="single" w:sz="4" w:space="0" w:color="auto"/>
              <w:bottom w:val="single" w:sz="4" w:space="0" w:color="auto"/>
            </w:tcBorders>
          </w:tcPr>
          <w:p w14:paraId="51AF6AC5" w14:textId="77777777" w:rsidR="00375BD2" w:rsidRPr="00C05886" w:rsidRDefault="00375BD2" w:rsidP="007F4F4B">
            <w:pPr>
              <w:spacing w:line="240" w:lineRule="auto"/>
              <w:jc w:val="center"/>
              <w:cnfStyle w:val="000000100000" w:firstRow="0" w:lastRow="0" w:firstColumn="0" w:lastColumn="0" w:oddVBand="0" w:evenVBand="0" w:oddHBand="1" w:evenHBand="0" w:firstRowFirstColumn="0" w:firstRowLastColumn="0" w:lastRowFirstColumn="0" w:lastRowLastColumn="0"/>
            </w:pPr>
            <w:r w:rsidRPr="00C05886">
              <w:t>0.095, 1.198</w:t>
            </w:r>
          </w:p>
        </w:tc>
      </w:tr>
      <w:tr w:rsidR="00375BD2" w:rsidRPr="00C05886" w14:paraId="07534D68" w14:textId="77777777" w:rsidTr="007F4F4B">
        <w:trPr>
          <w:trHeight w:val="297"/>
        </w:trPr>
        <w:tc>
          <w:tcPr>
            <w:cnfStyle w:val="001000000000" w:firstRow="0" w:lastRow="0" w:firstColumn="1" w:lastColumn="0" w:oddVBand="0" w:evenVBand="0" w:oddHBand="0" w:evenHBand="0" w:firstRowFirstColumn="0" w:firstRowLastColumn="0" w:lastRowFirstColumn="0" w:lastRowLastColumn="0"/>
            <w:tcW w:w="2830" w:type="dxa"/>
            <w:tcBorders>
              <w:top w:val="single" w:sz="4" w:space="0" w:color="auto"/>
              <w:bottom w:val="single" w:sz="4" w:space="0" w:color="auto"/>
            </w:tcBorders>
          </w:tcPr>
          <w:p w14:paraId="7F3DB170" w14:textId="77777777" w:rsidR="00375BD2" w:rsidRPr="00C05886" w:rsidRDefault="00375BD2" w:rsidP="007F4F4B">
            <w:pPr>
              <w:spacing w:line="240" w:lineRule="auto"/>
            </w:pPr>
            <w:r w:rsidRPr="00C05886">
              <w:t>Water bodies</w:t>
            </w:r>
          </w:p>
        </w:tc>
        <w:tc>
          <w:tcPr>
            <w:tcW w:w="2060" w:type="dxa"/>
            <w:tcBorders>
              <w:top w:val="single" w:sz="4" w:space="0" w:color="auto"/>
              <w:bottom w:val="single" w:sz="4" w:space="0" w:color="auto"/>
            </w:tcBorders>
          </w:tcPr>
          <w:p w14:paraId="7CCD1D74" w14:textId="77777777" w:rsidR="00375BD2" w:rsidRPr="00C05886" w:rsidRDefault="00375BD2" w:rsidP="007F4F4B">
            <w:pPr>
              <w:spacing w:line="240" w:lineRule="auto"/>
              <w:jc w:val="center"/>
              <w:cnfStyle w:val="000000000000" w:firstRow="0" w:lastRow="0" w:firstColumn="0" w:lastColumn="0" w:oddVBand="0" w:evenVBand="0" w:oddHBand="0" w:evenHBand="0" w:firstRowFirstColumn="0" w:firstRowLastColumn="0" w:lastRowFirstColumn="0" w:lastRowLastColumn="0"/>
            </w:pPr>
            <w:r w:rsidRPr="00C05886">
              <w:t>1.26 (0.47)</w:t>
            </w:r>
          </w:p>
        </w:tc>
        <w:tc>
          <w:tcPr>
            <w:tcW w:w="2446" w:type="dxa"/>
            <w:tcBorders>
              <w:top w:val="single" w:sz="4" w:space="0" w:color="auto"/>
              <w:bottom w:val="single" w:sz="4" w:space="0" w:color="auto"/>
            </w:tcBorders>
          </w:tcPr>
          <w:p w14:paraId="63EFF070" w14:textId="77777777" w:rsidR="00375BD2" w:rsidRPr="00C05886" w:rsidRDefault="00375BD2" w:rsidP="007F4F4B">
            <w:pPr>
              <w:spacing w:line="240" w:lineRule="auto"/>
              <w:jc w:val="center"/>
              <w:cnfStyle w:val="000000000000" w:firstRow="0" w:lastRow="0" w:firstColumn="0" w:lastColumn="0" w:oddVBand="0" w:evenVBand="0" w:oddHBand="0" w:evenHBand="0" w:firstRowFirstColumn="0" w:firstRowLastColumn="0" w:lastRowFirstColumn="0" w:lastRowLastColumn="0"/>
            </w:pPr>
            <w:r w:rsidRPr="00C05886">
              <w:t>0.007</w:t>
            </w:r>
          </w:p>
        </w:tc>
        <w:tc>
          <w:tcPr>
            <w:tcW w:w="2446" w:type="dxa"/>
            <w:tcBorders>
              <w:top w:val="single" w:sz="4" w:space="0" w:color="auto"/>
              <w:bottom w:val="single" w:sz="4" w:space="0" w:color="auto"/>
            </w:tcBorders>
          </w:tcPr>
          <w:p w14:paraId="06E7D7ED" w14:textId="77777777" w:rsidR="00375BD2" w:rsidRPr="00C05886" w:rsidRDefault="00375BD2" w:rsidP="007F4F4B">
            <w:pPr>
              <w:spacing w:line="240" w:lineRule="auto"/>
              <w:jc w:val="center"/>
              <w:cnfStyle w:val="000000000000" w:firstRow="0" w:lastRow="0" w:firstColumn="0" w:lastColumn="0" w:oddVBand="0" w:evenVBand="0" w:oddHBand="0" w:evenHBand="0" w:firstRowFirstColumn="0" w:firstRowLastColumn="0" w:lastRowFirstColumn="0" w:lastRowLastColumn="0"/>
            </w:pPr>
            <w:r w:rsidRPr="00C05886">
              <w:t>0.347, 2.170</w:t>
            </w:r>
          </w:p>
        </w:tc>
      </w:tr>
    </w:tbl>
    <w:p w14:paraId="21CD4C00" w14:textId="77777777" w:rsidR="00375BD2" w:rsidRPr="00C05886" w:rsidRDefault="00375BD2" w:rsidP="00375BD2">
      <w:pPr>
        <w:spacing w:line="240" w:lineRule="auto"/>
      </w:pPr>
    </w:p>
    <w:p w14:paraId="6D354D11" w14:textId="751C0DC6" w:rsidR="00B14E3D" w:rsidRDefault="00B14E3D" w:rsidP="005D7515">
      <w:pPr>
        <w:pStyle w:val="Caption"/>
        <w:keepNext/>
      </w:pPr>
      <w:r>
        <w:t>Table S.5 Crosstabulation of the number of species counted in photographs by the participant perceived species richness.</w:t>
      </w:r>
    </w:p>
    <w:tbl>
      <w:tblPr>
        <w:tblStyle w:val="TableGrid"/>
        <w:tblW w:w="0" w:type="auto"/>
        <w:tblLook w:val="04A0" w:firstRow="1" w:lastRow="0" w:firstColumn="1" w:lastColumn="0" w:noHBand="0" w:noVBand="1"/>
      </w:tblPr>
      <w:tblGrid>
        <w:gridCol w:w="1531"/>
        <w:gridCol w:w="1531"/>
        <w:gridCol w:w="1531"/>
        <w:gridCol w:w="1531"/>
        <w:gridCol w:w="1531"/>
        <w:gridCol w:w="1531"/>
      </w:tblGrid>
      <w:tr w:rsidR="00B14E3D" w:rsidRPr="00923711" w14:paraId="3778A980" w14:textId="77777777" w:rsidTr="00F5013D">
        <w:trPr>
          <w:trHeight w:val="20"/>
        </w:trPr>
        <w:tc>
          <w:tcPr>
            <w:tcW w:w="1531" w:type="dxa"/>
            <w:noWrap/>
          </w:tcPr>
          <w:p w14:paraId="3D4EFE01" w14:textId="77777777" w:rsidR="00B14E3D" w:rsidRPr="00923711" w:rsidRDefault="00B14E3D" w:rsidP="00923711">
            <w:pPr>
              <w:spacing w:line="259" w:lineRule="auto"/>
              <w:jc w:val="left"/>
              <w:rPr>
                <w:b/>
                <w:bCs/>
              </w:rPr>
            </w:pPr>
          </w:p>
        </w:tc>
        <w:tc>
          <w:tcPr>
            <w:tcW w:w="6124" w:type="dxa"/>
            <w:gridSpan w:val="4"/>
            <w:noWrap/>
          </w:tcPr>
          <w:p w14:paraId="7843B755" w14:textId="7A6B8031" w:rsidR="00B14E3D" w:rsidRPr="00923711" w:rsidRDefault="00B14E3D" w:rsidP="00923711">
            <w:pPr>
              <w:spacing w:line="259" w:lineRule="auto"/>
              <w:jc w:val="left"/>
              <w:rPr>
                <w:b/>
                <w:bCs/>
              </w:rPr>
            </w:pPr>
            <w:r w:rsidRPr="00C05886">
              <w:rPr>
                <w:sz w:val="22"/>
              </w:rPr>
              <w:t xml:space="preserve">How many types of plants/trees/animals would you guess </w:t>
            </w:r>
            <w:r w:rsidRPr="00C05886">
              <w:rPr>
                <w:rFonts w:cstheme="minorHAnsi"/>
                <w:sz w:val="22"/>
              </w:rPr>
              <w:t>there were</w:t>
            </w:r>
            <w:r>
              <w:rPr>
                <w:rFonts w:cstheme="minorHAnsi"/>
                <w:sz w:val="22"/>
              </w:rPr>
              <w:t>?</w:t>
            </w:r>
          </w:p>
        </w:tc>
        <w:tc>
          <w:tcPr>
            <w:tcW w:w="1531" w:type="dxa"/>
            <w:noWrap/>
          </w:tcPr>
          <w:p w14:paraId="58DD28F2" w14:textId="77777777" w:rsidR="00B14E3D" w:rsidRPr="00923711" w:rsidRDefault="00B14E3D" w:rsidP="00923711">
            <w:pPr>
              <w:spacing w:line="259" w:lineRule="auto"/>
              <w:jc w:val="left"/>
              <w:rPr>
                <w:b/>
                <w:bCs/>
              </w:rPr>
            </w:pPr>
          </w:p>
        </w:tc>
      </w:tr>
      <w:tr w:rsidR="00B14E3D" w:rsidRPr="00923711" w14:paraId="5075C1BD" w14:textId="77777777" w:rsidTr="005D7515">
        <w:trPr>
          <w:trHeight w:val="20"/>
        </w:trPr>
        <w:tc>
          <w:tcPr>
            <w:tcW w:w="1531" w:type="dxa"/>
            <w:noWrap/>
            <w:hideMark/>
          </w:tcPr>
          <w:p w14:paraId="1117A3C4" w14:textId="77777777" w:rsidR="00923711" w:rsidRPr="00923711" w:rsidRDefault="00923711" w:rsidP="00923711">
            <w:pPr>
              <w:spacing w:line="259" w:lineRule="auto"/>
              <w:jc w:val="left"/>
              <w:rPr>
                <w:b/>
                <w:bCs/>
              </w:rPr>
            </w:pPr>
            <w:r w:rsidRPr="00923711">
              <w:rPr>
                <w:b/>
                <w:bCs/>
              </w:rPr>
              <w:t>no species in the photo</w:t>
            </w:r>
          </w:p>
        </w:tc>
        <w:tc>
          <w:tcPr>
            <w:tcW w:w="1531" w:type="dxa"/>
            <w:noWrap/>
            <w:hideMark/>
          </w:tcPr>
          <w:p w14:paraId="52F246C1" w14:textId="77777777" w:rsidR="00923711" w:rsidRPr="00923711" w:rsidRDefault="00923711" w:rsidP="00923711">
            <w:pPr>
              <w:spacing w:line="259" w:lineRule="auto"/>
              <w:jc w:val="left"/>
              <w:rPr>
                <w:b/>
                <w:bCs/>
              </w:rPr>
            </w:pPr>
            <w:r w:rsidRPr="00923711">
              <w:rPr>
                <w:b/>
                <w:bCs/>
              </w:rPr>
              <w:t>None</w:t>
            </w:r>
          </w:p>
        </w:tc>
        <w:tc>
          <w:tcPr>
            <w:tcW w:w="1531" w:type="dxa"/>
            <w:noWrap/>
            <w:hideMark/>
          </w:tcPr>
          <w:p w14:paraId="33914EED" w14:textId="77777777" w:rsidR="00923711" w:rsidRPr="00923711" w:rsidRDefault="00923711" w:rsidP="00923711">
            <w:pPr>
              <w:spacing w:line="259" w:lineRule="auto"/>
              <w:jc w:val="left"/>
              <w:rPr>
                <w:b/>
                <w:bCs/>
              </w:rPr>
            </w:pPr>
            <w:r w:rsidRPr="00923711">
              <w:rPr>
                <w:b/>
                <w:bCs/>
              </w:rPr>
              <w:t>Some</w:t>
            </w:r>
          </w:p>
        </w:tc>
        <w:tc>
          <w:tcPr>
            <w:tcW w:w="1531" w:type="dxa"/>
            <w:noWrap/>
            <w:hideMark/>
          </w:tcPr>
          <w:p w14:paraId="688DBAC1" w14:textId="77777777" w:rsidR="00923711" w:rsidRPr="00923711" w:rsidRDefault="00923711" w:rsidP="00923711">
            <w:pPr>
              <w:spacing w:line="259" w:lineRule="auto"/>
              <w:jc w:val="left"/>
              <w:rPr>
                <w:b/>
                <w:bCs/>
              </w:rPr>
            </w:pPr>
            <w:r w:rsidRPr="00923711">
              <w:rPr>
                <w:b/>
                <w:bCs/>
              </w:rPr>
              <w:t>Quite a bit</w:t>
            </w:r>
          </w:p>
        </w:tc>
        <w:tc>
          <w:tcPr>
            <w:tcW w:w="1531" w:type="dxa"/>
            <w:noWrap/>
            <w:hideMark/>
          </w:tcPr>
          <w:p w14:paraId="20426418" w14:textId="77777777" w:rsidR="00923711" w:rsidRPr="00923711" w:rsidRDefault="00923711" w:rsidP="00923711">
            <w:pPr>
              <w:spacing w:line="259" w:lineRule="auto"/>
              <w:jc w:val="left"/>
              <w:rPr>
                <w:b/>
                <w:bCs/>
              </w:rPr>
            </w:pPr>
            <w:r w:rsidRPr="00923711">
              <w:rPr>
                <w:b/>
                <w:bCs/>
              </w:rPr>
              <w:t>Lots</w:t>
            </w:r>
          </w:p>
        </w:tc>
        <w:tc>
          <w:tcPr>
            <w:tcW w:w="1531" w:type="dxa"/>
            <w:noWrap/>
            <w:hideMark/>
          </w:tcPr>
          <w:p w14:paraId="2E06A85D" w14:textId="77777777" w:rsidR="00923711" w:rsidRPr="00923711" w:rsidRDefault="00923711" w:rsidP="00923711">
            <w:pPr>
              <w:spacing w:line="259" w:lineRule="auto"/>
              <w:jc w:val="left"/>
              <w:rPr>
                <w:b/>
                <w:bCs/>
              </w:rPr>
            </w:pPr>
            <w:r w:rsidRPr="00923711">
              <w:rPr>
                <w:b/>
                <w:bCs/>
              </w:rPr>
              <w:t>Total</w:t>
            </w:r>
          </w:p>
        </w:tc>
      </w:tr>
      <w:tr w:rsidR="00B14E3D" w:rsidRPr="00923711" w14:paraId="0495F5BA" w14:textId="77777777" w:rsidTr="005D7515">
        <w:trPr>
          <w:trHeight w:val="20"/>
        </w:trPr>
        <w:tc>
          <w:tcPr>
            <w:tcW w:w="1531" w:type="dxa"/>
            <w:noWrap/>
            <w:hideMark/>
          </w:tcPr>
          <w:p w14:paraId="50965437" w14:textId="77777777" w:rsidR="00923711" w:rsidRPr="00923711" w:rsidRDefault="00923711" w:rsidP="00923711">
            <w:pPr>
              <w:spacing w:line="259" w:lineRule="auto"/>
              <w:jc w:val="left"/>
            </w:pPr>
            <w:r w:rsidRPr="00923711">
              <w:lastRenderedPageBreak/>
              <w:t>0</w:t>
            </w:r>
          </w:p>
        </w:tc>
        <w:tc>
          <w:tcPr>
            <w:tcW w:w="1531" w:type="dxa"/>
            <w:noWrap/>
            <w:hideMark/>
          </w:tcPr>
          <w:p w14:paraId="322992AE" w14:textId="77777777" w:rsidR="00923711" w:rsidRPr="00923711" w:rsidRDefault="00923711" w:rsidP="00923711">
            <w:pPr>
              <w:spacing w:line="259" w:lineRule="auto"/>
              <w:jc w:val="left"/>
            </w:pPr>
            <w:r w:rsidRPr="00923711">
              <w:t>2</w:t>
            </w:r>
          </w:p>
        </w:tc>
        <w:tc>
          <w:tcPr>
            <w:tcW w:w="1531" w:type="dxa"/>
            <w:noWrap/>
            <w:hideMark/>
          </w:tcPr>
          <w:p w14:paraId="7FECE8BC" w14:textId="77777777" w:rsidR="00923711" w:rsidRPr="00923711" w:rsidRDefault="00923711" w:rsidP="00923711">
            <w:pPr>
              <w:spacing w:line="259" w:lineRule="auto"/>
              <w:jc w:val="left"/>
            </w:pPr>
            <w:r w:rsidRPr="00923711">
              <w:t>9</w:t>
            </w:r>
          </w:p>
        </w:tc>
        <w:tc>
          <w:tcPr>
            <w:tcW w:w="1531" w:type="dxa"/>
            <w:noWrap/>
            <w:hideMark/>
          </w:tcPr>
          <w:p w14:paraId="3EA97819" w14:textId="77777777" w:rsidR="00923711" w:rsidRPr="00923711" w:rsidRDefault="00923711" w:rsidP="00923711">
            <w:pPr>
              <w:spacing w:line="259" w:lineRule="auto"/>
              <w:jc w:val="left"/>
            </w:pPr>
            <w:r w:rsidRPr="00923711">
              <w:t>7</w:t>
            </w:r>
          </w:p>
        </w:tc>
        <w:tc>
          <w:tcPr>
            <w:tcW w:w="1531" w:type="dxa"/>
            <w:noWrap/>
            <w:hideMark/>
          </w:tcPr>
          <w:p w14:paraId="06711E0B" w14:textId="77777777" w:rsidR="00923711" w:rsidRPr="00923711" w:rsidRDefault="00923711" w:rsidP="00923711">
            <w:pPr>
              <w:spacing w:line="259" w:lineRule="auto"/>
              <w:jc w:val="left"/>
            </w:pPr>
            <w:r w:rsidRPr="00923711">
              <w:t>3</w:t>
            </w:r>
          </w:p>
        </w:tc>
        <w:tc>
          <w:tcPr>
            <w:tcW w:w="1531" w:type="dxa"/>
            <w:noWrap/>
            <w:hideMark/>
          </w:tcPr>
          <w:p w14:paraId="3C9A3FFF" w14:textId="77777777" w:rsidR="00923711" w:rsidRPr="00923711" w:rsidRDefault="00923711" w:rsidP="00923711">
            <w:pPr>
              <w:spacing w:line="259" w:lineRule="auto"/>
              <w:jc w:val="left"/>
            </w:pPr>
            <w:r w:rsidRPr="00923711">
              <w:t>21</w:t>
            </w:r>
          </w:p>
        </w:tc>
      </w:tr>
      <w:tr w:rsidR="00B14E3D" w:rsidRPr="00923711" w14:paraId="70EDC4D0" w14:textId="77777777" w:rsidTr="005D7515">
        <w:trPr>
          <w:trHeight w:val="20"/>
        </w:trPr>
        <w:tc>
          <w:tcPr>
            <w:tcW w:w="1531" w:type="dxa"/>
            <w:noWrap/>
            <w:hideMark/>
          </w:tcPr>
          <w:p w14:paraId="08009D1E" w14:textId="77777777" w:rsidR="00923711" w:rsidRPr="00923711" w:rsidRDefault="00923711" w:rsidP="00923711">
            <w:pPr>
              <w:spacing w:line="259" w:lineRule="auto"/>
              <w:jc w:val="left"/>
            </w:pPr>
            <w:r w:rsidRPr="00923711">
              <w:t>1</w:t>
            </w:r>
          </w:p>
        </w:tc>
        <w:tc>
          <w:tcPr>
            <w:tcW w:w="1531" w:type="dxa"/>
            <w:noWrap/>
            <w:hideMark/>
          </w:tcPr>
          <w:p w14:paraId="1A983263" w14:textId="77777777" w:rsidR="00923711" w:rsidRPr="00923711" w:rsidRDefault="00923711" w:rsidP="00923711">
            <w:pPr>
              <w:spacing w:line="259" w:lineRule="auto"/>
              <w:jc w:val="left"/>
            </w:pPr>
            <w:r w:rsidRPr="00923711">
              <w:t>4</w:t>
            </w:r>
          </w:p>
        </w:tc>
        <w:tc>
          <w:tcPr>
            <w:tcW w:w="1531" w:type="dxa"/>
            <w:noWrap/>
            <w:hideMark/>
          </w:tcPr>
          <w:p w14:paraId="5BD1B311" w14:textId="77777777" w:rsidR="00923711" w:rsidRPr="00923711" w:rsidRDefault="00923711" w:rsidP="00923711">
            <w:pPr>
              <w:spacing w:line="259" w:lineRule="auto"/>
              <w:jc w:val="left"/>
            </w:pPr>
            <w:r w:rsidRPr="00923711">
              <w:t>40</w:t>
            </w:r>
          </w:p>
        </w:tc>
        <w:tc>
          <w:tcPr>
            <w:tcW w:w="1531" w:type="dxa"/>
            <w:noWrap/>
            <w:hideMark/>
          </w:tcPr>
          <w:p w14:paraId="16CF685F" w14:textId="77777777" w:rsidR="00923711" w:rsidRPr="00923711" w:rsidRDefault="00923711" w:rsidP="00923711">
            <w:pPr>
              <w:spacing w:line="259" w:lineRule="auto"/>
              <w:jc w:val="left"/>
            </w:pPr>
            <w:r w:rsidRPr="00923711">
              <w:t>35</w:t>
            </w:r>
          </w:p>
        </w:tc>
        <w:tc>
          <w:tcPr>
            <w:tcW w:w="1531" w:type="dxa"/>
            <w:noWrap/>
            <w:hideMark/>
          </w:tcPr>
          <w:p w14:paraId="2DE3CC25" w14:textId="77777777" w:rsidR="00923711" w:rsidRPr="00923711" w:rsidRDefault="00923711" w:rsidP="00923711">
            <w:pPr>
              <w:spacing w:line="259" w:lineRule="auto"/>
              <w:jc w:val="left"/>
            </w:pPr>
            <w:r w:rsidRPr="00923711">
              <w:t>30</w:t>
            </w:r>
          </w:p>
        </w:tc>
        <w:tc>
          <w:tcPr>
            <w:tcW w:w="1531" w:type="dxa"/>
            <w:noWrap/>
            <w:hideMark/>
          </w:tcPr>
          <w:p w14:paraId="171B73CC" w14:textId="77777777" w:rsidR="00923711" w:rsidRPr="00923711" w:rsidRDefault="00923711" w:rsidP="00923711">
            <w:pPr>
              <w:spacing w:line="259" w:lineRule="auto"/>
              <w:jc w:val="left"/>
            </w:pPr>
            <w:r w:rsidRPr="00923711">
              <w:t>109</w:t>
            </w:r>
          </w:p>
        </w:tc>
      </w:tr>
      <w:tr w:rsidR="00B14E3D" w:rsidRPr="00923711" w14:paraId="19946F8C" w14:textId="77777777" w:rsidTr="005D7515">
        <w:trPr>
          <w:trHeight w:val="20"/>
        </w:trPr>
        <w:tc>
          <w:tcPr>
            <w:tcW w:w="1531" w:type="dxa"/>
            <w:noWrap/>
            <w:hideMark/>
          </w:tcPr>
          <w:p w14:paraId="1C14C217" w14:textId="77777777" w:rsidR="00923711" w:rsidRPr="00923711" w:rsidRDefault="00923711" w:rsidP="00923711">
            <w:pPr>
              <w:spacing w:line="259" w:lineRule="auto"/>
              <w:jc w:val="left"/>
            </w:pPr>
            <w:r w:rsidRPr="00923711">
              <w:t>2</w:t>
            </w:r>
          </w:p>
        </w:tc>
        <w:tc>
          <w:tcPr>
            <w:tcW w:w="1531" w:type="dxa"/>
            <w:noWrap/>
            <w:hideMark/>
          </w:tcPr>
          <w:p w14:paraId="63669D82" w14:textId="77777777" w:rsidR="00923711" w:rsidRPr="00923711" w:rsidRDefault="00923711" w:rsidP="00923711">
            <w:pPr>
              <w:spacing w:line="259" w:lineRule="auto"/>
              <w:jc w:val="left"/>
            </w:pPr>
            <w:r w:rsidRPr="00923711">
              <w:t>3</w:t>
            </w:r>
          </w:p>
        </w:tc>
        <w:tc>
          <w:tcPr>
            <w:tcW w:w="1531" w:type="dxa"/>
            <w:noWrap/>
            <w:hideMark/>
          </w:tcPr>
          <w:p w14:paraId="72B5640F" w14:textId="77777777" w:rsidR="00923711" w:rsidRPr="00923711" w:rsidRDefault="00923711" w:rsidP="00923711">
            <w:pPr>
              <w:spacing w:line="259" w:lineRule="auto"/>
              <w:jc w:val="left"/>
            </w:pPr>
            <w:r w:rsidRPr="00923711">
              <w:t>19</w:t>
            </w:r>
          </w:p>
        </w:tc>
        <w:tc>
          <w:tcPr>
            <w:tcW w:w="1531" w:type="dxa"/>
            <w:noWrap/>
            <w:hideMark/>
          </w:tcPr>
          <w:p w14:paraId="33CC7981" w14:textId="77777777" w:rsidR="00923711" w:rsidRPr="00923711" w:rsidRDefault="00923711" w:rsidP="00923711">
            <w:pPr>
              <w:spacing w:line="259" w:lineRule="auto"/>
              <w:jc w:val="left"/>
            </w:pPr>
            <w:r w:rsidRPr="00923711">
              <w:t>28</w:t>
            </w:r>
          </w:p>
        </w:tc>
        <w:tc>
          <w:tcPr>
            <w:tcW w:w="1531" w:type="dxa"/>
            <w:noWrap/>
            <w:hideMark/>
          </w:tcPr>
          <w:p w14:paraId="465E0CA0" w14:textId="77777777" w:rsidR="00923711" w:rsidRPr="00923711" w:rsidRDefault="00923711" w:rsidP="00923711">
            <w:pPr>
              <w:spacing w:line="259" w:lineRule="auto"/>
              <w:jc w:val="left"/>
            </w:pPr>
            <w:r w:rsidRPr="00923711">
              <w:t>14</w:t>
            </w:r>
          </w:p>
        </w:tc>
        <w:tc>
          <w:tcPr>
            <w:tcW w:w="1531" w:type="dxa"/>
            <w:noWrap/>
            <w:hideMark/>
          </w:tcPr>
          <w:p w14:paraId="211729E6" w14:textId="77777777" w:rsidR="00923711" w:rsidRPr="00923711" w:rsidRDefault="00923711" w:rsidP="00923711">
            <w:pPr>
              <w:spacing w:line="259" w:lineRule="auto"/>
              <w:jc w:val="left"/>
            </w:pPr>
            <w:r w:rsidRPr="00923711">
              <w:t>64</w:t>
            </w:r>
          </w:p>
        </w:tc>
      </w:tr>
      <w:tr w:rsidR="00B14E3D" w:rsidRPr="00923711" w14:paraId="3041416D" w14:textId="77777777" w:rsidTr="005D7515">
        <w:trPr>
          <w:trHeight w:val="20"/>
        </w:trPr>
        <w:tc>
          <w:tcPr>
            <w:tcW w:w="1531" w:type="dxa"/>
            <w:noWrap/>
            <w:hideMark/>
          </w:tcPr>
          <w:p w14:paraId="27740FAA" w14:textId="77777777" w:rsidR="00923711" w:rsidRPr="00923711" w:rsidRDefault="00923711" w:rsidP="00923711">
            <w:pPr>
              <w:spacing w:line="259" w:lineRule="auto"/>
              <w:jc w:val="left"/>
            </w:pPr>
            <w:r w:rsidRPr="00923711">
              <w:t>3</w:t>
            </w:r>
          </w:p>
        </w:tc>
        <w:tc>
          <w:tcPr>
            <w:tcW w:w="1531" w:type="dxa"/>
            <w:noWrap/>
            <w:hideMark/>
          </w:tcPr>
          <w:p w14:paraId="2A89C300" w14:textId="77777777" w:rsidR="00923711" w:rsidRPr="00923711" w:rsidRDefault="00923711" w:rsidP="00923711">
            <w:pPr>
              <w:spacing w:line="259" w:lineRule="auto"/>
              <w:jc w:val="left"/>
            </w:pPr>
            <w:r w:rsidRPr="00923711">
              <w:t>4</w:t>
            </w:r>
          </w:p>
        </w:tc>
        <w:tc>
          <w:tcPr>
            <w:tcW w:w="1531" w:type="dxa"/>
            <w:noWrap/>
            <w:hideMark/>
          </w:tcPr>
          <w:p w14:paraId="020AB377" w14:textId="77777777" w:rsidR="00923711" w:rsidRPr="00923711" w:rsidRDefault="00923711" w:rsidP="00923711">
            <w:pPr>
              <w:spacing w:line="259" w:lineRule="auto"/>
              <w:jc w:val="left"/>
            </w:pPr>
            <w:r w:rsidRPr="00923711">
              <w:t>33</w:t>
            </w:r>
          </w:p>
        </w:tc>
        <w:tc>
          <w:tcPr>
            <w:tcW w:w="1531" w:type="dxa"/>
            <w:noWrap/>
            <w:hideMark/>
          </w:tcPr>
          <w:p w14:paraId="6F939540" w14:textId="77777777" w:rsidR="00923711" w:rsidRPr="00923711" w:rsidRDefault="00923711" w:rsidP="00923711">
            <w:pPr>
              <w:spacing w:line="259" w:lineRule="auto"/>
              <w:jc w:val="left"/>
            </w:pPr>
            <w:r w:rsidRPr="00923711">
              <w:t>28</w:t>
            </w:r>
          </w:p>
        </w:tc>
        <w:tc>
          <w:tcPr>
            <w:tcW w:w="1531" w:type="dxa"/>
            <w:noWrap/>
            <w:hideMark/>
          </w:tcPr>
          <w:p w14:paraId="0BD19ADD" w14:textId="77777777" w:rsidR="00923711" w:rsidRPr="00923711" w:rsidRDefault="00923711" w:rsidP="00923711">
            <w:pPr>
              <w:spacing w:line="259" w:lineRule="auto"/>
              <w:jc w:val="left"/>
            </w:pPr>
            <w:r w:rsidRPr="00923711">
              <w:t>22</w:t>
            </w:r>
          </w:p>
        </w:tc>
        <w:tc>
          <w:tcPr>
            <w:tcW w:w="1531" w:type="dxa"/>
            <w:noWrap/>
            <w:hideMark/>
          </w:tcPr>
          <w:p w14:paraId="032EB5FA" w14:textId="77777777" w:rsidR="00923711" w:rsidRPr="00923711" w:rsidRDefault="00923711" w:rsidP="00923711">
            <w:pPr>
              <w:spacing w:line="259" w:lineRule="auto"/>
              <w:jc w:val="left"/>
            </w:pPr>
            <w:r w:rsidRPr="00923711">
              <w:t>87</w:t>
            </w:r>
          </w:p>
        </w:tc>
      </w:tr>
      <w:tr w:rsidR="00B14E3D" w:rsidRPr="00923711" w14:paraId="190FEE81" w14:textId="77777777" w:rsidTr="005D7515">
        <w:trPr>
          <w:trHeight w:val="20"/>
        </w:trPr>
        <w:tc>
          <w:tcPr>
            <w:tcW w:w="1531" w:type="dxa"/>
            <w:noWrap/>
            <w:hideMark/>
          </w:tcPr>
          <w:p w14:paraId="76F41C19" w14:textId="77777777" w:rsidR="00923711" w:rsidRPr="00923711" w:rsidRDefault="00923711" w:rsidP="00923711">
            <w:pPr>
              <w:spacing w:line="259" w:lineRule="auto"/>
              <w:jc w:val="left"/>
            </w:pPr>
            <w:r w:rsidRPr="00923711">
              <w:t>4</w:t>
            </w:r>
          </w:p>
        </w:tc>
        <w:tc>
          <w:tcPr>
            <w:tcW w:w="1531" w:type="dxa"/>
            <w:noWrap/>
            <w:hideMark/>
          </w:tcPr>
          <w:p w14:paraId="0DE6D81B" w14:textId="77777777" w:rsidR="00923711" w:rsidRPr="00923711" w:rsidRDefault="00923711" w:rsidP="00923711">
            <w:pPr>
              <w:spacing w:line="259" w:lineRule="auto"/>
              <w:jc w:val="left"/>
            </w:pPr>
            <w:r w:rsidRPr="00923711">
              <w:t>2</w:t>
            </w:r>
          </w:p>
        </w:tc>
        <w:tc>
          <w:tcPr>
            <w:tcW w:w="1531" w:type="dxa"/>
            <w:noWrap/>
            <w:hideMark/>
          </w:tcPr>
          <w:p w14:paraId="6BFD425F" w14:textId="77777777" w:rsidR="00923711" w:rsidRPr="00923711" w:rsidRDefault="00923711" w:rsidP="00923711">
            <w:pPr>
              <w:spacing w:line="259" w:lineRule="auto"/>
              <w:jc w:val="left"/>
            </w:pPr>
            <w:r w:rsidRPr="00923711">
              <w:t>33</w:t>
            </w:r>
          </w:p>
        </w:tc>
        <w:tc>
          <w:tcPr>
            <w:tcW w:w="1531" w:type="dxa"/>
            <w:noWrap/>
            <w:hideMark/>
          </w:tcPr>
          <w:p w14:paraId="6DE82A0C" w14:textId="77777777" w:rsidR="00923711" w:rsidRPr="00923711" w:rsidRDefault="00923711" w:rsidP="00923711">
            <w:pPr>
              <w:spacing w:line="259" w:lineRule="auto"/>
              <w:jc w:val="left"/>
            </w:pPr>
            <w:r w:rsidRPr="00923711">
              <w:t>50</w:t>
            </w:r>
          </w:p>
        </w:tc>
        <w:tc>
          <w:tcPr>
            <w:tcW w:w="1531" w:type="dxa"/>
            <w:noWrap/>
            <w:hideMark/>
          </w:tcPr>
          <w:p w14:paraId="7EA21228" w14:textId="77777777" w:rsidR="00923711" w:rsidRPr="00923711" w:rsidRDefault="00923711" w:rsidP="00923711">
            <w:pPr>
              <w:spacing w:line="259" w:lineRule="auto"/>
              <w:jc w:val="left"/>
            </w:pPr>
            <w:r w:rsidRPr="00923711">
              <w:t>37</w:t>
            </w:r>
          </w:p>
        </w:tc>
        <w:tc>
          <w:tcPr>
            <w:tcW w:w="1531" w:type="dxa"/>
            <w:noWrap/>
            <w:hideMark/>
          </w:tcPr>
          <w:p w14:paraId="2A9F75DA" w14:textId="77777777" w:rsidR="00923711" w:rsidRPr="00923711" w:rsidRDefault="00923711" w:rsidP="00923711">
            <w:pPr>
              <w:spacing w:line="259" w:lineRule="auto"/>
              <w:jc w:val="left"/>
            </w:pPr>
            <w:r w:rsidRPr="00923711">
              <w:t>122</w:t>
            </w:r>
          </w:p>
        </w:tc>
      </w:tr>
      <w:tr w:rsidR="00B14E3D" w:rsidRPr="00923711" w14:paraId="3DA31957" w14:textId="77777777" w:rsidTr="005D7515">
        <w:trPr>
          <w:trHeight w:val="20"/>
        </w:trPr>
        <w:tc>
          <w:tcPr>
            <w:tcW w:w="1531" w:type="dxa"/>
            <w:noWrap/>
            <w:hideMark/>
          </w:tcPr>
          <w:p w14:paraId="380057E8" w14:textId="77777777" w:rsidR="00923711" w:rsidRPr="00923711" w:rsidRDefault="00923711" w:rsidP="00923711">
            <w:pPr>
              <w:spacing w:line="259" w:lineRule="auto"/>
              <w:jc w:val="left"/>
            </w:pPr>
            <w:r w:rsidRPr="00923711">
              <w:t>5</w:t>
            </w:r>
          </w:p>
        </w:tc>
        <w:tc>
          <w:tcPr>
            <w:tcW w:w="1531" w:type="dxa"/>
            <w:noWrap/>
            <w:hideMark/>
          </w:tcPr>
          <w:p w14:paraId="00393E12" w14:textId="77777777" w:rsidR="00923711" w:rsidRPr="00923711" w:rsidRDefault="00923711" w:rsidP="00923711">
            <w:pPr>
              <w:spacing w:line="259" w:lineRule="auto"/>
              <w:jc w:val="left"/>
            </w:pPr>
            <w:r w:rsidRPr="00923711">
              <w:t>1</w:t>
            </w:r>
          </w:p>
        </w:tc>
        <w:tc>
          <w:tcPr>
            <w:tcW w:w="1531" w:type="dxa"/>
            <w:noWrap/>
            <w:hideMark/>
          </w:tcPr>
          <w:p w14:paraId="2F0EE366" w14:textId="77777777" w:rsidR="00923711" w:rsidRPr="00923711" w:rsidRDefault="00923711" w:rsidP="00923711">
            <w:pPr>
              <w:spacing w:line="259" w:lineRule="auto"/>
              <w:jc w:val="left"/>
            </w:pPr>
            <w:r w:rsidRPr="00923711">
              <w:t>14</w:t>
            </w:r>
          </w:p>
        </w:tc>
        <w:tc>
          <w:tcPr>
            <w:tcW w:w="1531" w:type="dxa"/>
            <w:noWrap/>
            <w:hideMark/>
          </w:tcPr>
          <w:p w14:paraId="693695FF" w14:textId="77777777" w:rsidR="00923711" w:rsidRPr="00923711" w:rsidRDefault="00923711" w:rsidP="00923711">
            <w:pPr>
              <w:spacing w:line="259" w:lineRule="auto"/>
              <w:jc w:val="left"/>
            </w:pPr>
            <w:r w:rsidRPr="00923711">
              <w:t>19</w:t>
            </w:r>
          </w:p>
        </w:tc>
        <w:tc>
          <w:tcPr>
            <w:tcW w:w="1531" w:type="dxa"/>
            <w:noWrap/>
            <w:hideMark/>
          </w:tcPr>
          <w:p w14:paraId="6E254CF9" w14:textId="77777777" w:rsidR="00923711" w:rsidRPr="00923711" w:rsidRDefault="00923711" w:rsidP="00923711">
            <w:pPr>
              <w:spacing w:line="259" w:lineRule="auto"/>
              <w:jc w:val="left"/>
            </w:pPr>
            <w:r w:rsidRPr="00923711">
              <w:t>26</w:t>
            </w:r>
          </w:p>
        </w:tc>
        <w:tc>
          <w:tcPr>
            <w:tcW w:w="1531" w:type="dxa"/>
            <w:noWrap/>
            <w:hideMark/>
          </w:tcPr>
          <w:p w14:paraId="2806D788" w14:textId="77777777" w:rsidR="00923711" w:rsidRPr="00923711" w:rsidRDefault="00923711" w:rsidP="00923711">
            <w:pPr>
              <w:spacing w:line="259" w:lineRule="auto"/>
              <w:jc w:val="left"/>
            </w:pPr>
            <w:r w:rsidRPr="00923711">
              <w:t>60</w:t>
            </w:r>
          </w:p>
        </w:tc>
      </w:tr>
      <w:tr w:rsidR="00B14E3D" w:rsidRPr="00923711" w14:paraId="7A48E17D" w14:textId="77777777" w:rsidTr="005D7515">
        <w:trPr>
          <w:trHeight w:val="20"/>
        </w:trPr>
        <w:tc>
          <w:tcPr>
            <w:tcW w:w="1531" w:type="dxa"/>
            <w:noWrap/>
            <w:hideMark/>
          </w:tcPr>
          <w:p w14:paraId="45865D45" w14:textId="77777777" w:rsidR="00923711" w:rsidRPr="00923711" w:rsidRDefault="00923711" w:rsidP="00923711">
            <w:pPr>
              <w:spacing w:line="259" w:lineRule="auto"/>
              <w:jc w:val="left"/>
            </w:pPr>
            <w:r w:rsidRPr="00923711">
              <w:t>6</w:t>
            </w:r>
          </w:p>
        </w:tc>
        <w:tc>
          <w:tcPr>
            <w:tcW w:w="1531" w:type="dxa"/>
            <w:noWrap/>
            <w:hideMark/>
          </w:tcPr>
          <w:p w14:paraId="4EB4F39C" w14:textId="77777777" w:rsidR="00923711" w:rsidRPr="00923711" w:rsidRDefault="00923711" w:rsidP="00923711">
            <w:pPr>
              <w:spacing w:line="259" w:lineRule="auto"/>
              <w:jc w:val="left"/>
            </w:pPr>
            <w:r w:rsidRPr="00923711">
              <w:t>0</w:t>
            </w:r>
          </w:p>
        </w:tc>
        <w:tc>
          <w:tcPr>
            <w:tcW w:w="1531" w:type="dxa"/>
            <w:noWrap/>
            <w:hideMark/>
          </w:tcPr>
          <w:p w14:paraId="0EF295D2" w14:textId="77777777" w:rsidR="00923711" w:rsidRPr="00923711" w:rsidRDefault="00923711" w:rsidP="00923711">
            <w:pPr>
              <w:spacing w:line="259" w:lineRule="auto"/>
              <w:jc w:val="left"/>
            </w:pPr>
            <w:r w:rsidRPr="00923711">
              <w:t>6</w:t>
            </w:r>
          </w:p>
        </w:tc>
        <w:tc>
          <w:tcPr>
            <w:tcW w:w="1531" w:type="dxa"/>
            <w:noWrap/>
            <w:hideMark/>
          </w:tcPr>
          <w:p w14:paraId="0B6A4D38" w14:textId="77777777" w:rsidR="00923711" w:rsidRPr="00923711" w:rsidRDefault="00923711" w:rsidP="00923711">
            <w:pPr>
              <w:spacing w:line="259" w:lineRule="auto"/>
              <w:jc w:val="left"/>
            </w:pPr>
            <w:r w:rsidRPr="00923711">
              <w:t>3</w:t>
            </w:r>
          </w:p>
        </w:tc>
        <w:tc>
          <w:tcPr>
            <w:tcW w:w="1531" w:type="dxa"/>
            <w:noWrap/>
            <w:hideMark/>
          </w:tcPr>
          <w:p w14:paraId="08210C1A" w14:textId="77777777" w:rsidR="00923711" w:rsidRPr="00923711" w:rsidRDefault="00923711" w:rsidP="00923711">
            <w:pPr>
              <w:spacing w:line="259" w:lineRule="auto"/>
              <w:jc w:val="left"/>
            </w:pPr>
            <w:r w:rsidRPr="00923711">
              <w:t>13</w:t>
            </w:r>
          </w:p>
        </w:tc>
        <w:tc>
          <w:tcPr>
            <w:tcW w:w="1531" w:type="dxa"/>
            <w:noWrap/>
            <w:hideMark/>
          </w:tcPr>
          <w:p w14:paraId="76DA021B" w14:textId="77777777" w:rsidR="00923711" w:rsidRPr="00923711" w:rsidRDefault="00923711" w:rsidP="00923711">
            <w:pPr>
              <w:spacing w:line="259" w:lineRule="auto"/>
              <w:jc w:val="left"/>
            </w:pPr>
            <w:r w:rsidRPr="00923711">
              <w:t>22</w:t>
            </w:r>
          </w:p>
        </w:tc>
      </w:tr>
      <w:tr w:rsidR="00B14E3D" w:rsidRPr="00923711" w14:paraId="12E97F18" w14:textId="77777777" w:rsidTr="005D7515">
        <w:trPr>
          <w:trHeight w:val="20"/>
        </w:trPr>
        <w:tc>
          <w:tcPr>
            <w:tcW w:w="1531" w:type="dxa"/>
            <w:noWrap/>
            <w:hideMark/>
          </w:tcPr>
          <w:p w14:paraId="3944E314" w14:textId="77777777" w:rsidR="00923711" w:rsidRPr="00923711" w:rsidRDefault="00923711" w:rsidP="00923711">
            <w:pPr>
              <w:spacing w:line="259" w:lineRule="auto"/>
              <w:jc w:val="left"/>
            </w:pPr>
            <w:r w:rsidRPr="00923711">
              <w:t>7</w:t>
            </w:r>
          </w:p>
        </w:tc>
        <w:tc>
          <w:tcPr>
            <w:tcW w:w="1531" w:type="dxa"/>
            <w:noWrap/>
            <w:hideMark/>
          </w:tcPr>
          <w:p w14:paraId="22C847A4" w14:textId="77777777" w:rsidR="00923711" w:rsidRPr="00923711" w:rsidRDefault="00923711" w:rsidP="00923711">
            <w:pPr>
              <w:spacing w:line="259" w:lineRule="auto"/>
              <w:jc w:val="left"/>
            </w:pPr>
            <w:r w:rsidRPr="00923711">
              <w:t>0</w:t>
            </w:r>
          </w:p>
        </w:tc>
        <w:tc>
          <w:tcPr>
            <w:tcW w:w="1531" w:type="dxa"/>
            <w:noWrap/>
            <w:hideMark/>
          </w:tcPr>
          <w:p w14:paraId="78711C17" w14:textId="77777777" w:rsidR="00923711" w:rsidRPr="00923711" w:rsidRDefault="00923711" w:rsidP="00923711">
            <w:pPr>
              <w:spacing w:line="259" w:lineRule="auto"/>
              <w:jc w:val="left"/>
            </w:pPr>
            <w:r w:rsidRPr="00923711">
              <w:t>8</w:t>
            </w:r>
          </w:p>
        </w:tc>
        <w:tc>
          <w:tcPr>
            <w:tcW w:w="1531" w:type="dxa"/>
            <w:noWrap/>
            <w:hideMark/>
          </w:tcPr>
          <w:p w14:paraId="264FA36E" w14:textId="77777777" w:rsidR="00923711" w:rsidRPr="00923711" w:rsidRDefault="00923711" w:rsidP="00923711">
            <w:pPr>
              <w:spacing w:line="259" w:lineRule="auto"/>
              <w:jc w:val="left"/>
            </w:pPr>
            <w:r w:rsidRPr="00923711">
              <w:t>8</w:t>
            </w:r>
          </w:p>
        </w:tc>
        <w:tc>
          <w:tcPr>
            <w:tcW w:w="1531" w:type="dxa"/>
            <w:noWrap/>
            <w:hideMark/>
          </w:tcPr>
          <w:p w14:paraId="583D7D37" w14:textId="77777777" w:rsidR="00923711" w:rsidRPr="00923711" w:rsidRDefault="00923711" w:rsidP="00923711">
            <w:pPr>
              <w:spacing w:line="259" w:lineRule="auto"/>
              <w:jc w:val="left"/>
            </w:pPr>
            <w:r w:rsidRPr="00923711">
              <w:t>13</w:t>
            </w:r>
          </w:p>
        </w:tc>
        <w:tc>
          <w:tcPr>
            <w:tcW w:w="1531" w:type="dxa"/>
            <w:noWrap/>
            <w:hideMark/>
          </w:tcPr>
          <w:p w14:paraId="49F9810B" w14:textId="77777777" w:rsidR="00923711" w:rsidRPr="00923711" w:rsidRDefault="00923711" w:rsidP="00923711">
            <w:pPr>
              <w:spacing w:line="259" w:lineRule="auto"/>
              <w:jc w:val="left"/>
            </w:pPr>
            <w:r w:rsidRPr="00923711">
              <w:t>29</w:t>
            </w:r>
          </w:p>
        </w:tc>
      </w:tr>
      <w:tr w:rsidR="00B14E3D" w:rsidRPr="00923711" w14:paraId="6606F59B" w14:textId="77777777" w:rsidTr="005D7515">
        <w:trPr>
          <w:trHeight w:val="20"/>
        </w:trPr>
        <w:tc>
          <w:tcPr>
            <w:tcW w:w="1531" w:type="dxa"/>
            <w:noWrap/>
            <w:hideMark/>
          </w:tcPr>
          <w:p w14:paraId="2056F96E" w14:textId="77777777" w:rsidR="00923711" w:rsidRPr="00923711" w:rsidRDefault="00923711" w:rsidP="00923711">
            <w:pPr>
              <w:spacing w:line="259" w:lineRule="auto"/>
              <w:jc w:val="left"/>
            </w:pPr>
            <w:r w:rsidRPr="00923711">
              <w:t>8</w:t>
            </w:r>
          </w:p>
        </w:tc>
        <w:tc>
          <w:tcPr>
            <w:tcW w:w="1531" w:type="dxa"/>
            <w:noWrap/>
            <w:hideMark/>
          </w:tcPr>
          <w:p w14:paraId="43ABC04F" w14:textId="77777777" w:rsidR="00923711" w:rsidRPr="00923711" w:rsidRDefault="00923711" w:rsidP="00923711">
            <w:pPr>
              <w:spacing w:line="259" w:lineRule="auto"/>
              <w:jc w:val="left"/>
            </w:pPr>
            <w:r w:rsidRPr="00923711">
              <w:t>0</w:t>
            </w:r>
          </w:p>
        </w:tc>
        <w:tc>
          <w:tcPr>
            <w:tcW w:w="1531" w:type="dxa"/>
            <w:noWrap/>
            <w:hideMark/>
          </w:tcPr>
          <w:p w14:paraId="2EFD7E40" w14:textId="77777777" w:rsidR="00923711" w:rsidRPr="00923711" w:rsidRDefault="00923711" w:rsidP="00923711">
            <w:pPr>
              <w:spacing w:line="259" w:lineRule="auto"/>
              <w:jc w:val="left"/>
            </w:pPr>
            <w:r w:rsidRPr="00923711">
              <w:t>3</w:t>
            </w:r>
          </w:p>
        </w:tc>
        <w:tc>
          <w:tcPr>
            <w:tcW w:w="1531" w:type="dxa"/>
            <w:noWrap/>
            <w:hideMark/>
          </w:tcPr>
          <w:p w14:paraId="4DE13823" w14:textId="77777777" w:rsidR="00923711" w:rsidRPr="00923711" w:rsidRDefault="00923711" w:rsidP="00923711">
            <w:pPr>
              <w:spacing w:line="259" w:lineRule="auto"/>
              <w:jc w:val="left"/>
            </w:pPr>
            <w:r w:rsidRPr="00923711">
              <w:t>3</w:t>
            </w:r>
          </w:p>
        </w:tc>
        <w:tc>
          <w:tcPr>
            <w:tcW w:w="1531" w:type="dxa"/>
            <w:noWrap/>
            <w:hideMark/>
          </w:tcPr>
          <w:p w14:paraId="54337D37" w14:textId="77777777" w:rsidR="00923711" w:rsidRPr="00923711" w:rsidRDefault="00923711" w:rsidP="00923711">
            <w:pPr>
              <w:spacing w:line="259" w:lineRule="auto"/>
              <w:jc w:val="left"/>
            </w:pPr>
            <w:r w:rsidRPr="00923711">
              <w:t>6</w:t>
            </w:r>
          </w:p>
        </w:tc>
        <w:tc>
          <w:tcPr>
            <w:tcW w:w="1531" w:type="dxa"/>
            <w:noWrap/>
            <w:hideMark/>
          </w:tcPr>
          <w:p w14:paraId="56579367" w14:textId="77777777" w:rsidR="00923711" w:rsidRPr="00923711" w:rsidRDefault="00923711" w:rsidP="00923711">
            <w:pPr>
              <w:spacing w:line="259" w:lineRule="auto"/>
              <w:jc w:val="left"/>
            </w:pPr>
            <w:r w:rsidRPr="00923711">
              <w:t>12</w:t>
            </w:r>
          </w:p>
        </w:tc>
      </w:tr>
      <w:tr w:rsidR="00B14E3D" w:rsidRPr="00923711" w14:paraId="01618882" w14:textId="77777777" w:rsidTr="005D7515">
        <w:trPr>
          <w:trHeight w:val="20"/>
        </w:trPr>
        <w:tc>
          <w:tcPr>
            <w:tcW w:w="1531" w:type="dxa"/>
            <w:noWrap/>
            <w:hideMark/>
          </w:tcPr>
          <w:p w14:paraId="458850A4" w14:textId="77777777" w:rsidR="00923711" w:rsidRPr="00923711" w:rsidRDefault="00923711" w:rsidP="00923711">
            <w:pPr>
              <w:spacing w:line="259" w:lineRule="auto"/>
              <w:jc w:val="left"/>
            </w:pPr>
            <w:r w:rsidRPr="00923711">
              <w:t>9</w:t>
            </w:r>
          </w:p>
        </w:tc>
        <w:tc>
          <w:tcPr>
            <w:tcW w:w="1531" w:type="dxa"/>
            <w:noWrap/>
            <w:hideMark/>
          </w:tcPr>
          <w:p w14:paraId="198A8211" w14:textId="77777777" w:rsidR="00923711" w:rsidRPr="00923711" w:rsidRDefault="00923711" w:rsidP="00923711">
            <w:pPr>
              <w:spacing w:line="259" w:lineRule="auto"/>
              <w:jc w:val="left"/>
            </w:pPr>
            <w:r w:rsidRPr="00923711">
              <w:t>0</w:t>
            </w:r>
          </w:p>
        </w:tc>
        <w:tc>
          <w:tcPr>
            <w:tcW w:w="1531" w:type="dxa"/>
            <w:noWrap/>
            <w:hideMark/>
          </w:tcPr>
          <w:p w14:paraId="71AC7B86" w14:textId="77777777" w:rsidR="00923711" w:rsidRPr="00923711" w:rsidRDefault="00923711" w:rsidP="00923711">
            <w:pPr>
              <w:spacing w:line="259" w:lineRule="auto"/>
              <w:jc w:val="left"/>
            </w:pPr>
            <w:r w:rsidRPr="00923711">
              <w:t>1</w:t>
            </w:r>
          </w:p>
        </w:tc>
        <w:tc>
          <w:tcPr>
            <w:tcW w:w="1531" w:type="dxa"/>
            <w:noWrap/>
            <w:hideMark/>
          </w:tcPr>
          <w:p w14:paraId="010BAA1C" w14:textId="77777777" w:rsidR="00923711" w:rsidRPr="00923711" w:rsidRDefault="00923711" w:rsidP="00923711">
            <w:pPr>
              <w:spacing w:line="259" w:lineRule="auto"/>
              <w:jc w:val="left"/>
            </w:pPr>
            <w:r w:rsidRPr="00923711">
              <w:t>2</w:t>
            </w:r>
          </w:p>
        </w:tc>
        <w:tc>
          <w:tcPr>
            <w:tcW w:w="1531" w:type="dxa"/>
            <w:noWrap/>
            <w:hideMark/>
          </w:tcPr>
          <w:p w14:paraId="3789B356" w14:textId="77777777" w:rsidR="00923711" w:rsidRPr="00923711" w:rsidRDefault="00923711" w:rsidP="00923711">
            <w:pPr>
              <w:spacing w:line="259" w:lineRule="auto"/>
              <w:jc w:val="left"/>
            </w:pPr>
            <w:r w:rsidRPr="00923711">
              <w:t>0</w:t>
            </w:r>
          </w:p>
        </w:tc>
        <w:tc>
          <w:tcPr>
            <w:tcW w:w="1531" w:type="dxa"/>
            <w:noWrap/>
            <w:hideMark/>
          </w:tcPr>
          <w:p w14:paraId="38B1C8CE" w14:textId="77777777" w:rsidR="00923711" w:rsidRPr="00923711" w:rsidRDefault="00923711" w:rsidP="00923711">
            <w:pPr>
              <w:spacing w:line="259" w:lineRule="auto"/>
              <w:jc w:val="left"/>
            </w:pPr>
            <w:r w:rsidRPr="00923711">
              <w:t>3</w:t>
            </w:r>
          </w:p>
        </w:tc>
      </w:tr>
      <w:tr w:rsidR="00B14E3D" w:rsidRPr="00923711" w14:paraId="2F17224A" w14:textId="77777777" w:rsidTr="005D7515">
        <w:trPr>
          <w:trHeight w:val="20"/>
        </w:trPr>
        <w:tc>
          <w:tcPr>
            <w:tcW w:w="1531" w:type="dxa"/>
            <w:noWrap/>
            <w:hideMark/>
          </w:tcPr>
          <w:p w14:paraId="70E1DDAF" w14:textId="77777777" w:rsidR="00923711" w:rsidRPr="00923711" w:rsidRDefault="00923711" w:rsidP="00923711">
            <w:pPr>
              <w:spacing w:line="259" w:lineRule="auto"/>
              <w:jc w:val="left"/>
            </w:pPr>
            <w:r w:rsidRPr="00923711">
              <w:t>10</w:t>
            </w:r>
          </w:p>
        </w:tc>
        <w:tc>
          <w:tcPr>
            <w:tcW w:w="1531" w:type="dxa"/>
            <w:noWrap/>
            <w:hideMark/>
          </w:tcPr>
          <w:p w14:paraId="24027E0F" w14:textId="77777777" w:rsidR="00923711" w:rsidRPr="00923711" w:rsidRDefault="00923711" w:rsidP="00923711">
            <w:pPr>
              <w:spacing w:line="259" w:lineRule="auto"/>
              <w:jc w:val="left"/>
            </w:pPr>
            <w:r w:rsidRPr="00923711">
              <w:t>0</w:t>
            </w:r>
          </w:p>
        </w:tc>
        <w:tc>
          <w:tcPr>
            <w:tcW w:w="1531" w:type="dxa"/>
            <w:noWrap/>
            <w:hideMark/>
          </w:tcPr>
          <w:p w14:paraId="0EAAC61E" w14:textId="77777777" w:rsidR="00923711" w:rsidRPr="00923711" w:rsidRDefault="00923711" w:rsidP="00923711">
            <w:pPr>
              <w:spacing w:line="259" w:lineRule="auto"/>
              <w:jc w:val="left"/>
            </w:pPr>
            <w:r w:rsidRPr="00923711">
              <w:t>1</w:t>
            </w:r>
          </w:p>
        </w:tc>
        <w:tc>
          <w:tcPr>
            <w:tcW w:w="1531" w:type="dxa"/>
            <w:noWrap/>
            <w:hideMark/>
          </w:tcPr>
          <w:p w14:paraId="487F1702" w14:textId="77777777" w:rsidR="00923711" w:rsidRPr="00923711" w:rsidRDefault="00923711" w:rsidP="00923711">
            <w:pPr>
              <w:spacing w:line="259" w:lineRule="auto"/>
              <w:jc w:val="left"/>
            </w:pPr>
            <w:r w:rsidRPr="00923711">
              <w:t>0</w:t>
            </w:r>
          </w:p>
        </w:tc>
        <w:tc>
          <w:tcPr>
            <w:tcW w:w="1531" w:type="dxa"/>
            <w:noWrap/>
            <w:hideMark/>
          </w:tcPr>
          <w:p w14:paraId="4EA284B6" w14:textId="77777777" w:rsidR="00923711" w:rsidRPr="00923711" w:rsidRDefault="00923711" w:rsidP="00923711">
            <w:pPr>
              <w:spacing w:line="259" w:lineRule="auto"/>
              <w:jc w:val="left"/>
            </w:pPr>
            <w:r w:rsidRPr="00923711">
              <w:t>2</w:t>
            </w:r>
          </w:p>
        </w:tc>
        <w:tc>
          <w:tcPr>
            <w:tcW w:w="1531" w:type="dxa"/>
            <w:noWrap/>
            <w:hideMark/>
          </w:tcPr>
          <w:p w14:paraId="4BCA23EA" w14:textId="77777777" w:rsidR="00923711" w:rsidRPr="00923711" w:rsidRDefault="00923711" w:rsidP="00923711">
            <w:pPr>
              <w:spacing w:line="259" w:lineRule="auto"/>
              <w:jc w:val="left"/>
            </w:pPr>
            <w:r w:rsidRPr="00923711">
              <w:t>3</w:t>
            </w:r>
          </w:p>
        </w:tc>
      </w:tr>
      <w:tr w:rsidR="00B14E3D" w:rsidRPr="00923711" w14:paraId="6092C7B3" w14:textId="77777777" w:rsidTr="005D7515">
        <w:trPr>
          <w:trHeight w:val="20"/>
        </w:trPr>
        <w:tc>
          <w:tcPr>
            <w:tcW w:w="1531" w:type="dxa"/>
            <w:noWrap/>
            <w:hideMark/>
          </w:tcPr>
          <w:p w14:paraId="759B33F2" w14:textId="77777777" w:rsidR="00923711" w:rsidRPr="00923711" w:rsidRDefault="00923711" w:rsidP="00923711">
            <w:pPr>
              <w:spacing w:line="259" w:lineRule="auto"/>
              <w:jc w:val="left"/>
            </w:pPr>
            <w:r w:rsidRPr="00923711">
              <w:t>11</w:t>
            </w:r>
          </w:p>
        </w:tc>
        <w:tc>
          <w:tcPr>
            <w:tcW w:w="1531" w:type="dxa"/>
            <w:noWrap/>
            <w:hideMark/>
          </w:tcPr>
          <w:p w14:paraId="5E24C293" w14:textId="77777777" w:rsidR="00923711" w:rsidRPr="00923711" w:rsidRDefault="00923711" w:rsidP="00923711">
            <w:pPr>
              <w:spacing w:line="259" w:lineRule="auto"/>
              <w:jc w:val="left"/>
            </w:pPr>
            <w:r w:rsidRPr="00923711">
              <w:t>0</w:t>
            </w:r>
          </w:p>
        </w:tc>
        <w:tc>
          <w:tcPr>
            <w:tcW w:w="1531" w:type="dxa"/>
            <w:noWrap/>
            <w:hideMark/>
          </w:tcPr>
          <w:p w14:paraId="43495E63" w14:textId="77777777" w:rsidR="00923711" w:rsidRPr="00923711" w:rsidRDefault="00923711" w:rsidP="00923711">
            <w:pPr>
              <w:spacing w:line="259" w:lineRule="auto"/>
              <w:jc w:val="left"/>
            </w:pPr>
            <w:r w:rsidRPr="00923711">
              <w:t>0</w:t>
            </w:r>
          </w:p>
        </w:tc>
        <w:tc>
          <w:tcPr>
            <w:tcW w:w="1531" w:type="dxa"/>
            <w:noWrap/>
            <w:hideMark/>
          </w:tcPr>
          <w:p w14:paraId="70B6E5C3" w14:textId="77777777" w:rsidR="00923711" w:rsidRPr="00923711" w:rsidRDefault="00923711" w:rsidP="00923711">
            <w:pPr>
              <w:spacing w:line="259" w:lineRule="auto"/>
              <w:jc w:val="left"/>
            </w:pPr>
            <w:r w:rsidRPr="00923711">
              <w:t>1</w:t>
            </w:r>
          </w:p>
        </w:tc>
        <w:tc>
          <w:tcPr>
            <w:tcW w:w="1531" w:type="dxa"/>
            <w:noWrap/>
            <w:hideMark/>
          </w:tcPr>
          <w:p w14:paraId="339955F6" w14:textId="77777777" w:rsidR="00923711" w:rsidRPr="00923711" w:rsidRDefault="00923711" w:rsidP="00923711">
            <w:pPr>
              <w:spacing w:line="259" w:lineRule="auto"/>
              <w:jc w:val="left"/>
            </w:pPr>
            <w:r w:rsidRPr="00923711">
              <w:t>1</w:t>
            </w:r>
          </w:p>
        </w:tc>
        <w:tc>
          <w:tcPr>
            <w:tcW w:w="1531" w:type="dxa"/>
            <w:noWrap/>
            <w:hideMark/>
          </w:tcPr>
          <w:p w14:paraId="1C839C68" w14:textId="77777777" w:rsidR="00923711" w:rsidRPr="00923711" w:rsidRDefault="00923711" w:rsidP="00923711">
            <w:pPr>
              <w:spacing w:line="259" w:lineRule="auto"/>
              <w:jc w:val="left"/>
            </w:pPr>
            <w:r w:rsidRPr="00923711">
              <w:t>2</w:t>
            </w:r>
          </w:p>
        </w:tc>
      </w:tr>
      <w:tr w:rsidR="00B14E3D" w:rsidRPr="00923711" w14:paraId="422040CE" w14:textId="77777777" w:rsidTr="005D7515">
        <w:trPr>
          <w:trHeight w:val="20"/>
        </w:trPr>
        <w:tc>
          <w:tcPr>
            <w:tcW w:w="1531" w:type="dxa"/>
            <w:noWrap/>
            <w:hideMark/>
          </w:tcPr>
          <w:p w14:paraId="1878595E" w14:textId="77777777" w:rsidR="00923711" w:rsidRPr="00923711" w:rsidRDefault="00923711" w:rsidP="00923711">
            <w:pPr>
              <w:spacing w:line="259" w:lineRule="auto"/>
              <w:jc w:val="left"/>
            </w:pPr>
            <w:r w:rsidRPr="00923711">
              <w:t>12</w:t>
            </w:r>
          </w:p>
        </w:tc>
        <w:tc>
          <w:tcPr>
            <w:tcW w:w="1531" w:type="dxa"/>
            <w:noWrap/>
            <w:hideMark/>
          </w:tcPr>
          <w:p w14:paraId="5C0927FD" w14:textId="77777777" w:rsidR="00923711" w:rsidRPr="00923711" w:rsidRDefault="00923711" w:rsidP="00923711">
            <w:pPr>
              <w:spacing w:line="259" w:lineRule="auto"/>
              <w:jc w:val="left"/>
            </w:pPr>
            <w:r w:rsidRPr="00923711">
              <w:t>0</w:t>
            </w:r>
          </w:p>
        </w:tc>
        <w:tc>
          <w:tcPr>
            <w:tcW w:w="1531" w:type="dxa"/>
            <w:noWrap/>
            <w:hideMark/>
          </w:tcPr>
          <w:p w14:paraId="66500F49" w14:textId="77777777" w:rsidR="00923711" w:rsidRPr="00923711" w:rsidRDefault="00923711" w:rsidP="00923711">
            <w:pPr>
              <w:spacing w:line="259" w:lineRule="auto"/>
              <w:jc w:val="left"/>
            </w:pPr>
            <w:r w:rsidRPr="00923711">
              <w:t>0</w:t>
            </w:r>
          </w:p>
        </w:tc>
        <w:tc>
          <w:tcPr>
            <w:tcW w:w="1531" w:type="dxa"/>
            <w:noWrap/>
            <w:hideMark/>
          </w:tcPr>
          <w:p w14:paraId="28674D3F" w14:textId="77777777" w:rsidR="00923711" w:rsidRPr="00923711" w:rsidRDefault="00923711" w:rsidP="00923711">
            <w:pPr>
              <w:spacing w:line="259" w:lineRule="auto"/>
              <w:jc w:val="left"/>
            </w:pPr>
            <w:r w:rsidRPr="00923711">
              <w:t>1</w:t>
            </w:r>
          </w:p>
        </w:tc>
        <w:tc>
          <w:tcPr>
            <w:tcW w:w="1531" w:type="dxa"/>
            <w:noWrap/>
            <w:hideMark/>
          </w:tcPr>
          <w:p w14:paraId="1E0B28AE" w14:textId="77777777" w:rsidR="00923711" w:rsidRPr="00923711" w:rsidRDefault="00923711" w:rsidP="00923711">
            <w:pPr>
              <w:spacing w:line="259" w:lineRule="auto"/>
              <w:jc w:val="left"/>
            </w:pPr>
            <w:r w:rsidRPr="00923711">
              <w:t>2</w:t>
            </w:r>
          </w:p>
        </w:tc>
        <w:tc>
          <w:tcPr>
            <w:tcW w:w="1531" w:type="dxa"/>
            <w:noWrap/>
            <w:hideMark/>
          </w:tcPr>
          <w:p w14:paraId="2D2456EE" w14:textId="77777777" w:rsidR="00923711" w:rsidRPr="00923711" w:rsidRDefault="00923711" w:rsidP="00923711">
            <w:pPr>
              <w:spacing w:line="259" w:lineRule="auto"/>
              <w:jc w:val="left"/>
            </w:pPr>
            <w:r w:rsidRPr="00923711">
              <w:t>3</w:t>
            </w:r>
          </w:p>
        </w:tc>
      </w:tr>
      <w:tr w:rsidR="00B14E3D" w:rsidRPr="00923711" w14:paraId="2871B873" w14:textId="77777777" w:rsidTr="005D7515">
        <w:trPr>
          <w:trHeight w:val="20"/>
        </w:trPr>
        <w:tc>
          <w:tcPr>
            <w:tcW w:w="1531" w:type="dxa"/>
            <w:noWrap/>
            <w:hideMark/>
          </w:tcPr>
          <w:p w14:paraId="1CFFC509" w14:textId="77777777" w:rsidR="00923711" w:rsidRPr="00923711" w:rsidRDefault="00923711" w:rsidP="00923711">
            <w:pPr>
              <w:spacing w:line="259" w:lineRule="auto"/>
              <w:jc w:val="left"/>
            </w:pPr>
            <w:r w:rsidRPr="00923711">
              <w:t>16</w:t>
            </w:r>
          </w:p>
        </w:tc>
        <w:tc>
          <w:tcPr>
            <w:tcW w:w="1531" w:type="dxa"/>
            <w:noWrap/>
            <w:hideMark/>
          </w:tcPr>
          <w:p w14:paraId="1B36BB58" w14:textId="77777777" w:rsidR="00923711" w:rsidRPr="00923711" w:rsidRDefault="00923711" w:rsidP="00923711">
            <w:pPr>
              <w:spacing w:line="259" w:lineRule="auto"/>
              <w:jc w:val="left"/>
            </w:pPr>
            <w:r w:rsidRPr="00923711">
              <w:t>0</w:t>
            </w:r>
          </w:p>
        </w:tc>
        <w:tc>
          <w:tcPr>
            <w:tcW w:w="1531" w:type="dxa"/>
            <w:noWrap/>
            <w:hideMark/>
          </w:tcPr>
          <w:p w14:paraId="1DBDE6FA" w14:textId="77777777" w:rsidR="00923711" w:rsidRPr="00923711" w:rsidRDefault="00923711" w:rsidP="00923711">
            <w:pPr>
              <w:spacing w:line="259" w:lineRule="auto"/>
              <w:jc w:val="left"/>
            </w:pPr>
            <w:r w:rsidRPr="00923711">
              <w:t>0</w:t>
            </w:r>
          </w:p>
        </w:tc>
        <w:tc>
          <w:tcPr>
            <w:tcW w:w="1531" w:type="dxa"/>
            <w:noWrap/>
            <w:hideMark/>
          </w:tcPr>
          <w:p w14:paraId="1952CDA7" w14:textId="77777777" w:rsidR="00923711" w:rsidRPr="00923711" w:rsidRDefault="00923711" w:rsidP="00923711">
            <w:pPr>
              <w:spacing w:line="259" w:lineRule="auto"/>
              <w:jc w:val="left"/>
            </w:pPr>
            <w:r w:rsidRPr="00923711">
              <w:t>1</w:t>
            </w:r>
          </w:p>
        </w:tc>
        <w:tc>
          <w:tcPr>
            <w:tcW w:w="1531" w:type="dxa"/>
            <w:noWrap/>
            <w:hideMark/>
          </w:tcPr>
          <w:p w14:paraId="18A8486D" w14:textId="77777777" w:rsidR="00923711" w:rsidRPr="00923711" w:rsidRDefault="00923711" w:rsidP="00923711">
            <w:pPr>
              <w:spacing w:line="259" w:lineRule="auto"/>
              <w:jc w:val="left"/>
            </w:pPr>
            <w:r w:rsidRPr="00923711">
              <w:t>0</w:t>
            </w:r>
          </w:p>
        </w:tc>
        <w:tc>
          <w:tcPr>
            <w:tcW w:w="1531" w:type="dxa"/>
            <w:noWrap/>
            <w:hideMark/>
          </w:tcPr>
          <w:p w14:paraId="0AEF3F63" w14:textId="77777777" w:rsidR="00923711" w:rsidRPr="00923711" w:rsidRDefault="00923711" w:rsidP="00923711">
            <w:pPr>
              <w:spacing w:line="259" w:lineRule="auto"/>
              <w:jc w:val="left"/>
            </w:pPr>
            <w:r w:rsidRPr="00923711">
              <w:t>1</w:t>
            </w:r>
          </w:p>
        </w:tc>
      </w:tr>
      <w:tr w:rsidR="00B14E3D" w:rsidRPr="00923711" w14:paraId="3141817E" w14:textId="77777777" w:rsidTr="005D7515">
        <w:trPr>
          <w:trHeight w:val="20"/>
        </w:trPr>
        <w:tc>
          <w:tcPr>
            <w:tcW w:w="1531" w:type="dxa"/>
            <w:noWrap/>
            <w:hideMark/>
          </w:tcPr>
          <w:p w14:paraId="45931CE9" w14:textId="77777777" w:rsidR="00923711" w:rsidRPr="00923711" w:rsidRDefault="00923711" w:rsidP="00923711">
            <w:pPr>
              <w:spacing w:line="259" w:lineRule="auto"/>
              <w:jc w:val="left"/>
            </w:pPr>
            <w:r w:rsidRPr="00923711">
              <w:t>17</w:t>
            </w:r>
          </w:p>
        </w:tc>
        <w:tc>
          <w:tcPr>
            <w:tcW w:w="1531" w:type="dxa"/>
            <w:noWrap/>
            <w:hideMark/>
          </w:tcPr>
          <w:p w14:paraId="37C8DFB3" w14:textId="77777777" w:rsidR="00923711" w:rsidRPr="00923711" w:rsidRDefault="00923711" w:rsidP="00923711">
            <w:pPr>
              <w:spacing w:line="259" w:lineRule="auto"/>
              <w:jc w:val="left"/>
            </w:pPr>
            <w:r w:rsidRPr="00923711">
              <w:t>0</w:t>
            </w:r>
          </w:p>
        </w:tc>
        <w:tc>
          <w:tcPr>
            <w:tcW w:w="1531" w:type="dxa"/>
            <w:noWrap/>
            <w:hideMark/>
          </w:tcPr>
          <w:p w14:paraId="303AB3B0" w14:textId="77777777" w:rsidR="00923711" w:rsidRPr="00923711" w:rsidRDefault="00923711" w:rsidP="00923711">
            <w:pPr>
              <w:spacing w:line="259" w:lineRule="auto"/>
              <w:jc w:val="left"/>
            </w:pPr>
            <w:r w:rsidRPr="00923711">
              <w:t>0</w:t>
            </w:r>
          </w:p>
        </w:tc>
        <w:tc>
          <w:tcPr>
            <w:tcW w:w="1531" w:type="dxa"/>
            <w:noWrap/>
            <w:hideMark/>
          </w:tcPr>
          <w:p w14:paraId="570C42B9" w14:textId="77777777" w:rsidR="00923711" w:rsidRPr="00923711" w:rsidRDefault="00923711" w:rsidP="00923711">
            <w:pPr>
              <w:spacing w:line="259" w:lineRule="auto"/>
              <w:jc w:val="left"/>
            </w:pPr>
            <w:r w:rsidRPr="00923711">
              <w:t>1</w:t>
            </w:r>
          </w:p>
        </w:tc>
        <w:tc>
          <w:tcPr>
            <w:tcW w:w="1531" w:type="dxa"/>
            <w:noWrap/>
            <w:hideMark/>
          </w:tcPr>
          <w:p w14:paraId="0C68A09B" w14:textId="77777777" w:rsidR="00923711" w:rsidRPr="00923711" w:rsidRDefault="00923711" w:rsidP="00923711">
            <w:pPr>
              <w:spacing w:line="259" w:lineRule="auto"/>
              <w:jc w:val="left"/>
            </w:pPr>
            <w:r w:rsidRPr="00923711">
              <w:t>0</w:t>
            </w:r>
          </w:p>
        </w:tc>
        <w:tc>
          <w:tcPr>
            <w:tcW w:w="1531" w:type="dxa"/>
            <w:noWrap/>
            <w:hideMark/>
          </w:tcPr>
          <w:p w14:paraId="24E61547" w14:textId="77777777" w:rsidR="00923711" w:rsidRPr="00923711" w:rsidRDefault="00923711" w:rsidP="00923711">
            <w:pPr>
              <w:spacing w:line="259" w:lineRule="auto"/>
              <w:jc w:val="left"/>
            </w:pPr>
            <w:r w:rsidRPr="00923711">
              <w:t>1</w:t>
            </w:r>
          </w:p>
        </w:tc>
      </w:tr>
      <w:tr w:rsidR="00B14E3D" w:rsidRPr="00923711" w14:paraId="7AE48375" w14:textId="77777777" w:rsidTr="005D7515">
        <w:trPr>
          <w:trHeight w:val="20"/>
        </w:trPr>
        <w:tc>
          <w:tcPr>
            <w:tcW w:w="1531" w:type="dxa"/>
            <w:noWrap/>
            <w:hideMark/>
          </w:tcPr>
          <w:p w14:paraId="701B21C1" w14:textId="77777777" w:rsidR="00923711" w:rsidRPr="00923711" w:rsidRDefault="00923711" w:rsidP="00923711">
            <w:pPr>
              <w:spacing w:line="259" w:lineRule="auto"/>
              <w:jc w:val="left"/>
            </w:pPr>
            <w:r w:rsidRPr="00923711">
              <w:t>18</w:t>
            </w:r>
          </w:p>
        </w:tc>
        <w:tc>
          <w:tcPr>
            <w:tcW w:w="1531" w:type="dxa"/>
            <w:noWrap/>
            <w:hideMark/>
          </w:tcPr>
          <w:p w14:paraId="5BEADCCD" w14:textId="77777777" w:rsidR="00923711" w:rsidRPr="00923711" w:rsidRDefault="00923711" w:rsidP="00923711">
            <w:pPr>
              <w:spacing w:line="259" w:lineRule="auto"/>
              <w:jc w:val="left"/>
            </w:pPr>
            <w:r w:rsidRPr="00923711">
              <w:t>0</w:t>
            </w:r>
          </w:p>
        </w:tc>
        <w:tc>
          <w:tcPr>
            <w:tcW w:w="1531" w:type="dxa"/>
            <w:noWrap/>
            <w:hideMark/>
          </w:tcPr>
          <w:p w14:paraId="5C258FB2" w14:textId="77777777" w:rsidR="00923711" w:rsidRPr="00923711" w:rsidRDefault="00923711" w:rsidP="00923711">
            <w:pPr>
              <w:spacing w:line="259" w:lineRule="auto"/>
              <w:jc w:val="left"/>
            </w:pPr>
            <w:r w:rsidRPr="00923711">
              <w:t>0</w:t>
            </w:r>
          </w:p>
        </w:tc>
        <w:tc>
          <w:tcPr>
            <w:tcW w:w="1531" w:type="dxa"/>
            <w:noWrap/>
            <w:hideMark/>
          </w:tcPr>
          <w:p w14:paraId="280676BC" w14:textId="77777777" w:rsidR="00923711" w:rsidRPr="00923711" w:rsidRDefault="00923711" w:rsidP="00923711">
            <w:pPr>
              <w:spacing w:line="259" w:lineRule="auto"/>
              <w:jc w:val="left"/>
            </w:pPr>
            <w:r w:rsidRPr="00923711">
              <w:t>1</w:t>
            </w:r>
          </w:p>
        </w:tc>
        <w:tc>
          <w:tcPr>
            <w:tcW w:w="1531" w:type="dxa"/>
            <w:noWrap/>
            <w:hideMark/>
          </w:tcPr>
          <w:p w14:paraId="1B05C053" w14:textId="77777777" w:rsidR="00923711" w:rsidRPr="00923711" w:rsidRDefault="00923711" w:rsidP="00923711">
            <w:pPr>
              <w:spacing w:line="259" w:lineRule="auto"/>
              <w:jc w:val="left"/>
            </w:pPr>
            <w:r w:rsidRPr="00923711">
              <w:t>0</w:t>
            </w:r>
          </w:p>
        </w:tc>
        <w:tc>
          <w:tcPr>
            <w:tcW w:w="1531" w:type="dxa"/>
            <w:noWrap/>
            <w:hideMark/>
          </w:tcPr>
          <w:p w14:paraId="46AFE234" w14:textId="77777777" w:rsidR="00923711" w:rsidRPr="00923711" w:rsidRDefault="00923711" w:rsidP="00923711">
            <w:pPr>
              <w:spacing w:line="259" w:lineRule="auto"/>
              <w:jc w:val="left"/>
            </w:pPr>
            <w:r w:rsidRPr="00923711">
              <w:t>1</w:t>
            </w:r>
          </w:p>
        </w:tc>
      </w:tr>
      <w:tr w:rsidR="00B14E3D" w:rsidRPr="00923711" w14:paraId="1BF3C8E4" w14:textId="77777777" w:rsidTr="005D7515">
        <w:trPr>
          <w:trHeight w:val="20"/>
        </w:trPr>
        <w:tc>
          <w:tcPr>
            <w:tcW w:w="1531" w:type="dxa"/>
            <w:noWrap/>
            <w:hideMark/>
          </w:tcPr>
          <w:p w14:paraId="7BE1475C" w14:textId="77777777" w:rsidR="00923711" w:rsidRPr="00923711" w:rsidRDefault="00923711" w:rsidP="00923711">
            <w:pPr>
              <w:spacing w:line="259" w:lineRule="auto"/>
              <w:jc w:val="left"/>
            </w:pPr>
            <w:r w:rsidRPr="00923711">
              <w:t>NA</w:t>
            </w:r>
          </w:p>
        </w:tc>
        <w:tc>
          <w:tcPr>
            <w:tcW w:w="1531" w:type="dxa"/>
            <w:noWrap/>
            <w:hideMark/>
          </w:tcPr>
          <w:p w14:paraId="0C7B81E5" w14:textId="77777777" w:rsidR="00923711" w:rsidRPr="00923711" w:rsidRDefault="00923711" w:rsidP="00923711">
            <w:pPr>
              <w:spacing w:line="259" w:lineRule="auto"/>
              <w:jc w:val="left"/>
            </w:pPr>
            <w:r w:rsidRPr="00923711">
              <w:t>0</w:t>
            </w:r>
          </w:p>
        </w:tc>
        <w:tc>
          <w:tcPr>
            <w:tcW w:w="1531" w:type="dxa"/>
            <w:noWrap/>
            <w:hideMark/>
          </w:tcPr>
          <w:p w14:paraId="7932F033" w14:textId="77777777" w:rsidR="00923711" w:rsidRPr="00923711" w:rsidRDefault="00923711" w:rsidP="00923711">
            <w:pPr>
              <w:spacing w:line="259" w:lineRule="auto"/>
              <w:jc w:val="left"/>
            </w:pPr>
            <w:r w:rsidRPr="00923711">
              <w:t>9</w:t>
            </w:r>
          </w:p>
        </w:tc>
        <w:tc>
          <w:tcPr>
            <w:tcW w:w="1531" w:type="dxa"/>
            <w:noWrap/>
            <w:hideMark/>
          </w:tcPr>
          <w:p w14:paraId="3235D5B4" w14:textId="77777777" w:rsidR="00923711" w:rsidRPr="00923711" w:rsidRDefault="00923711" w:rsidP="00923711">
            <w:pPr>
              <w:spacing w:line="259" w:lineRule="auto"/>
              <w:jc w:val="left"/>
            </w:pPr>
            <w:r w:rsidRPr="00923711">
              <w:t>19</w:t>
            </w:r>
          </w:p>
        </w:tc>
        <w:tc>
          <w:tcPr>
            <w:tcW w:w="1531" w:type="dxa"/>
            <w:noWrap/>
            <w:hideMark/>
          </w:tcPr>
          <w:p w14:paraId="565439EC" w14:textId="77777777" w:rsidR="00923711" w:rsidRPr="00923711" w:rsidRDefault="00923711" w:rsidP="00923711">
            <w:pPr>
              <w:spacing w:line="259" w:lineRule="auto"/>
              <w:jc w:val="left"/>
            </w:pPr>
            <w:r w:rsidRPr="00923711">
              <w:t>17</w:t>
            </w:r>
          </w:p>
        </w:tc>
        <w:tc>
          <w:tcPr>
            <w:tcW w:w="1531" w:type="dxa"/>
            <w:noWrap/>
            <w:hideMark/>
          </w:tcPr>
          <w:p w14:paraId="783F0346" w14:textId="77777777" w:rsidR="00923711" w:rsidRPr="00923711" w:rsidRDefault="00923711" w:rsidP="00923711">
            <w:pPr>
              <w:spacing w:line="259" w:lineRule="auto"/>
              <w:jc w:val="left"/>
            </w:pPr>
            <w:r w:rsidRPr="00923711">
              <w:t>45</w:t>
            </w:r>
          </w:p>
        </w:tc>
      </w:tr>
      <w:tr w:rsidR="00B14E3D" w:rsidRPr="00923711" w14:paraId="6BA2DB31" w14:textId="77777777" w:rsidTr="005D7515">
        <w:trPr>
          <w:trHeight w:val="20"/>
        </w:trPr>
        <w:tc>
          <w:tcPr>
            <w:tcW w:w="1531" w:type="dxa"/>
            <w:noWrap/>
          </w:tcPr>
          <w:p w14:paraId="1268CDB5" w14:textId="1B39C56E" w:rsidR="00923711" w:rsidRPr="00923711" w:rsidRDefault="00923711" w:rsidP="00923711">
            <w:pPr>
              <w:spacing w:line="259" w:lineRule="auto"/>
              <w:jc w:val="left"/>
            </w:pPr>
            <w:r>
              <w:t>Total</w:t>
            </w:r>
          </w:p>
        </w:tc>
        <w:tc>
          <w:tcPr>
            <w:tcW w:w="1531" w:type="dxa"/>
            <w:noWrap/>
          </w:tcPr>
          <w:p w14:paraId="59A8512C" w14:textId="7A319879" w:rsidR="00923711" w:rsidRPr="00923711" w:rsidRDefault="00923711" w:rsidP="00923711">
            <w:pPr>
              <w:spacing w:line="259" w:lineRule="auto"/>
              <w:jc w:val="left"/>
            </w:pPr>
            <w:r>
              <w:t>16</w:t>
            </w:r>
          </w:p>
        </w:tc>
        <w:tc>
          <w:tcPr>
            <w:tcW w:w="1531" w:type="dxa"/>
            <w:noWrap/>
          </w:tcPr>
          <w:p w14:paraId="293EFC92" w14:textId="3A85E7C3" w:rsidR="00923711" w:rsidRPr="00923711" w:rsidRDefault="00923711" w:rsidP="00923711">
            <w:pPr>
              <w:spacing w:line="259" w:lineRule="auto"/>
              <w:jc w:val="left"/>
            </w:pPr>
            <w:r>
              <w:t>176</w:t>
            </w:r>
          </w:p>
        </w:tc>
        <w:tc>
          <w:tcPr>
            <w:tcW w:w="1531" w:type="dxa"/>
            <w:noWrap/>
          </w:tcPr>
          <w:p w14:paraId="706C42FB" w14:textId="7AE00665" w:rsidR="00923711" w:rsidRPr="00923711" w:rsidRDefault="00923711" w:rsidP="00923711">
            <w:pPr>
              <w:spacing w:line="259" w:lineRule="auto"/>
              <w:jc w:val="left"/>
            </w:pPr>
            <w:r>
              <w:t>207</w:t>
            </w:r>
          </w:p>
        </w:tc>
        <w:tc>
          <w:tcPr>
            <w:tcW w:w="1531" w:type="dxa"/>
            <w:noWrap/>
          </w:tcPr>
          <w:p w14:paraId="04527E24" w14:textId="4AFD8C22" w:rsidR="00923711" w:rsidRPr="00923711" w:rsidRDefault="00923711" w:rsidP="00923711">
            <w:pPr>
              <w:spacing w:line="259" w:lineRule="auto"/>
              <w:jc w:val="left"/>
            </w:pPr>
            <w:r>
              <w:t>186</w:t>
            </w:r>
          </w:p>
        </w:tc>
        <w:tc>
          <w:tcPr>
            <w:tcW w:w="1531" w:type="dxa"/>
            <w:noWrap/>
          </w:tcPr>
          <w:p w14:paraId="6BBDCE5E" w14:textId="77777777" w:rsidR="00923711" w:rsidRPr="00923711" w:rsidRDefault="00923711" w:rsidP="00923711">
            <w:pPr>
              <w:spacing w:line="259" w:lineRule="auto"/>
              <w:jc w:val="left"/>
            </w:pPr>
          </w:p>
        </w:tc>
      </w:tr>
    </w:tbl>
    <w:p w14:paraId="5BE95ED6" w14:textId="77777777" w:rsidR="00375BD2" w:rsidRPr="00C05886" w:rsidRDefault="00375BD2" w:rsidP="00375BD2">
      <w:pPr>
        <w:spacing w:line="259" w:lineRule="auto"/>
        <w:jc w:val="left"/>
      </w:pPr>
      <w:r w:rsidRPr="00C05886">
        <w:br w:type="page"/>
      </w:r>
    </w:p>
    <w:p w14:paraId="31F68752" w14:textId="059E3934" w:rsidR="00375BD2" w:rsidRPr="00C05886" w:rsidRDefault="00375BD2" w:rsidP="00375BD2">
      <w:pPr>
        <w:pStyle w:val="Heading2"/>
        <w:spacing w:line="240" w:lineRule="auto"/>
      </w:pPr>
      <w:bookmarkStart w:id="193" w:name="_Toc179962429"/>
      <w:r w:rsidRPr="00C05886">
        <w:lastRenderedPageBreak/>
        <w:t>Chapter 5 – Supporti</w:t>
      </w:r>
      <w:r w:rsidR="00B13794" w:rsidRPr="00C05886">
        <w:t>ng</w:t>
      </w:r>
      <w:r w:rsidRPr="00C05886">
        <w:t xml:space="preserve"> information</w:t>
      </w:r>
      <w:bookmarkEnd w:id="193"/>
    </w:p>
    <w:p w14:paraId="7AE41C0D" w14:textId="469265E8" w:rsidR="00375BD2" w:rsidRPr="00C05886" w:rsidRDefault="00375BD2" w:rsidP="00375BD2">
      <w:pPr>
        <w:pStyle w:val="Caption"/>
        <w:keepNext/>
        <w:rPr>
          <w:i w:val="0"/>
          <w:iCs w:val="0"/>
          <w:color w:val="auto"/>
        </w:rPr>
      </w:pPr>
      <w:r w:rsidRPr="00C05886">
        <w:rPr>
          <w:b/>
          <w:bCs/>
          <w:i w:val="0"/>
          <w:iCs w:val="0"/>
          <w:color w:val="auto"/>
        </w:rPr>
        <w:t>Table S</w:t>
      </w:r>
      <w:r w:rsidR="00B62F3A" w:rsidRPr="00C05886">
        <w:rPr>
          <w:b/>
          <w:bCs/>
          <w:i w:val="0"/>
          <w:iCs w:val="0"/>
          <w:color w:val="auto"/>
        </w:rPr>
        <w:t>1</w:t>
      </w:r>
      <w:r w:rsidRPr="00C05886">
        <w:rPr>
          <w:b/>
          <w:bCs/>
          <w:i w:val="0"/>
          <w:iCs w:val="0"/>
          <w:color w:val="auto"/>
        </w:rPr>
        <w:t>.</w:t>
      </w:r>
      <w:r w:rsidRPr="00C05886">
        <w:rPr>
          <w:i w:val="0"/>
          <w:iCs w:val="0"/>
          <w:color w:val="auto"/>
        </w:rPr>
        <w:t xml:space="preserve"> Plant taxa surveyed in the urban woodland study area</w:t>
      </w:r>
    </w:p>
    <w:tbl>
      <w:tblPr>
        <w:tblStyle w:val="9"/>
        <w:tblW w:w="77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800"/>
        <w:gridCol w:w="2920"/>
      </w:tblGrid>
      <w:tr w:rsidR="00375BD2" w:rsidRPr="00C05886" w14:paraId="2BD35250" w14:textId="77777777" w:rsidTr="000431B3">
        <w:trPr>
          <w:trHeight w:val="300"/>
        </w:trPr>
        <w:tc>
          <w:tcPr>
            <w:tcW w:w="4800" w:type="dxa"/>
          </w:tcPr>
          <w:p w14:paraId="1C152AD7" w14:textId="77777777" w:rsidR="00375BD2" w:rsidRPr="00C05886" w:rsidRDefault="00375BD2" w:rsidP="00375BD2">
            <w:pPr>
              <w:spacing w:line="240" w:lineRule="auto"/>
              <w:rPr>
                <w:b/>
              </w:rPr>
            </w:pPr>
            <w:r w:rsidRPr="00C05886">
              <w:rPr>
                <w:b/>
              </w:rPr>
              <w:t>Species</w:t>
            </w:r>
          </w:p>
        </w:tc>
        <w:tc>
          <w:tcPr>
            <w:tcW w:w="2920" w:type="dxa"/>
          </w:tcPr>
          <w:p w14:paraId="7319475B" w14:textId="77777777" w:rsidR="00375BD2" w:rsidRPr="00C05886" w:rsidRDefault="00375BD2" w:rsidP="00375BD2">
            <w:pPr>
              <w:spacing w:line="240" w:lineRule="auto"/>
              <w:rPr>
                <w:b/>
              </w:rPr>
            </w:pPr>
            <w:r w:rsidRPr="00C05886">
              <w:rPr>
                <w:b/>
              </w:rPr>
              <w:t>Distance from the camera</w:t>
            </w:r>
          </w:p>
        </w:tc>
      </w:tr>
      <w:tr w:rsidR="00375BD2" w:rsidRPr="00C05886" w14:paraId="7307B30E" w14:textId="77777777" w:rsidTr="000431B3">
        <w:trPr>
          <w:trHeight w:val="300"/>
        </w:trPr>
        <w:tc>
          <w:tcPr>
            <w:tcW w:w="4800" w:type="dxa"/>
          </w:tcPr>
          <w:p w14:paraId="6509A266" w14:textId="77777777" w:rsidR="00375BD2" w:rsidRPr="00C05886" w:rsidRDefault="00375BD2" w:rsidP="00375BD2">
            <w:pPr>
              <w:spacing w:line="240" w:lineRule="auto"/>
              <w:rPr>
                <w:i/>
              </w:rPr>
            </w:pPr>
            <w:r w:rsidRPr="00C05886">
              <w:rPr>
                <w:i/>
              </w:rPr>
              <w:t xml:space="preserve">Acer </w:t>
            </w:r>
            <w:proofErr w:type="spellStart"/>
            <w:r w:rsidRPr="00C05886">
              <w:rPr>
                <w:i/>
              </w:rPr>
              <w:t>campestre</w:t>
            </w:r>
            <w:proofErr w:type="spellEnd"/>
          </w:p>
        </w:tc>
        <w:tc>
          <w:tcPr>
            <w:tcW w:w="2920" w:type="dxa"/>
          </w:tcPr>
          <w:p w14:paraId="3DA80D01" w14:textId="77777777" w:rsidR="00375BD2" w:rsidRPr="00C05886" w:rsidRDefault="00375BD2" w:rsidP="00375BD2">
            <w:pPr>
              <w:spacing w:line="240" w:lineRule="auto"/>
            </w:pPr>
            <w:r w:rsidRPr="00C05886">
              <w:t>Far &gt; 5m</w:t>
            </w:r>
          </w:p>
        </w:tc>
      </w:tr>
      <w:tr w:rsidR="00375BD2" w:rsidRPr="00C05886" w14:paraId="256EC8FE" w14:textId="77777777" w:rsidTr="000431B3">
        <w:trPr>
          <w:trHeight w:val="300"/>
        </w:trPr>
        <w:tc>
          <w:tcPr>
            <w:tcW w:w="4800" w:type="dxa"/>
          </w:tcPr>
          <w:p w14:paraId="096D1C2C" w14:textId="77777777" w:rsidR="00375BD2" w:rsidRPr="00C05886" w:rsidRDefault="00375BD2" w:rsidP="00375BD2">
            <w:pPr>
              <w:spacing w:line="240" w:lineRule="auto"/>
              <w:rPr>
                <w:i/>
              </w:rPr>
            </w:pPr>
            <w:r w:rsidRPr="00C05886">
              <w:rPr>
                <w:i/>
              </w:rPr>
              <w:t>Acer sp.</w:t>
            </w:r>
          </w:p>
        </w:tc>
        <w:tc>
          <w:tcPr>
            <w:tcW w:w="2920" w:type="dxa"/>
          </w:tcPr>
          <w:p w14:paraId="39DE6FAB" w14:textId="77777777" w:rsidR="00375BD2" w:rsidRPr="00C05886" w:rsidRDefault="00375BD2" w:rsidP="00375BD2">
            <w:pPr>
              <w:spacing w:line="240" w:lineRule="auto"/>
            </w:pPr>
            <w:r w:rsidRPr="00C05886">
              <w:t>Close &lt; 5m</w:t>
            </w:r>
          </w:p>
        </w:tc>
      </w:tr>
      <w:tr w:rsidR="00375BD2" w:rsidRPr="00C05886" w14:paraId="696CD1A8" w14:textId="77777777" w:rsidTr="000431B3">
        <w:trPr>
          <w:trHeight w:val="300"/>
        </w:trPr>
        <w:tc>
          <w:tcPr>
            <w:tcW w:w="4800" w:type="dxa"/>
          </w:tcPr>
          <w:p w14:paraId="262171E5" w14:textId="77777777" w:rsidR="00375BD2" w:rsidRPr="00C05886" w:rsidRDefault="00375BD2" w:rsidP="00375BD2">
            <w:pPr>
              <w:spacing w:line="240" w:lineRule="auto"/>
              <w:rPr>
                <w:i/>
              </w:rPr>
            </w:pPr>
            <w:r w:rsidRPr="00C05886">
              <w:rPr>
                <w:i/>
              </w:rPr>
              <w:t>Aesculus hippocastanum</w:t>
            </w:r>
          </w:p>
        </w:tc>
        <w:tc>
          <w:tcPr>
            <w:tcW w:w="2920" w:type="dxa"/>
          </w:tcPr>
          <w:p w14:paraId="6C1B2BD1" w14:textId="77777777" w:rsidR="00375BD2" w:rsidRPr="00C05886" w:rsidRDefault="00375BD2" w:rsidP="00375BD2">
            <w:pPr>
              <w:spacing w:line="240" w:lineRule="auto"/>
            </w:pPr>
            <w:r w:rsidRPr="00C05886">
              <w:t>Far &gt; 5m</w:t>
            </w:r>
          </w:p>
        </w:tc>
      </w:tr>
      <w:tr w:rsidR="00375BD2" w:rsidRPr="00C05886" w14:paraId="50F58DF9" w14:textId="77777777" w:rsidTr="000431B3">
        <w:trPr>
          <w:trHeight w:val="300"/>
        </w:trPr>
        <w:tc>
          <w:tcPr>
            <w:tcW w:w="4800" w:type="dxa"/>
          </w:tcPr>
          <w:p w14:paraId="0EB4070E" w14:textId="77777777" w:rsidR="00375BD2" w:rsidRPr="00C05886" w:rsidRDefault="00375BD2" w:rsidP="00375BD2">
            <w:pPr>
              <w:spacing w:line="240" w:lineRule="auto"/>
              <w:rPr>
                <w:i/>
              </w:rPr>
            </w:pPr>
            <w:r w:rsidRPr="00C05886">
              <w:rPr>
                <w:i/>
              </w:rPr>
              <w:t>Anthriscus sylvestris</w:t>
            </w:r>
          </w:p>
        </w:tc>
        <w:tc>
          <w:tcPr>
            <w:tcW w:w="2920" w:type="dxa"/>
          </w:tcPr>
          <w:p w14:paraId="2B7F6294" w14:textId="77777777" w:rsidR="00375BD2" w:rsidRPr="00C05886" w:rsidRDefault="00375BD2" w:rsidP="00375BD2">
            <w:pPr>
              <w:spacing w:line="240" w:lineRule="auto"/>
            </w:pPr>
            <w:r w:rsidRPr="00C05886">
              <w:t>Far &gt; 5m</w:t>
            </w:r>
          </w:p>
        </w:tc>
      </w:tr>
      <w:tr w:rsidR="00375BD2" w:rsidRPr="00C05886" w14:paraId="67E16693" w14:textId="77777777" w:rsidTr="000431B3">
        <w:trPr>
          <w:trHeight w:val="300"/>
        </w:trPr>
        <w:tc>
          <w:tcPr>
            <w:tcW w:w="4800" w:type="dxa"/>
          </w:tcPr>
          <w:p w14:paraId="77546ADC" w14:textId="77777777" w:rsidR="00375BD2" w:rsidRPr="00C05886" w:rsidRDefault="00375BD2" w:rsidP="00375BD2">
            <w:pPr>
              <w:spacing w:line="240" w:lineRule="auto"/>
              <w:rPr>
                <w:i/>
              </w:rPr>
            </w:pPr>
            <w:r w:rsidRPr="00C05886">
              <w:rPr>
                <w:i/>
              </w:rPr>
              <w:t>Berberis sp.</w:t>
            </w:r>
          </w:p>
        </w:tc>
        <w:tc>
          <w:tcPr>
            <w:tcW w:w="2920" w:type="dxa"/>
          </w:tcPr>
          <w:p w14:paraId="7C947F37" w14:textId="77777777" w:rsidR="00375BD2" w:rsidRPr="00C05886" w:rsidRDefault="00375BD2" w:rsidP="00375BD2">
            <w:pPr>
              <w:spacing w:line="240" w:lineRule="auto"/>
            </w:pPr>
            <w:r w:rsidRPr="00C05886">
              <w:t>Close &lt; 5m</w:t>
            </w:r>
          </w:p>
        </w:tc>
      </w:tr>
      <w:tr w:rsidR="00375BD2" w:rsidRPr="00C05886" w14:paraId="1AFAD203" w14:textId="77777777" w:rsidTr="000431B3">
        <w:trPr>
          <w:trHeight w:val="300"/>
        </w:trPr>
        <w:tc>
          <w:tcPr>
            <w:tcW w:w="4800" w:type="dxa"/>
          </w:tcPr>
          <w:p w14:paraId="4D291082" w14:textId="77777777" w:rsidR="00375BD2" w:rsidRPr="00C05886" w:rsidRDefault="00375BD2" w:rsidP="00375BD2">
            <w:pPr>
              <w:spacing w:line="240" w:lineRule="auto"/>
              <w:rPr>
                <w:i/>
              </w:rPr>
            </w:pPr>
            <w:proofErr w:type="spellStart"/>
            <w:r w:rsidRPr="00C05886">
              <w:rPr>
                <w:i/>
              </w:rPr>
              <w:t>Bluddleja</w:t>
            </w:r>
            <w:proofErr w:type="spellEnd"/>
            <w:r w:rsidRPr="00C05886">
              <w:rPr>
                <w:i/>
              </w:rPr>
              <w:t xml:space="preserve"> </w:t>
            </w:r>
            <w:proofErr w:type="spellStart"/>
            <w:r w:rsidRPr="00C05886">
              <w:rPr>
                <w:i/>
              </w:rPr>
              <w:t>davidii</w:t>
            </w:r>
            <w:proofErr w:type="spellEnd"/>
          </w:p>
        </w:tc>
        <w:tc>
          <w:tcPr>
            <w:tcW w:w="2920" w:type="dxa"/>
          </w:tcPr>
          <w:p w14:paraId="3B6B35C6" w14:textId="77777777" w:rsidR="00375BD2" w:rsidRPr="00C05886" w:rsidRDefault="00375BD2" w:rsidP="00375BD2">
            <w:pPr>
              <w:spacing w:line="240" w:lineRule="auto"/>
            </w:pPr>
            <w:r w:rsidRPr="00C05886">
              <w:t>Far &gt; 5m</w:t>
            </w:r>
          </w:p>
        </w:tc>
      </w:tr>
      <w:tr w:rsidR="00375BD2" w:rsidRPr="00C05886" w14:paraId="477303DD" w14:textId="77777777" w:rsidTr="000431B3">
        <w:trPr>
          <w:trHeight w:val="300"/>
        </w:trPr>
        <w:tc>
          <w:tcPr>
            <w:tcW w:w="4800" w:type="dxa"/>
          </w:tcPr>
          <w:p w14:paraId="235771D7" w14:textId="77777777" w:rsidR="00375BD2" w:rsidRPr="00C05886" w:rsidRDefault="00375BD2" w:rsidP="00375BD2">
            <w:pPr>
              <w:spacing w:line="240" w:lineRule="auto"/>
              <w:rPr>
                <w:i/>
              </w:rPr>
            </w:pPr>
            <w:proofErr w:type="spellStart"/>
            <w:r w:rsidRPr="00C05886">
              <w:rPr>
                <w:i/>
              </w:rPr>
              <w:t>Carex</w:t>
            </w:r>
            <w:proofErr w:type="spellEnd"/>
            <w:r w:rsidRPr="00C05886">
              <w:rPr>
                <w:i/>
              </w:rPr>
              <w:t xml:space="preserve"> sp.</w:t>
            </w:r>
          </w:p>
        </w:tc>
        <w:tc>
          <w:tcPr>
            <w:tcW w:w="2920" w:type="dxa"/>
          </w:tcPr>
          <w:p w14:paraId="6CB71A26" w14:textId="77777777" w:rsidR="00375BD2" w:rsidRPr="00C05886" w:rsidRDefault="00375BD2" w:rsidP="00375BD2">
            <w:pPr>
              <w:spacing w:line="240" w:lineRule="auto"/>
            </w:pPr>
            <w:r w:rsidRPr="00C05886">
              <w:t>Close &lt; 5m</w:t>
            </w:r>
          </w:p>
        </w:tc>
      </w:tr>
      <w:tr w:rsidR="00375BD2" w:rsidRPr="00C05886" w14:paraId="4ADEEC6F" w14:textId="77777777" w:rsidTr="000431B3">
        <w:trPr>
          <w:trHeight w:val="300"/>
        </w:trPr>
        <w:tc>
          <w:tcPr>
            <w:tcW w:w="4800" w:type="dxa"/>
          </w:tcPr>
          <w:p w14:paraId="22680A08" w14:textId="77777777" w:rsidR="00375BD2" w:rsidRPr="00C05886" w:rsidRDefault="00375BD2" w:rsidP="00375BD2">
            <w:pPr>
              <w:spacing w:line="240" w:lineRule="auto"/>
              <w:rPr>
                <w:i/>
              </w:rPr>
            </w:pPr>
            <w:r w:rsidRPr="00C05886">
              <w:rPr>
                <w:i/>
              </w:rPr>
              <w:t>Corylus avellana</w:t>
            </w:r>
          </w:p>
        </w:tc>
        <w:tc>
          <w:tcPr>
            <w:tcW w:w="2920" w:type="dxa"/>
          </w:tcPr>
          <w:p w14:paraId="0C559918" w14:textId="77777777" w:rsidR="00375BD2" w:rsidRPr="00C05886" w:rsidRDefault="00375BD2" w:rsidP="00375BD2">
            <w:pPr>
              <w:spacing w:line="240" w:lineRule="auto"/>
            </w:pPr>
            <w:r w:rsidRPr="00C05886">
              <w:t>Close &lt; 5m</w:t>
            </w:r>
          </w:p>
        </w:tc>
      </w:tr>
      <w:tr w:rsidR="00375BD2" w:rsidRPr="00C05886" w14:paraId="4F63AFFE" w14:textId="77777777" w:rsidTr="000431B3">
        <w:trPr>
          <w:trHeight w:val="300"/>
        </w:trPr>
        <w:tc>
          <w:tcPr>
            <w:tcW w:w="4800" w:type="dxa"/>
          </w:tcPr>
          <w:p w14:paraId="6521396F" w14:textId="77777777" w:rsidR="00375BD2" w:rsidRPr="00C05886" w:rsidRDefault="00375BD2" w:rsidP="00375BD2">
            <w:pPr>
              <w:spacing w:line="240" w:lineRule="auto"/>
              <w:rPr>
                <w:i/>
              </w:rPr>
            </w:pPr>
            <w:r w:rsidRPr="00C05886">
              <w:rPr>
                <w:i/>
              </w:rPr>
              <w:t>Crataegus monogyna</w:t>
            </w:r>
          </w:p>
        </w:tc>
        <w:tc>
          <w:tcPr>
            <w:tcW w:w="2920" w:type="dxa"/>
          </w:tcPr>
          <w:p w14:paraId="46A552BB" w14:textId="77777777" w:rsidR="00375BD2" w:rsidRPr="00C05886" w:rsidRDefault="00375BD2" w:rsidP="00375BD2">
            <w:pPr>
              <w:spacing w:line="240" w:lineRule="auto"/>
            </w:pPr>
            <w:r w:rsidRPr="00C05886">
              <w:t>Close &lt; 5m</w:t>
            </w:r>
          </w:p>
        </w:tc>
      </w:tr>
      <w:tr w:rsidR="00375BD2" w:rsidRPr="00C05886" w14:paraId="07B23D4D" w14:textId="77777777" w:rsidTr="000431B3">
        <w:trPr>
          <w:trHeight w:val="300"/>
        </w:trPr>
        <w:tc>
          <w:tcPr>
            <w:tcW w:w="4800" w:type="dxa"/>
          </w:tcPr>
          <w:p w14:paraId="3E6377DE" w14:textId="77777777" w:rsidR="00375BD2" w:rsidRPr="00C05886" w:rsidRDefault="00375BD2" w:rsidP="00375BD2">
            <w:pPr>
              <w:spacing w:line="240" w:lineRule="auto"/>
              <w:rPr>
                <w:i/>
              </w:rPr>
            </w:pPr>
            <w:r w:rsidRPr="00C05886">
              <w:rPr>
                <w:i/>
              </w:rPr>
              <w:t>Fagus sylvatica</w:t>
            </w:r>
          </w:p>
        </w:tc>
        <w:tc>
          <w:tcPr>
            <w:tcW w:w="2920" w:type="dxa"/>
          </w:tcPr>
          <w:p w14:paraId="08FA5C43" w14:textId="77777777" w:rsidR="00375BD2" w:rsidRPr="00C05886" w:rsidRDefault="00375BD2" w:rsidP="00375BD2">
            <w:pPr>
              <w:spacing w:line="240" w:lineRule="auto"/>
            </w:pPr>
            <w:r w:rsidRPr="00C05886">
              <w:t>Close &lt; 5m</w:t>
            </w:r>
          </w:p>
        </w:tc>
      </w:tr>
      <w:tr w:rsidR="00375BD2" w:rsidRPr="00C05886" w14:paraId="4A17C967" w14:textId="77777777" w:rsidTr="000431B3">
        <w:trPr>
          <w:trHeight w:val="300"/>
        </w:trPr>
        <w:tc>
          <w:tcPr>
            <w:tcW w:w="4800" w:type="dxa"/>
          </w:tcPr>
          <w:p w14:paraId="5BE666F9" w14:textId="77777777" w:rsidR="00375BD2" w:rsidRPr="00C05886" w:rsidRDefault="00375BD2" w:rsidP="00375BD2">
            <w:pPr>
              <w:spacing w:line="240" w:lineRule="auto"/>
              <w:rPr>
                <w:i/>
              </w:rPr>
            </w:pPr>
            <w:r w:rsidRPr="00C05886">
              <w:rPr>
                <w:i/>
              </w:rPr>
              <w:t xml:space="preserve">Geum </w:t>
            </w:r>
            <w:proofErr w:type="spellStart"/>
            <w:r w:rsidRPr="00C05886">
              <w:rPr>
                <w:i/>
              </w:rPr>
              <w:t>urbanum</w:t>
            </w:r>
            <w:proofErr w:type="spellEnd"/>
            <w:r w:rsidRPr="00C05886">
              <w:rPr>
                <w:i/>
              </w:rPr>
              <w:t xml:space="preserve"> </w:t>
            </w:r>
          </w:p>
        </w:tc>
        <w:tc>
          <w:tcPr>
            <w:tcW w:w="2920" w:type="dxa"/>
          </w:tcPr>
          <w:p w14:paraId="31093A8C" w14:textId="77777777" w:rsidR="00375BD2" w:rsidRPr="00C05886" w:rsidRDefault="00375BD2" w:rsidP="00375BD2">
            <w:pPr>
              <w:spacing w:line="240" w:lineRule="auto"/>
            </w:pPr>
            <w:r w:rsidRPr="00C05886">
              <w:t>Close &lt; 5m</w:t>
            </w:r>
          </w:p>
        </w:tc>
      </w:tr>
      <w:tr w:rsidR="00375BD2" w:rsidRPr="00C05886" w14:paraId="74DB15D0" w14:textId="77777777" w:rsidTr="000431B3">
        <w:trPr>
          <w:trHeight w:val="300"/>
        </w:trPr>
        <w:tc>
          <w:tcPr>
            <w:tcW w:w="4800" w:type="dxa"/>
          </w:tcPr>
          <w:p w14:paraId="0D964545" w14:textId="77777777" w:rsidR="00375BD2" w:rsidRPr="00C05886" w:rsidRDefault="00375BD2" w:rsidP="00375BD2">
            <w:pPr>
              <w:spacing w:line="240" w:lineRule="auto"/>
              <w:rPr>
                <w:i/>
              </w:rPr>
            </w:pPr>
            <w:r w:rsidRPr="00C05886">
              <w:rPr>
                <w:i/>
              </w:rPr>
              <w:t>Hedera helix</w:t>
            </w:r>
          </w:p>
        </w:tc>
        <w:tc>
          <w:tcPr>
            <w:tcW w:w="2920" w:type="dxa"/>
          </w:tcPr>
          <w:p w14:paraId="58EC1B2B" w14:textId="77777777" w:rsidR="00375BD2" w:rsidRPr="00C05886" w:rsidRDefault="00375BD2" w:rsidP="00375BD2">
            <w:pPr>
              <w:spacing w:line="240" w:lineRule="auto"/>
            </w:pPr>
            <w:r w:rsidRPr="00C05886">
              <w:t>Close &lt; 5m</w:t>
            </w:r>
          </w:p>
        </w:tc>
      </w:tr>
      <w:tr w:rsidR="00375BD2" w:rsidRPr="00C05886" w14:paraId="55E78355" w14:textId="77777777" w:rsidTr="000431B3">
        <w:trPr>
          <w:trHeight w:val="300"/>
        </w:trPr>
        <w:tc>
          <w:tcPr>
            <w:tcW w:w="4800" w:type="dxa"/>
          </w:tcPr>
          <w:p w14:paraId="13E0BA8F" w14:textId="77777777" w:rsidR="00375BD2" w:rsidRPr="00C05886" w:rsidRDefault="00375BD2" w:rsidP="00375BD2">
            <w:pPr>
              <w:spacing w:line="240" w:lineRule="auto"/>
              <w:rPr>
                <w:i/>
              </w:rPr>
            </w:pPr>
            <w:r w:rsidRPr="00C05886">
              <w:rPr>
                <w:i/>
              </w:rPr>
              <w:t xml:space="preserve">Hyacinthoides </w:t>
            </w:r>
            <w:proofErr w:type="spellStart"/>
            <w:r w:rsidRPr="00C05886">
              <w:rPr>
                <w:i/>
              </w:rPr>
              <w:t>hyspanica</w:t>
            </w:r>
            <w:proofErr w:type="spellEnd"/>
          </w:p>
        </w:tc>
        <w:tc>
          <w:tcPr>
            <w:tcW w:w="2920" w:type="dxa"/>
          </w:tcPr>
          <w:p w14:paraId="2F61CC4D" w14:textId="77777777" w:rsidR="00375BD2" w:rsidRPr="00C05886" w:rsidRDefault="00375BD2" w:rsidP="00375BD2">
            <w:pPr>
              <w:spacing w:line="240" w:lineRule="auto"/>
            </w:pPr>
            <w:r w:rsidRPr="00C05886">
              <w:t>Far &gt; 5m</w:t>
            </w:r>
          </w:p>
        </w:tc>
      </w:tr>
      <w:tr w:rsidR="00375BD2" w:rsidRPr="00C05886" w14:paraId="12FFF432" w14:textId="77777777" w:rsidTr="000431B3">
        <w:trPr>
          <w:trHeight w:val="300"/>
        </w:trPr>
        <w:tc>
          <w:tcPr>
            <w:tcW w:w="4800" w:type="dxa"/>
          </w:tcPr>
          <w:p w14:paraId="2DA63A28" w14:textId="77777777" w:rsidR="00375BD2" w:rsidRPr="00C05886" w:rsidRDefault="00375BD2" w:rsidP="00375BD2">
            <w:pPr>
              <w:spacing w:line="240" w:lineRule="auto"/>
              <w:rPr>
                <w:i/>
              </w:rPr>
            </w:pPr>
            <w:r w:rsidRPr="00C05886">
              <w:rPr>
                <w:i/>
              </w:rPr>
              <w:t>Hyacinthoides non-scripta</w:t>
            </w:r>
          </w:p>
        </w:tc>
        <w:tc>
          <w:tcPr>
            <w:tcW w:w="2920" w:type="dxa"/>
          </w:tcPr>
          <w:p w14:paraId="5D11E80C" w14:textId="77777777" w:rsidR="00375BD2" w:rsidRPr="00C05886" w:rsidRDefault="00375BD2" w:rsidP="00375BD2">
            <w:pPr>
              <w:spacing w:line="240" w:lineRule="auto"/>
            </w:pPr>
            <w:r w:rsidRPr="00C05886">
              <w:t>Close &lt; 5m</w:t>
            </w:r>
          </w:p>
        </w:tc>
      </w:tr>
      <w:tr w:rsidR="00375BD2" w:rsidRPr="00C05886" w14:paraId="6726CAD1" w14:textId="77777777" w:rsidTr="000431B3">
        <w:trPr>
          <w:trHeight w:val="300"/>
        </w:trPr>
        <w:tc>
          <w:tcPr>
            <w:tcW w:w="4800" w:type="dxa"/>
          </w:tcPr>
          <w:p w14:paraId="0047E1DB" w14:textId="77777777" w:rsidR="00375BD2" w:rsidRPr="00C05886" w:rsidRDefault="00375BD2" w:rsidP="00375BD2">
            <w:pPr>
              <w:spacing w:line="240" w:lineRule="auto"/>
              <w:rPr>
                <w:i/>
              </w:rPr>
            </w:pPr>
            <w:r w:rsidRPr="00C05886">
              <w:rPr>
                <w:i/>
              </w:rPr>
              <w:t xml:space="preserve">Ilex </w:t>
            </w:r>
            <w:proofErr w:type="spellStart"/>
            <w:r w:rsidRPr="00C05886">
              <w:rPr>
                <w:i/>
              </w:rPr>
              <w:t>aquifolium</w:t>
            </w:r>
            <w:proofErr w:type="spellEnd"/>
          </w:p>
        </w:tc>
        <w:tc>
          <w:tcPr>
            <w:tcW w:w="2920" w:type="dxa"/>
          </w:tcPr>
          <w:p w14:paraId="60B0512B" w14:textId="77777777" w:rsidR="00375BD2" w:rsidRPr="00C05886" w:rsidRDefault="00375BD2" w:rsidP="00375BD2">
            <w:pPr>
              <w:spacing w:line="240" w:lineRule="auto"/>
            </w:pPr>
            <w:r w:rsidRPr="00C05886">
              <w:t>Close &lt; 5m</w:t>
            </w:r>
          </w:p>
        </w:tc>
      </w:tr>
      <w:tr w:rsidR="00375BD2" w:rsidRPr="00C05886" w14:paraId="08253298" w14:textId="77777777" w:rsidTr="000431B3">
        <w:trPr>
          <w:trHeight w:val="300"/>
        </w:trPr>
        <w:tc>
          <w:tcPr>
            <w:tcW w:w="4800" w:type="dxa"/>
          </w:tcPr>
          <w:p w14:paraId="563FA73D" w14:textId="77777777" w:rsidR="00375BD2" w:rsidRPr="00C05886" w:rsidRDefault="00375BD2" w:rsidP="00375BD2">
            <w:pPr>
              <w:spacing w:line="240" w:lineRule="auto"/>
              <w:rPr>
                <w:i/>
              </w:rPr>
            </w:pPr>
            <w:proofErr w:type="spellStart"/>
            <w:r w:rsidRPr="00C05886">
              <w:rPr>
                <w:i/>
              </w:rPr>
              <w:t>Leycesteria</w:t>
            </w:r>
            <w:proofErr w:type="spellEnd"/>
            <w:r w:rsidRPr="00C05886">
              <w:rPr>
                <w:i/>
              </w:rPr>
              <w:t xml:space="preserve"> </w:t>
            </w:r>
            <w:proofErr w:type="spellStart"/>
            <w:r w:rsidRPr="00C05886">
              <w:rPr>
                <w:i/>
              </w:rPr>
              <w:t>formosa</w:t>
            </w:r>
            <w:proofErr w:type="spellEnd"/>
          </w:p>
        </w:tc>
        <w:tc>
          <w:tcPr>
            <w:tcW w:w="2920" w:type="dxa"/>
          </w:tcPr>
          <w:p w14:paraId="62FFBDE7" w14:textId="77777777" w:rsidR="00375BD2" w:rsidRPr="00C05886" w:rsidRDefault="00375BD2" w:rsidP="00375BD2">
            <w:pPr>
              <w:spacing w:line="240" w:lineRule="auto"/>
            </w:pPr>
            <w:r w:rsidRPr="00C05886">
              <w:t>Far &gt; 5m</w:t>
            </w:r>
          </w:p>
        </w:tc>
      </w:tr>
      <w:tr w:rsidR="00375BD2" w:rsidRPr="00C05886" w14:paraId="2956FFA6" w14:textId="77777777" w:rsidTr="000431B3">
        <w:trPr>
          <w:trHeight w:val="300"/>
        </w:trPr>
        <w:tc>
          <w:tcPr>
            <w:tcW w:w="4800" w:type="dxa"/>
          </w:tcPr>
          <w:p w14:paraId="1612A55F" w14:textId="77777777" w:rsidR="00375BD2" w:rsidRPr="00C05886" w:rsidRDefault="00375BD2" w:rsidP="00375BD2">
            <w:pPr>
              <w:spacing w:line="240" w:lineRule="auto"/>
              <w:rPr>
                <w:i/>
              </w:rPr>
            </w:pPr>
            <w:r w:rsidRPr="00C05886">
              <w:rPr>
                <w:i/>
              </w:rPr>
              <w:t>Lonicera nitida</w:t>
            </w:r>
          </w:p>
        </w:tc>
        <w:tc>
          <w:tcPr>
            <w:tcW w:w="2920" w:type="dxa"/>
          </w:tcPr>
          <w:p w14:paraId="645EF12C" w14:textId="77777777" w:rsidR="00375BD2" w:rsidRPr="00C05886" w:rsidRDefault="00375BD2" w:rsidP="00375BD2">
            <w:pPr>
              <w:spacing w:line="240" w:lineRule="auto"/>
            </w:pPr>
            <w:r w:rsidRPr="00C05886">
              <w:t>Far &gt; 5m</w:t>
            </w:r>
          </w:p>
        </w:tc>
      </w:tr>
      <w:tr w:rsidR="00375BD2" w:rsidRPr="00C05886" w14:paraId="2C257FF4" w14:textId="77777777" w:rsidTr="000431B3">
        <w:trPr>
          <w:trHeight w:val="300"/>
        </w:trPr>
        <w:tc>
          <w:tcPr>
            <w:tcW w:w="4800" w:type="dxa"/>
          </w:tcPr>
          <w:p w14:paraId="099A54E8" w14:textId="77777777" w:rsidR="00375BD2" w:rsidRPr="00C05886" w:rsidRDefault="00375BD2" w:rsidP="00375BD2">
            <w:pPr>
              <w:spacing w:line="240" w:lineRule="auto"/>
              <w:rPr>
                <w:i/>
              </w:rPr>
            </w:pPr>
            <w:r w:rsidRPr="00C05886">
              <w:rPr>
                <w:i/>
              </w:rPr>
              <w:t>Malus sylvestris</w:t>
            </w:r>
          </w:p>
        </w:tc>
        <w:tc>
          <w:tcPr>
            <w:tcW w:w="2920" w:type="dxa"/>
          </w:tcPr>
          <w:p w14:paraId="00B7F458" w14:textId="77777777" w:rsidR="00375BD2" w:rsidRPr="00C05886" w:rsidRDefault="00375BD2" w:rsidP="00375BD2">
            <w:pPr>
              <w:spacing w:line="240" w:lineRule="auto"/>
            </w:pPr>
            <w:r w:rsidRPr="00C05886">
              <w:t>Far &gt; 5m</w:t>
            </w:r>
          </w:p>
        </w:tc>
      </w:tr>
      <w:tr w:rsidR="00375BD2" w:rsidRPr="00C05886" w14:paraId="3799D8BD" w14:textId="77777777" w:rsidTr="000431B3">
        <w:trPr>
          <w:trHeight w:val="300"/>
        </w:trPr>
        <w:tc>
          <w:tcPr>
            <w:tcW w:w="4800" w:type="dxa"/>
          </w:tcPr>
          <w:p w14:paraId="35AA7F05" w14:textId="77777777" w:rsidR="00375BD2" w:rsidRPr="00C05886" w:rsidRDefault="00375BD2" w:rsidP="00375BD2">
            <w:pPr>
              <w:spacing w:line="240" w:lineRule="auto"/>
              <w:rPr>
                <w:i/>
              </w:rPr>
            </w:pPr>
            <w:r w:rsidRPr="00C05886">
              <w:rPr>
                <w:i/>
              </w:rPr>
              <w:t>Myosotis arvensis</w:t>
            </w:r>
          </w:p>
        </w:tc>
        <w:tc>
          <w:tcPr>
            <w:tcW w:w="2920" w:type="dxa"/>
          </w:tcPr>
          <w:p w14:paraId="68D7BDD1" w14:textId="77777777" w:rsidR="00375BD2" w:rsidRPr="00C05886" w:rsidRDefault="00375BD2" w:rsidP="00375BD2">
            <w:pPr>
              <w:spacing w:line="240" w:lineRule="auto"/>
            </w:pPr>
            <w:r w:rsidRPr="00C05886">
              <w:t>Far &gt; 5m</w:t>
            </w:r>
          </w:p>
        </w:tc>
      </w:tr>
      <w:tr w:rsidR="00375BD2" w:rsidRPr="00C05886" w14:paraId="56C01E2C" w14:textId="77777777" w:rsidTr="000431B3">
        <w:trPr>
          <w:trHeight w:val="300"/>
        </w:trPr>
        <w:tc>
          <w:tcPr>
            <w:tcW w:w="4800" w:type="dxa"/>
          </w:tcPr>
          <w:p w14:paraId="241C8E06" w14:textId="77777777" w:rsidR="00375BD2" w:rsidRPr="00C05886" w:rsidRDefault="00375BD2" w:rsidP="00375BD2">
            <w:pPr>
              <w:spacing w:line="240" w:lineRule="auto"/>
              <w:rPr>
                <w:i/>
              </w:rPr>
            </w:pPr>
            <w:r w:rsidRPr="00C05886">
              <w:rPr>
                <w:i/>
              </w:rPr>
              <w:t>Narcissus sp.</w:t>
            </w:r>
          </w:p>
        </w:tc>
        <w:tc>
          <w:tcPr>
            <w:tcW w:w="2920" w:type="dxa"/>
          </w:tcPr>
          <w:p w14:paraId="76813AF7" w14:textId="77777777" w:rsidR="00375BD2" w:rsidRPr="00C05886" w:rsidRDefault="00375BD2" w:rsidP="00375BD2">
            <w:pPr>
              <w:spacing w:line="240" w:lineRule="auto"/>
            </w:pPr>
            <w:r w:rsidRPr="00C05886">
              <w:t>Far &gt; 5m</w:t>
            </w:r>
          </w:p>
        </w:tc>
      </w:tr>
      <w:tr w:rsidR="00375BD2" w:rsidRPr="00C05886" w14:paraId="3A1E4177" w14:textId="77777777" w:rsidTr="000431B3">
        <w:trPr>
          <w:trHeight w:val="300"/>
        </w:trPr>
        <w:tc>
          <w:tcPr>
            <w:tcW w:w="4800" w:type="dxa"/>
          </w:tcPr>
          <w:p w14:paraId="23527559" w14:textId="77777777" w:rsidR="00375BD2" w:rsidRPr="00C05886" w:rsidRDefault="00375BD2" w:rsidP="00375BD2">
            <w:pPr>
              <w:spacing w:line="240" w:lineRule="auto"/>
              <w:rPr>
                <w:i/>
              </w:rPr>
            </w:pPr>
            <w:r w:rsidRPr="00C05886">
              <w:rPr>
                <w:i/>
              </w:rPr>
              <w:t xml:space="preserve">Pinus </w:t>
            </w:r>
            <w:proofErr w:type="spellStart"/>
            <w:r w:rsidRPr="00C05886">
              <w:rPr>
                <w:i/>
              </w:rPr>
              <w:t>strobus</w:t>
            </w:r>
            <w:proofErr w:type="spellEnd"/>
          </w:p>
        </w:tc>
        <w:tc>
          <w:tcPr>
            <w:tcW w:w="2920" w:type="dxa"/>
          </w:tcPr>
          <w:p w14:paraId="2D6C985F" w14:textId="77777777" w:rsidR="00375BD2" w:rsidRPr="00C05886" w:rsidRDefault="00375BD2" w:rsidP="00375BD2">
            <w:pPr>
              <w:spacing w:line="240" w:lineRule="auto"/>
            </w:pPr>
            <w:r w:rsidRPr="00C05886">
              <w:t>Far &gt; 5m</w:t>
            </w:r>
          </w:p>
        </w:tc>
      </w:tr>
      <w:tr w:rsidR="00375BD2" w:rsidRPr="00C05886" w14:paraId="3AE3307C" w14:textId="77777777" w:rsidTr="000431B3">
        <w:trPr>
          <w:trHeight w:val="300"/>
        </w:trPr>
        <w:tc>
          <w:tcPr>
            <w:tcW w:w="4800" w:type="dxa"/>
          </w:tcPr>
          <w:p w14:paraId="35C23A9D" w14:textId="77777777" w:rsidR="00375BD2" w:rsidRPr="00C05886" w:rsidRDefault="00375BD2" w:rsidP="00375BD2">
            <w:pPr>
              <w:spacing w:line="240" w:lineRule="auto"/>
              <w:rPr>
                <w:i/>
              </w:rPr>
            </w:pPr>
            <w:r w:rsidRPr="00C05886">
              <w:rPr>
                <w:i/>
              </w:rPr>
              <w:t>Pinus sylvestris</w:t>
            </w:r>
          </w:p>
        </w:tc>
        <w:tc>
          <w:tcPr>
            <w:tcW w:w="2920" w:type="dxa"/>
          </w:tcPr>
          <w:p w14:paraId="774F5E57" w14:textId="77777777" w:rsidR="00375BD2" w:rsidRPr="00C05886" w:rsidRDefault="00375BD2" w:rsidP="00375BD2">
            <w:pPr>
              <w:spacing w:line="240" w:lineRule="auto"/>
            </w:pPr>
            <w:r w:rsidRPr="00C05886">
              <w:t>Close &lt; 5m</w:t>
            </w:r>
          </w:p>
        </w:tc>
      </w:tr>
      <w:tr w:rsidR="00375BD2" w:rsidRPr="00C05886" w14:paraId="3342B478" w14:textId="77777777" w:rsidTr="000431B3">
        <w:trPr>
          <w:trHeight w:val="300"/>
        </w:trPr>
        <w:tc>
          <w:tcPr>
            <w:tcW w:w="4800" w:type="dxa"/>
          </w:tcPr>
          <w:p w14:paraId="38C7C8B5" w14:textId="77777777" w:rsidR="00375BD2" w:rsidRPr="00C05886" w:rsidRDefault="00375BD2" w:rsidP="00375BD2">
            <w:pPr>
              <w:spacing w:line="240" w:lineRule="auto"/>
              <w:rPr>
                <w:i/>
              </w:rPr>
            </w:pPr>
            <w:r w:rsidRPr="00C05886">
              <w:rPr>
                <w:i/>
              </w:rPr>
              <w:t xml:space="preserve">Platanus </w:t>
            </w:r>
            <w:proofErr w:type="spellStart"/>
            <w:r w:rsidRPr="00C05886">
              <w:rPr>
                <w:i/>
              </w:rPr>
              <w:t>hybrida</w:t>
            </w:r>
            <w:proofErr w:type="spellEnd"/>
          </w:p>
        </w:tc>
        <w:tc>
          <w:tcPr>
            <w:tcW w:w="2920" w:type="dxa"/>
          </w:tcPr>
          <w:p w14:paraId="636BA26A" w14:textId="77777777" w:rsidR="00375BD2" w:rsidRPr="00C05886" w:rsidRDefault="00375BD2" w:rsidP="00375BD2">
            <w:pPr>
              <w:spacing w:line="240" w:lineRule="auto"/>
            </w:pPr>
            <w:r w:rsidRPr="00C05886">
              <w:t>Close &lt; 5m</w:t>
            </w:r>
          </w:p>
        </w:tc>
      </w:tr>
      <w:tr w:rsidR="00375BD2" w:rsidRPr="00C05886" w14:paraId="2120A4DA" w14:textId="77777777" w:rsidTr="000431B3">
        <w:trPr>
          <w:trHeight w:val="300"/>
        </w:trPr>
        <w:tc>
          <w:tcPr>
            <w:tcW w:w="4800" w:type="dxa"/>
          </w:tcPr>
          <w:p w14:paraId="21123204" w14:textId="77777777" w:rsidR="00375BD2" w:rsidRPr="00C05886" w:rsidRDefault="00375BD2" w:rsidP="00375BD2">
            <w:pPr>
              <w:spacing w:line="240" w:lineRule="auto"/>
              <w:rPr>
                <w:i/>
              </w:rPr>
            </w:pPr>
            <w:proofErr w:type="spellStart"/>
            <w:r w:rsidRPr="00C05886">
              <w:rPr>
                <w:i/>
              </w:rPr>
              <w:t>Polygonatum</w:t>
            </w:r>
            <w:proofErr w:type="spellEnd"/>
            <w:r w:rsidRPr="00C05886">
              <w:rPr>
                <w:i/>
              </w:rPr>
              <w:t xml:space="preserve"> multiflorum</w:t>
            </w:r>
          </w:p>
        </w:tc>
        <w:tc>
          <w:tcPr>
            <w:tcW w:w="2920" w:type="dxa"/>
          </w:tcPr>
          <w:p w14:paraId="521595CC" w14:textId="77777777" w:rsidR="00375BD2" w:rsidRPr="00C05886" w:rsidRDefault="00375BD2" w:rsidP="00375BD2">
            <w:pPr>
              <w:spacing w:line="240" w:lineRule="auto"/>
            </w:pPr>
            <w:r w:rsidRPr="00C05886">
              <w:t>Far &gt; 5m</w:t>
            </w:r>
          </w:p>
        </w:tc>
      </w:tr>
      <w:tr w:rsidR="00375BD2" w:rsidRPr="00C05886" w14:paraId="164EC508" w14:textId="77777777" w:rsidTr="000431B3">
        <w:trPr>
          <w:trHeight w:val="300"/>
        </w:trPr>
        <w:tc>
          <w:tcPr>
            <w:tcW w:w="4800" w:type="dxa"/>
          </w:tcPr>
          <w:p w14:paraId="7C610EB1" w14:textId="77777777" w:rsidR="00375BD2" w:rsidRPr="00C05886" w:rsidRDefault="00375BD2" w:rsidP="00375BD2">
            <w:pPr>
              <w:spacing w:line="240" w:lineRule="auto"/>
              <w:rPr>
                <w:i/>
              </w:rPr>
            </w:pPr>
            <w:r w:rsidRPr="00C05886">
              <w:rPr>
                <w:i/>
              </w:rPr>
              <w:t>Prunus avium</w:t>
            </w:r>
          </w:p>
        </w:tc>
        <w:tc>
          <w:tcPr>
            <w:tcW w:w="2920" w:type="dxa"/>
          </w:tcPr>
          <w:p w14:paraId="327D91CA" w14:textId="77777777" w:rsidR="00375BD2" w:rsidRPr="00C05886" w:rsidRDefault="00375BD2" w:rsidP="00375BD2">
            <w:pPr>
              <w:spacing w:line="240" w:lineRule="auto"/>
            </w:pPr>
            <w:r w:rsidRPr="00C05886">
              <w:t>Far &gt; 5m</w:t>
            </w:r>
          </w:p>
        </w:tc>
      </w:tr>
      <w:tr w:rsidR="00375BD2" w:rsidRPr="00C05886" w14:paraId="17A0AD40" w14:textId="77777777" w:rsidTr="000431B3">
        <w:trPr>
          <w:trHeight w:val="300"/>
        </w:trPr>
        <w:tc>
          <w:tcPr>
            <w:tcW w:w="4800" w:type="dxa"/>
          </w:tcPr>
          <w:p w14:paraId="66E984CB" w14:textId="77777777" w:rsidR="00375BD2" w:rsidRPr="00C05886" w:rsidRDefault="00375BD2" w:rsidP="00375BD2">
            <w:pPr>
              <w:spacing w:line="240" w:lineRule="auto"/>
              <w:rPr>
                <w:i/>
              </w:rPr>
            </w:pPr>
            <w:r w:rsidRPr="00C05886">
              <w:rPr>
                <w:i/>
              </w:rPr>
              <w:t xml:space="preserve">Prunus </w:t>
            </w:r>
            <w:proofErr w:type="spellStart"/>
            <w:r w:rsidRPr="00C05886">
              <w:rPr>
                <w:i/>
              </w:rPr>
              <w:t>laurocerasus</w:t>
            </w:r>
            <w:proofErr w:type="spellEnd"/>
          </w:p>
        </w:tc>
        <w:tc>
          <w:tcPr>
            <w:tcW w:w="2920" w:type="dxa"/>
          </w:tcPr>
          <w:p w14:paraId="27984520" w14:textId="77777777" w:rsidR="00375BD2" w:rsidRPr="00C05886" w:rsidRDefault="00375BD2" w:rsidP="00375BD2">
            <w:pPr>
              <w:spacing w:line="240" w:lineRule="auto"/>
            </w:pPr>
            <w:r w:rsidRPr="00C05886">
              <w:t>Close &lt; 5m</w:t>
            </w:r>
          </w:p>
        </w:tc>
      </w:tr>
      <w:tr w:rsidR="00375BD2" w:rsidRPr="00C05886" w14:paraId="3D483AFC" w14:textId="77777777" w:rsidTr="000431B3">
        <w:trPr>
          <w:trHeight w:val="300"/>
        </w:trPr>
        <w:tc>
          <w:tcPr>
            <w:tcW w:w="4800" w:type="dxa"/>
          </w:tcPr>
          <w:p w14:paraId="0A2334D0" w14:textId="77777777" w:rsidR="00375BD2" w:rsidRPr="00C05886" w:rsidRDefault="00375BD2" w:rsidP="00375BD2">
            <w:pPr>
              <w:spacing w:line="240" w:lineRule="auto"/>
              <w:rPr>
                <w:i/>
              </w:rPr>
            </w:pPr>
            <w:r w:rsidRPr="00C05886">
              <w:rPr>
                <w:i/>
              </w:rPr>
              <w:t>Pteridium aquilinum</w:t>
            </w:r>
          </w:p>
        </w:tc>
        <w:tc>
          <w:tcPr>
            <w:tcW w:w="2920" w:type="dxa"/>
          </w:tcPr>
          <w:p w14:paraId="03ADCAC3" w14:textId="77777777" w:rsidR="00375BD2" w:rsidRPr="00C05886" w:rsidRDefault="00375BD2" w:rsidP="00375BD2">
            <w:pPr>
              <w:spacing w:line="240" w:lineRule="auto"/>
            </w:pPr>
            <w:r w:rsidRPr="00C05886">
              <w:t>Close &lt; 5m</w:t>
            </w:r>
          </w:p>
        </w:tc>
      </w:tr>
      <w:tr w:rsidR="00375BD2" w:rsidRPr="00C05886" w14:paraId="0BA036DF" w14:textId="77777777" w:rsidTr="000431B3">
        <w:trPr>
          <w:trHeight w:val="300"/>
        </w:trPr>
        <w:tc>
          <w:tcPr>
            <w:tcW w:w="4800" w:type="dxa"/>
          </w:tcPr>
          <w:p w14:paraId="170BAC77" w14:textId="77777777" w:rsidR="00375BD2" w:rsidRPr="00C05886" w:rsidRDefault="00375BD2" w:rsidP="00375BD2">
            <w:pPr>
              <w:spacing w:line="240" w:lineRule="auto"/>
              <w:rPr>
                <w:i/>
              </w:rPr>
            </w:pPr>
            <w:r w:rsidRPr="00C05886">
              <w:rPr>
                <w:i/>
              </w:rPr>
              <w:t xml:space="preserve">Quercus </w:t>
            </w:r>
            <w:proofErr w:type="spellStart"/>
            <w:r w:rsidRPr="00C05886">
              <w:rPr>
                <w:i/>
              </w:rPr>
              <w:t>robur</w:t>
            </w:r>
            <w:proofErr w:type="spellEnd"/>
          </w:p>
        </w:tc>
        <w:tc>
          <w:tcPr>
            <w:tcW w:w="2920" w:type="dxa"/>
          </w:tcPr>
          <w:p w14:paraId="35E41FAE" w14:textId="77777777" w:rsidR="00375BD2" w:rsidRPr="00C05886" w:rsidRDefault="00375BD2" w:rsidP="00375BD2">
            <w:pPr>
              <w:spacing w:line="240" w:lineRule="auto"/>
            </w:pPr>
            <w:r w:rsidRPr="00C05886">
              <w:t>Close &lt; 5m</w:t>
            </w:r>
          </w:p>
        </w:tc>
      </w:tr>
      <w:tr w:rsidR="00375BD2" w:rsidRPr="00C05886" w14:paraId="18AFD64F" w14:textId="77777777" w:rsidTr="000431B3">
        <w:trPr>
          <w:trHeight w:val="300"/>
        </w:trPr>
        <w:tc>
          <w:tcPr>
            <w:tcW w:w="4800" w:type="dxa"/>
          </w:tcPr>
          <w:p w14:paraId="1C65C8A1" w14:textId="77777777" w:rsidR="00375BD2" w:rsidRPr="00C05886" w:rsidRDefault="00375BD2" w:rsidP="00375BD2">
            <w:pPr>
              <w:spacing w:line="240" w:lineRule="auto"/>
              <w:rPr>
                <w:i/>
              </w:rPr>
            </w:pPr>
            <w:proofErr w:type="spellStart"/>
            <w:r w:rsidRPr="00C05886">
              <w:rPr>
                <w:i/>
              </w:rPr>
              <w:t>Ranunculus</w:t>
            </w:r>
            <w:proofErr w:type="spellEnd"/>
            <w:r w:rsidRPr="00C05886">
              <w:rPr>
                <w:i/>
              </w:rPr>
              <w:t xml:space="preserve"> sp.</w:t>
            </w:r>
          </w:p>
        </w:tc>
        <w:tc>
          <w:tcPr>
            <w:tcW w:w="2920" w:type="dxa"/>
          </w:tcPr>
          <w:p w14:paraId="07CE8423" w14:textId="77777777" w:rsidR="00375BD2" w:rsidRPr="00C05886" w:rsidRDefault="00375BD2" w:rsidP="00375BD2">
            <w:pPr>
              <w:spacing w:line="240" w:lineRule="auto"/>
            </w:pPr>
            <w:r w:rsidRPr="00C05886">
              <w:t>Far &gt; 5m</w:t>
            </w:r>
          </w:p>
        </w:tc>
      </w:tr>
      <w:tr w:rsidR="00375BD2" w:rsidRPr="00C05886" w14:paraId="08A39793" w14:textId="77777777" w:rsidTr="000431B3">
        <w:trPr>
          <w:trHeight w:val="300"/>
        </w:trPr>
        <w:tc>
          <w:tcPr>
            <w:tcW w:w="4800" w:type="dxa"/>
          </w:tcPr>
          <w:p w14:paraId="2CBD52E4" w14:textId="77777777" w:rsidR="00375BD2" w:rsidRPr="00C05886" w:rsidRDefault="00375BD2" w:rsidP="00375BD2">
            <w:pPr>
              <w:spacing w:line="240" w:lineRule="auto"/>
              <w:rPr>
                <w:i/>
              </w:rPr>
            </w:pPr>
            <w:proofErr w:type="spellStart"/>
            <w:r w:rsidRPr="00C05886">
              <w:rPr>
                <w:i/>
              </w:rPr>
              <w:t>Reynoutria</w:t>
            </w:r>
            <w:proofErr w:type="spellEnd"/>
            <w:r w:rsidRPr="00C05886">
              <w:rPr>
                <w:i/>
              </w:rPr>
              <w:t xml:space="preserve"> japonica</w:t>
            </w:r>
          </w:p>
        </w:tc>
        <w:tc>
          <w:tcPr>
            <w:tcW w:w="2920" w:type="dxa"/>
          </w:tcPr>
          <w:p w14:paraId="7621C586" w14:textId="77777777" w:rsidR="00375BD2" w:rsidRPr="00C05886" w:rsidRDefault="00375BD2" w:rsidP="00375BD2">
            <w:pPr>
              <w:spacing w:line="240" w:lineRule="auto"/>
            </w:pPr>
            <w:r w:rsidRPr="00C05886">
              <w:t>Far &gt; 5m</w:t>
            </w:r>
          </w:p>
        </w:tc>
      </w:tr>
      <w:tr w:rsidR="00375BD2" w:rsidRPr="00C05886" w14:paraId="364E3249" w14:textId="77777777" w:rsidTr="000431B3">
        <w:trPr>
          <w:trHeight w:val="300"/>
        </w:trPr>
        <w:tc>
          <w:tcPr>
            <w:tcW w:w="4800" w:type="dxa"/>
          </w:tcPr>
          <w:p w14:paraId="06FA997A" w14:textId="77777777" w:rsidR="00375BD2" w:rsidRPr="00C05886" w:rsidRDefault="00375BD2" w:rsidP="00375BD2">
            <w:pPr>
              <w:spacing w:line="240" w:lineRule="auto"/>
              <w:rPr>
                <w:i/>
              </w:rPr>
            </w:pPr>
            <w:r w:rsidRPr="00C05886">
              <w:rPr>
                <w:i/>
              </w:rPr>
              <w:t>Rhododendron sp.</w:t>
            </w:r>
          </w:p>
        </w:tc>
        <w:tc>
          <w:tcPr>
            <w:tcW w:w="2920" w:type="dxa"/>
          </w:tcPr>
          <w:p w14:paraId="56DEA434" w14:textId="77777777" w:rsidR="00375BD2" w:rsidRPr="00C05886" w:rsidRDefault="00375BD2" w:rsidP="00375BD2">
            <w:pPr>
              <w:spacing w:line="240" w:lineRule="auto"/>
            </w:pPr>
            <w:r w:rsidRPr="00C05886">
              <w:t>Close &lt; 5m</w:t>
            </w:r>
          </w:p>
        </w:tc>
      </w:tr>
      <w:tr w:rsidR="00375BD2" w:rsidRPr="00C05886" w14:paraId="6C847DE3" w14:textId="77777777" w:rsidTr="000431B3">
        <w:trPr>
          <w:trHeight w:val="300"/>
        </w:trPr>
        <w:tc>
          <w:tcPr>
            <w:tcW w:w="4800" w:type="dxa"/>
          </w:tcPr>
          <w:p w14:paraId="70EBFABA" w14:textId="77777777" w:rsidR="00375BD2" w:rsidRPr="00C05886" w:rsidRDefault="00375BD2" w:rsidP="00375BD2">
            <w:pPr>
              <w:spacing w:line="240" w:lineRule="auto"/>
              <w:rPr>
                <w:i/>
              </w:rPr>
            </w:pPr>
            <w:r w:rsidRPr="00C05886">
              <w:rPr>
                <w:i/>
              </w:rPr>
              <w:t>Rubus spectabilis</w:t>
            </w:r>
          </w:p>
        </w:tc>
        <w:tc>
          <w:tcPr>
            <w:tcW w:w="2920" w:type="dxa"/>
          </w:tcPr>
          <w:p w14:paraId="27FE941A" w14:textId="77777777" w:rsidR="00375BD2" w:rsidRPr="00C05886" w:rsidRDefault="00375BD2" w:rsidP="00375BD2">
            <w:pPr>
              <w:spacing w:line="240" w:lineRule="auto"/>
            </w:pPr>
            <w:r w:rsidRPr="00C05886">
              <w:t>Close &lt; 5m</w:t>
            </w:r>
          </w:p>
        </w:tc>
      </w:tr>
      <w:tr w:rsidR="00375BD2" w:rsidRPr="00C05886" w14:paraId="2F0F052B" w14:textId="77777777" w:rsidTr="000431B3">
        <w:trPr>
          <w:trHeight w:val="300"/>
        </w:trPr>
        <w:tc>
          <w:tcPr>
            <w:tcW w:w="4800" w:type="dxa"/>
          </w:tcPr>
          <w:p w14:paraId="31DE6281" w14:textId="77777777" w:rsidR="00375BD2" w:rsidRPr="00C05886" w:rsidRDefault="00375BD2" w:rsidP="00375BD2">
            <w:pPr>
              <w:spacing w:line="240" w:lineRule="auto"/>
              <w:rPr>
                <w:i/>
              </w:rPr>
            </w:pPr>
            <w:r w:rsidRPr="00C05886">
              <w:rPr>
                <w:i/>
              </w:rPr>
              <w:t>Rumex sp.</w:t>
            </w:r>
          </w:p>
        </w:tc>
        <w:tc>
          <w:tcPr>
            <w:tcW w:w="2920" w:type="dxa"/>
          </w:tcPr>
          <w:p w14:paraId="3B75BE37" w14:textId="77777777" w:rsidR="00375BD2" w:rsidRPr="00C05886" w:rsidRDefault="00375BD2" w:rsidP="00375BD2">
            <w:pPr>
              <w:spacing w:line="240" w:lineRule="auto"/>
            </w:pPr>
            <w:r w:rsidRPr="00C05886">
              <w:t>Far &gt; 5m</w:t>
            </w:r>
          </w:p>
        </w:tc>
      </w:tr>
      <w:tr w:rsidR="00375BD2" w:rsidRPr="00C05886" w14:paraId="3FC7CDFE" w14:textId="77777777" w:rsidTr="000431B3">
        <w:trPr>
          <w:trHeight w:val="300"/>
        </w:trPr>
        <w:tc>
          <w:tcPr>
            <w:tcW w:w="4800" w:type="dxa"/>
          </w:tcPr>
          <w:p w14:paraId="6E461D82" w14:textId="77777777" w:rsidR="00375BD2" w:rsidRPr="00C05886" w:rsidRDefault="00375BD2" w:rsidP="00375BD2">
            <w:pPr>
              <w:spacing w:line="240" w:lineRule="auto"/>
              <w:rPr>
                <w:i/>
              </w:rPr>
            </w:pPr>
            <w:r w:rsidRPr="00C05886">
              <w:rPr>
                <w:i/>
              </w:rPr>
              <w:t>Taraxacum sp.</w:t>
            </w:r>
          </w:p>
        </w:tc>
        <w:tc>
          <w:tcPr>
            <w:tcW w:w="2920" w:type="dxa"/>
          </w:tcPr>
          <w:p w14:paraId="12E6EABB" w14:textId="77777777" w:rsidR="00375BD2" w:rsidRPr="00C05886" w:rsidRDefault="00375BD2" w:rsidP="00375BD2">
            <w:pPr>
              <w:spacing w:line="240" w:lineRule="auto"/>
            </w:pPr>
            <w:r w:rsidRPr="00C05886">
              <w:t>Far &gt; 5m</w:t>
            </w:r>
          </w:p>
        </w:tc>
      </w:tr>
      <w:tr w:rsidR="00375BD2" w:rsidRPr="00C05886" w14:paraId="34F69F03" w14:textId="77777777" w:rsidTr="000431B3">
        <w:trPr>
          <w:trHeight w:val="300"/>
        </w:trPr>
        <w:tc>
          <w:tcPr>
            <w:tcW w:w="4800" w:type="dxa"/>
          </w:tcPr>
          <w:p w14:paraId="6F365CBE" w14:textId="77777777" w:rsidR="00375BD2" w:rsidRPr="00C05886" w:rsidRDefault="00375BD2" w:rsidP="00375BD2">
            <w:pPr>
              <w:spacing w:line="240" w:lineRule="auto"/>
              <w:rPr>
                <w:i/>
              </w:rPr>
            </w:pPr>
            <w:r w:rsidRPr="00C05886">
              <w:rPr>
                <w:i/>
              </w:rPr>
              <w:t xml:space="preserve">Taxus </w:t>
            </w:r>
            <w:proofErr w:type="spellStart"/>
            <w:r w:rsidRPr="00C05886">
              <w:rPr>
                <w:i/>
              </w:rPr>
              <w:t>baccata</w:t>
            </w:r>
            <w:proofErr w:type="spellEnd"/>
          </w:p>
        </w:tc>
        <w:tc>
          <w:tcPr>
            <w:tcW w:w="2920" w:type="dxa"/>
          </w:tcPr>
          <w:p w14:paraId="1390CC34" w14:textId="77777777" w:rsidR="00375BD2" w:rsidRPr="00C05886" w:rsidRDefault="00375BD2" w:rsidP="00375BD2">
            <w:pPr>
              <w:spacing w:line="240" w:lineRule="auto"/>
            </w:pPr>
            <w:r w:rsidRPr="00C05886">
              <w:t>Close &lt; 5m</w:t>
            </w:r>
          </w:p>
        </w:tc>
      </w:tr>
      <w:tr w:rsidR="00375BD2" w:rsidRPr="00C05886" w14:paraId="778D1C14" w14:textId="77777777" w:rsidTr="000431B3">
        <w:trPr>
          <w:trHeight w:val="300"/>
        </w:trPr>
        <w:tc>
          <w:tcPr>
            <w:tcW w:w="4800" w:type="dxa"/>
          </w:tcPr>
          <w:p w14:paraId="743F11CD" w14:textId="77777777" w:rsidR="00375BD2" w:rsidRPr="00C05886" w:rsidRDefault="00375BD2" w:rsidP="00375BD2">
            <w:pPr>
              <w:spacing w:line="240" w:lineRule="auto"/>
              <w:rPr>
                <w:i/>
              </w:rPr>
            </w:pPr>
            <w:r w:rsidRPr="00C05886">
              <w:rPr>
                <w:i/>
              </w:rPr>
              <w:t xml:space="preserve">Urtica </w:t>
            </w:r>
            <w:proofErr w:type="spellStart"/>
            <w:r w:rsidRPr="00C05886">
              <w:rPr>
                <w:i/>
              </w:rPr>
              <w:t>dioca</w:t>
            </w:r>
            <w:proofErr w:type="spellEnd"/>
          </w:p>
        </w:tc>
        <w:tc>
          <w:tcPr>
            <w:tcW w:w="2920" w:type="dxa"/>
          </w:tcPr>
          <w:p w14:paraId="329ACBE7" w14:textId="77777777" w:rsidR="00375BD2" w:rsidRPr="00C05886" w:rsidRDefault="00375BD2" w:rsidP="00375BD2">
            <w:pPr>
              <w:spacing w:line="240" w:lineRule="auto"/>
            </w:pPr>
            <w:r w:rsidRPr="00C05886">
              <w:t>Far &gt; 5m</w:t>
            </w:r>
          </w:p>
        </w:tc>
      </w:tr>
    </w:tbl>
    <w:p w14:paraId="7B7B302F" w14:textId="77777777" w:rsidR="00375BD2" w:rsidRPr="00C05886" w:rsidRDefault="00375BD2" w:rsidP="00375BD2">
      <w:pPr>
        <w:spacing w:line="240" w:lineRule="auto"/>
      </w:pPr>
    </w:p>
    <w:p w14:paraId="3FF48445" w14:textId="77777777" w:rsidR="00375BD2" w:rsidRPr="00C05886" w:rsidRDefault="00375BD2" w:rsidP="00375BD2">
      <w:pPr>
        <w:spacing w:line="240" w:lineRule="auto"/>
        <w:rPr>
          <w:b/>
          <w:bCs/>
          <w:sz w:val="18"/>
          <w:szCs w:val="18"/>
        </w:rPr>
      </w:pPr>
      <w:r w:rsidRPr="00C05886">
        <w:rPr>
          <w:b/>
          <w:bCs/>
          <w:i/>
          <w:iCs/>
        </w:rPr>
        <w:br w:type="page"/>
      </w:r>
    </w:p>
    <w:p w14:paraId="22831506" w14:textId="3634C33A" w:rsidR="00375BD2" w:rsidRPr="00C05886" w:rsidRDefault="00375BD2" w:rsidP="00375BD2">
      <w:pPr>
        <w:pStyle w:val="Caption"/>
        <w:keepNext/>
        <w:rPr>
          <w:i w:val="0"/>
          <w:iCs w:val="0"/>
          <w:color w:val="auto"/>
        </w:rPr>
      </w:pPr>
      <w:r w:rsidRPr="00C05886">
        <w:rPr>
          <w:b/>
          <w:bCs/>
          <w:i w:val="0"/>
          <w:iCs w:val="0"/>
          <w:color w:val="auto"/>
        </w:rPr>
        <w:lastRenderedPageBreak/>
        <w:t>Table S</w:t>
      </w:r>
      <w:r w:rsidR="00B62F3A" w:rsidRPr="00C05886">
        <w:rPr>
          <w:b/>
          <w:bCs/>
          <w:i w:val="0"/>
          <w:iCs w:val="0"/>
          <w:color w:val="auto"/>
        </w:rPr>
        <w:t>2</w:t>
      </w:r>
      <w:r w:rsidRPr="00C05886">
        <w:rPr>
          <w:b/>
          <w:bCs/>
          <w:i w:val="0"/>
          <w:iCs w:val="0"/>
          <w:color w:val="auto"/>
        </w:rPr>
        <w:t>.</w:t>
      </w:r>
      <w:r w:rsidRPr="00C05886">
        <w:rPr>
          <w:i w:val="0"/>
          <w:iCs w:val="0"/>
          <w:color w:val="auto"/>
        </w:rPr>
        <w:t xml:space="preserve"> Bird taxa – calls and songs that could be heard in condition 4</w:t>
      </w:r>
    </w:p>
    <w:tbl>
      <w:tblPr>
        <w:tblStyle w:val="8"/>
        <w:tblW w:w="48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815"/>
      </w:tblGrid>
      <w:tr w:rsidR="00375BD2" w:rsidRPr="00C05886" w14:paraId="7FD41E35" w14:textId="77777777" w:rsidTr="000431B3">
        <w:tc>
          <w:tcPr>
            <w:tcW w:w="4815" w:type="dxa"/>
          </w:tcPr>
          <w:p w14:paraId="19CA455F" w14:textId="77777777" w:rsidR="00375BD2" w:rsidRPr="00C05886" w:rsidRDefault="00375BD2" w:rsidP="00375BD2">
            <w:pPr>
              <w:spacing w:line="240" w:lineRule="auto"/>
              <w:rPr>
                <w:b/>
              </w:rPr>
            </w:pPr>
            <w:r w:rsidRPr="00C05886">
              <w:rPr>
                <w:b/>
              </w:rPr>
              <w:t>Species</w:t>
            </w:r>
          </w:p>
        </w:tc>
      </w:tr>
      <w:tr w:rsidR="00375BD2" w:rsidRPr="00C05886" w14:paraId="650C6DE0" w14:textId="77777777" w:rsidTr="000431B3">
        <w:tc>
          <w:tcPr>
            <w:tcW w:w="4815" w:type="dxa"/>
          </w:tcPr>
          <w:p w14:paraId="0797C926" w14:textId="77777777" w:rsidR="00375BD2" w:rsidRPr="00C05886" w:rsidRDefault="00375BD2" w:rsidP="00375BD2">
            <w:pPr>
              <w:spacing w:line="240" w:lineRule="auto"/>
              <w:rPr>
                <w:i/>
              </w:rPr>
            </w:pPr>
            <w:r w:rsidRPr="00C05886">
              <w:rPr>
                <w:i/>
              </w:rPr>
              <w:t xml:space="preserve">Columba </w:t>
            </w:r>
            <w:proofErr w:type="spellStart"/>
            <w:r w:rsidRPr="00C05886">
              <w:rPr>
                <w:i/>
              </w:rPr>
              <w:t>palumbus</w:t>
            </w:r>
            <w:proofErr w:type="spellEnd"/>
          </w:p>
        </w:tc>
      </w:tr>
      <w:tr w:rsidR="00375BD2" w:rsidRPr="00C05886" w14:paraId="37F70228" w14:textId="77777777" w:rsidTr="000431B3">
        <w:tc>
          <w:tcPr>
            <w:tcW w:w="4815" w:type="dxa"/>
          </w:tcPr>
          <w:p w14:paraId="28E0179F" w14:textId="77777777" w:rsidR="00375BD2" w:rsidRPr="00C05886" w:rsidRDefault="00375BD2" w:rsidP="00375BD2">
            <w:pPr>
              <w:spacing w:line="240" w:lineRule="auto"/>
              <w:rPr>
                <w:i/>
              </w:rPr>
            </w:pPr>
            <w:proofErr w:type="spellStart"/>
            <w:r w:rsidRPr="00C05886">
              <w:rPr>
                <w:i/>
              </w:rPr>
              <w:t>Cyanistes</w:t>
            </w:r>
            <w:proofErr w:type="spellEnd"/>
            <w:r w:rsidRPr="00C05886">
              <w:rPr>
                <w:i/>
              </w:rPr>
              <w:t xml:space="preserve"> caeruleus</w:t>
            </w:r>
          </w:p>
        </w:tc>
      </w:tr>
      <w:tr w:rsidR="00375BD2" w:rsidRPr="00C05886" w14:paraId="09626D32" w14:textId="77777777" w:rsidTr="000431B3">
        <w:tc>
          <w:tcPr>
            <w:tcW w:w="4815" w:type="dxa"/>
          </w:tcPr>
          <w:p w14:paraId="1A1A98BE" w14:textId="77777777" w:rsidR="00375BD2" w:rsidRPr="00C05886" w:rsidRDefault="00375BD2" w:rsidP="00375BD2">
            <w:pPr>
              <w:spacing w:line="240" w:lineRule="auto"/>
              <w:rPr>
                <w:i/>
              </w:rPr>
            </w:pPr>
            <w:r w:rsidRPr="00C05886">
              <w:rPr>
                <w:i/>
              </w:rPr>
              <w:t xml:space="preserve">Erithacus </w:t>
            </w:r>
            <w:proofErr w:type="spellStart"/>
            <w:r w:rsidRPr="00C05886">
              <w:rPr>
                <w:i/>
              </w:rPr>
              <w:t>rubecula</w:t>
            </w:r>
            <w:proofErr w:type="spellEnd"/>
          </w:p>
        </w:tc>
      </w:tr>
      <w:tr w:rsidR="00375BD2" w:rsidRPr="00C05886" w14:paraId="4BAFF0B1" w14:textId="77777777" w:rsidTr="000431B3">
        <w:tc>
          <w:tcPr>
            <w:tcW w:w="4815" w:type="dxa"/>
          </w:tcPr>
          <w:p w14:paraId="2003C52C" w14:textId="77777777" w:rsidR="00375BD2" w:rsidRPr="00C05886" w:rsidRDefault="00375BD2" w:rsidP="00375BD2">
            <w:pPr>
              <w:spacing w:line="240" w:lineRule="auto"/>
              <w:rPr>
                <w:i/>
              </w:rPr>
            </w:pPr>
            <w:proofErr w:type="spellStart"/>
            <w:r w:rsidRPr="00C05886">
              <w:rPr>
                <w:i/>
              </w:rPr>
              <w:t>Phylloscopus</w:t>
            </w:r>
            <w:proofErr w:type="spellEnd"/>
            <w:r w:rsidRPr="00C05886">
              <w:rPr>
                <w:i/>
              </w:rPr>
              <w:t xml:space="preserve"> </w:t>
            </w:r>
            <w:proofErr w:type="spellStart"/>
            <w:r w:rsidRPr="00C05886">
              <w:rPr>
                <w:i/>
              </w:rPr>
              <w:t>collybita</w:t>
            </w:r>
            <w:proofErr w:type="spellEnd"/>
          </w:p>
        </w:tc>
      </w:tr>
      <w:tr w:rsidR="00375BD2" w:rsidRPr="00C05886" w14:paraId="30F97201" w14:textId="77777777" w:rsidTr="000431B3">
        <w:tc>
          <w:tcPr>
            <w:tcW w:w="4815" w:type="dxa"/>
          </w:tcPr>
          <w:p w14:paraId="37B1899F" w14:textId="77777777" w:rsidR="00375BD2" w:rsidRPr="00C05886" w:rsidRDefault="00375BD2" w:rsidP="00375BD2">
            <w:pPr>
              <w:spacing w:line="240" w:lineRule="auto"/>
              <w:rPr>
                <w:i/>
              </w:rPr>
            </w:pPr>
            <w:proofErr w:type="gramStart"/>
            <w:r w:rsidRPr="00C05886">
              <w:rPr>
                <w:i/>
              </w:rPr>
              <w:t>Troglodytes</w:t>
            </w:r>
            <w:proofErr w:type="gramEnd"/>
            <w:r w:rsidRPr="00C05886">
              <w:rPr>
                <w:i/>
              </w:rPr>
              <w:t xml:space="preserve"> </w:t>
            </w:r>
            <w:proofErr w:type="spellStart"/>
            <w:r w:rsidRPr="00C05886">
              <w:rPr>
                <w:i/>
              </w:rPr>
              <w:t>troglodytes</w:t>
            </w:r>
            <w:proofErr w:type="spellEnd"/>
          </w:p>
        </w:tc>
      </w:tr>
      <w:tr w:rsidR="00375BD2" w:rsidRPr="00C05886" w14:paraId="03FDEAAB" w14:textId="77777777" w:rsidTr="000431B3">
        <w:tc>
          <w:tcPr>
            <w:tcW w:w="4815" w:type="dxa"/>
          </w:tcPr>
          <w:p w14:paraId="6C9750A6" w14:textId="77777777" w:rsidR="00375BD2" w:rsidRPr="00C05886" w:rsidRDefault="00375BD2" w:rsidP="00375BD2">
            <w:pPr>
              <w:spacing w:line="240" w:lineRule="auto"/>
              <w:rPr>
                <w:i/>
              </w:rPr>
            </w:pPr>
            <w:r w:rsidRPr="00C05886">
              <w:rPr>
                <w:i/>
              </w:rPr>
              <w:t>Turdus merula</w:t>
            </w:r>
          </w:p>
        </w:tc>
      </w:tr>
    </w:tbl>
    <w:p w14:paraId="3F204710" w14:textId="77777777" w:rsidR="00375BD2" w:rsidRPr="00C05886" w:rsidRDefault="00375BD2" w:rsidP="00375BD2">
      <w:pPr>
        <w:pStyle w:val="Caption"/>
        <w:keepNext/>
      </w:pPr>
    </w:p>
    <w:p w14:paraId="5452F958" w14:textId="51CF7D8F" w:rsidR="00375BD2" w:rsidRPr="00C05886" w:rsidRDefault="00375BD2" w:rsidP="00375BD2">
      <w:pPr>
        <w:pStyle w:val="Caption"/>
        <w:keepNext/>
        <w:rPr>
          <w:i w:val="0"/>
          <w:iCs w:val="0"/>
          <w:color w:val="auto"/>
        </w:rPr>
      </w:pPr>
      <w:r w:rsidRPr="00C05886">
        <w:rPr>
          <w:b/>
          <w:bCs/>
          <w:i w:val="0"/>
          <w:iCs w:val="0"/>
          <w:color w:val="auto"/>
        </w:rPr>
        <w:t>Table S</w:t>
      </w:r>
      <w:r w:rsidR="00B62F3A" w:rsidRPr="00C05886">
        <w:rPr>
          <w:b/>
          <w:bCs/>
          <w:i w:val="0"/>
          <w:iCs w:val="0"/>
          <w:color w:val="auto"/>
        </w:rPr>
        <w:t>3</w:t>
      </w:r>
      <w:r w:rsidRPr="00C05886">
        <w:rPr>
          <w:i w:val="0"/>
          <w:iCs w:val="0"/>
          <w:color w:val="auto"/>
        </w:rPr>
        <w:t>. Content analysis results. What did the participants notice to evaluate the environment as “good” or “very good”?</w:t>
      </w:r>
    </w:p>
    <w:tbl>
      <w:tblPr>
        <w:tblStyle w:val="2"/>
        <w:tblW w:w="90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82"/>
        <w:gridCol w:w="4393"/>
        <w:gridCol w:w="857"/>
        <w:gridCol w:w="456"/>
        <w:gridCol w:w="456"/>
        <w:gridCol w:w="456"/>
        <w:gridCol w:w="516"/>
      </w:tblGrid>
      <w:tr w:rsidR="00375BD2" w:rsidRPr="00C05886" w14:paraId="3A4B1639" w14:textId="77777777" w:rsidTr="000431B3">
        <w:trPr>
          <w:trHeight w:val="353"/>
        </w:trPr>
        <w:tc>
          <w:tcPr>
            <w:tcW w:w="1882" w:type="dxa"/>
          </w:tcPr>
          <w:p w14:paraId="0E347838" w14:textId="77777777" w:rsidR="00375BD2" w:rsidRPr="00C05886" w:rsidRDefault="00375BD2" w:rsidP="00375BD2">
            <w:pPr>
              <w:spacing w:line="240" w:lineRule="auto"/>
              <w:rPr>
                <w:b/>
              </w:rPr>
            </w:pPr>
          </w:p>
        </w:tc>
        <w:tc>
          <w:tcPr>
            <w:tcW w:w="4393" w:type="dxa"/>
          </w:tcPr>
          <w:p w14:paraId="0DF4A841" w14:textId="77777777" w:rsidR="00375BD2" w:rsidRPr="00C05886" w:rsidRDefault="00375BD2" w:rsidP="00375BD2">
            <w:pPr>
              <w:spacing w:line="240" w:lineRule="auto"/>
              <w:rPr>
                <w:b/>
              </w:rPr>
            </w:pPr>
          </w:p>
        </w:tc>
        <w:tc>
          <w:tcPr>
            <w:tcW w:w="857" w:type="dxa"/>
          </w:tcPr>
          <w:p w14:paraId="7DE78A05" w14:textId="77777777" w:rsidR="00375BD2" w:rsidRPr="00C05886" w:rsidRDefault="00375BD2" w:rsidP="00375BD2">
            <w:pPr>
              <w:spacing w:line="240" w:lineRule="auto"/>
              <w:rPr>
                <w:b/>
              </w:rPr>
            </w:pPr>
          </w:p>
        </w:tc>
        <w:tc>
          <w:tcPr>
            <w:tcW w:w="1884" w:type="dxa"/>
            <w:gridSpan w:val="4"/>
          </w:tcPr>
          <w:p w14:paraId="36A6DBCD" w14:textId="77777777" w:rsidR="00375BD2" w:rsidRPr="00C05886" w:rsidRDefault="00375BD2" w:rsidP="00375BD2">
            <w:pPr>
              <w:spacing w:line="240" w:lineRule="auto"/>
              <w:jc w:val="center"/>
              <w:rPr>
                <w:b/>
              </w:rPr>
            </w:pPr>
            <w:r w:rsidRPr="00C05886">
              <w:rPr>
                <w:b/>
              </w:rPr>
              <w:t>Condition</w:t>
            </w:r>
          </w:p>
        </w:tc>
      </w:tr>
      <w:tr w:rsidR="00375BD2" w:rsidRPr="00C05886" w14:paraId="612E0A74" w14:textId="77777777" w:rsidTr="000431B3">
        <w:trPr>
          <w:trHeight w:val="300"/>
        </w:trPr>
        <w:tc>
          <w:tcPr>
            <w:tcW w:w="1882" w:type="dxa"/>
          </w:tcPr>
          <w:p w14:paraId="6DA05EDF" w14:textId="77777777" w:rsidR="00375BD2" w:rsidRPr="00C05886" w:rsidRDefault="00375BD2" w:rsidP="00375BD2">
            <w:pPr>
              <w:spacing w:line="240" w:lineRule="auto"/>
              <w:rPr>
                <w:b/>
              </w:rPr>
            </w:pPr>
            <w:r w:rsidRPr="00C05886">
              <w:rPr>
                <w:b/>
              </w:rPr>
              <w:t>Theme</w:t>
            </w:r>
          </w:p>
        </w:tc>
        <w:tc>
          <w:tcPr>
            <w:tcW w:w="4393" w:type="dxa"/>
          </w:tcPr>
          <w:p w14:paraId="3C648CDE" w14:textId="77777777" w:rsidR="00375BD2" w:rsidRPr="00C05886" w:rsidRDefault="00000000" w:rsidP="00375BD2">
            <w:pPr>
              <w:spacing w:line="240" w:lineRule="auto"/>
              <w:rPr>
                <w:b/>
              </w:rPr>
            </w:pPr>
            <w:sdt>
              <w:sdtPr>
                <w:tag w:val="goog_rdk_162"/>
                <w:id w:val="-869756689"/>
              </w:sdtPr>
              <w:sdtContent/>
            </w:sdt>
            <w:r w:rsidR="00375BD2" w:rsidRPr="00C05886">
              <w:rPr>
                <w:b/>
              </w:rPr>
              <w:t>Description</w:t>
            </w:r>
          </w:p>
        </w:tc>
        <w:tc>
          <w:tcPr>
            <w:tcW w:w="857" w:type="dxa"/>
          </w:tcPr>
          <w:p w14:paraId="787D043A" w14:textId="77777777" w:rsidR="00375BD2" w:rsidRPr="00C05886" w:rsidRDefault="00375BD2" w:rsidP="00375BD2">
            <w:pPr>
              <w:spacing w:line="240" w:lineRule="auto"/>
              <w:rPr>
                <w:b/>
              </w:rPr>
            </w:pPr>
            <w:r w:rsidRPr="00C05886">
              <w:rPr>
                <w:b/>
              </w:rPr>
              <w:t>Count</w:t>
            </w:r>
          </w:p>
        </w:tc>
        <w:tc>
          <w:tcPr>
            <w:tcW w:w="456" w:type="dxa"/>
          </w:tcPr>
          <w:p w14:paraId="6F180E44" w14:textId="77777777" w:rsidR="00375BD2" w:rsidRPr="00C05886" w:rsidRDefault="00375BD2" w:rsidP="00375BD2">
            <w:pPr>
              <w:spacing w:line="240" w:lineRule="auto"/>
              <w:rPr>
                <w:b/>
              </w:rPr>
            </w:pPr>
            <w:r w:rsidRPr="00C05886">
              <w:rPr>
                <w:b/>
              </w:rPr>
              <w:t>v1</w:t>
            </w:r>
          </w:p>
        </w:tc>
        <w:tc>
          <w:tcPr>
            <w:tcW w:w="456" w:type="dxa"/>
          </w:tcPr>
          <w:p w14:paraId="08E847CF" w14:textId="77777777" w:rsidR="00375BD2" w:rsidRPr="00C05886" w:rsidRDefault="00375BD2" w:rsidP="00375BD2">
            <w:pPr>
              <w:spacing w:line="240" w:lineRule="auto"/>
              <w:rPr>
                <w:b/>
              </w:rPr>
            </w:pPr>
            <w:r w:rsidRPr="00C05886">
              <w:rPr>
                <w:b/>
              </w:rPr>
              <w:t>v2</w:t>
            </w:r>
          </w:p>
        </w:tc>
        <w:tc>
          <w:tcPr>
            <w:tcW w:w="456" w:type="dxa"/>
          </w:tcPr>
          <w:p w14:paraId="5217827A" w14:textId="77777777" w:rsidR="00375BD2" w:rsidRPr="00C05886" w:rsidRDefault="00375BD2" w:rsidP="00375BD2">
            <w:pPr>
              <w:spacing w:line="240" w:lineRule="auto"/>
              <w:rPr>
                <w:b/>
              </w:rPr>
            </w:pPr>
            <w:r w:rsidRPr="00C05886">
              <w:rPr>
                <w:b/>
              </w:rPr>
              <w:t>v3</w:t>
            </w:r>
          </w:p>
        </w:tc>
        <w:tc>
          <w:tcPr>
            <w:tcW w:w="516" w:type="dxa"/>
          </w:tcPr>
          <w:p w14:paraId="6AF55796" w14:textId="77777777" w:rsidR="00375BD2" w:rsidRPr="00C05886" w:rsidRDefault="00375BD2" w:rsidP="00375BD2">
            <w:pPr>
              <w:spacing w:line="240" w:lineRule="auto"/>
              <w:rPr>
                <w:b/>
              </w:rPr>
            </w:pPr>
            <w:r w:rsidRPr="00C05886">
              <w:rPr>
                <w:b/>
              </w:rPr>
              <w:t>v4</w:t>
            </w:r>
          </w:p>
        </w:tc>
      </w:tr>
      <w:tr w:rsidR="00375BD2" w:rsidRPr="00C05886" w14:paraId="12704107" w14:textId="77777777" w:rsidTr="000431B3">
        <w:trPr>
          <w:trHeight w:val="600"/>
        </w:trPr>
        <w:tc>
          <w:tcPr>
            <w:tcW w:w="1882" w:type="dxa"/>
          </w:tcPr>
          <w:p w14:paraId="3E53F2CF" w14:textId="77777777" w:rsidR="00375BD2" w:rsidRPr="00C05886" w:rsidRDefault="00375BD2" w:rsidP="00375BD2">
            <w:pPr>
              <w:spacing w:line="240" w:lineRule="auto"/>
              <w:rPr>
                <w:b/>
              </w:rPr>
            </w:pPr>
            <w:r w:rsidRPr="00C05886">
              <w:rPr>
                <w:b/>
              </w:rPr>
              <w:t>Sounds</w:t>
            </w:r>
          </w:p>
        </w:tc>
        <w:tc>
          <w:tcPr>
            <w:tcW w:w="4393" w:type="dxa"/>
          </w:tcPr>
          <w:p w14:paraId="3596D3E7" w14:textId="77777777" w:rsidR="00375BD2" w:rsidRPr="00C05886" w:rsidRDefault="00375BD2" w:rsidP="00375BD2">
            <w:pPr>
              <w:spacing w:line="240" w:lineRule="auto"/>
            </w:pPr>
            <w:r w:rsidRPr="00C05886">
              <w:t>Ambient sounds (wind, water, birds)</w:t>
            </w:r>
          </w:p>
        </w:tc>
        <w:tc>
          <w:tcPr>
            <w:tcW w:w="857" w:type="dxa"/>
          </w:tcPr>
          <w:p w14:paraId="764C238D" w14:textId="77777777" w:rsidR="00375BD2" w:rsidRPr="00C05886" w:rsidRDefault="00375BD2" w:rsidP="00375BD2">
            <w:pPr>
              <w:spacing w:line="240" w:lineRule="auto"/>
            </w:pPr>
            <w:r w:rsidRPr="00C05886">
              <w:t>55</w:t>
            </w:r>
          </w:p>
        </w:tc>
        <w:tc>
          <w:tcPr>
            <w:tcW w:w="456" w:type="dxa"/>
          </w:tcPr>
          <w:p w14:paraId="61FCC1DF" w14:textId="77777777" w:rsidR="00375BD2" w:rsidRPr="00C05886" w:rsidRDefault="00375BD2" w:rsidP="00375BD2">
            <w:pPr>
              <w:spacing w:line="240" w:lineRule="auto"/>
            </w:pPr>
            <w:r w:rsidRPr="00C05886">
              <w:t>8</w:t>
            </w:r>
          </w:p>
        </w:tc>
        <w:tc>
          <w:tcPr>
            <w:tcW w:w="456" w:type="dxa"/>
          </w:tcPr>
          <w:p w14:paraId="38A66659" w14:textId="77777777" w:rsidR="00375BD2" w:rsidRPr="00C05886" w:rsidRDefault="00375BD2" w:rsidP="00375BD2">
            <w:pPr>
              <w:spacing w:line="240" w:lineRule="auto"/>
            </w:pPr>
            <w:r w:rsidRPr="00C05886">
              <w:t>12</w:t>
            </w:r>
          </w:p>
        </w:tc>
        <w:tc>
          <w:tcPr>
            <w:tcW w:w="456" w:type="dxa"/>
          </w:tcPr>
          <w:p w14:paraId="62B1321B" w14:textId="77777777" w:rsidR="00375BD2" w:rsidRPr="00C05886" w:rsidRDefault="00375BD2" w:rsidP="00375BD2">
            <w:pPr>
              <w:spacing w:line="240" w:lineRule="auto"/>
            </w:pPr>
            <w:r w:rsidRPr="00C05886">
              <w:t>12</w:t>
            </w:r>
          </w:p>
        </w:tc>
        <w:tc>
          <w:tcPr>
            <w:tcW w:w="516" w:type="dxa"/>
          </w:tcPr>
          <w:p w14:paraId="42DC247A" w14:textId="77777777" w:rsidR="00375BD2" w:rsidRPr="00C05886" w:rsidRDefault="00375BD2" w:rsidP="00375BD2">
            <w:pPr>
              <w:spacing w:line="240" w:lineRule="auto"/>
              <w:rPr>
                <w:b/>
              </w:rPr>
            </w:pPr>
            <w:r w:rsidRPr="00C05886">
              <w:rPr>
                <w:b/>
              </w:rPr>
              <w:t>24</w:t>
            </w:r>
          </w:p>
        </w:tc>
      </w:tr>
      <w:tr w:rsidR="00375BD2" w:rsidRPr="00C05886" w14:paraId="5CFB1AB5" w14:textId="77777777" w:rsidTr="000431B3">
        <w:trPr>
          <w:trHeight w:val="600"/>
        </w:trPr>
        <w:tc>
          <w:tcPr>
            <w:tcW w:w="1882" w:type="dxa"/>
          </w:tcPr>
          <w:p w14:paraId="777B61D0" w14:textId="77777777" w:rsidR="00375BD2" w:rsidRPr="00C05886" w:rsidRDefault="00375BD2" w:rsidP="00375BD2">
            <w:pPr>
              <w:spacing w:line="240" w:lineRule="auto"/>
              <w:rPr>
                <w:b/>
              </w:rPr>
            </w:pPr>
            <w:r w:rsidRPr="00C05886">
              <w:rPr>
                <w:b/>
              </w:rPr>
              <w:t>Flowers</w:t>
            </w:r>
          </w:p>
        </w:tc>
        <w:tc>
          <w:tcPr>
            <w:tcW w:w="4393" w:type="dxa"/>
          </w:tcPr>
          <w:p w14:paraId="53645236" w14:textId="77777777" w:rsidR="00375BD2" w:rsidRPr="00C05886" w:rsidRDefault="00375BD2" w:rsidP="00375BD2">
            <w:pPr>
              <w:spacing w:line="240" w:lineRule="auto"/>
            </w:pPr>
            <w:r w:rsidRPr="00C05886">
              <w:t>Flowers on the ground, around the camera. These are the flowers used to increase the biodiversity count.</w:t>
            </w:r>
          </w:p>
        </w:tc>
        <w:tc>
          <w:tcPr>
            <w:tcW w:w="857" w:type="dxa"/>
          </w:tcPr>
          <w:p w14:paraId="4AB2BFF4" w14:textId="77777777" w:rsidR="00375BD2" w:rsidRPr="00C05886" w:rsidRDefault="00375BD2" w:rsidP="00375BD2">
            <w:pPr>
              <w:spacing w:line="240" w:lineRule="auto"/>
            </w:pPr>
            <w:r w:rsidRPr="00C05886">
              <w:t>35</w:t>
            </w:r>
          </w:p>
        </w:tc>
        <w:tc>
          <w:tcPr>
            <w:tcW w:w="456" w:type="dxa"/>
          </w:tcPr>
          <w:p w14:paraId="467AC16B" w14:textId="77777777" w:rsidR="00375BD2" w:rsidRPr="00C05886" w:rsidRDefault="00375BD2" w:rsidP="00375BD2">
            <w:pPr>
              <w:spacing w:line="240" w:lineRule="auto"/>
            </w:pPr>
            <w:r w:rsidRPr="00C05886">
              <w:t>0</w:t>
            </w:r>
          </w:p>
        </w:tc>
        <w:tc>
          <w:tcPr>
            <w:tcW w:w="456" w:type="dxa"/>
          </w:tcPr>
          <w:p w14:paraId="6E5AEE2D" w14:textId="77777777" w:rsidR="00375BD2" w:rsidRPr="00C05886" w:rsidRDefault="00375BD2" w:rsidP="00375BD2">
            <w:pPr>
              <w:spacing w:line="240" w:lineRule="auto"/>
            </w:pPr>
            <w:r w:rsidRPr="00C05886">
              <w:t>14</w:t>
            </w:r>
          </w:p>
        </w:tc>
        <w:tc>
          <w:tcPr>
            <w:tcW w:w="456" w:type="dxa"/>
          </w:tcPr>
          <w:p w14:paraId="3170190D" w14:textId="77777777" w:rsidR="00375BD2" w:rsidRPr="00C05886" w:rsidRDefault="00375BD2" w:rsidP="00375BD2">
            <w:pPr>
              <w:spacing w:line="240" w:lineRule="auto"/>
            </w:pPr>
            <w:r w:rsidRPr="00C05886">
              <w:t>11</w:t>
            </w:r>
          </w:p>
        </w:tc>
        <w:tc>
          <w:tcPr>
            <w:tcW w:w="516" w:type="dxa"/>
          </w:tcPr>
          <w:p w14:paraId="347DE65C" w14:textId="77777777" w:rsidR="00375BD2" w:rsidRPr="00C05886" w:rsidRDefault="00375BD2" w:rsidP="00375BD2">
            <w:pPr>
              <w:spacing w:line="240" w:lineRule="auto"/>
              <w:rPr>
                <w:b/>
              </w:rPr>
            </w:pPr>
            <w:r w:rsidRPr="00C05886">
              <w:t>10</w:t>
            </w:r>
          </w:p>
        </w:tc>
      </w:tr>
      <w:tr w:rsidR="00375BD2" w:rsidRPr="00C05886" w14:paraId="71A61669" w14:textId="77777777" w:rsidTr="000431B3">
        <w:trPr>
          <w:trHeight w:val="600"/>
        </w:trPr>
        <w:tc>
          <w:tcPr>
            <w:tcW w:w="1882" w:type="dxa"/>
          </w:tcPr>
          <w:p w14:paraId="283C6FF1" w14:textId="77777777" w:rsidR="00375BD2" w:rsidRPr="00C05886" w:rsidRDefault="00375BD2" w:rsidP="00375BD2">
            <w:pPr>
              <w:spacing w:line="240" w:lineRule="auto"/>
              <w:rPr>
                <w:b/>
              </w:rPr>
            </w:pPr>
            <w:r w:rsidRPr="00C05886">
              <w:rPr>
                <w:b/>
              </w:rPr>
              <w:t>Trees</w:t>
            </w:r>
          </w:p>
        </w:tc>
        <w:tc>
          <w:tcPr>
            <w:tcW w:w="4393" w:type="dxa"/>
          </w:tcPr>
          <w:p w14:paraId="319F3064" w14:textId="77777777" w:rsidR="00375BD2" w:rsidRPr="00C05886" w:rsidRDefault="00375BD2" w:rsidP="00375BD2">
            <w:pPr>
              <w:spacing w:line="240" w:lineRule="auto"/>
            </w:pPr>
            <w:r w:rsidRPr="00C05886">
              <w:t>Trees mentioned explicitly, often commenting on their abundance, health, size.</w:t>
            </w:r>
          </w:p>
        </w:tc>
        <w:tc>
          <w:tcPr>
            <w:tcW w:w="857" w:type="dxa"/>
          </w:tcPr>
          <w:p w14:paraId="43103CE0" w14:textId="77777777" w:rsidR="00375BD2" w:rsidRPr="00C05886" w:rsidRDefault="00375BD2" w:rsidP="00375BD2">
            <w:pPr>
              <w:spacing w:line="240" w:lineRule="auto"/>
            </w:pPr>
            <w:r w:rsidRPr="00C05886">
              <w:t>34</w:t>
            </w:r>
          </w:p>
        </w:tc>
        <w:tc>
          <w:tcPr>
            <w:tcW w:w="456" w:type="dxa"/>
          </w:tcPr>
          <w:p w14:paraId="60FC4154" w14:textId="77777777" w:rsidR="00375BD2" w:rsidRPr="00C05886" w:rsidRDefault="00375BD2" w:rsidP="00375BD2">
            <w:pPr>
              <w:spacing w:line="240" w:lineRule="auto"/>
            </w:pPr>
            <w:r w:rsidRPr="00C05886">
              <w:t>8</w:t>
            </w:r>
          </w:p>
        </w:tc>
        <w:tc>
          <w:tcPr>
            <w:tcW w:w="456" w:type="dxa"/>
          </w:tcPr>
          <w:p w14:paraId="48631931" w14:textId="77777777" w:rsidR="00375BD2" w:rsidRPr="00C05886" w:rsidRDefault="00375BD2" w:rsidP="00375BD2">
            <w:pPr>
              <w:spacing w:line="240" w:lineRule="auto"/>
            </w:pPr>
            <w:r w:rsidRPr="00C05886">
              <w:t>10</w:t>
            </w:r>
          </w:p>
        </w:tc>
        <w:tc>
          <w:tcPr>
            <w:tcW w:w="456" w:type="dxa"/>
          </w:tcPr>
          <w:p w14:paraId="1CCA594D" w14:textId="77777777" w:rsidR="00375BD2" w:rsidRPr="00C05886" w:rsidRDefault="00375BD2" w:rsidP="00375BD2">
            <w:pPr>
              <w:spacing w:line="240" w:lineRule="auto"/>
            </w:pPr>
            <w:r w:rsidRPr="00C05886">
              <w:t>7</w:t>
            </w:r>
          </w:p>
        </w:tc>
        <w:tc>
          <w:tcPr>
            <w:tcW w:w="516" w:type="dxa"/>
          </w:tcPr>
          <w:p w14:paraId="19D0930D" w14:textId="77777777" w:rsidR="00375BD2" w:rsidRPr="00C05886" w:rsidRDefault="00375BD2" w:rsidP="00375BD2">
            <w:pPr>
              <w:spacing w:line="240" w:lineRule="auto"/>
            </w:pPr>
            <w:r w:rsidRPr="00C05886">
              <w:t>9</w:t>
            </w:r>
          </w:p>
        </w:tc>
      </w:tr>
      <w:tr w:rsidR="00375BD2" w:rsidRPr="00C05886" w14:paraId="760E42C8" w14:textId="77777777" w:rsidTr="000431B3">
        <w:trPr>
          <w:trHeight w:val="900"/>
        </w:trPr>
        <w:tc>
          <w:tcPr>
            <w:tcW w:w="1882" w:type="dxa"/>
          </w:tcPr>
          <w:p w14:paraId="0BB6BF4C" w14:textId="77777777" w:rsidR="00375BD2" w:rsidRPr="00C05886" w:rsidRDefault="00375BD2" w:rsidP="00375BD2">
            <w:pPr>
              <w:spacing w:line="240" w:lineRule="auto"/>
            </w:pPr>
            <w:r w:rsidRPr="00C05886">
              <w:t>Greenery</w:t>
            </w:r>
          </w:p>
        </w:tc>
        <w:tc>
          <w:tcPr>
            <w:tcW w:w="4393" w:type="dxa"/>
          </w:tcPr>
          <w:p w14:paraId="7CD5718A" w14:textId="77777777" w:rsidR="00375BD2" w:rsidRPr="00C05886" w:rsidRDefault="00375BD2" w:rsidP="00375BD2">
            <w:pPr>
              <w:spacing w:line="240" w:lineRule="auto"/>
            </w:pPr>
            <w:r w:rsidRPr="00C05886">
              <w:t>Abundance of the colour green, used the term "greenery" or collective terms such as "vegetation", "flora" but did not use more specific terms.</w:t>
            </w:r>
          </w:p>
        </w:tc>
        <w:tc>
          <w:tcPr>
            <w:tcW w:w="857" w:type="dxa"/>
          </w:tcPr>
          <w:p w14:paraId="2371BE69" w14:textId="77777777" w:rsidR="00375BD2" w:rsidRPr="00C05886" w:rsidRDefault="00375BD2" w:rsidP="00375BD2">
            <w:pPr>
              <w:spacing w:line="240" w:lineRule="auto"/>
            </w:pPr>
            <w:r w:rsidRPr="00C05886">
              <w:t>33</w:t>
            </w:r>
          </w:p>
        </w:tc>
        <w:tc>
          <w:tcPr>
            <w:tcW w:w="456" w:type="dxa"/>
          </w:tcPr>
          <w:p w14:paraId="5DA27E9C" w14:textId="77777777" w:rsidR="00375BD2" w:rsidRPr="00C05886" w:rsidRDefault="00375BD2" w:rsidP="00375BD2">
            <w:pPr>
              <w:spacing w:line="240" w:lineRule="auto"/>
            </w:pPr>
            <w:r w:rsidRPr="00C05886">
              <w:t>10</w:t>
            </w:r>
          </w:p>
        </w:tc>
        <w:tc>
          <w:tcPr>
            <w:tcW w:w="456" w:type="dxa"/>
          </w:tcPr>
          <w:p w14:paraId="3DE016EA" w14:textId="77777777" w:rsidR="00375BD2" w:rsidRPr="00C05886" w:rsidRDefault="00375BD2" w:rsidP="00375BD2">
            <w:pPr>
              <w:spacing w:line="240" w:lineRule="auto"/>
            </w:pPr>
            <w:r w:rsidRPr="00C05886">
              <w:t>5</w:t>
            </w:r>
          </w:p>
        </w:tc>
        <w:tc>
          <w:tcPr>
            <w:tcW w:w="456" w:type="dxa"/>
          </w:tcPr>
          <w:p w14:paraId="58DBEC98" w14:textId="77777777" w:rsidR="00375BD2" w:rsidRPr="00C05886" w:rsidRDefault="00375BD2" w:rsidP="00375BD2">
            <w:pPr>
              <w:spacing w:line="240" w:lineRule="auto"/>
            </w:pPr>
            <w:r w:rsidRPr="00C05886">
              <w:t>9</w:t>
            </w:r>
          </w:p>
        </w:tc>
        <w:tc>
          <w:tcPr>
            <w:tcW w:w="516" w:type="dxa"/>
          </w:tcPr>
          <w:p w14:paraId="0810580B" w14:textId="77777777" w:rsidR="00375BD2" w:rsidRPr="00C05886" w:rsidRDefault="00375BD2" w:rsidP="00375BD2">
            <w:pPr>
              <w:spacing w:line="240" w:lineRule="auto"/>
            </w:pPr>
            <w:r w:rsidRPr="00C05886">
              <w:t>9</w:t>
            </w:r>
          </w:p>
        </w:tc>
      </w:tr>
      <w:tr w:rsidR="00375BD2" w:rsidRPr="00C05886" w14:paraId="0AE4A976" w14:textId="77777777" w:rsidTr="000431B3">
        <w:trPr>
          <w:trHeight w:val="1200"/>
        </w:trPr>
        <w:tc>
          <w:tcPr>
            <w:tcW w:w="1882" w:type="dxa"/>
          </w:tcPr>
          <w:p w14:paraId="1C24F9FB" w14:textId="77777777" w:rsidR="00375BD2" w:rsidRPr="00C05886" w:rsidRDefault="00375BD2" w:rsidP="00375BD2">
            <w:pPr>
              <w:spacing w:line="240" w:lineRule="auto"/>
            </w:pPr>
            <w:r w:rsidRPr="00C05886">
              <w:t>Diversity</w:t>
            </w:r>
          </w:p>
        </w:tc>
        <w:tc>
          <w:tcPr>
            <w:tcW w:w="4393" w:type="dxa"/>
          </w:tcPr>
          <w:p w14:paraId="5196C775" w14:textId="77777777" w:rsidR="00375BD2" w:rsidRPr="00C05886" w:rsidRDefault="00375BD2" w:rsidP="00375BD2">
            <w:pPr>
              <w:spacing w:line="240" w:lineRule="auto"/>
            </w:pPr>
            <w:r w:rsidRPr="00C05886">
              <w:t>Used the words "Diversity" and "Variety" to describe the environment. Also includes sentences such as "a lot of plants", "a rage of plants", "Many different plants", "many habitats".</w:t>
            </w:r>
          </w:p>
        </w:tc>
        <w:tc>
          <w:tcPr>
            <w:tcW w:w="857" w:type="dxa"/>
          </w:tcPr>
          <w:p w14:paraId="206EB2F7" w14:textId="77777777" w:rsidR="00375BD2" w:rsidRPr="00C05886" w:rsidRDefault="00375BD2" w:rsidP="00375BD2">
            <w:pPr>
              <w:spacing w:line="240" w:lineRule="auto"/>
            </w:pPr>
            <w:r w:rsidRPr="00C05886">
              <w:t>33</w:t>
            </w:r>
          </w:p>
        </w:tc>
        <w:tc>
          <w:tcPr>
            <w:tcW w:w="456" w:type="dxa"/>
          </w:tcPr>
          <w:p w14:paraId="51D470F1" w14:textId="77777777" w:rsidR="00375BD2" w:rsidRPr="00C05886" w:rsidRDefault="00375BD2" w:rsidP="00375BD2">
            <w:pPr>
              <w:spacing w:line="240" w:lineRule="auto"/>
            </w:pPr>
            <w:r w:rsidRPr="00C05886">
              <w:t>5</w:t>
            </w:r>
          </w:p>
        </w:tc>
        <w:tc>
          <w:tcPr>
            <w:tcW w:w="456" w:type="dxa"/>
          </w:tcPr>
          <w:p w14:paraId="5DFDA4C4" w14:textId="77777777" w:rsidR="00375BD2" w:rsidRPr="00C05886" w:rsidRDefault="00375BD2" w:rsidP="00375BD2">
            <w:pPr>
              <w:spacing w:line="240" w:lineRule="auto"/>
            </w:pPr>
            <w:r w:rsidRPr="00C05886">
              <w:t>4</w:t>
            </w:r>
          </w:p>
        </w:tc>
        <w:tc>
          <w:tcPr>
            <w:tcW w:w="456" w:type="dxa"/>
          </w:tcPr>
          <w:p w14:paraId="66A6DD86" w14:textId="77777777" w:rsidR="00375BD2" w:rsidRPr="00C05886" w:rsidRDefault="00375BD2" w:rsidP="00375BD2">
            <w:pPr>
              <w:spacing w:line="240" w:lineRule="auto"/>
            </w:pPr>
            <w:r w:rsidRPr="00C05886">
              <w:t>9</w:t>
            </w:r>
          </w:p>
        </w:tc>
        <w:tc>
          <w:tcPr>
            <w:tcW w:w="516" w:type="dxa"/>
          </w:tcPr>
          <w:p w14:paraId="2A8D5438" w14:textId="77777777" w:rsidR="00375BD2" w:rsidRPr="00C05886" w:rsidRDefault="00375BD2" w:rsidP="00375BD2">
            <w:pPr>
              <w:spacing w:line="240" w:lineRule="auto"/>
              <w:rPr>
                <w:b/>
              </w:rPr>
            </w:pPr>
            <w:r w:rsidRPr="00C05886">
              <w:rPr>
                <w:b/>
              </w:rPr>
              <w:t>15</w:t>
            </w:r>
          </w:p>
        </w:tc>
      </w:tr>
      <w:tr w:rsidR="00375BD2" w:rsidRPr="00C05886" w14:paraId="1418E187" w14:textId="77777777" w:rsidTr="000431B3">
        <w:trPr>
          <w:trHeight w:val="900"/>
        </w:trPr>
        <w:tc>
          <w:tcPr>
            <w:tcW w:w="1882" w:type="dxa"/>
          </w:tcPr>
          <w:p w14:paraId="0145C16E" w14:textId="77777777" w:rsidR="00375BD2" w:rsidRPr="00C05886" w:rsidRDefault="00375BD2" w:rsidP="00375BD2">
            <w:pPr>
              <w:spacing w:line="240" w:lineRule="auto"/>
            </w:pPr>
            <w:r w:rsidRPr="00C05886">
              <w:t>General appreciation</w:t>
            </w:r>
          </w:p>
        </w:tc>
        <w:tc>
          <w:tcPr>
            <w:tcW w:w="4393" w:type="dxa"/>
          </w:tcPr>
          <w:p w14:paraId="6C1A36DB" w14:textId="77777777" w:rsidR="00375BD2" w:rsidRPr="00C05886" w:rsidRDefault="00375BD2" w:rsidP="00375BD2">
            <w:pPr>
              <w:spacing w:line="240" w:lineRule="auto"/>
            </w:pPr>
            <w:r w:rsidRPr="00C05886">
              <w:t>General positive feeling of environment as a whole. Most of the comments mentioned the environment being "peaceful"</w:t>
            </w:r>
          </w:p>
        </w:tc>
        <w:tc>
          <w:tcPr>
            <w:tcW w:w="857" w:type="dxa"/>
          </w:tcPr>
          <w:p w14:paraId="44B75B9B" w14:textId="77777777" w:rsidR="00375BD2" w:rsidRPr="00C05886" w:rsidRDefault="00375BD2" w:rsidP="00375BD2">
            <w:pPr>
              <w:spacing w:line="240" w:lineRule="auto"/>
            </w:pPr>
            <w:r w:rsidRPr="00C05886">
              <w:t>31</w:t>
            </w:r>
          </w:p>
        </w:tc>
        <w:tc>
          <w:tcPr>
            <w:tcW w:w="456" w:type="dxa"/>
          </w:tcPr>
          <w:p w14:paraId="49422BD7" w14:textId="77777777" w:rsidR="00375BD2" w:rsidRPr="00C05886" w:rsidRDefault="00375BD2" w:rsidP="00375BD2">
            <w:pPr>
              <w:spacing w:line="240" w:lineRule="auto"/>
            </w:pPr>
            <w:r w:rsidRPr="00C05886">
              <w:t>11</w:t>
            </w:r>
          </w:p>
        </w:tc>
        <w:tc>
          <w:tcPr>
            <w:tcW w:w="456" w:type="dxa"/>
          </w:tcPr>
          <w:p w14:paraId="0A98AB7A" w14:textId="77777777" w:rsidR="00375BD2" w:rsidRPr="00C05886" w:rsidRDefault="00375BD2" w:rsidP="00375BD2">
            <w:pPr>
              <w:spacing w:line="240" w:lineRule="auto"/>
            </w:pPr>
            <w:r w:rsidRPr="00C05886">
              <w:t>7</w:t>
            </w:r>
          </w:p>
        </w:tc>
        <w:tc>
          <w:tcPr>
            <w:tcW w:w="456" w:type="dxa"/>
          </w:tcPr>
          <w:p w14:paraId="1DF72F07" w14:textId="77777777" w:rsidR="00375BD2" w:rsidRPr="00C05886" w:rsidRDefault="00375BD2" w:rsidP="00375BD2">
            <w:pPr>
              <w:spacing w:line="240" w:lineRule="auto"/>
            </w:pPr>
            <w:r w:rsidRPr="00C05886">
              <w:t>8</w:t>
            </w:r>
          </w:p>
        </w:tc>
        <w:tc>
          <w:tcPr>
            <w:tcW w:w="516" w:type="dxa"/>
          </w:tcPr>
          <w:p w14:paraId="2ED3F2DD" w14:textId="77777777" w:rsidR="00375BD2" w:rsidRPr="00C05886" w:rsidRDefault="00375BD2" w:rsidP="00375BD2">
            <w:pPr>
              <w:spacing w:line="240" w:lineRule="auto"/>
            </w:pPr>
            <w:r w:rsidRPr="00C05886">
              <w:t>5</w:t>
            </w:r>
          </w:p>
        </w:tc>
      </w:tr>
      <w:tr w:rsidR="00375BD2" w:rsidRPr="00C05886" w14:paraId="4E011C72" w14:textId="77777777" w:rsidTr="00FB379A">
        <w:trPr>
          <w:trHeight w:val="788"/>
        </w:trPr>
        <w:tc>
          <w:tcPr>
            <w:tcW w:w="1882" w:type="dxa"/>
          </w:tcPr>
          <w:p w14:paraId="1990B856" w14:textId="77777777" w:rsidR="00375BD2" w:rsidRPr="00C05886" w:rsidRDefault="00375BD2" w:rsidP="00375BD2">
            <w:pPr>
              <w:spacing w:line="240" w:lineRule="auto"/>
            </w:pPr>
            <w:r w:rsidRPr="00C05886">
              <w:t>Human presence/absence</w:t>
            </w:r>
          </w:p>
        </w:tc>
        <w:tc>
          <w:tcPr>
            <w:tcW w:w="4393" w:type="dxa"/>
          </w:tcPr>
          <w:p w14:paraId="5FFC68DF" w14:textId="77777777" w:rsidR="00375BD2" w:rsidRPr="00C05886" w:rsidRDefault="00375BD2" w:rsidP="00375BD2">
            <w:pPr>
              <w:spacing w:line="240" w:lineRule="auto"/>
            </w:pPr>
            <w:r w:rsidRPr="00C05886">
              <w:t>Human activity (clearing, logging, vehicle noise) or the absence of human disturbance (e.g. no rubbish)</w:t>
            </w:r>
          </w:p>
        </w:tc>
        <w:tc>
          <w:tcPr>
            <w:tcW w:w="857" w:type="dxa"/>
          </w:tcPr>
          <w:p w14:paraId="7150249A" w14:textId="77777777" w:rsidR="00375BD2" w:rsidRPr="00C05886" w:rsidRDefault="00375BD2" w:rsidP="00375BD2">
            <w:pPr>
              <w:spacing w:line="240" w:lineRule="auto"/>
            </w:pPr>
            <w:r w:rsidRPr="00C05886">
              <w:t>24</w:t>
            </w:r>
          </w:p>
        </w:tc>
        <w:tc>
          <w:tcPr>
            <w:tcW w:w="456" w:type="dxa"/>
          </w:tcPr>
          <w:p w14:paraId="2A990FDF" w14:textId="77777777" w:rsidR="00375BD2" w:rsidRPr="00C05886" w:rsidRDefault="00375BD2" w:rsidP="00375BD2">
            <w:pPr>
              <w:spacing w:line="240" w:lineRule="auto"/>
            </w:pPr>
            <w:r w:rsidRPr="00C05886">
              <w:t>6</w:t>
            </w:r>
          </w:p>
        </w:tc>
        <w:tc>
          <w:tcPr>
            <w:tcW w:w="456" w:type="dxa"/>
          </w:tcPr>
          <w:p w14:paraId="4D02B574" w14:textId="77777777" w:rsidR="00375BD2" w:rsidRPr="00C05886" w:rsidRDefault="00375BD2" w:rsidP="00375BD2">
            <w:pPr>
              <w:spacing w:line="240" w:lineRule="auto"/>
            </w:pPr>
            <w:r w:rsidRPr="00C05886">
              <w:t>2</w:t>
            </w:r>
          </w:p>
        </w:tc>
        <w:tc>
          <w:tcPr>
            <w:tcW w:w="456" w:type="dxa"/>
          </w:tcPr>
          <w:p w14:paraId="7BF7FC01" w14:textId="77777777" w:rsidR="00375BD2" w:rsidRPr="00C05886" w:rsidRDefault="00375BD2" w:rsidP="00375BD2">
            <w:pPr>
              <w:spacing w:line="240" w:lineRule="auto"/>
            </w:pPr>
            <w:r w:rsidRPr="00C05886">
              <w:t>7</w:t>
            </w:r>
          </w:p>
        </w:tc>
        <w:tc>
          <w:tcPr>
            <w:tcW w:w="516" w:type="dxa"/>
          </w:tcPr>
          <w:p w14:paraId="738B9C89" w14:textId="77777777" w:rsidR="00375BD2" w:rsidRPr="00C05886" w:rsidRDefault="00375BD2" w:rsidP="00375BD2">
            <w:pPr>
              <w:spacing w:line="240" w:lineRule="auto"/>
            </w:pPr>
            <w:r w:rsidRPr="00C05886">
              <w:t>9</w:t>
            </w:r>
          </w:p>
        </w:tc>
      </w:tr>
      <w:tr w:rsidR="00375BD2" w:rsidRPr="00C05886" w14:paraId="240D28A5" w14:textId="77777777" w:rsidTr="000431B3">
        <w:trPr>
          <w:trHeight w:val="900"/>
        </w:trPr>
        <w:tc>
          <w:tcPr>
            <w:tcW w:w="1882" w:type="dxa"/>
          </w:tcPr>
          <w:p w14:paraId="1BAD11D1" w14:textId="77777777" w:rsidR="00375BD2" w:rsidRPr="00C05886" w:rsidRDefault="00375BD2" w:rsidP="00375BD2">
            <w:pPr>
              <w:spacing w:line="240" w:lineRule="auto"/>
            </w:pPr>
            <w:r w:rsidRPr="00C05886">
              <w:t>Movement</w:t>
            </w:r>
          </w:p>
        </w:tc>
        <w:tc>
          <w:tcPr>
            <w:tcW w:w="4393" w:type="dxa"/>
          </w:tcPr>
          <w:p w14:paraId="59912E94" w14:textId="77777777" w:rsidR="00375BD2" w:rsidRPr="00C05886" w:rsidRDefault="00375BD2" w:rsidP="00375BD2">
            <w:pPr>
              <w:spacing w:line="240" w:lineRule="auto"/>
            </w:pPr>
            <w:r w:rsidRPr="00C05886">
              <w:t>Movement in the environment, such as the branches moving in the breeze or some insects flying close to the camera</w:t>
            </w:r>
          </w:p>
        </w:tc>
        <w:tc>
          <w:tcPr>
            <w:tcW w:w="857" w:type="dxa"/>
          </w:tcPr>
          <w:p w14:paraId="31B4D1B0" w14:textId="77777777" w:rsidR="00375BD2" w:rsidRPr="00C05886" w:rsidRDefault="00375BD2" w:rsidP="00375BD2">
            <w:pPr>
              <w:spacing w:line="240" w:lineRule="auto"/>
            </w:pPr>
            <w:r w:rsidRPr="00C05886">
              <w:t>18</w:t>
            </w:r>
          </w:p>
        </w:tc>
        <w:tc>
          <w:tcPr>
            <w:tcW w:w="456" w:type="dxa"/>
          </w:tcPr>
          <w:p w14:paraId="00DD1253" w14:textId="77777777" w:rsidR="00375BD2" w:rsidRPr="00C05886" w:rsidRDefault="00375BD2" w:rsidP="00375BD2">
            <w:pPr>
              <w:spacing w:line="240" w:lineRule="auto"/>
            </w:pPr>
            <w:r w:rsidRPr="00C05886">
              <w:t>7</w:t>
            </w:r>
          </w:p>
        </w:tc>
        <w:tc>
          <w:tcPr>
            <w:tcW w:w="456" w:type="dxa"/>
          </w:tcPr>
          <w:p w14:paraId="3C14B545" w14:textId="77777777" w:rsidR="00375BD2" w:rsidRPr="00C05886" w:rsidRDefault="00375BD2" w:rsidP="00375BD2">
            <w:pPr>
              <w:spacing w:line="240" w:lineRule="auto"/>
            </w:pPr>
            <w:r w:rsidRPr="00C05886">
              <w:t>4</w:t>
            </w:r>
          </w:p>
        </w:tc>
        <w:tc>
          <w:tcPr>
            <w:tcW w:w="456" w:type="dxa"/>
          </w:tcPr>
          <w:p w14:paraId="017AFDF9" w14:textId="77777777" w:rsidR="00375BD2" w:rsidRPr="00C05886" w:rsidRDefault="00375BD2" w:rsidP="00375BD2">
            <w:pPr>
              <w:spacing w:line="240" w:lineRule="auto"/>
            </w:pPr>
            <w:r w:rsidRPr="00C05886">
              <w:t>3</w:t>
            </w:r>
          </w:p>
        </w:tc>
        <w:tc>
          <w:tcPr>
            <w:tcW w:w="516" w:type="dxa"/>
          </w:tcPr>
          <w:p w14:paraId="666DF998" w14:textId="77777777" w:rsidR="00375BD2" w:rsidRPr="00C05886" w:rsidRDefault="00375BD2" w:rsidP="00375BD2">
            <w:pPr>
              <w:spacing w:line="240" w:lineRule="auto"/>
            </w:pPr>
            <w:r w:rsidRPr="00C05886">
              <w:t>4</w:t>
            </w:r>
          </w:p>
        </w:tc>
      </w:tr>
      <w:tr w:rsidR="00375BD2" w:rsidRPr="00C05886" w14:paraId="177642F5" w14:textId="77777777" w:rsidTr="000431B3">
        <w:trPr>
          <w:trHeight w:val="900"/>
        </w:trPr>
        <w:tc>
          <w:tcPr>
            <w:tcW w:w="1882" w:type="dxa"/>
          </w:tcPr>
          <w:p w14:paraId="27DCFA84" w14:textId="77777777" w:rsidR="00375BD2" w:rsidRPr="00C05886" w:rsidRDefault="00375BD2" w:rsidP="00375BD2">
            <w:pPr>
              <w:spacing w:line="240" w:lineRule="auto"/>
            </w:pPr>
            <w:r w:rsidRPr="00C05886">
              <w:t>Nature/Natural</w:t>
            </w:r>
          </w:p>
        </w:tc>
        <w:tc>
          <w:tcPr>
            <w:tcW w:w="4393" w:type="dxa"/>
          </w:tcPr>
          <w:p w14:paraId="638352BF" w14:textId="77777777" w:rsidR="00375BD2" w:rsidRPr="00C05886" w:rsidRDefault="00375BD2" w:rsidP="00375BD2">
            <w:pPr>
              <w:spacing w:line="240" w:lineRule="auto"/>
            </w:pPr>
            <w:r w:rsidRPr="00C05886">
              <w:t>Used the word "Natural" in general terms to describe the environment. Also includes sentences such as "full of Nature"</w:t>
            </w:r>
          </w:p>
        </w:tc>
        <w:tc>
          <w:tcPr>
            <w:tcW w:w="857" w:type="dxa"/>
          </w:tcPr>
          <w:p w14:paraId="400A5D73" w14:textId="77777777" w:rsidR="00375BD2" w:rsidRPr="00C05886" w:rsidRDefault="00375BD2" w:rsidP="00375BD2">
            <w:pPr>
              <w:spacing w:line="240" w:lineRule="auto"/>
            </w:pPr>
            <w:r w:rsidRPr="00C05886">
              <w:t>17</w:t>
            </w:r>
          </w:p>
        </w:tc>
        <w:tc>
          <w:tcPr>
            <w:tcW w:w="456" w:type="dxa"/>
          </w:tcPr>
          <w:p w14:paraId="68AFEC7A" w14:textId="77777777" w:rsidR="00375BD2" w:rsidRPr="00C05886" w:rsidRDefault="00375BD2" w:rsidP="00375BD2">
            <w:pPr>
              <w:spacing w:line="240" w:lineRule="auto"/>
            </w:pPr>
            <w:r w:rsidRPr="00C05886">
              <w:t>8</w:t>
            </w:r>
          </w:p>
        </w:tc>
        <w:tc>
          <w:tcPr>
            <w:tcW w:w="456" w:type="dxa"/>
          </w:tcPr>
          <w:p w14:paraId="400FED25" w14:textId="77777777" w:rsidR="00375BD2" w:rsidRPr="00C05886" w:rsidRDefault="00375BD2" w:rsidP="00375BD2">
            <w:pPr>
              <w:spacing w:line="240" w:lineRule="auto"/>
            </w:pPr>
            <w:r w:rsidRPr="00C05886">
              <w:t>5</w:t>
            </w:r>
          </w:p>
        </w:tc>
        <w:tc>
          <w:tcPr>
            <w:tcW w:w="456" w:type="dxa"/>
          </w:tcPr>
          <w:p w14:paraId="3E0982B4" w14:textId="77777777" w:rsidR="00375BD2" w:rsidRPr="00C05886" w:rsidRDefault="00375BD2" w:rsidP="00375BD2">
            <w:pPr>
              <w:spacing w:line="240" w:lineRule="auto"/>
            </w:pPr>
            <w:r w:rsidRPr="00C05886">
              <w:t>2</w:t>
            </w:r>
          </w:p>
        </w:tc>
        <w:tc>
          <w:tcPr>
            <w:tcW w:w="516" w:type="dxa"/>
          </w:tcPr>
          <w:p w14:paraId="0DE7FA34" w14:textId="77777777" w:rsidR="00375BD2" w:rsidRPr="00C05886" w:rsidRDefault="00375BD2" w:rsidP="00375BD2">
            <w:pPr>
              <w:spacing w:line="240" w:lineRule="auto"/>
            </w:pPr>
            <w:r w:rsidRPr="00C05886">
              <w:t>2</w:t>
            </w:r>
          </w:p>
        </w:tc>
      </w:tr>
      <w:tr w:rsidR="00375BD2" w:rsidRPr="00C05886" w14:paraId="4CFBF1BB" w14:textId="77777777" w:rsidTr="00FB379A">
        <w:trPr>
          <w:trHeight w:val="699"/>
        </w:trPr>
        <w:tc>
          <w:tcPr>
            <w:tcW w:w="1882" w:type="dxa"/>
          </w:tcPr>
          <w:p w14:paraId="2EF36EF9" w14:textId="77777777" w:rsidR="00375BD2" w:rsidRPr="00C05886" w:rsidRDefault="00375BD2" w:rsidP="00375BD2">
            <w:pPr>
              <w:spacing w:line="240" w:lineRule="auto"/>
            </w:pPr>
            <w:r w:rsidRPr="00C05886">
              <w:t>Not pertinent</w:t>
            </w:r>
          </w:p>
        </w:tc>
        <w:tc>
          <w:tcPr>
            <w:tcW w:w="4393" w:type="dxa"/>
          </w:tcPr>
          <w:p w14:paraId="4BF50240" w14:textId="77777777" w:rsidR="00375BD2" w:rsidRPr="00C05886" w:rsidRDefault="00375BD2" w:rsidP="00375BD2">
            <w:pPr>
              <w:spacing w:line="240" w:lineRule="auto"/>
            </w:pPr>
            <w:r w:rsidRPr="00C05886">
              <w:t xml:space="preserve">The participant used this space to provide different kinds of feedbacks. </w:t>
            </w:r>
          </w:p>
        </w:tc>
        <w:tc>
          <w:tcPr>
            <w:tcW w:w="857" w:type="dxa"/>
          </w:tcPr>
          <w:p w14:paraId="11642925" w14:textId="77777777" w:rsidR="00375BD2" w:rsidRPr="00C05886" w:rsidRDefault="00375BD2" w:rsidP="00375BD2">
            <w:pPr>
              <w:spacing w:line="240" w:lineRule="auto"/>
            </w:pPr>
            <w:r w:rsidRPr="00C05886">
              <w:t>15</w:t>
            </w:r>
          </w:p>
        </w:tc>
        <w:tc>
          <w:tcPr>
            <w:tcW w:w="456" w:type="dxa"/>
          </w:tcPr>
          <w:p w14:paraId="4A8B2664" w14:textId="77777777" w:rsidR="00375BD2" w:rsidRPr="00C05886" w:rsidRDefault="00375BD2" w:rsidP="00375BD2">
            <w:pPr>
              <w:spacing w:line="240" w:lineRule="auto"/>
            </w:pPr>
            <w:r w:rsidRPr="00C05886">
              <w:t>2</w:t>
            </w:r>
          </w:p>
        </w:tc>
        <w:tc>
          <w:tcPr>
            <w:tcW w:w="456" w:type="dxa"/>
          </w:tcPr>
          <w:p w14:paraId="574C9BC6" w14:textId="77777777" w:rsidR="00375BD2" w:rsidRPr="00C05886" w:rsidRDefault="00375BD2" w:rsidP="00375BD2">
            <w:pPr>
              <w:spacing w:line="240" w:lineRule="auto"/>
            </w:pPr>
            <w:r w:rsidRPr="00C05886">
              <w:t>3</w:t>
            </w:r>
          </w:p>
        </w:tc>
        <w:tc>
          <w:tcPr>
            <w:tcW w:w="456" w:type="dxa"/>
          </w:tcPr>
          <w:p w14:paraId="3100E5C7" w14:textId="77777777" w:rsidR="00375BD2" w:rsidRPr="00C05886" w:rsidRDefault="00375BD2" w:rsidP="00375BD2">
            <w:pPr>
              <w:spacing w:line="240" w:lineRule="auto"/>
            </w:pPr>
            <w:r w:rsidRPr="00C05886">
              <w:t>4</w:t>
            </w:r>
          </w:p>
        </w:tc>
        <w:tc>
          <w:tcPr>
            <w:tcW w:w="516" w:type="dxa"/>
          </w:tcPr>
          <w:p w14:paraId="0A7BDDE3" w14:textId="77777777" w:rsidR="00375BD2" w:rsidRPr="00C05886" w:rsidRDefault="00375BD2" w:rsidP="00375BD2">
            <w:pPr>
              <w:spacing w:line="240" w:lineRule="auto"/>
            </w:pPr>
            <w:r w:rsidRPr="00C05886">
              <w:t>6</w:t>
            </w:r>
          </w:p>
        </w:tc>
      </w:tr>
      <w:tr w:rsidR="00375BD2" w:rsidRPr="00C05886" w14:paraId="3B3E00D8" w14:textId="77777777" w:rsidTr="000431B3">
        <w:trPr>
          <w:trHeight w:val="1200"/>
        </w:trPr>
        <w:tc>
          <w:tcPr>
            <w:tcW w:w="1882" w:type="dxa"/>
          </w:tcPr>
          <w:p w14:paraId="78756979" w14:textId="77777777" w:rsidR="00375BD2" w:rsidRPr="00C05886" w:rsidRDefault="00375BD2" w:rsidP="00375BD2">
            <w:pPr>
              <w:spacing w:line="240" w:lineRule="auto"/>
            </w:pPr>
            <w:r w:rsidRPr="00C05886">
              <w:lastRenderedPageBreak/>
              <w:t>Unseen</w:t>
            </w:r>
          </w:p>
        </w:tc>
        <w:tc>
          <w:tcPr>
            <w:tcW w:w="4393" w:type="dxa"/>
          </w:tcPr>
          <w:p w14:paraId="4B5C3F4B" w14:textId="77777777" w:rsidR="00375BD2" w:rsidRPr="00C05886" w:rsidRDefault="00375BD2" w:rsidP="00375BD2">
            <w:pPr>
              <w:spacing w:line="240" w:lineRule="auto"/>
            </w:pPr>
            <w:r w:rsidRPr="00C05886">
              <w:t>Absence of something they would have expected to see. Such expectation derived from hearing (or believing to have heard) specific sounds in the ambience, such as water flowing</w:t>
            </w:r>
          </w:p>
        </w:tc>
        <w:tc>
          <w:tcPr>
            <w:tcW w:w="857" w:type="dxa"/>
          </w:tcPr>
          <w:p w14:paraId="2CF4EF4C" w14:textId="77777777" w:rsidR="00375BD2" w:rsidRPr="00C05886" w:rsidRDefault="00375BD2" w:rsidP="00375BD2">
            <w:pPr>
              <w:spacing w:line="240" w:lineRule="auto"/>
            </w:pPr>
            <w:r w:rsidRPr="00C05886">
              <w:t>12</w:t>
            </w:r>
          </w:p>
        </w:tc>
        <w:tc>
          <w:tcPr>
            <w:tcW w:w="456" w:type="dxa"/>
          </w:tcPr>
          <w:p w14:paraId="4B8D0249" w14:textId="77777777" w:rsidR="00375BD2" w:rsidRPr="00C05886" w:rsidRDefault="00375BD2" w:rsidP="00375BD2">
            <w:pPr>
              <w:spacing w:line="240" w:lineRule="auto"/>
            </w:pPr>
            <w:r w:rsidRPr="00C05886">
              <w:t>5</w:t>
            </w:r>
          </w:p>
        </w:tc>
        <w:tc>
          <w:tcPr>
            <w:tcW w:w="456" w:type="dxa"/>
          </w:tcPr>
          <w:p w14:paraId="7B9D95E3" w14:textId="77777777" w:rsidR="00375BD2" w:rsidRPr="00C05886" w:rsidRDefault="00375BD2" w:rsidP="00375BD2">
            <w:pPr>
              <w:spacing w:line="240" w:lineRule="auto"/>
            </w:pPr>
            <w:r w:rsidRPr="00C05886">
              <w:t>4</w:t>
            </w:r>
          </w:p>
        </w:tc>
        <w:tc>
          <w:tcPr>
            <w:tcW w:w="456" w:type="dxa"/>
          </w:tcPr>
          <w:p w14:paraId="678C30D4" w14:textId="77777777" w:rsidR="00375BD2" w:rsidRPr="00C05886" w:rsidRDefault="00375BD2" w:rsidP="00375BD2">
            <w:pPr>
              <w:spacing w:line="240" w:lineRule="auto"/>
            </w:pPr>
            <w:r w:rsidRPr="00C05886">
              <w:t>1</w:t>
            </w:r>
          </w:p>
        </w:tc>
        <w:tc>
          <w:tcPr>
            <w:tcW w:w="516" w:type="dxa"/>
          </w:tcPr>
          <w:p w14:paraId="083A2F87" w14:textId="77777777" w:rsidR="00375BD2" w:rsidRPr="00C05886" w:rsidRDefault="00375BD2" w:rsidP="00375BD2">
            <w:pPr>
              <w:spacing w:line="240" w:lineRule="auto"/>
            </w:pPr>
            <w:r w:rsidRPr="00C05886">
              <w:t>2</w:t>
            </w:r>
          </w:p>
        </w:tc>
      </w:tr>
      <w:tr w:rsidR="00375BD2" w:rsidRPr="00C05886" w14:paraId="4EEBBFB9" w14:textId="77777777" w:rsidTr="000431B3">
        <w:trPr>
          <w:trHeight w:val="900"/>
        </w:trPr>
        <w:tc>
          <w:tcPr>
            <w:tcW w:w="1882" w:type="dxa"/>
          </w:tcPr>
          <w:p w14:paraId="54B33E27" w14:textId="77777777" w:rsidR="00375BD2" w:rsidRPr="00C05886" w:rsidRDefault="00375BD2" w:rsidP="00375BD2">
            <w:pPr>
              <w:spacing w:line="240" w:lineRule="auto"/>
            </w:pPr>
            <w:r w:rsidRPr="00C05886">
              <w:t>Forest/Woods</w:t>
            </w:r>
          </w:p>
        </w:tc>
        <w:tc>
          <w:tcPr>
            <w:tcW w:w="4393" w:type="dxa"/>
          </w:tcPr>
          <w:p w14:paraId="7B643648" w14:textId="77777777" w:rsidR="00375BD2" w:rsidRPr="00C05886" w:rsidRDefault="00375BD2" w:rsidP="00375BD2">
            <w:pPr>
              <w:spacing w:line="240" w:lineRule="auto"/>
            </w:pPr>
            <w:r w:rsidRPr="00C05886">
              <w:t>Words such as "forest" or "woodland" used to broadly describe the environment without mentioning anything more specific (e.g. trees)</w:t>
            </w:r>
          </w:p>
        </w:tc>
        <w:tc>
          <w:tcPr>
            <w:tcW w:w="857" w:type="dxa"/>
          </w:tcPr>
          <w:p w14:paraId="4E83595F" w14:textId="77777777" w:rsidR="00375BD2" w:rsidRPr="00C05886" w:rsidRDefault="00375BD2" w:rsidP="00375BD2">
            <w:pPr>
              <w:spacing w:line="240" w:lineRule="auto"/>
            </w:pPr>
            <w:r w:rsidRPr="00C05886">
              <w:t>12</w:t>
            </w:r>
          </w:p>
        </w:tc>
        <w:tc>
          <w:tcPr>
            <w:tcW w:w="456" w:type="dxa"/>
          </w:tcPr>
          <w:p w14:paraId="20087D09" w14:textId="77777777" w:rsidR="00375BD2" w:rsidRPr="00C05886" w:rsidRDefault="00375BD2" w:rsidP="00375BD2">
            <w:pPr>
              <w:spacing w:line="240" w:lineRule="auto"/>
            </w:pPr>
            <w:r w:rsidRPr="00C05886">
              <w:t>5</w:t>
            </w:r>
          </w:p>
        </w:tc>
        <w:tc>
          <w:tcPr>
            <w:tcW w:w="456" w:type="dxa"/>
          </w:tcPr>
          <w:p w14:paraId="00B18EDA" w14:textId="77777777" w:rsidR="00375BD2" w:rsidRPr="00C05886" w:rsidRDefault="00375BD2" w:rsidP="00375BD2">
            <w:pPr>
              <w:spacing w:line="240" w:lineRule="auto"/>
            </w:pPr>
            <w:r w:rsidRPr="00C05886">
              <w:t>0</w:t>
            </w:r>
          </w:p>
        </w:tc>
        <w:tc>
          <w:tcPr>
            <w:tcW w:w="456" w:type="dxa"/>
          </w:tcPr>
          <w:p w14:paraId="36C1E6BC" w14:textId="77777777" w:rsidR="00375BD2" w:rsidRPr="00C05886" w:rsidRDefault="00375BD2" w:rsidP="00375BD2">
            <w:pPr>
              <w:spacing w:line="240" w:lineRule="auto"/>
            </w:pPr>
            <w:r w:rsidRPr="00C05886">
              <w:t>3</w:t>
            </w:r>
          </w:p>
        </w:tc>
        <w:tc>
          <w:tcPr>
            <w:tcW w:w="516" w:type="dxa"/>
          </w:tcPr>
          <w:p w14:paraId="47BD9436" w14:textId="77777777" w:rsidR="00375BD2" w:rsidRPr="00C05886" w:rsidRDefault="00375BD2" w:rsidP="00375BD2">
            <w:pPr>
              <w:spacing w:line="240" w:lineRule="auto"/>
            </w:pPr>
            <w:r w:rsidRPr="00C05886">
              <w:t>4</w:t>
            </w:r>
          </w:p>
        </w:tc>
      </w:tr>
      <w:tr w:rsidR="00375BD2" w:rsidRPr="00C05886" w14:paraId="34628455" w14:textId="77777777" w:rsidTr="000431B3">
        <w:trPr>
          <w:trHeight w:val="600"/>
        </w:trPr>
        <w:tc>
          <w:tcPr>
            <w:tcW w:w="1882" w:type="dxa"/>
          </w:tcPr>
          <w:p w14:paraId="4526E975" w14:textId="77777777" w:rsidR="00375BD2" w:rsidRPr="00C05886" w:rsidRDefault="00375BD2" w:rsidP="00375BD2">
            <w:pPr>
              <w:spacing w:line="240" w:lineRule="auto"/>
            </w:pPr>
            <w:r w:rsidRPr="00C05886">
              <w:t>Calm/Calming</w:t>
            </w:r>
          </w:p>
        </w:tc>
        <w:tc>
          <w:tcPr>
            <w:tcW w:w="4393" w:type="dxa"/>
          </w:tcPr>
          <w:p w14:paraId="00D711C3" w14:textId="77777777" w:rsidR="00375BD2" w:rsidRPr="00C05886" w:rsidRDefault="00375BD2" w:rsidP="00375BD2">
            <w:pPr>
              <w:spacing w:line="240" w:lineRule="auto"/>
            </w:pPr>
            <w:r w:rsidRPr="00C05886">
              <w:t>The participant described the video as relaxing, calming, usually referring to the sounds</w:t>
            </w:r>
          </w:p>
        </w:tc>
        <w:tc>
          <w:tcPr>
            <w:tcW w:w="857" w:type="dxa"/>
          </w:tcPr>
          <w:p w14:paraId="55D11AAA" w14:textId="77777777" w:rsidR="00375BD2" w:rsidRPr="00C05886" w:rsidRDefault="00375BD2" w:rsidP="00375BD2">
            <w:pPr>
              <w:spacing w:line="240" w:lineRule="auto"/>
            </w:pPr>
            <w:r w:rsidRPr="00C05886">
              <w:t>11</w:t>
            </w:r>
          </w:p>
        </w:tc>
        <w:tc>
          <w:tcPr>
            <w:tcW w:w="456" w:type="dxa"/>
          </w:tcPr>
          <w:p w14:paraId="51F8C7C5" w14:textId="77777777" w:rsidR="00375BD2" w:rsidRPr="00C05886" w:rsidRDefault="00375BD2" w:rsidP="00375BD2">
            <w:pPr>
              <w:spacing w:line="240" w:lineRule="auto"/>
            </w:pPr>
            <w:r w:rsidRPr="00C05886">
              <w:t>4</w:t>
            </w:r>
          </w:p>
        </w:tc>
        <w:tc>
          <w:tcPr>
            <w:tcW w:w="456" w:type="dxa"/>
          </w:tcPr>
          <w:p w14:paraId="5014B7F7" w14:textId="77777777" w:rsidR="00375BD2" w:rsidRPr="00C05886" w:rsidRDefault="00375BD2" w:rsidP="00375BD2">
            <w:pPr>
              <w:spacing w:line="240" w:lineRule="auto"/>
            </w:pPr>
            <w:r w:rsidRPr="00C05886">
              <w:t>2</w:t>
            </w:r>
          </w:p>
        </w:tc>
        <w:tc>
          <w:tcPr>
            <w:tcW w:w="456" w:type="dxa"/>
          </w:tcPr>
          <w:p w14:paraId="45E2720C" w14:textId="77777777" w:rsidR="00375BD2" w:rsidRPr="00C05886" w:rsidRDefault="00375BD2" w:rsidP="00375BD2">
            <w:pPr>
              <w:spacing w:line="240" w:lineRule="auto"/>
            </w:pPr>
            <w:r w:rsidRPr="00C05886">
              <w:t>1</w:t>
            </w:r>
          </w:p>
        </w:tc>
        <w:tc>
          <w:tcPr>
            <w:tcW w:w="516" w:type="dxa"/>
          </w:tcPr>
          <w:p w14:paraId="1B3DFEBE" w14:textId="77777777" w:rsidR="00375BD2" w:rsidRPr="00C05886" w:rsidRDefault="00375BD2" w:rsidP="00375BD2">
            <w:pPr>
              <w:spacing w:line="240" w:lineRule="auto"/>
            </w:pPr>
            <w:r w:rsidRPr="00C05886">
              <w:t>4</w:t>
            </w:r>
          </w:p>
        </w:tc>
      </w:tr>
      <w:tr w:rsidR="00375BD2" w:rsidRPr="00C05886" w14:paraId="656E6ACE" w14:textId="77777777" w:rsidTr="000431B3">
        <w:trPr>
          <w:trHeight w:val="600"/>
        </w:trPr>
        <w:tc>
          <w:tcPr>
            <w:tcW w:w="1882" w:type="dxa"/>
          </w:tcPr>
          <w:p w14:paraId="427B8B64" w14:textId="77777777" w:rsidR="00375BD2" w:rsidRPr="00C05886" w:rsidRDefault="00375BD2" w:rsidP="00375BD2">
            <w:pPr>
              <w:spacing w:line="240" w:lineRule="auto"/>
            </w:pPr>
            <w:r w:rsidRPr="00C05886">
              <w:t>Bird box</w:t>
            </w:r>
          </w:p>
        </w:tc>
        <w:tc>
          <w:tcPr>
            <w:tcW w:w="4393" w:type="dxa"/>
          </w:tcPr>
          <w:p w14:paraId="189F655B" w14:textId="77777777" w:rsidR="00375BD2" w:rsidRPr="00C05886" w:rsidRDefault="00375BD2" w:rsidP="00375BD2">
            <w:pPr>
              <w:spacing w:line="240" w:lineRule="auto"/>
            </w:pPr>
            <w:r w:rsidRPr="00C05886">
              <w:t>Noticed the presence of a bird box on one of the trees.</w:t>
            </w:r>
          </w:p>
        </w:tc>
        <w:tc>
          <w:tcPr>
            <w:tcW w:w="857" w:type="dxa"/>
          </w:tcPr>
          <w:p w14:paraId="3600085C" w14:textId="77777777" w:rsidR="00375BD2" w:rsidRPr="00C05886" w:rsidRDefault="00375BD2" w:rsidP="00375BD2">
            <w:pPr>
              <w:spacing w:line="240" w:lineRule="auto"/>
            </w:pPr>
            <w:r w:rsidRPr="00C05886">
              <w:t>10</w:t>
            </w:r>
          </w:p>
        </w:tc>
        <w:tc>
          <w:tcPr>
            <w:tcW w:w="456" w:type="dxa"/>
          </w:tcPr>
          <w:p w14:paraId="3A4D8305" w14:textId="77777777" w:rsidR="00375BD2" w:rsidRPr="00C05886" w:rsidRDefault="00375BD2" w:rsidP="00375BD2">
            <w:pPr>
              <w:spacing w:line="240" w:lineRule="auto"/>
            </w:pPr>
            <w:r w:rsidRPr="00C05886">
              <w:t>1</w:t>
            </w:r>
          </w:p>
        </w:tc>
        <w:tc>
          <w:tcPr>
            <w:tcW w:w="456" w:type="dxa"/>
          </w:tcPr>
          <w:p w14:paraId="4AA8293D" w14:textId="77777777" w:rsidR="00375BD2" w:rsidRPr="00C05886" w:rsidRDefault="00375BD2" w:rsidP="00375BD2">
            <w:pPr>
              <w:spacing w:line="240" w:lineRule="auto"/>
            </w:pPr>
            <w:r w:rsidRPr="00C05886">
              <w:t>2</w:t>
            </w:r>
          </w:p>
        </w:tc>
        <w:tc>
          <w:tcPr>
            <w:tcW w:w="456" w:type="dxa"/>
          </w:tcPr>
          <w:p w14:paraId="3042DB82" w14:textId="77777777" w:rsidR="00375BD2" w:rsidRPr="00C05886" w:rsidRDefault="00375BD2" w:rsidP="00375BD2">
            <w:pPr>
              <w:spacing w:line="240" w:lineRule="auto"/>
            </w:pPr>
            <w:r w:rsidRPr="00C05886">
              <w:t>5</w:t>
            </w:r>
          </w:p>
        </w:tc>
        <w:tc>
          <w:tcPr>
            <w:tcW w:w="516" w:type="dxa"/>
          </w:tcPr>
          <w:p w14:paraId="0FEBD59C" w14:textId="77777777" w:rsidR="00375BD2" w:rsidRPr="00C05886" w:rsidRDefault="00375BD2" w:rsidP="00375BD2">
            <w:pPr>
              <w:spacing w:line="240" w:lineRule="auto"/>
            </w:pPr>
            <w:r w:rsidRPr="00C05886">
              <w:t>2</w:t>
            </w:r>
          </w:p>
        </w:tc>
      </w:tr>
      <w:tr w:rsidR="00375BD2" w:rsidRPr="00C05886" w14:paraId="1D7CA13A" w14:textId="77777777" w:rsidTr="000431B3">
        <w:trPr>
          <w:trHeight w:val="600"/>
        </w:trPr>
        <w:tc>
          <w:tcPr>
            <w:tcW w:w="1882" w:type="dxa"/>
          </w:tcPr>
          <w:p w14:paraId="58045653" w14:textId="77777777" w:rsidR="00375BD2" w:rsidRPr="00C05886" w:rsidRDefault="00375BD2" w:rsidP="00375BD2">
            <w:pPr>
              <w:spacing w:line="240" w:lineRule="auto"/>
            </w:pPr>
            <w:r w:rsidRPr="00C05886">
              <w:t>Immersive</w:t>
            </w:r>
          </w:p>
        </w:tc>
        <w:tc>
          <w:tcPr>
            <w:tcW w:w="4393" w:type="dxa"/>
          </w:tcPr>
          <w:p w14:paraId="397080CD" w14:textId="77777777" w:rsidR="00375BD2" w:rsidRPr="00C05886" w:rsidRDefault="00375BD2" w:rsidP="00375BD2">
            <w:pPr>
              <w:spacing w:line="240" w:lineRule="auto"/>
            </w:pPr>
            <w:r w:rsidRPr="00C05886">
              <w:t>Used the words "immersive" or sentences like "it was like to be there"</w:t>
            </w:r>
          </w:p>
        </w:tc>
        <w:tc>
          <w:tcPr>
            <w:tcW w:w="857" w:type="dxa"/>
          </w:tcPr>
          <w:p w14:paraId="2C09F95D" w14:textId="77777777" w:rsidR="00375BD2" w:rsidRPr="00C05886" w:rsidRDefault="00375BD2" w:rsidP="00375BD2">
            <w:pPr>
              <w:spacing w:line="240" w:lineRule="auto"/>
            </w:pPr>
            <w:r w:rsidRPr="00C05886">
              <w:t>7</w:t>
            </w:r>
          </w:p>
        </w:tc>
        <w:tc>
          <w:tcPr>
            <w:tcW w:w="456" w:type="dxa"/>
          </w:tcPr>
          <w:p w14:paraId="15B023CE" w14:textId="77777777" w:rsidR="00375BD2" w:rsidRPr="00C05886" w:rsidRDefault="00375BD2" w:rsidP="00375BD2">
            <w:pPr>
              <w:spacing w:line="240" w:lineRule="auto"/>
            </w:pPr>
            <w:r w:rsidRPr="00C05886">
              <w:t>2</w:t>
            </w:r>
          </w:p>
        </w:tc>
        <w:tc>
          <w:tcPr>
            <w:tcW w:w="456" w:type="dxa"/>
          </w:tcPr>
          <w:p w14:paraId="215A4019" w14:textId="77777777" w:rsidR="00375BD2" w:rsidRPr="00C05886" w:rsidRDefault="00375BD2" w:rsidP="00375BD2">
            <w:pPr>
              <w:spacing w:line="240" w:lineRule="auto"/>
            </w:pPr>
            <w:r w:rsidRPr="00C05886">
              <w:t>1</w:t>
            </w:r>
          </w:p>
        </w:tc>
        <w:tc>
          <w:tcPr>
            <w:tcW w:w="456" w:type="dxa"/>
          </w:tcPr>
          <w:p w14:paraId="1E59C3A5" w14:textId="77777777" w:rsidR="00375BD2" w:rsidRPr="00C05886" w:rsidRDefault="00375BD2" w:rsidP="00375BD2">
            <w:pPr>
              <w:spacing w:line="240" w:lineRule="auto"/>
            </w:pPr>
            <w:r w:rsidRPr="00C05886">
              <w:t>2</w:t>
            </w:r>
          </w:p>
        </w:tc>
        <w:tc>
          <w:tcPr>
            <w:tcW w:w="516" w:type="dxa"/>
          </w:tcPr>
          <w:p w14:paraId="74B34C22" w14:textId="77777777" w:rsidR="00375BD2" w:rsidRPr="00C05886" w:rsidRDefault="00375BD2" w:rsidP="00375BD2">
            <w:pPr>
              <w:spacing w:line="240" w:lineRule="auto"/>
            </w:pPr>
            <w:r w:rsidRPr="00C05886">
              <w:t>2</w:t>
            </w:r>
          </w:p>
        </w:tc>
      </w:tr>
      <w:tr w:rsidR="00375BD2" w:rsidRPr="00C05886" w14:paraId="6D36D737" w14:textId="77777777" w:rsidTr="000431B3">
        <w:trPr>
          <w:trHeight w:val="900"/>
        </w:trPr>
        <w:tc>
          <w:tcPr>
            <w:tcW w:w="1882" w:type="dxa"/>
          </w:tcPr>
          <w:p w14:paraId="5141DEB3" w14:textId="77777777" w:rsidR="00375BD2" w:rsidRPr="00C05886" w:rsidRDefault="00375BD2" w:rsidP="00375BD2">
            <w:pPr>
              <w:spacing w:line="240" w:lineRule="auto"/>
            </w:pPr>
            <w:r w:rsidRPr="00C05886">
              <w:t>Unnatural</w:t>
            </w:r>
          </w:p>
        </w:tc>
        <w:tc>
          <w:tcPr>
            <w:tcW w:w="4393" w:type="dxa"/>
          </w:tcPr>
          <w:p w14:paraId="67094E72" w14:textId="77777777" w:rsidR="00375BD2" w:rsidRPr="00C05886" w:rsidRDefault="00375BD2" w:rsidP="00375BD2">
            <w:pPr>
              <w:spacing w:line="240" w:lineRule="auto"/>
            </w:pPr>
            <w:r w:rsidRPr="00C05886">
              <w:t>Participants from conditions 3 and 4, mentioned that the experimental planting looked "not too artificial" or "out of place"</w:t>
            </w:r>
          </w:p>
        </w:tc>
        <w:tc>
          <w:tcPr>
            <w:tcW w:w="857" w:type="dxa"/>
          </w:tcPr>
          <w:p w14:paraId="6B1347F3" w14:textId="77777777" w:rsidR="00375BD2" w:rsidRPr="00C05886" w:rsidRDefault="00375BD2" w:rsidP="00375BD2">
            <w:pPr>
              <w:spacing w:line="240" w:lineRule="auto"/>
            </w:pPr>
            <w:r w:rsidRPr="00C05886">
              <w:t>7</w:t>
            </w:r>
          </w:p>
        </w:tc>
        <w:tc>
          <w:tcPr>
            <w:tcW w:w="456" w:type="dxa"/>
          </w:tcPr>
          <w:p w14:paraId="5DBC1BA1" w14:textId="77777777" w:rsidR="00375BD2" w:rsidRPr="00C05886" w:rsidRDefault="00375BD2" w:rsidP="00375BD2">
            <w:pPr>
              <w:spacing w:line="240" w:lineRule="auto"/>
            </w:pPr>
            <w:r w:rsidRPr="00C05886">
              <w:t>0</w:t>
            </w:r>
          </w:p>
        </w:tc>
        <w:tc>
          <w:tcPr>
            <w:tcW w:w="456" w:type="dxa"/>
          </w:tcPr>
          <w:p w14:paraId="147CCE20" w14:textId="77777777" w:rsidR="00375BD2" w:rsidRPr="00C05886" w:rsidRDefault="00375BD2" w:rsidP="00375BD2">
            <w:pPr>
              <w:spacing w:line="240" w:lineRule="auto"/>
            </w:pPr>
            <w:r w:rsidRPr="00C05886">
              <w:t>0</w:t>
            </w:r>
          </w:p>
        </w:tc>
        <w:tc>
          <w:tcPr>
            <w:tcW w:w="456" w:type="dxa"/>
          </w:tcPr>
          <w:p w14:paraId="12FC64EA" w14:textId="77777777" w:rsidR="00375BD2" w:rsidRPr="00C05886" w:rsidRDefault="00375BD2" w:rsidP="00375BD2">
            <w:pPr>
              <w:spacing w:line="240" w:lineRule="auto"/>
            </w:pPr>
            <w:r w:rsidRPr="00C05886">
              <w:t>4</w:t>
            </w:r>
          </w:p>
        </w:tc>
        <w:tc>
          <w:tcPr>
            <w:tcW w:w="516" w:type="dxa"/>
          </w:tcPr>
          <w:p w14:paraId="77B81CD4" w14:textId="77777777" w:rsidR="00375BD2" w:rsidRPr="00C05886" w:rsidRDefault="00375BD2" w:rsidP="00375BD2">
            <w:pPr>
              <w:spacing w:line="240" w:lineRule="auto"/>
            </w:pPr>
            <w:r w:rsidRPr="00C05886">
              <w:t>3</w:t>
            </w:r>
          </w:p>
        </w:tc>
      </w:tr>
      <w:tr w:rsidR="00375BD2" w:rsidRPr="00C05886" w14:paraId="5B273FDB" w14:textId="77777777" w:rsidTr="000431B3">
        <w:trPr>
          <w:trHeight w:val="600"/>
        </w:trPr>
        <w:tc>
          <w:tcPr>
            <w:tcW w:w="1882" w:type="dxa"/>
          </w:tcPr>
          <w:p w14:paraId="6BEB4FE4" w14:textId="77777777" w:rsidR="00375BD2" w:rsidRPr="00C05886" w:rsidRDefault="00375BD2" w:rsidP="00375BD2">
            <w:pPr>
              <w:spacing w:line="240" w:lineRule="auto"/>
            </w:pPr>
            <w:r w:rsidRPr="00C05886">
              <w:t>Insects</w:t>
            </w:r>
          </w:p>
        </w:tc>
        <w:tc>
          <w:tcPr>
            <w:tcW w:w="4393" w:type="dxa"/>
          </w:tcPr>
          <w:p w14:paraId="3D64C1DC" w14:textId="77777777" w:rsidR="00375BD2" w:rsidRPr="00C05886" w:rsidRDefault="00375BD2" w:rsidP="00375BD2">
            <w:pPr>
              <w:spacing w:line="240" w:lineRule="auto"/>
            </w:pPr>
            <w:r w:rsidRPr="00C05886">
              <w:t>Presence of insects flying around the camera</w:t>
            </w:r>
          </w:p>
        </w:tc>
        <w:tc>
          <w:tcPr>
            <w:tcW w:w="857" w:type="dxa"/>
          </w:tcPr>
          <w:p w14:paraId="5D6DDB47" w14:textId="77777777" w:rsidR="00375BD2" w:rsidRPr="00C05886" w:rsidRDefault="00375BD2" w:rsidP="00375BD2">
            <w:pPr>
              <w:spacing w:line="240" w:lineRule="auto"/>
            </w:pPr>
            <w:r w:rsidRPr="00C05886">
              <w:t>7</w:t>
            </w:r>
          </w:p>
        </w:tc>
        <w:tc>
          <w:tcPr>
            <w:tcW w:w="456" w:type="dxa"/>
          </w:tcPr>
          <w:p w14:paraId="5A822223" w14:textId="77777777" w:rsidR="00375BD2" w:rsidRPr="00C05886" w:rsidRDefault="00375BD2" w:rsidP="00375BD2">
            <w:pPr>
              <w:spacing w:line="240" w:lineRule="auto"/>
            </w:pPr>
            <w:r w:rsidRPr="00C05886">
              <w:t>4</w:t>
            </w:r>
          </w:p>
        </w:tc>
        <w:tc>
          <w:tcPr>
            <w:tcW w:w="456" w:type="dxa"/>
          </w:tcPr>
          <w:p w14:paraId="4D646F68" w14:textId="77777777" w:rsidR="00375BD2" w:rsidRPr="00C05886" w:rsidRDefault="00375BD2" w:rsidP="00375BD2">
            <w:pPr>
              <w:spacing w:line="240" w:lineRule="auto"/>
            </w:pPr>
            <w:r w:rsidRPr="00C05886">
              <w:t>0</w:t>
            </w:r>
          </w:p>
        </w:tc>
        <w:tc>
          <w:tcPr>
            <w:tcW w:w="456" w:type="dxa"/>
          </w:tcPr>
          <w:p w14:paraId="2112C8B1" w14:textId="77777777" w:rsidR="00375BD2" w:rsidRPr="00C05886" w:rsidRDefault="00375BD2" w:rsidP="00375BD2">
            <w:pPr>
              <w:spacing w:line="240" w:lineRule="auto"/>
            </w:pPr>
            <w:r w:rsidRPr="00C05886">
              <w:t>1</w:t>
            </w:r>
          </w:p>
        </w:tc>
        <w:tc>
          <w:tcPr>
            <w:tcW w:w="516" w:type="dxa"/>
          </w:tcPr>
          <w:p w14:paraId="68A9F4F5" w14:textId="77777777" w:rsidR="00375BD2" w:rsidRPr="00C05886" w:rsidRDefault="00375BD2" w:rsidP="00375BD2">
            <w:pPr>
              <w:spacing w:line="240" w:lineRule="auto"/>
            </w:pPr>
            <w:r w:rsidRPr="00C05886">
              <w:t>2</w:t>
            </w:r>
          </w:p>
        </w:tc>
      </w:tr>
      <w:tr w:rsidR="00375BD2" w:rsidRPr="00C05886" w14:paraId="5AB9348C" w14:textId="77777777" w:rsidTr="000431B3">
        <w:trPr>
          <w:trHeight w:val="600"/>
        </w:trPr>
        <w:tc>
          <w:tcPr>
            <w:tcW w:w="1882" w:type="dxa"/>
          </w:tcPr>
          <w:p w14:paraId="0BC9A122" w14:textId="77777777" w:rsidR="00375BD2" w:rsidRPr="00C05886" w:rsidRDefault="00375BD2" w:rsidP="00375BD2">
            <w:pPr>
              <w:spacing w:line="240" w:lineRule="auto"/>
            </w:pPr>
            <w:r w:rsidRPr="00C05886">
              <w:t>Sky and lighting</w:t>
            </w:r>
          </w:p>
        </w:tc>
        <w:tc>
          <w:tcPr>
            <w:tcW w:w="4393" w:type="dxa"/>
          </w:tcPr>
          <w:p w14:paraId="51375065" w14:textId="77777777" w:rsidR="00375BD2" w:rsidRPr="00C05886" w:rsidRDefault="00375BD2" w:rsidP="00375BD2">
            <w:pPr>
              <w:spacing w:line="240" w:lineRule="auto"/>
            </w:pPr>
            <w:r w:rsidRPr="00C05886">
              <w:t>Sky among the treetops and the light reaching the ground.</w:t>
            </w:r>
          </w:p>
        </w:tc>
        <w:tc>
          <w:tcPr>
            <w:tcW w:w="857" w:type="dxa"/>
          </w:tcPr>
          <w:p w14:paraId="521411A0" w14:textId="77777777" w:rsidR="00375BD2" w:rsidRPr="00C05886" w:rsidRDefault="00375BD2" w:rsidP="00375BD2">
            <w:pPr>
              <w:spacing w:line="240" w:lineRule="auto"/>
            </w:pPr>
            <w:r w:rsidRPr="00C05886">
              <w:t>7</w:t>
            </w:r>
          </w:p>
        </w:tc>
        <w:tc>
          <w:tcPr>
            <w:tcW w:w="456" w:type="dxa"/>
          </w:tcPr>
          <w:p w14:paraId="66F50648" w14:textId="77777777" w:rsidR="00375BD2" w:rsidRPr="00C05886" w:rsidRDefault="00375BD2" w:rsidP="00375BD2">
            <w:pPr>
              <w:spacing w:line="240" w:lineRule="auto"/>
            </w:pPr>
            <w:r w:rsidRPr="00C05886">
              <w:t>0</w:t>
            </w:r>
          </w:p>
        </w:tc>
        <w:tc>
          <w:tcPr>
            <w:tcW w:w="456" w:type="dxa"/>
          </w:tcPr>
          <w:p w14:paraId="60FEEC38" w14:textId="77777777" w:rsidR="00375BD2" w:rsidRPr="00C05886" w:rsidRDefault="00375BD2" w:rsidP="00375BD2">
            <w:pPr>
              <w:spacing w:line="240" w:lineRule="auto"/>
            </w:pPr>
            <w:r w:rsidRPr="00C05886">
              <w:t>4</w:t>
            </w:r>
          </w:p>
        </w:tc>
        <w:tc>
          <w:tcPr>
            <w:tcW w:w="456" w:type="dxa"/>
          </w:tcPr>
          <w:p w14:paraId="2EB9080C" w14:textId="77777777" w:rsidR="00375BD2" w:rsidRPr="00C05886" w:rsidRDefault="00375BD2" w:rsidP="00375BD2">
            <w:pPr>
              <w:spacing w:line="240" w:lineRule="auto"/>
            </w:pPr>
            <w:r w:rsidRPr="00C05886">
              <w:t>1</w:t>
            </w:r>
          </w:p>
        </w:tc>
        <w:tc>
          <w:tcPr>
            <w:tcW w:w="516" w:type="dxa"/>
          </w:tcPr>
          <w:p w14:paraId="0B7676D3" w14:textId="77777777" w:rsidR="00375BD2" w:rsidRPr="00C05886" w:rsidRDefault="00375BD2" w:rsidP="00375BD2">
            <w:pPr>
              <w:spacing w:line="240" w:lineRule="auto"/>
            </w:pPr>
            <w:r w:rsidRPr="00C05886">
              <w:t>2</w:t>
            </w:r>
          </w:p>
        </w:tc>
      </w:tr>
      <w:tr w:rsidR="00375BD2" w:rsidRPr="00C05886" w14:paraId="14FFD741" w14:textId="77777777" w:rsidTr="000431B3">
        <w:trPr>
          <w:trHeight w:val="506"/>
        </w:trPr>
        <w:tc>
          <w:tcPr>
            <w:tcW w:w="1882" w:type="dxa"/>
          </w:tcPr>
          <w:p w14:paraId="0E21CC09" w14:textId="77777777" w:rsidR="00375BD2" w:rsidRPr="00C05886" w:rsidRDefault="00375BD2" w:rsidP="00375BD2">
            <w:pPr>
              <w:spacing w:line="240" w:lineRule="auto"/>
            </w:pPr>
            <w:r w:rsidRPr="00C05886">
              <w:t>Technical value</w:t>
            </w:r>
          </w:p>
        </w:tc>
        <w:tc>
          <w:tcPr>
            <w:tcW w:w="4393" w:type="dxa"/>
          </w:tcPr>
          <w:p w14:paraId="419D1B55" w14:textId="77777777" w:rsidR="00375BD2" w:rsidRPr="00C05886" w:rsidRDefault="00375BD2" w:rsidP="00375BD2">
            <w:pPr>
              <w:spacing w:line="240" w:lineRule="auto"/>
            </w:pPr>
            <w:r w:rsidRPr="00C05886">
              <w:t>Appreciation for the technical quality of the video.</w:t>
            </w:r>
          </w:p>
        </w:tc>
        <w:tc>
          <w:tcPr>
            <w:tcW w:w="857" w:type="dxa"/>
          </w:tcPr>
          <w:p w14:paraId="432E7035" w14:textId="77777777" w:rsidR="00375BD2" w:rsidRPr="00C05886" w:rsidRDefault="00375BD2" w:rsidP="00375BD2">
            <w:pPr>
              <w:spacing w:line="240" w:lineRule="auto"/>
            </w:pPr>
            <w:r w:rsidRPr="00C05886">
              <w:t>6</w:t>
            </w:r>
          </w:p>
        </w:tc>
        <w:tc>
          <w:tcPr>
            <w:tcW w:w="456" w:type="dxa"/>
          </w:tcPr>
          <w:p w14:paraId="67938368" w14:textId="77777777" w:rsidR="00375BD2" w:rsidRPr="00C05886" w:rsidRDefault="00375BD2" w:rsidP="00375BD2">
            <w:pPr>
              <w:spacing w:line="240" w:lineRule="auto"/>
            </w:pPr>
            <w:r w:rsidRPr="00C05886">
              <w:t>2</w:t>
            </w:r>
          </w:p>
        </w:tc>
        <w:tc>
          <w:tcPr>
            <w:tcW w:w="456" w:type="dxa"/>
          </w:tcPr>
          <w:p w14:paraId="21252B0A" w14:textId="77777777" w:rsidR="00375BD2" w:rsidRPr="00C05886" w:rsidRDefault="00375BD2" w:rsidP="00375BD2">
            <w:pPr>
              <w:spacing w:line="240" w:lineRule="auto"/>
            </w:pPr>
            <w:r w:rsidRPr="00C05886">
              <w:t>2</w:t>
            </w:r>
          </w:p>
        </w:tc>
        <w:tc>
          <w:tcPr>
            <w:tcW w:w="456" w:type="dxa"/>
          </w:tcPr>
          <w:p w14:paraId="29F0D495" w14:textId="77777777" w:rsidR="00375BD2" w:rsidRPr="00C05886" w:rsidRDefault="00375BD2" w:rsidP="00375BD2">
            <w:pPr>
              <w:spacing w:line="240" w:lineRule="auto"/>
            </w:pPr>
            <w:r w:rsidRPr="00C05886">
              <w:t>2</w:t>
            </w:r>
          </w:p>
        </w:tc>
        <w:tc>
          <w:tcPr>
            <w:tcW w:w="516" w:type="dxa"/>
          </w:tcPr>
          <w:p w14:paraId="17182994" w14:textId="77777777" w:rsidR="00375BD2" w:rsidRPr="00C05886" w:rsidRDefault="00375BD2" w:rsidP="00375BD2">
            <w:pPr>
              <w:spacing w:line="240" w:lineRule="auto"/>
            </w:pPr>
            <w:r w:rsidRPr="00C05886">
              <w:t>0</w:t>
            </w:r>
          </w:p>
        </w:tc>
      </w:tr>
      <w:tr w:rsidR="00375BD2" w:rsidRPr="00C05886" w14:paraId="7A188585" w14:textId="77777777" w:rsidTr="000431B3">
        <w:trPr>
          <w:trHeight w:val="600"/>
        </w:trPr>
        <w:tc>
          <w:tcPr>
            <w:tcW w:w="1882" w:type="dxa"/>
          </w:tcPr>
          <w:p w14:paraId="35F18CD7" w14:textId="77777777" w:rsidR="00375BD2" w:rsidRPr="00C05886" w:rsidRDefault="00375BD2" w:rsidP="00375BD2">
            <w:pPr>
              <w:spacing w:line="240" w:lineRule="auto"/>
            </w:pPr>
            <w:r w:rsidRPr="00C05886">
              <w:t>Silence</w:t>
            </w:r>
          </w:p>
        </w:tc>
        <w:tc>
          <w:tcPr>
            <w:tcW w:w="4393" w:type="dxa"/>
          </w:tcPr>
          <w:p w14:paraId="0EB4DEBD" w14:textId="77777777" w:rsidR="00375BD2" w:rsidRPr="00C05886" w:rsidRDefault="00375BD2" w:rsidP="00375BD2">
            <w:pPr>
              <w:spacing w:line="240" w:lineRule="auto"/>
            </w:pPr>
            <w:r w:rsidRPr="00C05886">
              <w:t>The participant used the words "quiet" or "silence" to evaluate the environment</w:t>
            </w:r>
          </w:p>
        </w:tc>
        <w:tc>
          <w:tcPr>
            <w:tcW w:w="857" w:type="dxa"/>
          </w:tcPr>
          <w:p w14:paraId="4BD1A8D7" w14:textId="77777777" w:rsidR="00375BD2" w:rsidRPr="00C05886" w:rsidRDefault="00375BD2" w:rsidP="00375BD2">
            <w:pPr>
              <w:spacing w:line="240" w:lineRule="auto"/>
            </w:pPr>
            <w:r w:rsidRPr="00C05886">
              <w:t>5</w:t>
            </w:r>
          </w:p>
        </w:tc>
        <w:tc>
          <w:tcPr>
            <w:tcW w:w="456" w:type="dxa"/>
          </w:tcPr>
          <w:p w14:paraId="45471214" w14:textId="77777777" w:rsidR="00375BD2" w:rsidRPr="00C05886" w:rsidRDefault="00375BD2" w:rsidP="00375BD2">
            <w:pPr>
              <w:spacing w:line="240" w:lineRule="auto"/>
            </w:pPr>
            <w:r w:rsidRPr="00C05886">
              <w:t>2</w:t>
            </w:r>
          </w:p>
        </w:tc>
        <w:tc>
          <w:tcPr>
            <w:tcW w:w="456" w:type="dxa"/>
          </w:tcPr>
          <w:p w14:paraId="528D582A" w14:textId="77777777" w:rsidR="00375BD2" w:rsidRPr="00C05886" w:rsidRDefault="00375BD2" w:rsidP="00375BD2">
            <w:pPr>
              <w:spacing w:line="240" w:lineRule="auto"/>
            </w:pPr>
            <w:r w:rsidRPr="00C05886">
              <w:t>0</w:t>
            </w:r>
          </w:p>
        </w:tc>
        <w:tc>
          <w:tcPr>
            <w:tcW w:w="456" w:type="dxa"/>
          </w:tcPr>
          <w:p w14:paraId="137C275D" w14:textId="77777777" w:rsidR="00375BD2" w:rsidRPr="00C05886" w:rsidRDefault="00375BD2" w:rsidP="00375BD2">
            <w:pPr>
              <w:spacing w:line="240" w:lineRule="auto"/>
            </w:pPr>
            <w:r w:rsidRPr="00C05886">
              <w:t>3</w:t>
            </w:r>
          </w:p>
        </w:tc>
        <w:tc>
          <w:tcPr>
            <w:tcW w:w="516" w:type="dxa"/>
          </w:tcPr>
          <w:p w14:paraId="1CFEE80A" w14:textId="77777777" w:rsidR="00375BD2" w:rsidRPr="00C05886" w:rsidRDefault="00375BD2" w:rsidP="00375BD2">
            <w:pPr>
              <w:spacing w:line="240" w:lineRule="auto"/>
            </w:pPr>
            <w:r w:rsidRPr="00C05886">
              <w:t>0</w:t>
            </w:r>
          </w:p>
        </w:tc>
      </w:tr>
      <w:tr w:rsidR="00375BD2" w:rsidRPr="00C05886" w14:paraId="48E36708" w14:textId="77777777" w:rsidTr="000431B3">
        <w:trPr>
          <w:trHeight w:val="600"/>
        </w:trPr>
        <w:tc>
          <w:tcPr>
            <w:tcW w:w="1882" w:type="dxa"/>
          </w:tcPr>
          <w:p w14:paraId="19C740DF" w14:textId="77777777" w:rsidR="00375BD2" w:rsidRPr="00C05886" w:rsidRDefault="00375BD2" w:rsidP="00375BD2">
            <w:pPr>
              <w:spacing w:line="240" w:lineRule="auto"/>
            </w:pPr>
            <w:r w:rsidRPr="00C05886">
              <w:t>Safe</w:t>
            </w:r>
          </w:p>
        </w:tc>
        <w:tc>
          <w:tcPr>
            <w:tcW w:w="4393" w:type="dxa"/>
          </w:tcPr>
          <w:p w14:paraId="0C1060BD" w14:textId="77777777" w:rsidR="00375BD2" w:rsidRPr="00C05886" w:rsidRDefault="00375BD2" w:rsidP="00375BD2">
            <w:pPr>
              <w:spacing w:line="240" w:lineRule="auto"/>
            </w:pPr>
            <w:r w:rsidRPr="00C05886">
              <w:t>The participant rated the area safe for the development of plants and wildlife</w:t>
            </w:r>
          </w:p>
        </w:tc>
        <w:tc>
          <w:tcPr>
            <w:tcW w:w="857" w:type="dxa"/>
          </w:tcPr>
          <w:p w14:paraId="6B5BEF33" w14:textId="77777777" w:rsidR="00375BD2" w:rsidRPr="00C05886" w:rsidRDefault="00375BD2" w:rsidP="00375BD2">
            <w:pPr>
              <w:spacing w:line="240" w:lineRule="auto"/>
            </w:pPr>
            <w:r w:rsidRPr="00C05886">
              <w:t>2</w:t>
            </w:r>
          </w:p>
        </w:tc>
        <w:tc>
          <w:tcPr>
            <w:tcW w:w="456" w:type="dxa"/>
          </w:tcPr>
          <w:p w14:paraId="40F46EBD" w14:textId="77777777" w:rsidR="00375BD2" w:rsidRPr="00C05886" w:rsidRDefault="00375BD2" w:rsidP="00375BD2">
            <w:pPr>
              <w:spacing w:line="240" w:lineRule="auto"/>
            </w:pPr>
            <w:r w:rsidRPr="00C05886">
              <w:t>2</w:t>
            </w:r>
          </w:p>
        </w:tc>
        <w:tc>
          <w:tcPr>
            <w:tcW w:w="456" w:type="dxa"/>
          </w:tcPr>
          <w:p w14:paraId="7C492232" w14:textId="77777777" w:rsidR="00375BD2" w:rsidRPr="00C05886" w:rsidRDefault="00375BD2" w:rsidP="00375BD2">
            <w:pPr>
              <w:spacing w:line="240" w:lineRule="auto"/>
            </w:pPr>
            <w:r w:rsidRPr="00C05886">
              <w:t>0</w:t>
            </w:r>
          </w:p>
        </w:tc>
        <w:tc>
          <w:tcPr>
            <w:tcW w:w="456" w:type="dxa"/>
          </w:tcPr>
          <w:p w14:paraId="1CB1DAB1" w14:textId="77777777" w:rsidR="00375BD2" w:rsidRPr="00C05886" w:rsidRDefault="00375BD2" w:rsidP="00375BD2">
            <w:pPr>
              <w:spacing w:line="240" w:lineRule="auto"/>
            </w:pPr>
            <w:r w:rsidRPr="00C05886">
              <w:t>0</w:t>
            </w:r>
          </w:p>
        </w:tc>
        <w:tc>
          <w:tcPr>
            <w:tcW w:w="516" w:type="dxa"/>
          </w:tcPr>
          <w:p w14:paraId="6E1F7BF5" w14:textId="77777777" w:rsidR="00375BD2" w:rsidRPr="00C05886" w:rsidRDefault="00375BD2" w:rsidP="00375BD2">
            <w:pPr>
              <w:spacing w:line="240" w:lineRule="auto"/>
            </w:pPr>
            <w:r w:rsidRPr="00C05886">
              <w:t>0</w:t>
            </w:r>
          </w:p>
        </w:tc>
      </w:tr>
      <w:tr w:rsidR="00375BD2" w:rsidRPr="00C05886" w14:paraId="3F78B49E" w14:textId="77777777" w:rsidTr="00FB379A">
        <w:trPr>
          <w:trHeight w:val="392"/>
        </w:trPr>
        <w:tc>
          <w:tcPr>
            <w:tcW w:w="1882" w:type="dxa"/>
          </w:tcPr>
          <w:p w14:paraId="56F46FA7" w14:textId="77777777" w:rsidR="00375BD2" w:rsidRPr="00C05886" w:rsidRDefault="00375BD2" w:rsidP="00375BD2">
            <w:pPr>
              <w:spacing w:line="240" w:lineRule="auto"/>
            </w:pPr>
            <w:r w:rsidRPr="00C05886">
              <w:t>Technical issue</w:t>
            </w:r>
          </w:p>
        </w:tc>
        <w:tc>
          <w:tcPr>
            <w:tcW w:w="4393" w:type="dxa"/>
          </w:tcPr>
          <w:p w14:paraId="7A6C3A06" w14:textId="77777777" w:rsidR="00375BD2" w:rsidRPr="00C05886" w:rsidRDefault="00375BD2" w:rsidP="00375BD2">
            <w:pPr>
              <w:spacing w:line="240" w:lineRule="auto"/>
            </w:pPr>
            <w:r w:rsidRPr="00C05886">
              <w:t>Technical issues with the survey.</w:t>
            </w:r>
          </w:p>
        </w:tc>
        <w:tc>
          <w:tcPr>
            <w:tcW w:w="857" w:type="dxa"/>
          </w:tcPr>
          <w:p w14:paraId="24FAE8A6" w14:textId="77777777" w:rsidR="00375BD2" w:rsidRPr="00C05886" w:rsidRDefault="00375BD2" w:rsidP="00375BD2">
            <w:pPr>
              <w:spacing w:line="240" w:lineRule="auto"/>
            </w:pPr>
            <w:r w:rsidRPr="00C05886">
              <w:t>2</w:t>
            </w:r>
          </w:p>
        </w:tc>
        <w:tc>
          <w:tcPr>
            <w:tcW w:w="456" w:type="dxa"/>
          </w:tcPr>
          <w:p w14:paraId="48BBF482" w14:textId="77777777" w:rsidR="00375BD2" w:rsidRPr="00C05886" w:rsidRDefault="00375BD2" w:rsidP="00375BD2">
            <w:pPr>
              <w:spacing w:line="240" w:lineRule="auto"/>
            </w:pPr>
            <w:r w:rsidRPr="00C05886">
              <w:t>1</w:t>
            </w:r>
          </w:p>
        </w:tc>
        <w:tc>
          <w:tcPr>
            <w:tcW w:w="456" w:type="dxa"/>
          </w:tcPr>
          <w:p w14:paraId="6D9FEEA6" w14:textId="77777777" w:rsidR="00375BD2" w:rsidRPr="00C05886" w:rsidRDefault="00375BD2" w:rsidP="00375BD2">
            <w:pPr>
              <w:spacing w:line="240" w:lineRule="auto"/>
            </w:pPr>
            <w:r w:rsidRPr="00C05886">
              <w:t>0</w:t>
            </w:r>
          </w:p>
        </w:tc>
        <w:tc>
          <w:tcPr>
            <w:tcW w:w="456" w:type="dxa"/>
          </w:tcPr>
          <w:p w14:paraId="2B9344D3" w14:textId="77777777" w:rsidR="00375BD2" w:rsidRPr="00C05886" w:rsidRDefault="00375BD2" w:rsidP="00375BD2">
            <w:pPr>
              <w:spacing w:line="240" w:lineRule="auto"/>
            </w:pPr>
            <w:r w:rsidRPr="00C05886">
              <w:t>1</w:t>
            </w:r>
          </w:p>
        </w:tc>
        <w:tc>
          <w:tcPr>
            <w:tcW w:w="516" w:type="dxa"/>
          </w:tcPr>
          <w:p w14:paraId="4BC4297E" w14:textId="77777777" w:rsidR="00375BD2" w:rsidRPr="00C05886" w:rsidRDefault="00375BD2" w:rsidP="00375BD2">
            <w:pPr>
              <w:spacing w:line="240" w:lineRule="auto"/>
            </w:pPr>
            <w:r w:rsidRPr="00C05886">
              <w:t>0</w:t>
            </w:r>
          </w:p>
        </w:tc>
      </w:tr>
    </w:tbl>
    <w:p w14:paraId="14B5F62E" w14:textId="77777777" w:rsidR="00375BD2" w:rsidRPr="00C05886" w:rsidRDefault="00375BD2" w:rsidP="00375BD2">
      <w:pPr>
        <w:pStyle w:val="Caption"/>
        <w:keepNext/>
        <w:rPr>
          <w:b/>
          <w:bCs/>
          <w:i w:val="0"/>
          <w:iCs w:val="0"/>
          <w:color w:val="auto"/>
        </w:rPr>
      </w:pPr>
    </w:p>
    <w:p w14:paraId="23B201F4" w14:textId="02FCA3E6" w:rsidR="00375BD2" w:rsidRPr="00C05886" w:rsidRDefault="00375BD2" w:rsidP="00375BD2">
      <w:pPr>
        <w:pStyle w:val="Caption"/>
        <w:keepNext/>
        <w:rPr>
          <w:i w:val="0"/>
          <w:iCs w:val="0"/>
          <w:color w:val="auto"/>
        </w:rPr>
      </w:pPr>
      <w:r w:rsidRPr="00C05886">
        <w:rPr>
          <w:b/>
          <w:bCs/>
          <w:i w:val="0"/>
          <w:iCs w:val="0"/>
          <w:color w:val="auto"/>
        </w:rPr>
        <w:t>Table S</w:t>
      </w:r>
      <w:r w:rsidR="00B62F3A" w:rsidRPr="00C05886">
        <w:rPr>
          <w:b/>
          <w:bCs/>
          <w:i w:val="0"/>
          <w:iCs w:val="0"/>
          <w:color w:val="auto"/>
        </w:rPr>
        <w:t>4.</w:t>
      </w:r>
      <w:r w:rsidRPr="00C05886">
        <w:rPr>
          <w:i w:val="0"/>
          <w:iCs w:val="0"/>
          <w:color w:val="auto"/>
        </w:rPr>
        <w:t xml:space="preserve"> Percentage of perceived biodiversity per each video condition</w:t>
      </w:r>
    </w:p>
    <w:tbl>
      <w:tblPr>
        <w:tblStyle w:val="1"/>
        <w:tblW w:w="90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100"/>
        <w:gridCol w:w="1557"/>
        <w:gridCol w:w="1557"/>
        <w:gridCol w:w="1557"/>
        <w:gridCol w:w="2245"/>
      </w:tblGrid>
      <w:tr w:rsidR="00375BD2" w:rsidRPr="00C05886" w14:paraId="7E4F3964" w14:textId="77777777" w:rsidTr="00AE41F3">
        <w:trPr>
          <w:trHeight w:val="300"/>
        </w:trPr>
        <w:tc>
          <w:tcPr>
            <w:tcW w:w="9016" w:type="dxa"/>
            <w:gridSpan w:val="5"/>
            <w:vAlign w:val="center"/>
          </w:tcPr>
          <w:p w14:paraId="7F01ACCD" w14:textId="77777777" w:rsidR="00375BD2" w:rsidRPr="00C05886" w:rsidRDefault="00375BD2" w:rsidP="00375BD2">
            <w:pPr>
              <w:spacing w:line="240" w:lineRule="auto"/>
              <w:rPr>
                <w:b/>
              </w:rPr>
            </w:pPr>
            <w:r w:rsidRPr="00C05886">
              <w:rPr>
                <w:b/>
              </w:rPr>
              <w:t>Percent Distribution of perceived biodiversity by group</w:t>
            </w:r>
          </w:p>
        </w:tc>
      </w:tr>
      <w:tr w:rsidR="00375BD2" w:rsidRPr="00C05886" w14:paraId="61CEDB67" w14:textId="77777777" w:rsidTr="00AE41F3">
        <w:trPr>
          <w:trHeight w:val="300"/>
        </w:trPr>
        <w:tc>
          <w:tcPr>
            <w:tcW w:w="2100" w:type="dxa"/>
            <w:vAlign w:val="center"/>
          </w:tcPr>
          <w:p w14:paraId="4059BA86" w14:textId="77777777" w:rsidR="00375BD2" w:rsidRPr="00C05886" w:rsidRDefault="00375BD2" w:rsidP="00375BD2">
            <w:pPr>
              <w:spacing w:line="240" w:lineRule="auto"/>
            </w:pPr>
          </w:p>
        </w:tc>
        <w:tc>
          <w:tcPr>
            <w:tcW w:w="6916" w:type="dxa"/>
            <w:gridSpan w:val="4"/>
            <w:vAlign w:val="center"/>
          </w:tcPr>
          <w:p w14:paraId="4D5570A2" w14:textId="77777777" w:rsidR="00375BD2" w:rsidRPr="00C05886" w:rsidRDefault="00375BD2" w:rsidP="00375BD2">
            <w:pPr>
              <w:spacing w:line="240" w:lineRule="auto"/>
              <w:rPr>
                <w:b/>
              </w:rPr>
            </w:pPr>
            <w:r w:rsidRPr="00C05886">
              <w:rPr>
                <w:b/>
              </w:rPr>
              <w:t>Condition video</w:t>
            </w:r>
          </w:p>
        </w:tc>
      </w:tr>
      <w:tr w:rsidR="00375BD2" w:rsidRPr="00C05886" w14:paraId="7B274F5B" w14:textId="77777777" w:rsidTr="00AE41F3">
        <w:trPr>
          <w:trHeight w:val="300"/>
        </w:trPr>
        <w:tc>
          <w:tcPr>
            <w:tcW w:w="2100" w:type="dxa"/>
            <w:vAlign w:val="center"/>
          </w:tcPr>
          <w:p w14:paraId="57C3F57A" w14:textId="77777777" w:rsidR="00375BD2" w:rsidRPr="00C05886" w:rsidRDefault="00375BD2" w:rsidP="00375BD2">
            <w:pPr>
              <w:spacing w:line="240" w:lineRule="auto"/>
              <w:rPr>
                <w:b/>
              </w:rPr>
            </w:pPr>
            <w:r w:rsidRPr="00C05886">
              <w:rPr>
                <w:b/>
              </w:rPr>
              <w:t>Perceived Biodiversity</w:t>
            </w:r>
          </w:p>
        </w:tc>
        <w:tc>
          <w:tcPr>
            <w:tcW w:w="1557" w:type="dxa"/>
            <w:vAlign w:val="center"/>
          </w:tcPr>
          <w:p w14:paraId="13AD3B37" w14:textId="77777777" w:rsidR="00375BD2" w:rsidRPr="00C05886" w:rsidRDefault="00375BD2" w:rsidP="00375BD2">
            <w:pPr>
              <w:spacing w:line="240" w:lineRule="auto"/>
            </w:pPr>
            <w:r w:rsidRPr="00C05886">
              <w:t>Control</w:t>
            </w:r>
          </w:p>
        </w:tc>
        <w:tc>
          <w:tcPr>
            <w:tcW w:w="1557" w:type="dxa"/>
            <w:vAlign w:val="center"/>
          </w:tcPr>
          <w:p w14:paraId="77C5640D" w14:textId="77777777" w:rsidR="00375BD2" w:rsidRPr="00C05886" w:rsidRDefault="00375BD2" w:rsidP="00375BD2">
            <w:pPr>
              <w:spacing w:line="240" w:lineRule="auto"/>
            </w:pPr>
            <w:r w:rsidRPr="00C05886">
              <w:t>plus 4 species</w:t>
            </w:r>
          </w:p>
        </w:tc>
        <w:tc>
          <w:tcPr>
            <w:tcW w:w="1557" w:type="dxa"/>
            <w:vAlign w:val="center"/>
          </w:tcPr>
          <w:p w14:paraId="6A9C33F7" w14:textId="77777777" w:rsidR="00375BD2" w:rsidRPr="00C05886" w:rsidRDefault="00375BD2" w:rsidP="00375BD2">
            <w:pPr>
              <w:spacing w:line="240" w:lineRule="auto"/>
            </w:pPr>
            <w:r w:rsidRPr="00C05886">
              <w:t>plus 21 species</w:t>
            </w:r>
          </w:p>
        </w:tc>
        <w:tc>
          <w:tcPr>
            <w:tcW w:w="2245" w:type="dxa"/>
            <w:vAlign w:val="center"/>
          </w:tcPr>
          <w:p w14:paraId="058284A5" w14:textId="77777777" w:rsidR="00375BD2" w:rsidRPr="00C05886" w:rsidRDefault="00375BD2" w:rsidP="00375BD2">
            <w:pPr>
              <w:spacing w:line="240" w:lineRule="auto"/>
            </w:pPr>
            <w:r w:rsidRPr="00C05886">
              <w:t>plus 21 species and audio</w:t>
            </w:r>
          </w:p>
        </w:tc>
      </w:tr>
      <w:tr w:rsidR="00375BD2" w:rsidRPr="00C05886" w14:paraId="3A816DD7" w14:textId="77777777" w:rsidTr="00AE41F3">
        <w:trPr>
          <w:trHeight w:val="300"/>
        </w:trPr>
        <w:tc>
          <w:tcPr>
            <w:tcW w:w="2100" w:type="dxa"/>
            <w:vAlign w:val="center"/>
          </w:tcPr>
          <w:p w14:paraId="2E1C56B6" w14:textId="77777777" w:rsidR="00375BD2" w:rsidRPr="00C05886" w:rsidRDefault="00375BD2" w:rsidP="00375BD2">
            <w:pPr>
              <w:spacing w:after="160" w:line="240" w:lineRule="auto"/>
            </w:pPr>
            <w:r w:rsidRPr="00C05886">
              <w:t>Very bad</w:t>
            </w:r>
          </w:p>
        </w:tc>
        <w:tc>
          <w:tcPr>
            <w:tcW w:w="1557" w:type="dxa"/>
            <w:vAlign w:val="center"/>
          </w:tcPr>
          <w:p w14:paraId="10375950" w14:textId="77777777" w:rsidR="00375BD2" w:rsidRPr="00C05886" w:rsidRDefault="00375BD2" w:rsidP="00375BD2">
            <w:pPr>
              <w:spacing w:line="240" w:lineRule="auto"/>
            </w:pPr>
            <w:r w:rsidRPr="00C05886">
              <w:t>0.0</w:t>
            </w:r>
          </w:p>
        </w:tc>
        <w:tc>
          <w:tcPr>
            <w:tcW w:w="1557" w:type="dxa"/>
            <w:vAlign w:val="center"/>
          </w:tcPr>
          <w:p w14:paraId="366A19B2" w14:textId="77777777" w:rsidR="00375BD2" w:rsidRPr="00C05886" w:rsidRDefault="00375BD2" w:rsidP="00375BD2">
            <w:pPr>
              <w:spacing w:line="240" w:lineRule="auto"/>
            </w:pPr>
            <w:r w:rsidRPr="00C05886">
              <w:t>0.0</w:t>
            </w:r>
          </w:p>
        </w:tc>
        <w:tc>
          <w:tcPr>
            <w:tcW w:w="1557" w:type="dxa"/>
            <w:vAlign w:val="center"/>
          </w:tcPr>
          <w:p w14:paraId="1F688E05" w14:textId="77777777" w:rsidR="00375BD2" w:rsidRPr="00C05886" w:rsidRDefault="00375BD2" w:rsidP="00375BD2">
            <w:pPr>
              <w:spacing w:line="240" w:lineRule="auto"/>
            </w:pPr>
            <w:r w:rsidRPr="00C05886">
              <w:t>2.2</w:t>
            </w:r>
          </w:p>
        </w:tc>
        <w:tc>
          <w:tcPr>
            <w:tcW w:w="2245" w:type="dxa"/>
            <w:vAlign w:val="center"/>
          </w:tcPr>
          <w:p w14:paraId="091D0CD1" w14:textId="77777777" w:rsidR="00375BD2" w:rsidRPr="00C05886" w:rsidRDefault="00375BD2" w:rsidP="00375BD2">
            <w:pPr>
              <w:spacing w:line="240" w:lineRule="auto"/>
            </w:pPr>
            <w:r w:rsidRPr="00C05886">
              <w:t>2.2</w:t>
            </w:r>
          </w:p>
        </w:tc>
      </w:tr>
      <w:tr w:rsidR="00375BD2" w:rsidRPr="00C05886" w14:paraId="5C1DA8B9" w14:textId="77777777" w:rsidTr="00AE41F3">
        <w:trPr>
          <w:trHeight w:val="300"/>
        </w:trPr>
        <w:tc>
          <w:tcPr>
            <w:tcW w:w="2100" w:type="dxa"/>
            <w:vAlign w:val="center"/>
          </w:tcPr>
          <w:p w14:paraId="125FA8A0" w14:textId="77777777" w:rsidR="00375BD2" w:rsidRPr="00C05886" w:rsidRDefault="00375BD2" w:rsidP="00375BD2">
            <w:pPr>
              <w:spacing w:after="160" w:line="240" w:lineRule="auto"/>
            </w:pPr>
            <w:r w:rsidRPr="00C05886">
              <w:t>Bad</w:t>
            </w:r>
          </w:p>
        </w:tc>
        <w:tc>
          <w:tcPr>
            <w:tcW w:w="1557" w:type="dxa"/>
            <w:vAlign w:val="center"/>
          </w:tcPr>
          <w:p w14:paraId="7AD4BB97" w14:textId="77777777" w:rsidR="00375BD2" w:rsidRPr="00C05886" w:rsidRDefault="00375BD2" w:rsidP="00375BD2">
            <w:pPr>
              <w:spacing w:line="240" w:lineRule="auto"/>
            </w:pPr>
            <w:r w:rsidRPr="00C05886">
              <w:t>5.4</w:t>
            </w:r>
          </w:p>
        </w:tc>
        <w:tc>
          <w:tcPr>
            <w:tcW w:w="1557" w:type="dxa"/>
            <w:vAlign w:val="center"/>
          </w:tcPr>
          <w:p w14:paraId="4E2D9C45" w14:textId="77777777" w:rsidR="00375BD2" w:rsidRPr="00C05886" w:rsidRDefault="00375BD2" w:rsidP="00375BD2">
            <w:pPr>
              <w:spacing w:line="240" w:lineRule="auto"/>
            </w:pPr>
            <w:r w:rsidRPr="00C05886">
              <w:t>6.0</w:t>
            </w:r>
          </w:p>
        </w:tc>
        <w:tc>
          <w:tcPr>
            <w:tcW w:w="1557" w:type="dxa"/>
            <w:vAlign w:val="center"/>
          </w:tcPr>
          <w:p w14:paraId="46D0EC31" w14:textId="77777777" w:rsidR="00375BD2" w:rsidRPr="00C05886" w:rsidRDefault="00375BD2" w:rsidP="00375BD2">
            <w:pPr>
              <w:spacing w:line="240" w:lineRule="auto"/>
            </w:pPr>
            <w:r w:rsidRPr="00C05886">
              <w:t>5.4</w:t>
            </w:r>
          </w:p>
        </w:tc>
        <w:tc>
          <w:tcPr>
            <w:tcW w:w="2245" w:type="dxa"/>
            <w:vAlign w:val="center"/>
          </w:tcPr>
          <w:p w14:paraId="5801E792" w14:textId="77777777" w:rsidR="00375BD2" w:rsidRPr="00C05886" w:rsidRDefault="00375BD2" w:rsidP="00375BD2">
            <w:pPr>
              <w:spacing w:line="240" w:lineRule="auto"/>
            </w:pPr>
            <w:r w:rsidRPr="00C05886">
              <w:t>5.5</w:t>
            </w:r>
          </w:p>
        </w:tc>
      </w:tr>
      <w:tr w:rsidR="00375BD2" w:rsidRPr="00C05886" w14:paraId="03C4E14C" w14:textId="77777777" w:rsidTr="00AE41F3">
        <w:trPr>
          <w:trHeight w:val="300"/>
        </w:trPr>
        <w:tc>
          <w:tcPr>
            <w:tcW w:w="2100" w:type="dxa"/>
            <w:vAlign w:val="center"/>
          </w:tcPr>
          <w:p w14:paraId="78DEB57E" w14:textId="77777777" w:rsidR="00375BD2" w:rsidRPr="00C05886" w:rsidRDefault="00375BD2" w:rsidP="00375BD2">
            <w:pPr>
              <w:spacing w:after="160" w:line="240" w:lineRule="auto"/>
            </w:pPr>
            <w:r w:rsidRPr="00C05886">
              <w:t>Neither good nor bad</w:t>
            </w:r>
          </w:p>
        </w:tc>
        <w:tc>
          <w:tcPr>
            <w:tcW w:w="1557" w:type="dxa"/>
            <w:vAlign w:val="center"/>
          </w:tcPr>
          <w:p w14:paraId="12E59F62" w14:textId="77777777" w:rsidR="00375BD2" w:rsidRPr="00C05886" w:rsidRDefault="00375BD2" w:rsidP="00375BD2">
            <w:pPr>
              <w:spacing w:line="240" w:lineRule="auto"/>
            </w:pPr>
            <w:r w:rsidRPr="00C05886">
              <w:t>21.7</w:t>
            </w:r>
          </w:p>
        </w:tc>
        <w:tc>
          <w:tcPr>
            <w:tcW w:w="1557" w:type="dxa"/>
            <w:vAlign w:val="center"/>
          </w:tcPr>
          <w:p w14:paraId="0E2028C7" w14:textId="77777777" w:rsidR="00375BD2" w:rsidRPr="00C05886" w:rsidRDefault="00375BD2" w:rsidP="00375BD2">
            <w:pPr>
              <w:spacing w:line="240" w:lineRule="auto"/>
            </w:pPr>
            <w:r w:rsidRPr="00C05886">
              <w:t>24.2</w:t>
            </w:r>
          </w:p>
        </w:tc>
        <w:tc>
          <w:tcPr>
            <w:tcW w:w="1557" w:type="dxa"/>
            <w:vAlign w:val="center"/>
          </w:tcPr>
          <w:p w14:paraId="02C91A49" w14:textId="77777777" w:rsidR="00375BD2" w:rsidRPr="00C05886" w:rsidRDefault="00375BD2" w:rsidP="00375BD2">
            <w:pPr>
              <w:spacing w:line="240" w:lineRule="auto"/>
            </w:pPr>
            <w:r w:rsidRPr="00C05886">
              <w:t>19.6</w:t>
            </w:r>
          </w:p>
        </w:tc>
        <w:tc>
          <w:tcPr>
            <w:tcW w:w="2245" w:type="dxa"/>
            <w:vAlign w:val="center"/>
          </w:tcPr>
          <w:p w14:paraId="78021AA3" w14:textId="77777777" w:rsidR="00375BD2" w:rsidRPr="00C05886" w:rsidRDefault="00375BD2" w:rsidP="00375BD2">
            <w:pPr>
              <w:spacing w:line="240" w:lineRule="auto"/>
            </w:pPr>
            <w:r w:rsidRPr="00C05886">
              <w:t>20.0</w:t>
            </w:r>
          </w:p>
        </w:tc>
      </w:tr>
      <w:tr w:rsidR="00375BD2" w:rsidRPr="00C05886" w14:paraId="763A0CBD" w14:textId="77777777" w:rsidTr="00AE41F3">
        <w:trPr>
          <w:trHeight w:val="300"/>
        </w:trPr>
        <w:tc>
          <w:tcPr>
            <w:tcW w:w="2100" w:type="dxa"/>
            <w:vAlign w:val="center"/>
          </w:tcPr>
          <w:p w14:paraId="3303D164" w14:textId="77777777" w:rsidR="00375BD2" w:rsidRPr="00C05886" w:rsidRDefault="00375BD2" w:rsidP="00375BD2">
            <w:pPr>
              <w:spacing w:after="160" w:line="240" w:lineRule="auto"/>
            </w:pPr>
            <w:r w:rsidRPr="00C05886">
              <w:t>Good</w:t>
            </w:r>
          </w:p>
        </w:tc>
        <w:tc>
          <w:tcPr>
            <w:tcW w:w="1557" w:type="dxa"/>
            <w:vAlign w:val="center"/>
          </w:tcPr>
          <w:p w14:paraId="3484A652" w14:textId="77777777" w:rsidR="00375BD2" w:rsidRPr="00C05886" w:rsidRDefault="00375BD2" w:rsidP="00375BD2">
            <w:pPr>
              <w:spacing w:line="240" w:lineRule="auto"/>
            </w:pPr>
            <w:r w:rsidRPr="00C05886">
              <w:t>50.0</w:t>
            </w:r>
          </w:p>
        </w:tc>
        <w:tc>
          <w:tcPr>
            <w:tcW w:w="1557" w:type="dxa"/>
            <w:vAlign w:val="center"/>
          </w:tcPr>
          <w:p w14:paraId="5FED6C15" w14:textId="77777777" w:rsidR="00375BD2" w:rsidRPr="00C05886" w:rsidRDefault="00375BD2" w:rsidP="00375BD2">
            <w:pPr>
              <w:spacing w:line="240" w:lineRule="auto"/>
            </w:pPr>
            <w:r w:rsidRPr="00C05886">
              <w:t>55.6</w:t>
            </w:r>
          </w:p>
        </w:tc>
        <w:tc>
          <w:tcPr>
            <w:tcW w:w="1557" w:type="dxa"/>
            <w:vAlign w:val="center"/>
          </w:tcPr>
          <w:p w14:paraId="325848BB" w14:textId="77777777" w:rsidR="00375BD2" w:rsidRPr="00C05886" w:rsidRDefault="00375BD2" w:rsidP="00375BD2">
            <w:pPr>
              <w:spacing w:line="240" w:lineRule="auto"/>
            </w:pPr>
            <w:r w:rsidRPr="00C05886">
              <w:t>46.7</w:t>
            </w:r>
          </w:p>
        </w:tc>
        <w:tc>
          <w:tcPr>
            <w:tcW w:w="2245" w:type="dxa"/>
            <w:vAlign w:val="center"/>
          </w:tcPr>
          <w:p w14:paraId="7FEB055F" w14:textId="77777777" w:rsidR="00375BD2" w:rsidRPr="00C05886" w:rsidRDefault="00375BD2" w:rsidP="00375BD2">
            <w:pPr>
              <w:spacing w:line="240" w:lineRule="auto"/>
            </w:pPr>
            <w:r w:rsidRPr="00C05886">
              <w:t>47.7</w:t>
            </w:r>
          </w:p>
        </w:tc>
      </w:tr>
      <w:tr w:rsidR="00375BD2" w:rsidRPr="00C05886" w14:paraId="2E15AA4B" w14:textId="77777777" w:rsidTr="00AE41F3">
        <w:trPr>
          <w:trHeight w:val="300"/>
        </w:trPr>
        <w:tc>
          <w:tcPr>
            <w:tcW w:w="2100" w:type="dxa"/>
            <w:vAlign w:val="center"/>
          </w:tcPr>
          <w:p w14:paraId="2C0798FC" w14:textId="77777777" w:rsidR="00375BD2" w:rsidRPr="00C05886" w:rsidRDefault="00375BD2" w:rsidP="00375BD2">
            <w:pPr>
              <w:spacing w:after="160" w:line="240" w:lineRule="auto"/>
            </w:pPr>
            <w:r w:rsidRPr="00C05886">
              <w:t>Very good</w:t>
            </w:r>
          </w:p>
        </w:tc>
        <w:tc>
          <w:tcPr>
            <w:tcW w:w="1557" w:type="dxa"/>
            <w:vAlign w:val="center"/>
          </w:tcPr>
          <w:p w14:paraId="3A84CBCC" w14:textId="77777777" w:rsidR="00375BD2" w:rsidRPr="00C05886" w:rsidRDefault="00375BD2" w:rsidP="00375BD2">
            <w:pPr>
              <w:spacing w:line="240" w:lineRule="auto"/>
            </w:pPr>
            <w:r w:rsidRPr="00C05886">
              <w:t>22.8</w:t>
            </w:r>
          </w:p>
        </w:tc>
        <w:tc>
          <w:tcPr>
            <w:tcW w:w="1557" w:type="dxa"/>
            <w:vAlign w:val="center"/>
          </w:tcPr>
          <w:p w14:paraId="138B1932" w14:textId="77777777" w:rsidR="00375BD2" w:rsidRPr="00C05886" w:rsidRDefault="00375BD2" w:rsidP="00375BD2">
            <w:pPr>
              <w:spacing w:line="240" w:lineRule="auto"/>
            </w:pPr>
            <w:r w:rsidRPr="00C05886">
              <w:t>25.4</w:t>
            </w:r>
          </w:p>
        </w:tc>
        <w:tc>
          <w:tcPr>
            <w:tcW w:w="1557" w:type="dxa"/>
            <w:vAlign w:val="center"/>
          </w:tcPr>
          <w:p w14:paraId="5A523C99" w14:textId="77777777" w:rsidR="00375BD2" w:rsidRPr="00C05886" w:rsidRDefault="00375BD2" w:rsidP="00375BD2">
            <w:pPr>
              <w:spacing w:line="240" w:lineRule="auto"/>
            </w:pPr>
            <w:r w:rsidRPr="00C05886">
              <w:t>26.1</w:t>
            </w:r>
          </w:p>
        </w:tc>
        <w:tc>
          <w:tcPr>
            <w:tcW w:w="2245" w:type="dxa"/>
            <w:vAlign w:val="center"/>
          </w:tcPr>
          <w:p w14:paraId="1FEBA495" w14:textId="77777777" w:rsidR="00375BD2" w:rsidRPr="00C05886" w:rsidRDefault="00375BD2" w:rsidP="00375BD2">
            <w:pPr>
              <w:spacing w:line="240" w:lineRule="auto"/>
            </w:pPr>
            <w:r w:rsidRPr="00C05886">
              <w:t>26.6</w:t>
            </w:r>
          </w:p>
        </w:tc>
      </w:tr>
    </w:tbl>
    <w:p w14:paraId="4AEBA027" w14:textId="77777777" w:rsidR="004347F9" w:rsidRDefault="004347F9">
      <w:pPr>
        <w:spacing w:line="259" w:lineRule="auto"/>
        <w:jc w:val="left"/>
      </w:pPr>
    </w:p>
    <w:p w14:paraId="2AAE6D00" w14:textId="0855AEC7" w:rsidR="00FD16CF" w:rsidRDefault="00FD16CF" w:rsidP="00FD16CF">
      <w:pPr>
        <w:pStyle w:val="Caption"/>
        <w:keepNext/>
      </w:pPr>
      <w:r w:rsidRPr="00FD16CF">
        <w:rPr>
          <w:b/>
          <w:bCs/>
          <w:i w:val="0"/>
          <w:iCs w:val="0"/>
          <w:color w:val="auto"/>
        </w:rPr>
        <w:lastRenderedPageBreak/>
        <w:t>Table S5.</w:t>
      </w:r>
      <w:r>
        <w:t xml:space="preserve"> </w:t>
      </w:r>
      <w:r w:rsidRPr="00FD16CF">
        <w:rPr>
          <w:i w:val="0"/>
          <w:iCs w:val="0"/>
          <w:color w:val="auto"/>
        </w:rPr>
        <w:t>Statistical tests checking for differences in demographics between the treatment groups</w:t>
      </w:r>
    </w:p>
    <w:tbl>
      <w:tblPr>
        <w:tblStyle w:val="TableGrid"/>
        <w:tblW w:w="9943" w:type="dxa"/>
        <w:tblLook w:val="04A0" w:firstRow="1" w:lastRow="0" w:firstColumn="1" w:lastColumn="0" w:noHBand="0" w:noVBand="1"/>
      </w:tblPr>
      <w:tblGrid>
        <w:gridCol w:w="2689"/>
        <w:gridCol w:w="1984"/>
        <w:gridCol w:w="709"/>
        <w:gridCol w:w="992"/>
        <w:gridCol w:w="1134"/>
        <w:gridCol w:w="1031"/>
        <w:gridCol w:w="1404"/>
      </w:tblGrid>
      <w:tr w:rsidR="00D91407" w14:paraId="4DEBC511" w14:textId="77777777" w:rsidTr="00575CD3">
        <w:trPr>
          <w:trHeight w:val="416"/>
        </w:trPr>
        <w:tc>
          <w:tcPr>
            <w:tcW w:w="2689" w:type="dxa"/>
          </w:tcPr>
          <w:p w14:paraId="40496105" w14:textId="1D42965E" w:rsidR="00D91407" w:rsidRPr="005D7515" w:rsidRDefault="00D91407">
            <w:pPr>
              <w:spacing w:line="259" w:lineRule="auto"/>
              <w:jc w:val="left"/>
              <w:rPr>
                <w:rFonts w:ascii="Times New Roman" w:hAnsi="Times New Roman" w:cs="Times New Roman"/>
                <w:b/>
                <w:bCs/>
                <w:sz w:val="20"/>
                <w:szCs w:val="20"/>
              </w:rPr>
            </w:pPr>
            <w:r w:rsidRPr="005D7515">
              <w:rPr>
                <w:rFonts w:ascii="Times New Roman" w:hAnsi="Times New Roman" w:cs="Times New Roman"/>
                <w:b/>
                <w:bCs/>
                <w:sz w:val="20"/>
                <w:szCs w:val="20"/>
              </w:rPr>
              <w:t>Null Hypothesis</w:t>
            </w:r>
          </w:p>
        </w:tc>
        <w:tc>
          <w:tcPr>
            <w:tcW w:w="1984" w:type="dxa"/>
          </w:tcPr>
          <w:p w14:paraId="5A1BDC33" w14:textId="5BBE2E05" w:rsidR="00D91407" w:rsidRPr="005D7515" w:rsidRDefault="00D91407">
            <w:pPr>
              <w:spacing w:line="259" w:lineRule="auto"/>
              <w:jc w:val="left"/>
              <w:rPr>
                <w:rFonts w:ascii="Times New Roman" w:hAnsi="Times New Roman" w:cs="Times New Roman"/>
                <w:b/>
                <w:bCs/>
                <w:sz w:val="20"/>
                <w:szCs w:val="20"/>
              </w:rPr>
            </w:pPr>
            <w:r w:rsidRPr="005D7515">
              <w:rPr>
                <w:rFonts w:ascii="Times New Roman" w:hAnsi="Times New Roman" w:cs="Times New Roman"/>
                <w:b/>
                <w:bCs/>
                <w:sz w:val="20"/>
                <w:szCs w:val="20"/>
              </w:rPr>
              <w:t>Test</w:t>
            </w:r>
          </w:p>
        </w:tc>
        <w:tc>
          <w:tcPr>
            <w:tcW w:w="709" w:type="dxa"/>
          </w:tcPr>
          <w:p w14:paraId="79DB7321" w14:textId="40C57B7B" w:rsidR="00D91407" w:rsidRPr="005D7515" w:rsidRDefault="00D91407">
            <w:pPr>
              <w:spacing w:line="259" w:lineRule="auto"/>
              <w:jc w:val="left"/>
              <w:rPr>
                <w:rFonts w:ascii="Times New Roman" w:hAnsi="Times New Roman" w:cs="Times New Roman"/>
                <w:b/>
                <w:bCs/>
                <w:sz w:val="20"/>
                <w:szCs w:val="20"/>
              </w:rPr>
            </w:pPr>
            <w:r w:rsidRPr="005D7515">
              <w:rPr>
                <w:rFonts w:ascii="Times New Roman" w:hAnsi="Times New Roman" w:cs="Times New Roman"/>
                <w:b/>
                <w:bCs/>
                <w:sz w:val="20"/>
                <w:szCs w:val="20"/>
              </w:rPr>
              <w:t>N</w:t>
            </w:r>
          </w:p>
        </w:tc>
        <w:tc>
          <w:tcPr>
            <w:tcW w:w="992" w:type="dxa"/>
          </w:tcPr>
          <w:p w14:paraId="72DCBAB0" w14:textId="0AE04FC9" w:rsidR="00D91407" w:rsidRPr="005D7515" w:rsidRDefault="00D91407">
            <w:pPr>
              <w:spacing w:line="259" w:lineRule="auto"/>
              <w:jc w:val="left"/>
              <w:rPr>
                <w:rFonts w:ascii="Times New Roman" w:hAnsi="Times New Roman" w:cs="Times New Roman"/>
                <w:b/>
                <w:bCs/>
                <w:sz w:val="20"/>
                <w:szCs w:val="20"/>
              </w:rPr>
            </w:pPr>
            <w:r w:rsidRPr="005D7515">
              <w:rPr>
                <w:rFonts w:ascii="Times New Roman" w:hAnsi="Times New Roman" w:cs="Times New Roman"/>
                <w:b/>
                <w:bCs/>
                <w:sz w:val="20"/>
                <w:szCs w:val="20"/>
              </w:rPr>
              <w:t>Test statistic</w:t>
            </w:r>
          </w:p>
        </w:tc>
        <w:tc>
          <w:tcPr>
            <w:tcW w:w="1134" w:type="dxa"/>
          </w:tcPr>
          <w:p w14:paraId="18F2DBF7" w14:textId="60BA653E" w:rsidR="00D91407" w:rsidRPr="005D7515" w:rsidRDefault="00D91407">
            <w:pPr>
              <w:spacing w:line="259" w:lineRule="auto"/>
              <w:jc w:val="left"/>
              <w:rPr>
                <w:rFonts w:ascii="Times New Roman" w:hAnsi="Times New Roman" w:cs="Times New Roman"/>
                <w:b/>
                <w:bCs/>
                <w:sz w:val="20"/>
                <w:szCs w:val="20"/>
              </w:rPr>
            </w:pPr>
            <w:r w:rsidRPr="005D7515">
              <w:rPr>
                <w:rFonts w:ascii="Times New Roman" w:hAnsi="Times New Roman" w:cs="Times New Roman"/>
                <w:b/>
                <w:bCs/>
                <w:sz w:val="20"/>
                <w:szCs w:val="20"/>
              </w:rPr>
              <w:t>Degrees of freedom</w:t>
            </w:r>
          </w:p>
        </w:tc>
        <w:tc>
          <w:tcPr>
            <w:tcW w:w="1031" w:type="dxa"/>
          </w:tcPr>
          <w:p w14:paraId="4F3671D5" w14:textId="77777777" w:rsidR="00D91407" w:rsidRPr="005D7515" w:rsidRDefault="00D91407">
            <w:pPr>
              <w:spacing w:line="259" w:lineRule="auto"/>
              <w:jc w:val="left"/>
              <w:rPr>
                <w:rFonts w:ascii="Times New Roman" w:hAnsi="Times New Roman" w:cs="Times New Roman"/>
                <w:b/>
                <w:bCs/>
                <w:sz w:val="20"/>
                <w:szCs w:val="20"/>
              </w:rPr>
            </w:pPr>
            <w:r w:rsidRPr="005D7515">
              <w:rPr>
                <w:rFonts w:ascii="Times New Roman" w:hAnsi="Times New Roman" w:cs="Times New Roman"/>
                <w:b/>
                <w:bCs/>
                <w:sz w:val="20"/>
                <w:szCs w:val="20"/>
              </w:rPr>
              <w:t xml:space="preserve">P-value </w:t>
            </w:r>
          </w:p>
          <w:p w14:paraId="37ED471B" w14:textId="3BDAAD48" w:rsidR="00D91407" w:rsidRPr="005D7515" w:rsidRDefault="00D91407">
            <w:pPr>
              <w:spacing w:line="259" w:lineRule="auto"/>
              <w:jc w:val="left"/>
              <w:rPr>
                <w:rFonts w:ascii="Times New Roman" w:hAnsi="Times New Roman" w:cs="Times New Roman"/>
                <w:b/>
                <w:bCs/>
                <w:sz w:val="20"/>
                <w:szCs w:val="20"/>
              </w:rPr>
            </w:pPr>
            <w:r w:rsidRPr="005D7515">
              <w:rPr>
                <w:rFonts w:ascii="Times New Roman" w:hAnsi="Times New Roman" w:cs="Times New Roman"/>
                <w:b/>
                <w:bCs/>
                <w:sz w:val="20"/>
                <w:szCs w:val="20"/>
              </w:rPr>
              <w:t>(2-tailed)</w:t>
            </w:r>
          </w:p>
        </w:tc>
        <w:tc>
          <w:tcPr>
            <w:tcW w:w="1404" w:type="dxa"/>
          </w:tcPr>
          <w:p w14:paraId="24CDAF60" w14:textId="7140E243" w:rsidR="00D91407" w:rsidRPr="005D7515" w:rsidRDefault="00D91407">
            <w:pPr>
              <w:spacing w:line="259" w:lineRule="auto"/>
              <w:jc w:val="left"/>
              <w:rPr>
                <w:rFonts w:ascii="Times New Roman" w:hAnsi="Times New Roman" w:cs="Times New Roman"/>
                <w:b/>
                <w:bCs/>
                <w:sz w:val="20"/>
                <w:szCs w:val="20"/>
              </w:rPr>
            </w:pPr>
            <w:r w:rsidRPr="005D7515">
              <w:rPr>
                <w:rFonts w:ascii="Times New Roman" w:hAnsi="Times New Roman" w:cs="Times New Roman"/>
                <w:b/>
                <w:bCs/>
                <w:sz w:val="20"/>
                <w:szCs w:val="20"/>
              </w:rPr>
              <w:t>Decision</w:t>
            </w:r>
          </w:p>
        </w:tc>
      </w:tr>
      <w:tr w:rsidR="00D91407" w14:paraId="4A42E5BF" w14:textId="77777777" w:rsidTr="00575CD3">
        <w:trPr>
          <w:trHeight w:val="416"/>
        </w:trPr>
        <w:tc>
          <w:tcPr>
            <w:tcW w:w="2689" w:type="dxa"/>
          </w:tcPr>
          <w:p w14:paraId="73ED619D" w14:textId="13BFAA2D" w:rsidR="00D91407" w:rsidRPr="005D7515" w:rsidRDefault="00D91407">
            <w:pPr>
              <w:spacing w:line="259" w:lineRule="auto"/>
              <w:jc w:val="left"/>
              <w:rPr>
                <w:rFonts w:ascii="Times New Roman" w:hAnsi="Times New Roman" w:cs="Times New Roman"/>
                <w:sz w:val="20"/>
                <w:szCs w:val="20"/>
              </w:rPr>
            </w:pPr>
            <w:r w:rsidRPr="005D7515">
              <w:rPr>
                <w:rFonts w:ascii="Times New Roman" w:hAnsi="Times New Roman" w:cs="Times New Roman"/>
                <w:sz w:val="20"/>
                <w:szCs w:val="20"/>
              </w:rPr>
              <w:t xml:space="preserve">The distribution of </w:t>
            </w:r>
            <w:r w:rsidR="00575CD3" w:rsidRPr="005D7515">
              <w:rPr>
                <w:rFonts w:ascii="Times New Roman" w:hAnsi="Times New Roman" w:cs="Times New Roman"/>
                <w:b/>
                <w:bCs/>
                <w:sz w:val="20"/>
                <w:szCs w:val="20"/>
              </w:rPr>
              <w:t>A</w:t>
            </w:r>
            <w:r w:rsidRPr="005D7515">
              <w:rPr>
                <w:rFonts w:ascii="Times New Roman" w:hAnsi="Times New Roman" w:cs="Times New Roman"/>
                <w:b/>
                <w:bCs/>
                <w:sz w:val="20"/>
                <w:szCs w:val="20"/>
              </w:rPr>
              <w:t>ge</w:t>
            </w:r>
            <w:r w:rsidRPr="005D7515">
              <w:rPr>
                <w:rFonts w:ascii="Times New Roman" w:hAnsi="Times New Roman" w:cs="Times New Roman"/>
                <w:sz w:val="20"/>
                <w:szCs w:val="20"/>
              </w:rPr>
              <w:t xml:space="preserve"> is the same across treatment groups</w:t>
            </w:r>
          </w:p>
        </w:tc>
        <w:tc>
          <w:tcPr>
            <w:tcW w:w="1984" w:type="dxa"/>
          </w:tcPr>
          <w:p w14:paraId="74C6C8BB" w14:textId="1669E819" w:rsidR="00D91407" w:rsidRPr="005D7515" w:rsidRDefault="00D91407">
            <w:pPr>
              <w:spacing w:line="259" w:lineRule="auto"/>
              <w:jc w:val="left"/>
              <w:rPr>
                <w:rFonts w:ascii="Times New Roman" w:hAnsi="Times New Roman" w:cs="Times New Roman"/>
                <w:sz w:val="20"/>
                <w:szCs w:val="20"/>
              </w:rPr>
            </w:pPr>
            <w:r w:rsidRPr="005D7515">
              <w:rPr>
                <w:rFonts w:ascii="Times New Roman" w:hAnsi="Times New Roman" w:cs="Times New Roman"/>
                <w:sz w:val="20"/>
                <w:szCs w:val="20"/>
              </w:rPr>
              <w:t>Independent-Samples Kruskal-Wallis Test</w:t>
            </w:r>
          </w:p>
        </w:tc>
        <w:tc>
          <w:tcPr>
            <w:tcW w:w="709" w:type="dxa"/>
          </w:tcPr>
          <w:p w14:paraId="090FA227" w14:textId="1373657F" w:rsidR="00D91407" w:rsidRPr="005D7515" w:rsidRDefault="00D91407">
            <w:pPr>
              <w:spacing w:line="259" w:lineRule="auto"/>
              <w:jc w:val="left"/>
              <w:rPr>
                <w:rFonts w:ascii="Times New Roman" w:hAnsi="Times New Roman" w:cs="Times New Roman"/>
                <w:sz w:val="20"/>
                <w:szCs w:val="20"/>
              </w:rPr>
            </w:pPr>
            <w:r w:rsidRPr="005D7515">
              <w:rPr>
                <w:rFonts w:ascii="Times New Roman" w:hAnsi="Times New Roman" w:cs="Times New Roman"/>
                <w:sz w:val="20"/>
                <w:szCs w:val="20"/>
              </w:rPr>
              <w:t>372</w:t>
            </w:r>
          </w:p>
        </w:tc>
        <w:tc>
          <w:tcPr>
            <w:tcW w:w="992" w:type="dxa"/>
          </w:tcPr>
          <w:p w14:paraId="37CC5B28" w14:textId="121A1CCB" w:rsidR="00D91407" w:rsidRPr="005D7515" w:rsidRDefault="00D91407">
            <w:pPr>
              <w:spacing w:line="259" w:lineRule="auto"/>
              <w:jc w:val="left"/>
              <w:rPr>
                <w:rFonts w:ascii="Times New Roman" w:hAnsi="Times New Roman" w:cs="Times New Roman"/>
                <w:sz w:val="20"/>
                <w:szCs w:val="20"/>
              </w:rPr>
            </w:pPr>
            <w:r w:rsidRPr="005D7515">
              <w:rPr>
                <w:rFonts w:ascii="Times New Roman" w:hAnsi="Times New Roman" w:cs="Times New Roman"/>
                <w:sz w:val="20"/>
                <w:szCs w:val="20"/>
              </w:rPr>
              <w:t>1.58</w:t>
            </w:r>
          </w:p>
        </w:tc>
        <w:tc>
          <w:tcPr>
            <w:tcW w:w="1134" w:type="dxa"/>
          </w:tcPr>
          <w:p w14:paraId="35D1CEB8" w14:textId="146B80D3" w:rsidR="00D91407" w:rsidRPr="005D7515" w:rsidRDefault="00D91407">
            <w:pPr>
              <w:spacing w:line="259" w:lineRule="auto"/>
              <w:jc w:val="left"/>
              <w:rPr>
                <w:rFonts w:ascii="Times New Roman" w:hAnsi="Times New Roman" w:cs="Times New Roman"/>
                <w:sz w:val="20"/>
                <w:szCs w:val="20"/>
              </w:rPr>
            </w:pPr>
            <w:r w:rsidRPr="005D7515">
              <w:rPr>
                <w:rFonts w:ascii="Times New Roman" w:hAnsi="Times New Roman" w:cs="Times New Roman"/>
                <w:sz w:val="20"/>
                <w:szCs w:val="20"/>
              </w:rPr>
              <w:t>3</w:t>
            </w:r>
          </w:p>
        </w:tc>
        <w:tc>
          <w:tcPr>
            <w:tcW w:w="1031" w:type="dxa"/>
          </w:tcPr>
          <w:p w14:paraId="4CF443BB" w14:textId="25FE9F7D" w:rsidR="00D91407" w:rsidRPr="005D7515" w:rsidRDefault="00D91407">
            <w:pPr>
              <w:spacing w:line="259" w:lineRule="auto"/>
              <w:jc w:val="left"/>
              <w:rPr>
                <w:rFonts w:ascii="Times New Roman" w:hAnsi="Times New Roman" w:cs="Times New Roman"/>
                <w:sz w:val="20"/>
                <w:szCs w:val="20"/>
              </w:rPr>
            </w:pPr>
            <w:r w:rsidRPr="005D7515">
              <w:rPr>
                <w:rFonts w:ascii="Times New Roman" w:hAnsi="Times New Roman" w:cs="Times New Roman"/>
                <w:sz w:val="20"/>
                <w:szCs w:val="20"/>
              </w:rPr>
              <w:t>0.663</w:t>
            </w:r>
          </w:p>
        </w:tc>
        <w:tc>
          <w:tcPr>
            <w:tcW w:w="1404" w:type="dxa"/>
          </w:tcPr>
          <w:p w14:paraId="51D7436F" w14:textId="0B793E2D" w:rsidR="00D91407" w:rsidRPr="005D7515" w:rsidRDefault="00D91407">
            <w:pPr>
              <w:spacing w:line="259" w:lineRule="auto"/>
              <w:jc w:val="left"/>
              <w:rPr>
                <w:rFonts w:ascii="Times New Roman" w:hAnsi="Times New Roman" w:cs="Times New Roman"/>
                <w:sz w:val="20"/>
                <w:szCs w:val="20"/>
              </w:rPr>
            </w:pPr>
            <w:r w:rsidRPr="005D7515">
              <w:rPr>
                <w:rFonts w:ascii="Times New Roman" w:hAnsi="Times New Roman" w:cs="Times New Roman"/>
                <w:sz w:val="20"/>
                <w:szCs w:val="20"/>
              </w:rPr>
              <w:t>Retain the null hypot</w:t>
            </w:r>
            <w:r w:rsidR="00575CD3" w:rsidRPr="005D7515">
              <w:rPr>
                <w:rFonts w:ascii="Times New Roman" w:hAnsi="Times New Roman" w:cs="Times New Roman"/>
                <w:sz w:val="20"/>
                <w:szCs w:val="20"/>
              </w:rPr>
              <w:t>h</w:t>
            </w:r>
            <w:r w:rsidRPr="005D7515">
              <w:rPr>
                <w:rFonts w:ascii="Times New Roman" w:hAnsi="Times New Roman" w:cs="Times New Roman"/>
                <w:sz w:val="20"/>
                <w:szCs w:val="20"/>
              </w:rPr>
              <w:t>esis</w:t>
            </w:r>
          </w:p>
        </w:tc>
      </w:tr>
      <w:tr w:rsidR="00FD16CF" w14:paraId="02F443DE" w14:textId="77777777" w:rsidTr="00575CD3">
        <w:trPr>
          <w:trHeight w:val="416"/>
        </w:trPr>
        <w:tc>
          <w:tcPr>
            <w:tcW w:w="2689" w:type="dxa"/>
          </w:tcPr>
          <w:p w14:paraId="1D5763A3" w14:textId="7AE712D0" w:rsidR="00FD16CF" w:rsidRPr="005D7515" w:rsidRDefault="00FD16CF" w:rsidP="00FD16CF">
            <w:pPr>
              <w:spacing w:line="259" w:lineRule="auto"/>
              <w:jc w:val="left"/>
              <w:rPr>
                <w:rFonts w:ascii="Times New Roman" w:hAnsi="Times New Roman" w:cs="Times New Roman"/>
                <w:sz w:val="20"/>
                <w:szCs w:val="20"/>
              </w:rPr>
            </w:pPr>
            <w:r w:rsidRPr="005D7515">
              <w:rPr>
                <w:rFonts w:ascii="Times New Roman" w:hAnsi="Times New Roman" w:cs="Times New Roman"/>
                <w:sz w:val="20"/>
                <w:szCs w:val="20"/>
              </w:rPr>
              <w:t xml:space="preserve">The distribution of </w:t>
            </w:r>
            <w:r w:rsidRPr="005D7515">
              <w:rPr>
                <w:rFonts w:ascii="Times New Roman" w:hAnsi="Times New Roman" w:cs="Times New Roman"/>
                <w:b/>
                <w:bCs/>
                <w:sz w:val="20"/>
                <w:szCs w:val="20"/>
              </w:rPr>
              <w:t>Age</w:t>
            </w:r>
            <w:r w:rsidRPr="005D7515">
              <w:rPr>
                <w:rFonts w:ascii="Times New Roman" w:hAnsi="Times New Roman" w:cs="Times New Roman"/>
                <w:sz w:val="20"/>
                <w:szCs w:val="20"/>
              </w:rPr>
              <w:t xml:space="preserve"> is the same across treatment groups</w:t>
            </w:r>
          </w:p>
        </w:tc>
        <w:tc>
          <w:tcPr>
            <w:tcW w:w="1984" w:type="dxa"/>
          </w:tcPr>
          <w:p w14:paraId="3C9624E1" w14:textId="3404D0F8" w:rsidR="00FD16CF" w:rsidRPr="005D7515" w:rsidRDefault="00FD16CF" w:rsidP="00FD16CF">
            <w:pPr>
              <w:spacing w:line="259" w:lineRule="auto"/>
              <w:jc w:val="left"/>
              <w:rPr>
                <w:rFonts w:ascii="Times New Roman" w:hAnsi="Times New Roman" w:cs="Times New Roman"/>
                <w:sz w:val="20"/>
                <w:szCs w:val="20"/>
              </w:rPr>
            </w:pPr>
            <w:r w:rsidRPr="005D7515">
              <w:rPr>
                <w:rFonts w:ascii="Times New Roman" w:hAnsi="Times New Roman" w:cs="Times New Roman"/>
                <w:sz w:val="20"/>
                <w:szCs w:val="20"/>
              </w:rPr>
              <w:t>Pearson Chi-Square</w:t>
            </w:r>
          </w:p>
        </w:tc>
        <w:tc>
          <w:tcPr>
            <w:tcW w:w="709" w:type="dxa"/>
          </w:tcPr>
          <w:p w14:paraId="67119C36" w14:textId="2DE77D30" w:rsidR="00FD16CF" w:rsidRPr="005D7515" w:rsidRDefault="00FD16CF" w:rsidP="00FD16CF">
            <w:pPr>
              <w:spacing w:line="259" w:lineRule="auto"/>
              <w:jc w:val="left"/>
              <w:rPr>
                <w:rFonts w:ascii="Times New Roman" w:hAnsi="Times New Roman" w:cs="Times New Roman"/>
                <w:sz w:val="20"/>
                <w:szCs w:val="20"/>
              </w:rPr>
            </w:pPr>
            <w:r w:rsidRPr="005D7515">
              <w:rPr>
                <w:rFonts w:ascii="Times New Roman" w:hAnsi="Times New Roman" w:cs="Times New Roman"/>
                <w:sz w:val="20"/>
                <w:szCs w:val="20"/>
              </w:rPr>
              <w:t>372</w:t>
            </w:r>
          </w:p>
        </w:tc>
        <w:tc>
          <w:tcPr>
            <w:tcW w:w="992" w:type="dxa"/>
          </w:tcPr>
          <w:p w14:paraId="29A2A09B" w14:textId="4DD49052" w:rsidR="00FD16CF" w:rsidRPr="005D7515" w:rsidRDefault="00FD16CF" w:rsidP="00FD16CF">
            <w:pPr>
              <w:spacing w:line="259" w:lineRule="auto"/>
              <w:jc w:val="left"/>
              <w:rPr>
                <w:rFonts w:ascii="Times New Roman" w:hAnsi="Times New Roman" w:cs="Times New Roman"/>
                <w:sz w:val="20"/>
                <w:szCs w:val="20"/>
              </w:rPr>
            </w:pPr>
            <w:r w:rsidRPr="005D7515">
              <w:rPr>
                <w:rFonts w:ascii="Times New Roman" w:hAnsi="Times New Roman" w:cs="Times New Roman"/>
                <w:sz w:val="20"/>
                <w:szCs w:val="20"/>
              </w:rPr>
              <w:t>10.8</w:t>
            </w:r>
          </w:p>
        </w:tc>
        <w:tc>
          <w:tcPr>
            <w:tcW w:w="1134" w:type="dxa"/>
          </w:tcPr>
          <w:p w14:paraId="5EF81DBE" w14:textId="6C72F554" w:rsidR="00FD16CF" w:rsidRPr="005D7515" w:rsidRDefault="00FD16CF" w:rsidP="00FD16CF">
            <w:pPr>
              <w:spacing w:line="259" w:lineRule="auto"/>
              <w:jc w:val="left"/>
              <w:rPr>
                <w:rFonts w:ascii="Times New Roman" w:hAnsi="Times New Roman" w:cs="Times New Roman"/>
                <w:sz w:val="20"/>
                <w:szCs w:val="20"/>
              </w:rPr>
            </w:pPr>
            <w:r w:rsidRPr="005D7515">
              <w:rPr>
                <w:rFonts w:ascii="Times New Roman" w:hAnsi="Times New Roman" w:cs="Times New Roman"/>
                <w:sz w:val="20"/>
                <w:szCs w:val="20"/>
              </w:rPr>
              <w:t>18</w:t>
            </w:r>
          </w:p>
        </w:tc>
        <w:tc>
          <w:tcPr>
            <w:tcW w:w="1031" w:type="dxa"/>
          </w:tcPr>
          <w:p w14:paraId="6F99EE24" w14:textId="6193135D" w:rsidR="00FD16CF" w:rsidRPr="005D7515" w:rsidRDefault="00FD16CF" w:rsidP="00FD16CF">
            <w:pPr>
              <w:spacing w:line="259" w:lineRule="auto"/>
              <w:jc w:val="left"/>
              <w:rPr>
                <w:rFonts w:ascii="Times New Roman" w:hAnsi="Times New Roman" w:cs="Times New Roman"/>
                <w:sz w:val="20"/>
                <w:szCs w:val="20"/>
              </w:rPr>
            </w:pPr>
            <w:r w:rsidRPr="005D7515">
              <w:rPr>
                <w:rFonts w:ascii="Times New Roman" w:hAnsi="Times New Roman" w:cs="Times New Roman"/>
                <w:sz w:val="20"/>
                <w:szCs w:val="20"/>
              </w:rPr>
              <w:t>0.903</w:t>
            </w:r>
          </w:p>
        </w:tc>
        <w:tc>
          <w:tcPr>
            <w:tcW w:w="1404" w:type="dxa"/>
          </w:tcPr>
          <w:p w14:paraId="7F51DF66" w14:textId="7058E0C8" w:rsidR="00FD16CF" w:rsidRPr="005D7515" w:rsidRDefault="00FD16CF" w:rsidP="00FD16CF">
            <w:pPr>
              <w:spacing w:line="259" w:lineRule="auto"/>
              <w:jc w:val="left"/>
              <w:rPr>
                <w:rFonts w:ascii="Times New Roman" w:hAnsi="Times New Roman" w:cs="Times New Roman"/>
                <w:sz w:val="20"/>
                <w:szCs w:val="20"/>
              </w:rPr>
            </w:pPr>
            <w:r w:rsidRPr="005D7515">
              <w:rPr>
                <w:rFonts w:ascii="Times New Roman" w:hAnsi="Times New Roman" w:cs="Times New Roman"/>
                <w:sz w:val="20"/>
                <w:szCs w:val="20"/>
              </w:rPr>
              <w:t>Retain the null hypothesis</w:t>
            </w:r>
          </w:p>
        </w:tc>
      </w:tr>
      <w:tr w:rsidR="00FD16CF" w14:paraId="0ED377B3" w14:textId="77777777" w:rsidTr="00575CD3">
        <w:trPr>
          <w:trHeight w:val="416"/>
        </w:trPr>
        <w:tc>
          <w:tcPr>
            <w:tcW w:w="2689" w:type="dxa"/>
          </w:tcPr>
          <w:p w14:paraId="5D6BC047" w14:textId="6039C0E7" w:rsidR="00FD16CF" w:rsidRPr="005D7515" w:rsidRDefault="00FD16CF" w:rsidP="00FD16CF">
            <w:pPr>
              <w:spacing w:line="259" w:lineRule="auto"/>
              <w:jc w:val="left"/>
              <w:rPr>
                <w:rFonts w:ascii="Times New Roman" w:hAnsi="Times New Roman" w:cs="Times New Roman"/>
                <w:sz w:val="20"/>
                <w:szCs w:val="20"/>
              </w:rPr>
            </w:pPr>
            <w:r w:rsidRPr="005D7515">
              <w:rPr>
                <w:rFonts w:ascii="Times New Roman" w:hAnsi="Times New Roman" w:cs="Times New Roman"/>
                <w:sz w:val="20"/>
                <w:szCs w:val="20"/>
              </w:rPr>
              <w:t xml:space="preserve">The distribution of </w:t>
            </w:r>
            <w:r w:rsidRPr="005D7515">
              <w:rPr>
                <w:rFonts w:ascii="Times New Roman" w:hAnsi="Times New Roman" w:cs="Times New Roman"/>
                <w:b/>
                <w:bCs/>
                <w:sz w:val="20"/>
                <w:szCs w:val="20"/>
              </w:rPr>
              <w:t>Gender</w:t>
            </w:r>
            <w:r w:rsidRPr="005D7515">
              <w:rPr>
                <w:rFonts w:ascii="Times New Roman" w:hAnsi="Times New Roman" w:cs="Times New Roman"/>
                <w:sz w:val="20"/>
                <w:szCs w:val="20"/>
              </w:rPr>
              <w:t xml:space="preserve"> is the same across treatment groups</w:t>
            </w:r>
          </w:p>
        </w:tc>
        <w:tc>
          <w:tcPr>
            <w:tcW w:w="1984" w:type="dxa"/>
          </w:tcPr>
          <w:p w14:paraId="09BC4D72" w14:textId="6A5466DA" w:rsidR="00FD16CF" w:rsidRPr="005D7515" w:rsidRDefault="00FD16CF" w:rsidP="00FD16CF">
            <w:pPr>
              <w:spacing w:line="259" w:lineRule="auto"/>
              <w:jc w:val="left"/>
              <w:rPr>
                <w:rFonts w:ascii="Times New Roman" w:hAnsi="Times New Roman" w:cs="Times New Roman"/>
                <w:sz w:val="20"/>
                <w:szCs w:val="20"/>
              </w:rPr>
            </w:pPr>
            <w:r w:rsidRPr="005D7515">
              <w:rPr>
                <w:rFonts w:ascii="Times New Roman" w:hAnsi="Times New Roman" w:cs="Times New Roman"/>
                <w:sz w:val="20"/>
                <w:szCs w:val="20"/>
              </w:rPr>
              <w:t>Pearson Chi-Square</w:t>
            </w:r>
          </w:p>
        </w:tc>
        <w:tc>
          <w:tcPr>
            <w:tcW w:w="709" w:type="dxa"/>
          </w:tcPr>
          <w:p w14:paraId="17F3C63D" w14:textId="61982F06" w:rsidR="00FD16CF" w:rsidRPr="005D7515" w:rsidRDefault="00FD16CF" w:rsidP="00FD16CF">
            <w:pPr>
              <w:spacing w:line="259" w:lineRule="auto"/>
              <w:jc w:val="left"/>
              <w:rPr>
                <w:rFonts w:ascii="Times New Roman" w:hAnsi="Times New Roman" w:cs="Times New Roman"/>
                <w:sz w:val="20"/>
                <w:szCs w:val="20"/>
              </w:rPr>
            </w:pPr>
            <w:r w:rsidRPr="005D7515">
              <w:rPr>
                <w:rFonts w:ascii="Times New Roman" w:hAnsi="Times New Roman" w:cs="Times New Roman"/>
                <w:sz w:val="20"/>
                <w:szCs w:val="20"/>
              </w:rPr>
              <w:t>372</w:t>
            </w:r>
          </w:p>
        </w:tc>
        <w:tc>
          <w:tcPr>
            <w:tcW w:w="992" w:type="dxa"/>
          </w:tcPr>
          <w:p w14:paraId="7E08D1FF" w14:textId="6991D161" w:rsidR="00FD16CF" w:rsidRPr="005D7515" w:rsidRDefault="00FD16CF" w:rsidP="00FD16CF">
            <w:pPr>
              <w:spacing w:line="259" w:lineRule="auto"/>
              <w:jc w:val="left"/>
              <w:rPr>
                <w:rFonts w:ascii="Times New Roman" w:hAnsi="Times New Roman" w:cs="Times New Roman"/>
                <w:sz w:val="20"/>
                <w:szCs w:val="20"/>
              </w:rPr>
            </w:pPr>
            <w:r w:rsidRPr="005D7515">
              <w:rPr>
                <w:rFonts w:ascii="Times New Roman" w:hAnsi="Times New Roman" w:cs="Times New Roman"/>
                <w:sz w:val="20"/>
                <w:szCs w:val="20"/>
              </w:rPr>
              <w:t>9.62</w:t>
            </w:r>
          </w:p>
        </w:tc>
        <w:tc>
          <w:tcPr>
            <w:tcW w:w="1134" w:type="dxa"/>
          </w:tcPr>
          <w:p w14:paraId="336D1A8D" w14:textId="5A05E40F" w:rsidR="00FD16CF" w:rsidRPr="005D7515" w:rsidRDefault="00FD16CF" w:rsidP="00FD16CF">
            <w:pPr>
              <w:spacing w:line="259" w:lineRule="auto"/>
              <w:jc w:val="left"/>
              <w:rPr>
                <w:rFonts w:ascii="Times New Roman" w:hAnsi="Times New Roman" w:cs="Times New Roman"/>
                <w:sz w:val="20"/>
                <w:szCs w:val="20"/>
              </w:rPr>
            </w:pPr>
            <w:r w:rsidRPr="005D7515">
              <w:rPr>
                <w:rFonts w:ascii="Times New Roman" w:hAnsi="Times New Roman" w:cs="Times New Roman"/>
                <w:sz w:val="20"/>
                <w:szCs w:val="20"/>
              </w:rPr>
              <w:t>9</w:t>
            </w:r>
          </w:p>
        </w:tc>
        <w:tc>
          <w:tcPr>
            <w:tcW w:w="1031" w:type="dxa"/>
          </w:tcPr>
          <w:p w14:paraId="7BA050E3" w14:textId="1F14C8DC" w:rsidR="00FD16CF" w:rsidRPr="005D7515" w:rsidRDefault="00FD16CF" w:rsidP="00FD16CF">
            <w:pPr>
              <w:spacing w:line="259" w:lineRule="auto"/>
              <w:jc w:val="left"/>
              <w:rPr>
                <w:rFonts w:ascii="Times New Roman" w:hAnsi="Times New Roman" w:cs="Times New Roman"/>
                <w:sz w:val="20"/>
                <w:szCs w:val="20"/>
              </w:rPr>
            </w:pPr>
            <w:r w:rsidRPr="005D7515">
              <w:rPr>
                <w:rFonts w:ascii="Times New Roman" w:hAnsi="Times New Roman" w:cs="Times New Roman"/>
                <w:sz w:val="20"/>
                <w:szCs w:val="20"/>
              </w:rPr>
              <w:t>0.382</w:t>
            </w:r>
          </w:p>
        </w:tc>
        <w:tc>
          <w:tcPr>
            <w:tcW w:w="1404" w:type="dxa"/>
          </w:tcPr>
          <w:p w14:paraId="504C011C" w14:textId="2A98E06E" w:rsidR="00FD16CF" w:rsidRPr="005D7515" w:rsidRDefault="00FD16CF" w:rsidP="00FD16CF">
            <w:pPr>
              <w:spacing w:line="259" w:lineRule="auto"/>
              <w:jc w:val="left"/>
              <w:rPr>
                <w:rFonts w:ascii="Times New Roman" w:hAnsi="Times New Roman" w:cs="Times New Roman"/>
                <w:sz w:val="20"/>
                <w:szCs w:val="20"/>
              </w:rPr>
            </w:pPr>
            <w:r w:rsidRPr="005D7515">
              <w:rPr>
                <w:rFonts w:ascii="Times New Roman" w:hAnsi="Times New Roman" w:cs="Times New Roman"/>
                <w:sz w:val="20"/>
                <w:szCs w:val="20"/>
              </w:rPr>
              <w:t>Retain the null hypothesis</w:t>
            </w:r>
          </w:p>
        </w:tc>
      </w:tr>
      <w:tr w:rsidR="00FD16CF" w14:paraId="6949B835" w14:textId="77777777" w:rsidTr="00575CD3">
        <w:trPr>
          <w:trHeight w:val="416"/>
        </w:trPr>
        <w:tc>
          <w:tcPr>
            <w:tcW w:w="2689" w:type="dxa"/>
          </w:tcPr>
          <w:p w14:paraId="7FE38051" w14:textId="69DF51AC" w:rsidR="00FD16CF" w:rsidRPr="005D7515" w:rsidRDefault="00FD16CF" w:rsidP="00FD16CF">
            <w:pPr>
              <w:spacing w:line="259" w:lineRule="auto"/>
              <w:jc w:val="left"/>
              <w:rPr>
                <w:rFonts w:ascii="Times New Roman" w:hAnsi="Times New Roman" w:cs="Times New Roman"/>
                <w:sz w:val="20"/>
                <w:szCs w:val="20"/>
              </w:rPr>
            </w:pPr>
            <w:r w:rsidRPr="005D7515">
              <w:rPr>
                <w:rFonts w:ascii="Times New Roman" w:hAnsi="Times New Roman" w:cs="Times New Roman"/>
                <w:sz w:val="20"/>
                <w:szCs w:val="20"/>
              </w:rPr>
              <w:t xml:space="preserve">The distribution of </w:t>
            </w:r>
            <w:proofErr w:type="spellStart"/>
            <w:r w:rsidRPr="005D7515">
              <w:rPr>
                <w:rFonts w:ascii="Times New Roman" w:hAnsi="Times New Roman" w:cs="Times New Roman"/>
                <w:b/>
                <w:bCs/>
                <w:sz w:val="20"/>
                <w:szCs w:val="20"/>
              </w:rPr>
              <w:t>Ethinicity</w:t>
            </w:r>
            <w:proofErr w:type="spellEnd"/>
            <w:r w:rsidRPr="005D7515">
              <w:rPr>
                <w:rFonts w:ascii="Times New Roman" w:hAnsi="Times New Roman" w:cs="Times New Roman"/>
                <w:sz w:val="20"/>
                <w:szCs w:val="20"/>
              </w:rPr>
              <w:t xml:space="preserve"> is the same across treatment groups</w:t>
            </w:r>
          </w:p>
        </w:tc>
        <w:tc>
          <w:tcPr>
            <w:tcW w:w="1984" w:type="dxa"/>
          </w:tcPr>
          <w:p w14:paraId="55BEB2D6" w14:textId="7D517157" w:rsidR="00FD16CF" w:rsidRPr="005D7515" w:rsidRDefault="00FD16CF" w:rsidP="00FD16CF">
            <w:pPr>
              <w:spacing w:line="259" w:lineRule="auto"/>
              <w:jc w:val="left"/>
              <w:rPr>
                <w:rFonts w:ascii="Times New Roman" w:hAnsi="Times New Roman" w:cs="Times New Roman"/>
                <w:sz w:val="20"/>
                <w:szCs w:val="20"/>
              </w:rPr>
            </w:pPr>
            <w:r w:rsidRPr="005D7515">
              <w:rPr>
                <w:rFonts w:ascii="Times New Roman" w:hAnsi="Times New Roman" w:cs="Times New Roman"/>
                <w:sz w:val="20"/>
                <w:szCs w:val="20"/>
              </w:rPr>
              <w:t>Pearson Chi-Square</w:t>
            </w:r>
          </w:p>
        </w:tc>
        <w:tc>
          <w:tcPr>
            <w:tcW w:w="709" w:type="dxa"/>
          </w:tcPr>
          <w:p w14:paraId="0FDFAF0F" w14:textId="5650D40A" w:rsidR="00FD16CF" w:rsidRPr="005D7515" w:rsidRDefault="00FD16CF" w:rsidP="00FD16CF">
            <w:pPr>
              <w:spacing w:line="259" w:lineRule="auto"/>
              <w:jc w:val="left"/>
              <w:rPr>
                <w:rFonts w:ascii="Times New Roman" w:hAnsi="Times New Roman" w:cs="Times New Roman"/>
                <w:sz w:val="20"/>
                <w:szCs w:val="20"/>
              </w:rPr>
            </w:pPr>
            <w:r w:rsidRPr="005D7515">
              <w:rPr>
                <w:rFonts w:ascii="Times New Roman" w:hAnsi="Times New Roman" w:cs="Times New Roman"/>
                <w:sz w:val="20"/>
                <w:szCs w:val="20"/>
              </w:rPr>
              <w:t>365</w:t>
            </w:r>
          </w:p>
        </w:tc>
        <w:tc>
          <w:tcPr>
            <w:tcW w:w="992" w:type="dxa"/>
          </w:tcPr>
          <w:p w14:paraId="134B9AD5" w14:textId="65C2F947" w:rsidR="00FD16CF" w:rsidRPr="005D7515" w:rsidRDefault="00FD16CF" w:rsidP="00FD16CF">
            <w:pPr>
              <w:spacing w:line="259" w:lineRule="auto"/>
              <w:jc w:val="left"/>
              <w:rPr>
                <w:rFonts w:ascii="Times New Roman" w:hAnsi="Times New Roman" w:cs="Times New Roman"/>
                <w:sz w:val="20"/>
                <w:szCs w:val="20"/>
              </w:rPr>
            </w:pPr>
            <w:r w:rsidRPr="005D7515">
              <w:rPr>
                <w:rFonts w:ascii="Times New Roman" w:hAnsi="Times New Roman" w:cs="Times New Roman"/>
                <w:sz w:val="20"/>
                <w:szCs w:val="20"/>
              </w:rPr>
              <w:t>16.5</w:t>
            </w:r>
          </w:p>
        </w:tc>
        <w:tc>
          <w:tcPr>
            <w:tcW w:w="1134" w:type="dxa"/>
          </w:tcPr>
          <w:p w14:paraId="567FA2B0" w14:textId="553E4B68" w:rsidR="00FD16CF" w:rsidRPr="005D7515" w:rsidRDefault="00FD16CF" w:rsidP="00FD16CF">
            <w:pPr>
              <w:spacing w:line="259" w:lineRule="auto"/>
              <w:jc w:val="left"/>
              <w:rPr>
                <w:rFonts w:ascii="Times New Roman" w:hAnsi="Times New Roman" w:cs="Times New Roman"/>
                <w:sz w:val="20"/>
                <w:szCs w:val="20"/>
              </w:rPr>
            </w:pPr>
            <w:r w:rsidRPr="005D7515">
              <w:rPr>
                <w:rFonts w:ascii="Times New Roman" w:hAnsi="Times New Roman" w:cs="Times New Roman"/>
                <w:sz w:val="20"/>
                <w:szCs w:val="20"/>
              </w:rPr>
              <w:t>12</w:t>
            </w:r>
          </w:p>
        </w:tc>
        <w:tc>
          <w:tcPr>
            <w:tcW w:w="1031" w:type="dxa"/>
          </w:tcPr>
          <w:p w14:paraId="79911473" w14:textId="4B881B21" w:rsidR="00FD16CF" w:rsidRPr="005D7515" w:rsidRDefault="00FD16CF" w:rsidP="00FD16CF">
            <w:pPr>
              <w:spacing w:line="259" w:lineRule="auto"/>
              <w:jc w:val="left"/>
              <w:rPr>
                <w:rFonts w:ascii="Times New Roman" w:hAnsi="Times New Roman" w:cs="Times New Roman"/>
                <w:sz w:val="20"/>
                <w:szCs w:val="20"/>
              </w:rPr>
            </w:pPr>
            <w:r w:rsidRPr="005D7515">
              <w:rPr>
                <w:rFonts w:ascii="Times New Roman" w:hAnsi="Times New Roman" w:cs="Times New Roman"/>
                <w:sz w:val="20"/>
                <w:szCs w:val="20"/>
              </w:rPr>
              <w:t>0.167</w:t>
            </w:r>
          </w:p>
        </w:tc>
        <w:tc>
          <w:tcPr>
            <w:tcW w:w="1404" w:type="dxa"/>
          </w:tcPr>
          <w:p w14:paraId="4DCA69CD" w14:textId="0270982A" w:rsidR="00FD16CF" w:rsidRPr="005D7515" w:rsidRDefault="00FD16CF" w:rsidP="00FD16CF">
            <w:pPr>
              <w:spacing w:line="259" w:lineRule="auto"/>
              <w:jc w:val="left"/>
              <w:rPr>
                <w:rFonts w:ascii="Times New Roman" w:hAnsi="Times New Roman" w:cs="Times New Roman"/>
                <w:sz w:val="20"/>
                <w:szCs w:val="20"/>
              </w:rPr>
            </w:pPr>
            <w:r w:rsidRPr="005D7515">
              <w:rPr>
                <w:rFonts w:ascii="Times New Roman" w:hAnsi="Times New Roman" w:cs="Times New Roman"/>
                <w:sz w:val="20"/>
                <w:szCs w:val="20"/>
              </w:rPr>
              <w:t>Retain the null hypothesis</w:t>
            </w:r>
          </w:p>
        </w:tc>
      </w:tr>
      <w:tr w:rsidR="00FD16CF" w14:paraId="5C15EE0E" w14:textId="77777777" w:rsidTr="00575CD3">
        <w:trPr>
          <w:trHeight w:val="416"/>
        </w:trPr>
        <w:tc>
          <w:tcPr>
            <w:tcW w:w="2689" w:type="dxa"/>
          </w:tcPr>
          <w:p w14:paraId="4C15DA2F" w14:textId="13D440ED" w:rsidR="00FD16CF" w:rsidRPr="005D7515" w:rsidRDefault="00FD16CF" w:rsidP="00FD16CF">
            <w:pPr>
              <w:spacing w:line="259" w:lineRule="auto"/>
              <w:jc w:val="left"/>
              <w:rPr>
                <w:rFonts w:ascii="Times New Roman" w:hAnsi="Times New Roman" w:cs="Times New Roman"/>
                <w:sz w:val="20"/>
                <w:szCs w:val="20"/>
              </w:rPr>
            </w:pPr>
            <w:r w:rsidRPr="005D7515">
              <w:rPr>
                <w:rFonts w:ascii="Times New Roman" w:hAnsi="Times New Roman" w:cs="Times New Roman"/>
                <w:sz w:val="20"/>
                <w:szCs w:val="20"/>
              </w:rPr>
              <w:t xml:space="preserve">The distribution of </w:t>
            </w:r>
            <w:r w:rsidRPr="005D7515">
              <w:rPr>
                <w:rFonts w:ascii="Times New Roman" w:hAnsi="Times New Roman" w:cs="Times New Roman"/>
                <w:b/>
                <w:bCs/>
                <w:sz w:val="20"/>
                <w:szCs w:val="20"/>
              </w:rPr>
              <w:t>Nature connectedness</w:t>
            </w:r>
            <w:r w:rsidRPr="005D7515">
              <w:rPr>
                <w:rFonts w:ascii="Times New Roman" w:hAnsi="Times New Roman" w:cs="Times New Roman"/>
                <w:sz w:val="20"/>
                <w:szCs w:val="20"/>
              </w:rPr>
              <w:t xml:space="preserve"> is the same across treatment groups</w:t>
            </w:r>
          </w:p>
        </w:tc>
        <w:tc>
          <w:tcPr>
            <w:tcW w:w="1984" w:type="dxa"/>
          </w:tcPr>
          <w:p w14:paraId="7D60267F" w14:textId="5DA25D7A" w:rsidR="00FD16CF" w:rsidRPr="005D7515" w:rsidRDefault="00FD16CF" w:rsidP="00FD16CF">
            <w:pPr>
              <w:spacing w:line="259" w:lineRule="auto"/>
              <w:jc w:val="left"/>
              <w:rPr>
                <w:rFonts w:ascii="Times New Roman" w:hAnsi="Times New Roman" w:cs="Times New Roman"/>
                <w:sz w:val="20"/>
                <w:szCs w:val="20"/>
              </w:rPr>
            </w:pPr>
            <w:r w:rsidRPr="005D7515">
              <w:rPr>
                <w:rFonts w:ascii="Times New Roman" w:hAnsi="Times New Roman" w:cs="Times New Roman"/>
                <w:sz w:val="20"/>
                <w:szCs w:val="20"/>
              </w:rPr>
              <w:t>Pearson Chi-Square</w:t>
            </w:r>
          </w:p>
        </w:tc>
        <w:tc>
          <w:tcPr>
            <w:tcW w:w="709" w:type="dxa"/>
          </w:tcPr>
          <w:p w14:paraId="6CB1C5C7" w14:textId="2BDA22AA" w:rsidR="00FD16CF" w:rsidRPr="005D7515" w:rsidRDefault="00FD16CF" w:rsidP="00FD16CF">
            <w:pPr>
              <w:spacing w:line="259" w:lineRule="auto"/>
              <w:jc w:val="left"/>
              <w:rPr>
                <w:rFonts w:ascii="Times New Roman" w:hAnsi="Times New Roman" w:cs="Times New Roman"/>
                <w:sz w:val="20"/>
                <w:szCs w:val="20"/>
              </w:rPr>
            </w:pPr>
            <w:r w:rsidRPr="005D7515">
              <w:rPr>
                <w:rFonts w:ascii="Times New Roman" w:hAnsi="Times New Roman" w:cs="Times New Roman"/>
                <w:sz w:val="20"/>
                <w:szCs w:val="20"/>
              </w:rPr>
              <w:t>372</w:t>
            </w:r>
          </w:p>
        </w:tc>
        <w:tc>
          <w:tcPr>
            <w:tcW w:w="992" w:type="dxa"/>
          </w:tcPr>
          <w:p w14:paraId="7AFD5601" w14:textId="5EE3C550" w:rsidR="00FD16CF" w:rsidRPr="005D7515" w:rsidRDefault="00FD16CF" w:rsidP="00FD16CF">
            <w:pPr>
              <w:spacing w:line="259" w:lineRule="auto"/>
              <w:jc w:val="left"/>
              <w:rPr>
                <w:rFonts w:ascii="Times New Roman" w:hAnsi="Times New Roman" w:cs="Times New Roman"/>
                <w:sz w:val="20"/>
                <w:szCs w:val="20"/>
              </w:rPr>
            </w:pPr>
            <w:r w:rsidRPr="005D7515">
              <w:rPr>
                <w:rFonts w:ascii="Times New Roman" w:hAnsi="Times New Roman" w:cs="Times New Roman"/>
                <w:sz w:val="20"/>
                <w:szCs w:val="20"/>
              </w:rPr>
              <w:t>19.1</w:t>
            </w:r>
          </w:p>
        </w:tc>
        <w:tc>
          <w:tcPr>
            <w:tcW w:w="1134" w:type="dxa"/>
          </w:tcPr>
          <w:p w14:paraId="63D96829" w14:textId="67F26483" w:rsidR="00FD16CF" w:rsidRPr="005D7515" w:rsidRDefault="00FD16CF" w:rsidP="00FD16CF">
            <w:pPr>
              <w:spacing w:line="259" w:lineRule="auto"/>
              <w:jc w:val="left"/>
              <w:rPr>
                <w:rFonts w:ascii="Times New Roman" w:hAnsi="Times New Roman" w:cs="Times New Roman"/>
                <w:sz w:val="20"/>
                <w:szCs w:val="20"/>
              </w:rPr>
            </w:pPr>
            <w:r w:rsidRPr="005D7515">
              <w:rPr>
                <w:rFonts w:ascii="Times New Roman" w:hAnsi="Times New Roman" w:cs="Times New Roman"/>
                <w:sz w:val="20"/>
                <w:szCs w:val="20"/>
              </w:rPr>
              <w:t>18</w:t>
            </w:r>
          </w:p>
        </w:tc>
        <w:tc>
          <w:tcPr>
            <w:tcW w:w="1031" w:type="dxa"/>
          </w:tcPr>
          <w:p w14:paraId="267DDA37" w14:textId="3EF06782" w:rsidR="00FD16CF" w:rsidRPr="005D7515" w:rsidRDefault="00FD16CF" w:rsidP="00FD16CF">
            <w:pPr>
              <w:spacing w:line="259" w:lineRule="auto"/>
              <w:jc w:val="left"/>
              <w:rPr>
                <w:rFonts w:ascii="Times New Roman" w:hAnsi="Times New Roman" w:cs="Times New Roman"/>
                <w:sz w:val="20"/>
                <w:szCs w:val="20"/>
              </w:rPr>
            </w:pPr>
            <w:r w:rsidRPr="005D7515">
              <w:rPr>
                <w:rFonts w:ascii="Times New Roman" w:hAnsi="Times New Roman" w:cs="Times New Roman"/>
                <w:sz w:val="20"/>
                <w:szCs w:val="20"/>
              </w:rPr>
              <w:t>0.386</w:t>
            </w:r>
          </w:p>
        </w:tc>
        <w:tc>
          <w:tcPr>
            <w:tcW w:w="1404" w:type="dxa"/>
          </w:tcPr>
          <w:p w14:paraId="45294A58" w14:textId="3078F540" w:rsidR="00FD16CF" w:rsidRPr="005D7515" w:rsidRDefault="00FD16CF" w:rsidP="00FD16CF">
            <w:pPr>
              <w:spacing w:line="259" w:lineRule="auto"/>
              <w:jc w:val="left"/>
              <w:rPr>
                <w:rFonts w:ascii="Times New Roman" w:hAnsi="Times New Roman" w:cs="Times New Roman"/>
                <w:sz w:val="20"/>
                <w:szCs w:val="20"/>
              </w:rPr>
            </w:pPr>
            <w:r w:rsidRPr="005D7515">
              <w:rPr>
                <w:rFonts w:ascii="Times New Roman" w:hAnsi="Times New Roman" w:cs="Times New Roman"/>
                <w:sz w:val="20"/>
                <w:szCs w:val="20"/>
              </w:rPr>
              <w:t>Retain the null hypothesis</w:t>
            </w:r>
          </w:p>
        </w:tc>
      </w:tr>
    </w:tbl>
    <w:p w14:paraId="64C10115" w14:textId="77777777" w:rsidR="004347F9" w:rsidRDefault="004347F9">
      <w:pPr>
        <w:spacing w:line="259" w:lineRule="auto"/>
        <w:jc w:val="left"/>
      </w:pPr>
    </w:p>
    <w:p w14:paraId="2255169D" w14:textId="4F3700D7" w:rsidR="00B0755C" w:rsidRDefault="00CB5DAB">
      <w:pPr>
        <w:spacing w:line="259" w:lineRule="auto"/>
        <w:jc w:val="left"/>
      </w:pPr>
      <w:r>
        <w:t xml:space="preserve">Dataset and full statistical output available on </w:t>
      </w:r>
      <w:proofErr w:type="spellStart"/>
      <w:r>
        <w:t>ReShare</w:t>
      </w:r>
      <w:proofErr w:type="spellEnd"/>
      <w:r>
        <w:t xml:space="preserve"> at </w:t>
      </w:r>
      <w:hyperlink r:id="rId64" w:history="1">
        <w:r w:rsidRPr="008152B4">
          <w:rPr>
            <w:rStyle w:val="Hyperlink"/>
          </w:rPr>
          <w:t>https://reshare.ukdataservice.ac.uk/856311/</w:t>
        </w:r>
      </w:hyperlink>
      <w:r w:rsidR="00B0755C">
        <w:br w:type="page"/>
      </w:r>
    </w:p>
    <w:p w14:paraId="6F086562" w14:textId="77777777" w:rsidR="00B0755C" w:rsidRDefault="00B0755C">
      <w:pPr>
        <w:spacing w:line="259" w:lineRule="auto"/>
        <w:jc w:val="left"/>
        <w:sectPr w:rsidR="00B0755C">
          <w:pgSz w:w="11906" w:h="16838"/>
          <w:pgMar w:top="1417" w:right="1134" w:bottom="1134" w:left="1134" w:header="708" w:footer="708" w:gutter="0"/>
          <w:cols w:space="708"/>
          <w:docGrid w:linePitch="360"/>
        </w:sectPr>
      </w:pPr>
    </w:p>
    <w:p w14:paraId="097DEEA0" w14:textId="62E7B746" w:rsidR="00B0755C" w:rsidRDefault="00B0755C" w:rsidP="00A527C2">
      <w:pPr>
        <w:pStyle w:val="Caption"/>
      </w:pPr>
      <w:r>
        <w:rPr>
          <w:noProof/>
        </w:rPr>
        <w:lastRenderedPageBreak/>
        <w:drawing>
          <wp:inline distT="0" distB="0" distL="0" distR="0" wp14:anchorId="031556B4" wp14:editId="22347527">
            <wp:extent cx="9071610" cy="3331845"/>
            <wp:effectExtent l="0" t="0" r="0" b="1905"/>
            <wp:docPr id="208032112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0321129" name="Picture 2080321129"/>
                    <pic:cNvPicPr/>
                  </pic:nvPicPr>
                  <pic:blipFill>
                    <a:blip r:embed="rId65" cstate="print">
                      <a:extLst>
                        <a:ext uri="{28A0092B-C50C-407E-A947-70E740481C1C}">
                          <a14:useLocalDpi xmlns:a14="http://schemas.microsoft.com/office/drawing/2010/main" val="0"/>
                        </a:ext>
                      </a:extLst>
                    </a:blip>
                    <a:stretch>
                      <a:fillRect/>
                    </a:stretch>
                  </pic:blipFill>
                  <pic:spPr>
                    <a:xfrm>
                      <a:off x="0" y="0"/>
                      <a:ext cx="9071610" cy="3331845"/>
                    </a:xfrm>
                    <a:prstGeom prst="rect">
                      <a:avLst/>
                    </a:prstGeom>
                  </pic:spPr>
                </pic:pic>
              </a:graphicData>
            </a:graphic>
          </wp:inline>
        </w:drawing>
      </w:r>
      <w:r>
        <w:t>Figure S1</w:t>
      </w:r>
      <w:r w:rsidR="00A527C2">
        <w:t>. Screenshots from the three treatment conditions taken at four different angles. Top: control. Middle: lower plant diversity. Bottom: higher plant diversity</w:t>
      </w:r>
    </w:p>
    <w:p w14:paraId="3BD59407" w14:textId="77777777" w:rsidR="00A527C2" w:rsidRDefault="00A527C2">
      <w:pPr>
        <w:spacing w:line="259" w:lineRule="auto"/>
        <w:jc w:val="left"/>
      </w:pPr>
    </w:p>
    <w:p w14:paraId="302659C3" w14:textId="77777777" w:rsidR="00B0755C" w:rsidRDefault="00B0755C">
      <w:pPr>
        <w:spacing w:line="259" w:lineRule="auto"/>
        <w:jc w:val="left"/>
        <w:sectPr w:rsidR="00B0755C" w:rsidSect="00B0755C">
          <w:pgSz w:w="16838" w:h="11906" w:orient="landscape"/>
          <w:pgMar w:top="1134" w:right="1418" w:bottom="1134" w:left="1134" w:header="709" w:footer="709" w:gutter="0"/>
          <w:cols w:space="708"/>
          <w:docGrid w:linePitch="360"/>
        </w:sectPr>
      </w:pPr>
    </w:p>
    <w:p w14:paraId="16DAB872" w14:textId="108CDAAA" w:rsidR="00E02CD5" w:rsidRPr="00C05886" w:rsidRDefault="00E02CD5" w:rsidP="005D7515">
      <w:pPr>
        <w:pStyle w:val="Heading3"/>
      </w:pPr>
      <w:bookmarkStart w:id="194" w:name="_Toc179962430"/>
      <w:r w:rsidRPr="00C05886">
        <w:lastRenderedPageBreak/>
        <w:t xml:space="preserve">Survey text </w:t>
      </w:r>
      <w:r w:rsidR="00FA59EA" w:rsidRPr="00C05886">
        <w:t>-Link to the preview version</w:t>
      </w:r>
      <w:bookmarkEnd w:id="194"/>
    </w:p>
    <w:p w14:paraId="3C0BFF7A" w14:textId="767285CC" w:rsidR="00E02CD5" w:rsidRDefault="00E02CD5" w:rsidP="00E02CD5">
      <w:r w:rsidRPr="00C05886">
        <w:t>Link to the Online version (preview)</w:t>
      </w:r>
    </w:p>
    <w:p w14:paraId="0C53AE87" w14:textId="77777777" w:rsidR="00B04B68" w:rsidRDefault="00B04B68" w:rsidP="00B04B68">
      <w:hyperlink r:id="rId66" w:history="1">
        <w:r w:rsidRPr="00D00502">
          <w:rPr>
            <w:rStyle w:val="Hyperlink"/>
          </w:rPr>
          <w:t>https://shefmethods.eu.qualtrics.com/jfe/preview/previewId/e5877727-0764-4b67-9515-221f64ffb569/SV_9TrqH2dMdE7WqIC?Q_CHL=preview&amp;Q_SurveyVersionID=current</w:t>
        </w:r>
      </w:hyperlink>
    </w:p>
    <w:p w14:paraId="1D0CF9B9" w14:textId="5F8BB195" w:rsidR="006E7714" w:rsidRPr="006E7714" w:rsidRDefault="006E7714" w:rsidP="005D7515">
      <w:pPr>
        <w:pStyle w:val="Heading3"/>
        <w:rPr>
          <w:rFonts w:ascii="Arial" w:eastAsia="Times New Roman" w:hAnsi="Arial" w:cs="Times New Roman"/>
          <w:color w:val="000000"/>
          <w:sz w:val="48"/>
          <w:szCs w:val="48"/>
          <w:lang w:val="en-US"/>
        </w:rPr>
      </w:pPr>
      <w:bookmarkStart w:id="195" w:name="_Toc179962431"/>
      <w:r>
        <w:t>Survey text</w:t>
      </w:r>
      <w:bookmarkEnd w:id="195"/>
    </w:p>
    <w:p w14:paraId="15D4F192" w14:textId="77777777" w:rsidR="006E7714" w:rsidRPr="006E7714" w:rsidRDefault="006E7714" w:rsidP="006E7714">
      <w:pPr>
        <w:spacing w:after="0" w:line="276" w:lineRule="auto"/>
        <w:jc w:val="left"/>
        <w:rPr>
          <w:rFonts w:ascii="Arial" w:eastAsia="Times New Roman" w:hAnsi="Arial" w:cs="Times New Roman"/>
          <w:sz w:val="22"/>
          <w:lang w:val="en-US"/>
        </w:rPr>
      </w:pPr>
    </w:p>
    <w:p w14:paraId="25442CD5" w14:textId="77777777" w:rsidR="006E7714" w:rsidRPr="006E7714" w:rsidRDefault="006E7714" w:rsidP="006E7714">
      <w:pPr>
        <w:pBdr>
          <w:bottom w:val="single" w:sz="8" w:space="0" w:color="CCCCCC"/>
        </w:pBdr>
        <w:spacing w:after="0" w:line="120" w:lineRule="auto"/>
        <w:jc w:val="center"/>
        <w:rPr>
          <w:rFonts w:ascii="Arial" w:eastAsia="Times New Roman" w:hAnsi="Arial" w:cs="Times New Roman"/>
          <w:b/>
          <w:color w:val="CCCCCC"/>
          <w:sz w:val="22"/>
          <w:lang w:val="en-US"/>
        </w:rPr>
      </w:pPr>
    </w:p>
    <w:p w14:paraId="4378A319" w14:textId="77777777" w:rsidR="006E7714" w:rsidRPr="006E7714" w:rsidRDefault="006E7714" w:rsidP="006E7714">
      <w:pPr>
        <w:spacing w:before="120" w:after="120" w:line="240" w:lineRule="auto"/>
        <w:jc w:val="left"/>
        <w:rPr>
          <w:rFonts w:ascii="Arial" w:eastAsia="Times New Roman" w:hAnsi="Arial" w:cs="Times New Roman"/>
          <w:b/>
          <w:color w:val="CCCCCC"/>
          <w:sz w:val="22"/>
          <w:lang w:val="en-US"/>
        </w:rPr>
      </w:pPr>
      <w:r w:rsidRPr="006E7714">
        <w:rPr>
          <w:rFonts w:ascii="Arial" w:eastAsia="Times New Roman" w:hAnsi="Arial" w:cs="Times New Roman"/>
          <w:b/>
          <w:color w:val="CCCCCC"/>
          <w:sz w:val="22"/>
          <w:lang w:val="en-US"/>
        </w:rPr>
        <w:t>Start of Block: Participant Information</w:t>
      </w:r>
    </w:p>
    <w:p w14:paraId="0615C702" w14:textId="77777777" w:rsidR="006E7714" w:rsidRPr="006E7714" w:rsidRDefault="006E7714" w:rsidP="006E7714">
      <w:pPr>
        <w:spacing w:after="0" w:line="276" w:lineRule="auto"/>
        <w:jc w:val="left"/>
        <w:rPr>
          <w:rFonts w:ascii="Arial" w:eastAsia="Times New Roman" w:hAnsi="Arial" w:cs="Times New Roman"/>
          <w:sz w:val="22"/>
          <w:lang w:val="en-US"/>
        </w:rPr>
      </w:pPr>
    </w:p>
    <w:p w14:paraId="0C8051CD" w14:textId="77777777" w:rsidR="006E7714" w:rsidRPr="006E7714" w:rsidRDefault="006E7714" w:rsidP="006E7714">
      <w:pPr>
        <w:keepNext/>
        <w:spacing w:after="0" w:line="276" w:lineRule="auto"/>
        <w:jc w:val="left"/>
        <w:rPr>
          <w:rFonts w:ascii="Arial" w:eastAsia="Times New Roman" w:hAnsi="Arial" w:cs="Times New Roman"/>
          <w:sz w:val="22"/>
          <w:lang w:val="en-US"/>
        </w:rPr>
      </w:pPr>
      <w:r w:rsidRPr="006E7714">
        <w:rPr>
          <w:rFonts w:ascii="Arial" w:eastAsia="Times New Roman" w:hAnsi="Arial" w:cs="Times New Roman"/>
          <w:b/>
          <w:sz w:val="22"/>
          <w:lang w:val="en-US"/>
        </w:rPr>
        <w:t>360 Green - emotional responses to Nature videos</w:t>
      </w:r>
      <w:r w:rsidRPr="006E7714">
        <w:rPr>
          <w:rFonts w:ascii="Arial" w:eastAsia="Times New Roman" w:hAnsi="Arial" w:cs="Times New Roman"/>
          <w:sz w:val="22"/>
          <w:lang w:val="en-US"/>
        </w:rPr>
        <w:br/>
        <w:t xml:space="preserve"> </w:t>
      </w:r>
      <w:r w:rsidRPr="006E7714">
        <w:rPr>
          <w:rFonts w:ascii="Arial" w:eastAsia="Times New Roman" w:hAnsi="Arial" w:cs="Times New Roman"/>
          <w:sz w:val="22"/>
          <w:lang w:val="en-US"/>
        </w:rPr>
        <w:br/>
        <w:t xml:space="preserve"> </w:t>
      </w:r>
      <w:r w:rsidRPr="006E7714">
        <w:rPr>
          <w:rFonts w:ascii="Arial" w:eastAsia="Times New Roman" w:hAnsi="Arial" w:cs="Times New Roman"/>
          <w:b/>
          <w:sz w:val="22"/>
          <w:lang w:val="en-US"/>
        </w:rPr>
        <w:t>Welcome! This page will provide you with some information about this survey study.</w:t>
      </w:r>
      <w:r w:rsidRPr="006E7714">
        <w:rPr>
          <w:rFonts w:ascii="Arial" w:eastAsia="Times New Roman" w:hAnsi="Arial" w:cs="Times New Roman"/>
          <w:b/>
          <w:sz w:val="22"/>
          <w:lang w:val="en-US"/>
        </w:rPr>
        <w:br/>
        <w:t xml:space="preserve"> Please, read it carefully</w:t>
      </w:r>
      <w:r w:rsidRPr="006E7714">
        <w:rPr>
          <w:rFonts w:ascii="Arial" w:eastAsia="Times New Roman" w:hAnsi="Arial" w:cs="Times New Roman"/>
          <w:sz w:val="22"/>
          <w:lang w:val="en-US"/>
        </w:rPr>
        <w:t>.</w:t>
      </w:r>
      <w:r w:rsidRPr="006E7714">
        <w:rPr>
          <w:rFonts w:ascii="Arial" w:eastAsia="Times New Roman" w:hAnsi="Arial" w:cs="Times New Roman"/>
          <w:sz w:val="22"/>
          <w:lang w:val="en-US"/>
        </w:rPr>
        <w:br/>
        <w:t xml:space="preserve"> </w:t>
      </w:r>
      <w:r w:rsidRPr="006E7714">
        <w:rPr>
          <w:rFonts w:ascii="Arial" w:eastAsia="Times New Roman" w:hAnsi="Arial" w:cs="Times New Roman"/>
          <w:sz w:val="22"/>
          <w:lang w:val="en-US"/>
        </w:rPr>
        <w:br/>
        <w:t xml:space="preserve"> </w:t>
      </w:r>
      <w:r w:rsidRPr="006E7714">
        <w:rPr>
          <w:rFonts w:ascii="Arial" w:eastAsia="Times New Roman" w:hAnsi="Arial" w:cs="Times New Roman"/>
          <w:b/>
          <w:sz w:val="22"/>
          <w:lang w:val="en-US"/>
        </w:rPr>
        <w:t>About the project</w:t>
      </w:r>
      <w:r w:rsidRPr="006E7714">
        <w:rPr>
          <w:rFonts w:ascii="Arial" w:eastAsia="Times New Roman" w:hAnsi="Arial" w:cs="Times New Roman"/>
          <w:sz w:val="22"/>
          <w:lang w:val="en-US"/>
        </w:rPr>
        <w:br/>
        <w:t xml:space="preserve"> “360 Green” is a study that aims to use an immersive 360-degree video to virtually bring you into a green space.</w:t>
      </w:r>
      <w:r w:rsidRPr="006E7714">
        <w:rPr>
          <w:rFonts w:ascii="Arial" w:eastAsia="Times New Roman" w:hAnsi="Arial" w:cs="Times New Roman"/>
          <w:sz w:val="22"/>
          <w:lang w:val="en-US"/>
        </w:rPr>
        <w:br/>
        <w:t xml:space="preserve"> </w:t>
      </w:r>
      <w:r w:rsidRPr="006E7714">
        <w:rPr>
          <w:rFonts w:ascii="Arial" w:eastAsia="Times New Roman" w:hAnsi="Arial" w:cs="Times New Roman"/>
          <w:sz w:val="22"/>
          <w:lang w:val="en-US"/>
        </w:rPr>
        <w:br/>
        <w:t xml:space="preserve"> There are many kinds of green spaces, from a mown lawn to wild woodland, but we still know too little about our emotional response to their features. This study will help us understand how different green spaces may generate different emotional responses.</w:t>
      </w:r>
    </w:p>
    <w:p w14:paraId="31CED02F" w14:textId="77777777" w:rsidR="006E7714" w:rsidRPr="006E7714" w:rsidRDefault="006E7714" w:rsidP="006E7714">
      <w:pPr>
        <w:spacing w:after="0" w:line="276" w:lineRule="auto"/>
        <w:jc w:val="left"/>
        <w:rPr>
          <w:rFonts w:ascii="Arial" w:eastAsia="Times New Roman" w:hAnsi="Arial" w:cs="Times New Roman"/>
          <w:sz w:val="22"/>
          <w:lang w:val="en-US"/>
        </w:rPr>
      </w:pPr>
    </w:p>
    <w:p w14:paraId="66156314" w14:textId="77777777" w:rsidR="006E7714" w:rsidRPr="006E7714" w:rsidRDefault="006E7714" w:rsidP="006E7714">
      <w:pPr>
        <w:keepNext/>
        <w:spacing w:after="0" w:line="276" w:lineRule="auto"/>
        <w:jc w:val="left"/>
        <w:rPr>
          <w:rFonts w:ascii="Arial" w:eastAsia="Times New Roman" w:hAnsi="Arial" w:cs="Times New Roman"/>
          <w:sz w:val="22"/>
          <w:lang w:val="en-US"/>
        </w:rPr>
      </w:pPr>
      <w:r w:rsidRPr="006E7714">
        <w:rPr>
          <w:rFonts w:ascii="Arial" w:eastAsia="Times New Roman" w:hAnsi="Arial" w:cs="Times New Roman"/>
          <w:sz w:val="22"/>
          <w:lang w:val="en-US"/>
        </w:rPr>
        <w:br/>
      </w:r>
      <w:r w:rsidRPr="006E7714">
        <w:rPr>
          <w:rFonts w:ascii="Arial" w:eastAsia="Times New Roman" w:hAnsi="Arial" w:cs="Times New Roman"/>
          <w:b/>
          <w:sz w:val="22"/>
          <w:lang w:val="en-US"/>
        </w:rPr>
        <w:t>What do I need to do?</w:t>
      </w:r>
      <w:r w:rsidRPr="006E7714">
        <w:rPr>
          <w:rFonts w:ascii="Arial" w:eastAsia="Times New Roman" w:hAnsi="Arial" w:cs="Times New Roman"/>
          <w:sz w:val="22"/>
          <w:lang w:val="en-US"/>
        </w:rPr>
        <w:br/>
        <w:t xml:space="preserve"> You must be 18 or older to take part in this study.</w:t>
      </w:r>
      <w:r w:rsidRPr="006E7714">
        <w:rPr>
          <w:rFonts w:ascii="Arial" w:eastAsia="Times New Roman" w:hAnsi="Arial" w:cs="Times New Roman"/>
          <w:sz w:val="22"/>
          <w:lang w:val="en-US"/>
        </w:rPr>
        <w:br/>
        <w:t xml:space="preserve"> You will be asked to fill a questionnaire about your emotional state at the start of the survey and after completing two tasks. The first task is to listen to an audio file containing an annoying noise. The second task is to watch a five minutes long video featuring a green space. All of this should take about 15 minutes.</w:t>
      </w:r>
      <w:r w:rsidRPr="006E7714">
        <w:rPr>
          <w:rFonts w:ascii="Arial" w:eastAsia="Times New Roman" w:hAnsi="Arial" w:cs="Times New Roman"/>
          <w:sz w:val="22"/>
          <w:lang w:val="en-US"/>
        </w:rPr>
        <w:br/>
        <w:t xml:space="preserve"> </w:t>
      </w:r>
      <w:r w:rsidRPr="006E7714">
        <w:rPr>
          <w:rFonts w:ascii="Arial" w:eastAsia="Times New Roman" w:hAnsi="Arial" w:cs="Times New Roman"/>
          <w:sz w:val="22"/>
          <w:lang w:val="en-US"/>
        </w:rPr>
        <w:br/>
        <w:t xml:space="preserve"> </w:t>
      </w:r>
      <w:r w:rsidRPr="006E7714">
        <w:rPr>
          <w:rFonts w:ascii="Arial" w:eastAsia="Times New Roman" w:hAnsi="Arial" w:cs="Times New Roman"/>
          <w:b/>
          <w:sz w:val="22"/>
          <w:lang w:val="en-US"/>
        </w:rPr>
        <w:t xml:space="preserve">Is this anonymous? </w:t>
      </w:r>
      <w:r w:rsidRPr="006E7714">
        <w:rPr>
          <w:rFonts w:ascii="Arial" w:eastAsia="Times New Roman" w:hAnsi="Arial" w:cs="Times New Roman"/>
          <w:sz w:val="22"/>
          <w:lang w:val="en-US"/>
        </w:rPr>
        <w:br/>
        <w:t xml:space="preserve"> Yes! The survey is designed to be completely anonymous, but we will record your IP address. We will use this to check that only one response is submitted by each participant.  </w:t>
      </w:r>
      <w:r w:rsidRPr="006E7714">
        <w:rPr>
          <w:rFonts w:ascii="Arial" w:eastAsia="Times New Roman" w:hAnsi="Arial" w:cs="Times New Roman"/>
          <w:sz w:val="22"/>
          <w:lang w:val="en-US"/>
        </w:rPr>
        <w:br/>
        <w:t>The only information about yourself that we will ask will be demographics (age, ethnicity and gender) and a few questions about your relationship with nature.</w:t>
      </w:r>
      <w:r w:rsidRPr="006E7714">
        <w:rPr>
          <w:rFonts w:ascii="Arial" w:eastAsia="Times New Roman" w:hAnsi="Arial" w:cs="Times New Roman"/>
          <w:sz w:val="22"/>
          <w:lang w:val="en-US"/>
        </w:rPr>
        <w:br/>
        <w:t xml:space="preserve"> </w:t>
      </w:r>
      <w:r w:rsidRPr="006E7714">
        <w:rPr>
          <w:rFonts w:ascii="Arial" w:eastAsia="Times New Roman" w:hAnsi="Arial" w:cs="Times New Roman"/>
          <w:sz w:val="22"/>
          <w:lang w:val="en-US"/>
        </w:rPr>
        <w:br/>
        <w:t xml:space="preserve"> This data will be only accessible to the research team. Later on, the anonymous data will be made available to other researchers via the UK Data Archive repository. We will delete the IP addresses from the data before this stage.</w:t>
      </w:r>
      <w:r w:rsidRPr="006E7714">
        <w:rPr>
          <w:rFonts w:ascii="Arial" w:eastAsia="Times New Roman" w:hAnsi="Arial" w:cs="Times New Roman"/>
          <w:sz w:val="22"/>
          <w:lang w:val="en-US"/>
        </w:rPr>
        <w:br/>
        <w:t xml:space="preserve"> </w:t>
      </w:r>
      <w:r w:rsidRPr="006E7714">
        <w:rPr>
          <w:rFonts w:ascii="Arial" w:eastAsia="Times New Roman" w:hAnsi="Arial" w:cs="Times New Roman"/>
          <w:sz w:val="22"/>
          <w:lang w:val="en-US"/>
        </w:rPr>
        <w:br/>
        <w:t xml:space="preserve"> </w:t>
      </w:r>
      <w:r w:rsidRPr="006E7714">
        <w:rPr>
          <w:rFonts w:ascii="Arial" w:eastAsia="Times New Roman" w:hAnsi="Arial" w:cs="Times New Roman"/>
          <w:b/>
          <w:sz w:val="22"/>
          <w:lang w:val="en-US"/>
        </w:rPr>
        <w:t>Ethics and Data Protection</w:t>
      </w:r>
      <w:r w:rsidRPr="006E7714">
        <w:rPr>
          <w:rFonts w:ascii="Arial" w:eastAsia="Times New Roman" w:hAnsi="Arial" w:cs="Times New Roman"/>
          <w:sz w:val="22"/>
          <w:lang w:val="en-US"/>
        </w:rPr>
        <w:br/>
        <w:t xml:space="preserve"> This study has been approved by the internal ethics committee of the Department of Landscape Architecture.</w:t>
      </w:r>
      <w:r w:rsidRPr="006E7714">
        <w:rPr>
          <w:rFonts w:ascii="Arial" w:eastAsia="Times New Roman" w:hAnsi="Arial" w:cs="Times New Roman"/>
          <w:sz w:val="22"/>
          <w:lang w:val="en-US"/>
        </w:rPr>
        <w:br/>
        <w:t xml:space="preserve"> </w:t>
      </w:r>
      <w:r w:rsidRPr="006E7714">
        <w:rPr>
          <w:rFonts w:ascii="Arial" w:eastAsia="Times New Roman" w:hAnsi="Arial" w:cs="Times New Roman"/>
          <w:sz w:val="22"/>
          <w:lang w:val="en-US"/>
        </w:rPr>
        <w:br/>
        <w:t xml:space="preserve"> According to data protection legislation, we are required to inform you that the legal basis we are </w:t>
      </w:r>
      <w:r w:rsidRPr="006E7714">
        <w:rPr>
          <w:rFonts w:ascii="Arial" w:eastAsia="Times New Roman" w:hAnsi="Arial" w:cs="Times New Roman"/>
          <w:sz w:val="22"/>
          <w:lang w:val="en-US"/>
        </w:rPr>
        <w:lastRenderedPageBreak/>
        <w:t xml:space="preserve">applying to process your personal data is that ‘processing is necessary for the performance of a task carried out in the public interest’ (Article 6(1)(e)). Further information can be found in the University’s Privacy Notice </w:t>
      </w:r>
      <w:hyperlink>
        <w:r w:rsidRPr="006E7714">
          <w:rPr>
            <w:rFonts w:ascii="Arial" w:eastAsia="Times New Roman" w:hAnsi="Arial" w:cs="Times New Roman"/>
            <w:color w:val="007AC0"/>
            <w:sz w:val="22"/>
            <w:u w:val="single"/>
            <w:lang w:val="en-US"/>
          </w:rPr>
          <w:t>here</w:t>
        </w:r>
      </w:hyperlink>
      <w:r w:rsidRPr="006E7714">
        <w:rPr>
          <w:rFonts w:ascii="Arial" w:eastAsia="Times New Roman" w:hAnsi="Arial" w:cs="Times New Roman"/>
          <w:sz w:val="22"/>
          <w:lang w:val="en-US"/>
        </w:rPr>
        <w:br/>
        <w:t xml:space="preserve"> </w:t>
      </w:r>
      <w:r w:rsidRPr="006E7714">
        <w:rPr>
          <w:rFonts w:ascii="Arial" w:eastAsia="Times New Roman" w:hAnsi="Arial" w:cs="Times New Roman"/>
          <w:sz w:val="22"/>
          <w:lang w:val="en-US"/>
        </w:rPr>
        <w:br/>
      </w:r>
      <w:r w:rsidRPr="006E7714">
        <w:rPr>
          <w:rFonts w:ascii="Arial" w:eastAsia="Times New Roman" w:hAnsi="Arial" w:cs="Times New Roman"/>
          <w:b/>
          <w:sz w:val="22"/>
          <w:lang w:val="en-US"/>
        </w:rPr>
        <w:t>Contacts</w:t>
      </w:r>
      <w:r w:rsidRPr="006E7714">
        <w:rPr>
          <w:rFonts w:ascii="Arial" w:eastAsia="Times New Roman" w:hAnsi="Arial" w:cs="Times New Roman"/>
          <w:sz w:val="22"/>
          <w:lang w:val="en-US"/>
        </w:rPr>
        <w:br/>
        <w:t>If you have any questions, concerns or complaints about this study you can contact the PhD student (</w:t>
      </w:r>
      <w:hyperlink>
        <w:r w:rsidRPr="006E7714">
          <w:rPr>
            <w:rFonts w:ascii="Arial" w:eastAsia="Times New Roman" w:hAnsi="Arial" w:cs="Times New Roman"/>
            <w:color w:val="007AC0"/>
            <w:sz w:val="22"/>
            <w:u w:val="single"/>
            <w:lang w:val="en-US"/>
          </w:rPr>
          <w:t>sfarris1@sheffield.ac.uk</w:t>
        </w:r>
      </w:hyperlink>
      <w:r w:rsidRPr="006E7714">
        <w:rPr>
          <w:rFonts w:ascii="Arial" w:eastAsia="Times New Roman" w:hAnsi="Arial" w:cs="Times New Roman"/>
          <w:sz w:val="22"/>
          <w:lang w:val="en-US"/>
        </w:rPr>
        <w:t>) or their supervisor (</w:t>
      </w:r>
      <w:hyperlink>
        <w:r w:rsidRPr="006E7714">
          <w:rPr>
            <w:rFonts w:ascii="Arial" w:eastAsia="Times New Roman" w:hAnsi="Arial" w:cs="Times New Roman"/>
            <w:color w:val="007AC0"/>
            <w:sz w:val="22"/>
            <w:u w:val="single"/>
            <w:lang w:val="en-US"/>
          </w:rPr>
          <w:t>r.w.cameron@sheffield.ac.uk</w:t>
        </w:r>
      </w:hyperlink>
      <w:r w:rsidRPr="006E7714">
        <w:rPr>
          <w:rFonts w:ascii="Arial" w:eastAsia="Times New Roman" w:hAnsi="Arial" w:cs="Times New Roman"/>
          <w:sz w:val="22"/>
          <w:lang w:val="en-US"/>
        </w:rPr>
        <w:t xml:space="preserve">). If the complaint relates to how your personal data has been handled, you can find information about how to raise a complaint in the University’s Privacy Notice </w:t>
      </w:r>
      <w:hyperlink>
        <w:r w:rsidRPr="006E7714">
          <w:rPr>
            <w:rFonts w:ascii="Arial" w:eastAsia="Times New Roman" w:hAnsi="Arial" w:cs="Times New Roman"/>
            <w:color w:val="007AC0"/>
            <w:sz w:val="22"/>
            <w:u w:val="single"/>
            <w:lang w:val="en-US"/>
          </w:rPr>
          <w:t>here</w:t>
        </w:r>
      </w:hyperlink>
    </w:p>
    <w:p w14:paraId="5D86E575" w14:textId="77777777" w:rsidR="006E7714" w:rsidRPr="006E7714" w:rsidRDefault="006E7714" w:rsidP="006E7714">
      <w:pPr>
        <w:spacing w:after="0" w:line="276" w:lineRule="auto"/>
        <w:jc w:val="left"/>
        <w:rPr>
          <w:rFonts w:ascii="Arial" w:eastAsia="Times New Roman" w:hAnsi="Arial" w:cs="Times New Roman"/>
          <w:sz w:val="22"/>
          <w:lang w:val="en-US"/>
        </w:rPr>
      </w:pPr>
    </w:p>
    <w:p w14:paraId="1B1DA8A0" w14:textId="77777777" w:rsidR="006E7714" w:rsidRPr="006E7714" w:rsidRDefault="006E7714" w:rsidP="006E7714">
      <w:pPr>
        <w:spacing w:before="120" w:after="0" w:line="240" w:lineRule="auto"/>
        <w:jc w:val="left"/>
        <w:rPr>
          <w:rFonts w:ascii="Arial" w:eastAsia="Times New Roman" w:hAnsi="Arial" w:cs="Times New Roman"/>
          <w:b/>
          <w:color w:val="CCCCCC"/>
          <w:sz w:val="22"/>
          <w:lang w:val="en-US"/>
        </w:rPr>
      </w:pPr>
      <w:r w:rsidRPr="006E7714">
        <w:rPr>
          <w:rFonts w:ascii="Arial" w:eastAsia="Times New Roman" w:hAnsi="Arial" w:cs="Times New Roman"/>
          <w:b/>
          <w:color w:val="CCCCCC"/>
          <w:sz w:val="22"/>
          <w:lang w:val="en-US"/>
        </w:rPr>
        <w:t>End of Block: Participant Information</w:t>
      </w:r>
    </w:p>
    <w:p w14:paraId="5BDAC3E9" w14:textId="77777777" w:rsidR="006E7714" w:rsidRPr="006E7714" w:rsidRDefault="006E7714" w:rsidP="006E7714">
      <w:pPr>
        <w:pBdr>
          <w:bottom w:val="single" w:sz="8" w:space="0" w:color="CCCCCC"/>
        </w:pBdr>
        <w:spacing w:after="0" w:line="120" w:lineRule="auto"/>
        <w:jc w:val="center"/>
        <w:rPr>
          <w:rFonts w:ascii="Arial" w:eastAsia="Times New Roman" w:hAnsi="Arial" w:cs="Times New Roman"/>
          <w:b/>
          <w:color w:val="CCCCCC"/>
          <w:sz w:val="22"/>
          <w:lang w:val="en-US"/>
        </w:rPr>
      </w:pPr>
    </w:p>
    <w:p w14:paraId="729AADEA" w14:textId="77777777" w:rsidR="006E7714" w:rsidRPr="006E7714" w:rsidRDefault="006E7714" w:rsidP="006E7714">
      <w:pPr>
        <w:spacing w:before="120" w:after="120" w:line="240" w:lineRule="auto"/>
        <w:jc w:val="left"/>
        <w:rPr>
          <w:rFonts w:ascii="Arial" w:eastAsia="Times New Roman" w:hAnsi="Arial" w:cs="Times New Roman"/>
          <w:b/>
          <w:color w:val="CCCCCC"/>
          <w:sz w:val="22"/>
          <w:lang w:val="en-US"/>
        </w:rPr>
      </w:pPr>
      <w:r w:rsidRPr="006E7714">
        <w:rPr>
          <w:rFonts w:ascii="Arial" w:eastAsia="Times New Roman" w:hAnsi="Arial" w:cs="Times New Roman"/>
          <w:b/>
          <w:color w:val="CCCCCC"/>
          <w:sz w:val="22"/>
          <w:lang w:val="en-US"/>
        </w:rPr>
        <w:t>Start of Block: Consent</w:t>
      </w:r>
    </w:p>
    <w:p w14:paraId="330ED5E8" w14:textId="77777777" w:rsidR="006E7714" w:rsidRPr="006E7714" w:rsidRDefault="006E7714" w:rsidP="006E7714">
      <w:pPr>
        <w:spacing w:after="0" w:line="276" w:lineRule="auto"/>
        <w:jc w:val="left"/>
        <w:rPr>
          <w:rFonts w:ascii="Arial" w:eastAsia="Times New Roman" w:hAnsi="Arial" w:cs="Times New Roman"/>
          <w:sz w:val="22"/>
          <w:lang w:val="en-US"/>
        </w:rPr>
      </w:pPr>
    </w:p>
    <w:p w14:paraId="5B30EE56" w14:textId="77777777" w:rsidR="006E7714" w:rsidRPr="006E7714" w:rsidRDefault="006E7714" w:rsidP="006E7714">
      <w:pPr>
        <w:keepNext/>
        <w:spacing w:after="0" w:line="276" w:lineRule="auto"/>
        <w:jc w:val="left"/>
        <w:rPr>
          <w:rFonts w:ascii="Arial" w:eastAsia="Times New Roman" w:hAnsi="Arial" w:cs="Times New Roman"/>
          <w:sz w:val="22"/>
          <w:lang w:val="en-US"/>
        </w:rPr>
      </w:pPr>
      <w:r w:rsidRPr="006E7714">
        <w:rPr>
          <w:rFonts w:ascii="Arial" w:eastAsia="Times New Roman" w:hAnsi="Arial" w:cs="Times New Roman"/>
          <w:sz w:val="22"/>
          <w:lang w:val="en-US"/>
        </w:rPr>
        <w:t xml:space="preserve">con </w:t>
      </w:r>
      <w:r w:rsidRPr="006E7714">
        <w:rPr>
          <w:rFonts w:ascii="Arial" w:eastAsia="Times New Roman" w:hAnsi="Arial" w:cs="Times New Roman"/>
          <w:b/>
          <w:sz w:val="22"/>
          <w:lang w:val="en-US"/>
        </w:rPr>
        <w:t>Before the survey starts, please take a moment to read and fill this consent form.</w:t>
      </w:r>
    </w:p>
    <w:p w14:paraId="7F3436E6" w14:textId="77777777" w:rsidR="006E7714" w:rsidRPr="006E7714" w:rsidRDefault="006E7714" w:rsidP="006E7714">
      <w:pPr>
        <w:spacing w:after="0" w:line="276" w:lineRule="auto"/>
        <w:jc w:val="left"/>
        <w:rPr>
          <w:rFonts w:ascii="Arial" w:eastAsia="Times New Roman" w:hAnsi="Arial" w:cs="Times New Roman"/>
          <w:sz w:val="22"/>
          <w:lang w:val="en-US"/>
        </w:rPr>
      </w:pPr>
    </w:p>
    <w:p w14:paraId="112B17B5" w14:textId="77777777" w:rsidR="006E7714" w:rsidRPr="006E7714" w:rsidRDefault="006E7714" w:rsidP="006E7714">
      <w:pPr>
        <w:pBdr>
          <w:top w:val="dashed" w:sz="8" w:space="0" w:color="CCCCCC"/>
        </w:pBdr>
        <w:spacing w:before="120" w:after="120" w:line="120" w:lineRule="auto"/>
        <w:jc w:val="left"/>
        <w:rPr>
          <w:rFonts w:ascii="Arial" w:eastAsia="Times New Roman" w:hAnsi="Arial" w:cs="Times New Roman"/>
          <w:sz w:val="22"/>
          <w:lang w:val="en-US"/>
        </w:rPr>
      </w:pPr>
    </w:p>
    <w:p w14:paraId="3D3941DD" w14:textId="77777777" w:rsidR="006E7714" w:rsidRPr="006E7714" w:rsidRDefault="006E7714" w:rsidP="006E7714">
      <w:pPr>
        <w:spacing w:after="0" w:line="276" w:lineRule="auto"/>
        <w:jc w:val="left"/>
        <w:rPr>
          <w:rFonts w:ascii="Arial" w:eastAsia="Times New Roman" w:hAnsi="Arial" w:cs="Times New Roman"/>
          <w:sz w:val="22"/>
          <w:lang w:val="en-US"/>
        </w:rPr>
      </w:pPr>
    </w:p>
    <w:p w14:paraId="58A07D39" w14:textId="77777777" w:rsidR="006E7714" w:rsidRPr="006E7714" w:rsidRDefault="006E7714" w:rsidP="006E7714">
      <w:pPr>
        <w:keepNext/>
        <w:spacing w:after="0" w:line="276" w:lineRule="auto"/>
        <w:jc w:val="left"/>
        <w:rPr>
          <w:rFonts w:ascii="Arial" w:eastAsia="Times New Roman" w:hAnsi="Arial" w:cs="Times New Roman"/>
          <w:sz w:val="22"/>
          <w:lang w:val="en-US"/>
        </w:rPr>
      </w:pPr>
      <w:r w:rsidRPr="006E7714">
        <w:rPr>
          <w:rFonts w:ascii="Arial" w:eastAsia="Times New Roman" w:hAnsi="Arial" w:cs="Times New Roman"/>
          <w:sz w:val="22"/>
          <w:lang w:val="en-US"/>
        </w:rPr>
        <w:t>I have read and understood the project information.</w:t>
      </w:r>
    </w:p>
    <w:p w14:paraId="1FF0C78E" w14:textId="77777777" w:rsidR="006E7714" w:rsidRPr="006E7714" w:rsidRDefault="006E7714" w:rsidP="006E7714">
      <w:pPr>
        <w:keepNext/>
        <w:numPr>
          <w:ilvl w:val="0"/>
          <w:numId w:val="32"/>
        </w:numPr>
        <w:spacing w:after="0" w:line="240" w:lineRule="auto"/>
        <w:jc w:val="left"/>
        <w:rPr>
          <w:rFonts w:ascii="Arial" w:eastAsia="Times New Roman" w:hAnsi="Arial" w:cs="Times New Roman"/>
          <w:sz w:val="22"/>
          <w:lang w:val="en-US"/>
        </w:rPr>
      </w:pPr>
      <w:proofErr w:type="gramStart"/>
      <w:r w:rsidRPr="006E7714">
        <w:rPr>
          <w:rFonts w:ascii="Arial" w:eastAsia="Times New Roman" w:hAnsi="Arial" w:cs="Times New Roman"/>
          <w:sz w:val="22"/>
          <w:lang w:val="en-US"/>
        </w:rPr>
        <w:t>Yes  (</w:t>
      </w:r>
      <w:proofErr w:type="gramEnd"/>
      <w:r w:rsidRPr="006E7714">
        <w:rPr>
          <w:rFonts w:ascii="Arial" w:eastAsia="Times New Roman" w:hAnsi="Arial" w:cs="Times New Roman"/>
          <w:sz w:val="22"/>
          <w:lang w:val="en-US"/>
        </w:rPr>
        <w:t xml:space="preserve">1) </w:t>
      </w:r>
    </w:p>
    <w:p w14:paraId="73244FE0" w14:textId="77777777" w:rsidR="006E7714" w:rsidRPr="006E7714" w:rsidRDefault="006E7714" w:rsidP="006E7714">
      <w:pPr>
        <w:spacing w:after="0" w:line="276" w:lineRule="auto"/>
        <w:jc w:val="left"/>
        <w:rPr>
          <w:rFonts w:ascii="Arial" w:eastAsia="Times New Roman" w:hAnsi="Arial" w:cs="Times New Roman"/>
          <w:sz w:val="22"/>
          <w:lang w:val="en-US"/>
        </w:rPr>
      </w:pPr>
    </w:p>
    <w:p w14:paraId="5319348B" w14:textId="77777777" w:rsidR="006E7714" w:rsidRPr="006E7714" w:rsidRDefault="006E7714" w:rsidP="006E7714">
      <w:pPr>
        <w:pBdr>
          <w:top w:val="dashed" w:sz="8" w:space="0" w:color="CCCCCC"/>
        </w:pBdr>
        <w:spacing w:before="120" w:after="120" w:line="120" w:lineRule="auto"/>
        <w:jc w:val="left"/>
        <w:rPr>
          <w:rFonts w:ascii="Arial" w:eastAsia="Times New Roman" w:hAnsi="Arial" w:cs="Times New Roman"/>
          <w:sz w:val="22"/>
          <w:lang w:val="en-US"/>
        </w:rPr>
      </w:pPr>
    </w:p>
    <w:p w14:paraId="09018F31" w14:textId="77777777" w:rsidR="006E7714" w:rsidRPr="006E7714" w:rsidRDefault="006E7714" w:rsidP="006E7714">
      <w:pPr>
        <w:spacing w:after="0" w:line="276" w:lineRule="auto"/>
        <w:jc w:val="left"/>
        <w:rPr>
          <w:rFonts w:ascii="Arial" w:eastAsia="Times New Roman" w:hAnsi="Arial" w:cs="Times New Roman"/>
          <w:sz w:val="22"/>
          <w:lang w:val="en-US"/>
        </w:rPr>
      </w:pPr>
    </w:p>
    <w:p w14:paraId="1BDF0459" w14:textId="77777777" w:rsidR="006E7714" w:rsidRPr="006E7714" w:rsidRDefault="006E7714" w:rsidP="006E7714">
      <w:pPr>
        <w:keepNext/>
        <w:spacing w:after="0" w:line="276" w:lineRule="auto"/>
        <w:jc w:val="left"/>
        <w:rPr>
          <w:rFonts w:ascii="Arial" w:eastAsia="Times New Roman" w:hAnsi="Arial" w:cs="Times New Roman"/>
          <w:sz w:val="22"/>
          <w:lang w:val="en-US"/>
        </w:rPr>
      </w:pPr>
      <w:r w:rsidRPr="006E7714">
        <w:rPr>
          <w:rFonts w:ascii="Arial" w:eastAsia="Times New Roman" w:hAnsi="Arial" w:cs="Times New Roman"/>
          <w:sz w:val="22"/>
          <w:lang w:val="en-US"/>
        </w:rPr>
        <w:t>I have been given a contact where I have the opportunity to ask questions about the project.</w:t>
      </w:r>
    </w:p>
    <w:p w14:paraId="55B690FD" w14:textId="77777777" w:rsidR="006E7714" w:rsidRPr="006E7714" w:rsidRDefault="006E7714" w:rsidP="006E7714">
      <w:pPr>
        <w:keepNext/>
        <w:numPr>
          <w:ilvl w:val="0"/>
          <w:numId w:val="32"/>
        </w:numPr>
        <w:spacing w:after="0" w:line="240" w:lineRule="auto"/>
        <w:jc w:val="left"/>
        <w:rPr>
          <w:rFonts w:ascii="Arial" w:eastAsia="Times New Roman" w:hAnsi="Arial" w:cs="Times New Roman"/>
          <w:sz w:val="22"/>
          <w:lang w:val="en-US"/>
        </w:rPr>
      </w:pPr>
      <w:proofErr w:type="gramStart"/>
      <w:r w:rsidRPr="006E7714">
        <w:rPr>
          <w:rFonts w:ascii="Arial" w:eastAsia="Times New Roman" w:hAnsi="Arial" w:cs="Times New Roman"/>
          <w:sz w:val="22"/>
          <w:lang w:val="en-US"/>
        </w:rPr>
        <w:t>Yes  (</w:t>
      </w:r>
      <w:proofErr w:type="gramEnd"/>
      <w:r w:rsidRPr="006E7714">
        <w:rPr>
          <w:rFonts w:ascii="Arial" w:eastAsia="Times New Roman" w:hAnsi="Arial" w:cs="Times New Roman"/>
          <w:sz w:val="22"/>
          <w:lang w:val="en-US"/>
        </w:rPr>
        <w:t xml:space="preserve">1) </w:t>
      </w:r>
    </w:p>
    <w:p w14:paraId="57E51EC3" w14:textId="77777777" w:rsidR="006E7714" w:rsidRPr="006E7714" w:rsidRDefault="006E7714" w:rsidP="006E7714">
      <w:pPr>
        <w:spacing w:after="0" w:line="276" w:lineRule="auto"/>
        <w:jc w:val="left"/>
        <w:rPr>
          <w:rFonts w:ascii="Arial" w:eastAsia="Times New Roman" w:hAnsi="Arial" w:cs="Times New Roman"/>
          <w:sz w:val="22"/>
          <w:lang w:val="en-US"/>
        </w:rPr>
      </w:pPr>
    </w:p>
    <w:p w14:paraId="0BDA0B6A" w14:textId="77777777" w:rsidR="006E7714" w:rsidRPr="006E7714" w:rsidRDefault="006E7714" w:rsidP="006E7714">
      <w:pPr>
        <w:pBdr>
          <w:top w:val="dashed" w:sz="8" w:space="0" w:color="CCCCCC"/>
        </w:pBdr>
        <w:spacing w:before="120" w:after="120" w:line="120" w:lineRule="auto"/>
        <w:jc w:val="left"/>
        <w:rPr>
          <w:rFonts w:ascii="Arial" w:eastAsia="Times New Roman" w:hAnsi="Arial" w:cs="Times New Roman"/>
          <w:sz w:val="22"/>
          <w:lang w:val="en-US"/>
        </w:rPr>
      </w:pPr>
    </w:p>
    <w:p w14:paraId="46F49C8D" w14:textId="77777777" w:rsidR="006E7714" w:rsidRPr="006E7714" w:rsidRDefault="006E7714" w:rsidP="006E7714">
      <w:pPr>
        <w:spacing w:after="0" w:line="276" w:lineRule="auto"/>
        <w:jc w:val="left"/>
        <w:rPr>
          <w:rFonts w:ascii="Arial" w:eastAsia="Times New Roman" w:hAnsi="Arial" w:cs="Times New Roman"/>
          <w:sz w:val="22"/>
          <w:lang w:val="en-US"/>
        </w:rPr>
      </w:pPr>
    </w:p>
    <w:p w14:paraId="3126AC28" w14:textId="77777777" w:rsidR="006E7714" w:rsidRPr="006E7714" w:rsidRDefault="006E7714" w:rsidP="006E7714">
      <w:pPr>
        <w:keepNext/>
        <w:spacing w:after="0" w:line="276" w:lineRule="auto"/>
        <w:jc w:val="left"/>
        <w:rPr>
          <w:rFonts w:ascii="Arial" w:eastAsia="Times New Roman" w:hAnsi="Arial" w:cs="Times New Roman"/>
          <w:sz w:val="22"/>
          <w:lang w:val="en-US"/>
        </w:rPr>
      </w:pPr>
      <w:r w:rsidRPr="006E7714">
        <w:rPr>
          <w:rFonts w:ascii="Arial" w:eastAsia="Times New Roman" w:hAnsi="Arial" w:cs="Times New Roman"/>
          <w:sz w:val="22"/>
          <w:lang w:val="en-US"/>
        </w:rPr>
        <w:t>I understand that my taking part is voluntary and that I can withdraw from the study any time before I submit the questionnaire. I do not have to give any reasons for why I no longer want to take part and there will be no adverse consequences if I choose to withdraw.</w:t>
      </w:r>
    </w:p>
    <w:p w14:paraId="33A759B1" w14:textId="77777777" w:rsidR="006E7714" w:rsidRPr="006E7714" w:rsidRDefault="006E7714" w:rsidP="006E7714">
      <w:pPr>
        <w:keepNext/>
        <w:numPr>
          <w:ilvl w:val="0"/>
          <w:numId w:val="32"/>
        </w:numPr>
        <w:spacing w:after="0" w:line="240" w:lineRule="auto"/>
        <w:jc w:val="left"/>
        <w:rPr>
          <w:rFonts w:ascii="Arial" w:eastAsia="Times New Roman" w:hAnsi="Arial" w:cs="Times New Roman"/>
          <w:sz w:val="22"/>
          <w:lang w:val="en-US"/>
        </w:rPr>
      </w:pPr>
      <w:proofErr w:type="gramStart"/>
      <w:r w:rsidRPr="006E7714">
        <w:rPr>
          <w:rFonts w:ascii="Arial" w:eastAsia="Times New Roman" w:hAnsi="Arial" w:cs="Times New Roman"/>
          <w:sz w:val="22"/>
          <w:lang w:val="en-US"/>
        </w:rPr>
        <w:t>Yes  (</w:t>
      </w:r>
      <w:proofErr w:type="gramEnd"/>
      <w:r w:rsidRPr="006E7714">
        <w:rPr>
          <w:rFonts w:ascii="Arial" w:eastAsia="Times New Roman" w:hAnsi="Arial" w:cs="Times New Roman"/>
          <w:sz w:val="22"/>
          <w:lang w:val="en-US"/>
        </w:rPr>
        <w:t xml:space="preserve">1) </w:t>
      </w:r>
    </w:p>
    <w:p w14:paraId="3628A901" w14:textId="77777777" w:rsidR="006E7714" w:rsidRPr="006E7714" w:rsidRDefault="006E7714" w:rsidP="006E7714">
      <w:pPr>
        <w:spacing w:after="0" w:line="276" w:lineRule="auto"/>
        <w:jc w:val="left"/>
        <w:rPr>
          <w:rFonts w:ascii="Arial" w:eastAsia="Times New Roman" w:hAnsi="Arial" w:cs="Times New Roman"/>
          <w:sz w:val="22"/>
          <w:lang w:val="en-US"/>
        </w:rPr>
      </w:pPr>
    </w:p>
    <w:p w14:paraId="50E84CB3" w14:textId="77777777" w:rsidR="006E7714" w:rsidRPr="006E7714" w:rsidRDefault="006E7714" w:rsidP="006E7714">
      <w:pPr>
        <w:pBdr>
          <w:top w:val="dashed" w:sz="8" w:space="0" w:color="CCCCCC"/>
        </w:pBdr>
        <w:spacing w:before="120" w:after="120" w:line="120" w:lineRule="auto"/>
        <w:jc w:val="left"/>
        <w:rPr>
          <w:rFonts w:ascii="Arial" w:eastAsia="Times New Roman" w:hAnsi="Arial" w:cs="Times New Roman"/>
          <w:sz w:val="22"/>
          <w:lang w:val="en-US"/>
        </w:rPr>
      </w:pPr>
    </w:p>
    <w:p w14:paraId="7AD357D9" w14:textId="77777777" w:rsidR="006E7714" w:rsidRPr="006E7714" w:rsidRDefault="006E7714" w:rsidP="006E7714">
      <w:pPr>
        <w:spacing w:after="0" w:line="276" w:lineRule="auto"/>
        <w:jc w:val="left"/>
        <w:rPr>
          <w:rFonts w:ascii="Arial" w:eastAsia="Times New Roman" w:hAnsi="Arial" w:cs="Times New Roman"/>
          <w:sz w:val="22"/>
          <w:lang w:val="en-US"/>
        </w:rPr>
      </w:pPr>
    </w:p>
    <w:p w14:paraId="18DE2475" w14:textId="77777777" w:rsidR="006E7714" w:rsidRPr="006E7714" w:rsidRDefault="006E7714" w:rsidP="006E7714">
      <w:pPr>
        <w:keepNext/>
        <w:spacing w:after="0" w:line="276" w:lineRule="auto"/>
        <w:jc w:val="left"/>
        <w:rPr>
          <w:rFonts w:ascii="Arial" w:eastAsia="Times New Roman" w:hAnsi="Arial" w:cs="Times New Roman"/>
          <w:sz w:val="22"/>
          <w:lang w:val="en-US"/>
        </w:rPr>
      </w:pPr>
      <w:r w:rsidRPr="006E7714">
        <w:rPr>
          <w:rFonts w:ascii="Arial" w:eastAsia="Times New Roman" w:hAnsi="Arial" w:cs="Times New Roman"/>
          <w:sz w:val="22"/>
          <w:lang w:val="en-US"/>
        </w:rPr>
        <w:t>I understand that my personal details will not be collected as part of the survey.</w:t>
      </w:r>
    </w:p>
    <w:p w14:paraId="1D296377" w14:textId="77777777" w:rsidR="006E7714" w:rsidRPr="006E7714" w:rsidRDefault="006E7714" w:rsidP="006E7714">
      <w:pPr>
        <w:keepNext/>
        <w:numPr>
          <w:ilvl w:val="0"/>
          <w:numId w:val="32"/>
        </w:numPr>
        <w:spacing w:after="0" w:line="240" w:lineRule="auto"/>
        <w:jc w:val="left"/>
        <w:rPr>
          <w:rFonts w:ascii="Arial" w:eastAsia="Times New Roman" w:hAnsi="Arial" w:cs="Times New Roman"/>
          <w:sz w:val="22"/>
          <w:lang w:val="en-US"/>
        </w:rPr>
      </w:pPr>
      <w:proofErr w:type="gramStart"/>
      <w:r w:rsidRPr="006E7714">
        <w:rPr>
          <w:rFonts w:ascii="Arial" w:eastAsia="Times New Roman" w:hAnsi="Arial" w:cs="Times New Roman"/>
          <w:sz w:val="22"/>
          <w:lang w:val="en-US"/>
        </w:rPr>
        <w:t>Yes  (</w:t>
      </w:r>
      <w:proofErr w:type="gramEnd"/>
      <w:r w:rsidRPr="006E7714">
        <w:rPr>
          <w:rFonts w:ascii="Arial" w:eastAsia="Times New Roman" w:hAnsi="Arial" w:cs="Times New Roman"/>
          <w:sz w:val="22"/>
          <w:lang w:val="en-US"/>
        </w:rPr>
        <w:t xml:space="preserve">1) </w:t>
      </w:r>
    </w:p>
    <w:p w14:paraId="57D9803B" w14:textId="77777777" w:rsidR="006E7714" w:rsidRPr="006E7714" w:rsidRDefault="006E7714" w:rsidP="006E7714">
      <w:pPr>
        <w:spacing w:after="0" w:line="276" w:lineRule="auto"/>
        <w:jc w:val="left"/>
        <w:rPr>
          <w:rFonts w:ascii="Arial" w:eastAsia="Times New Roman" w:hAnsi="Arial" w:cs="Times New Roman"/>
          <w:sz w:val="22"/>
          <w:lang w:val="en-US"/>
        </w:rPr>
      </w:pPr>
    </w:p>
    <w:p w14:paraId="4E193385" w14:textId="77777777" w:rsidR="006E7714" w:rsidRPr="006E7714" w:rsidRDefault="006E7714" w:rsidP="006E7714">
      <w:pPr>
        <w:pBdr>
          <w:top w:val="dashed" w:sz="8" w:space="0" w:color="CCCCCC"/>
        </w:pBdr>
        <w:spacing w:before="120" w:after="120" w:line="120" w:lineRule="auto"/>
        <w:jc w:val="left"/>
        <w:rPr>
          <w:rFonts w:ascii="Arial" w:eastAsia="Times New Roman" w:hAnsi="Arial" w:cs="Times New Roman"/>
          <w:sz w:val="22"/>
          <w:lang w:val="en-US"/>
        </w:rPr>
      </w:pPr>
    </w:p>
    <w:p w14:paraId="37DA5839" w14:textId="77777777" w:rsidR="006E7714" w:rsidRPr="006E7714" w:rsidRDefault="006E7714" w:rsidP="006E7714">
      <w:pPr>
        <w:spacing w:after="0" w:line="276" w:lineRule="auto"/>
        <w:jc w:val="left"/>
        <w:rPr>
          <w:rFonts w:ascii="Arial" w:eastAsia="Times New Roman" w:hAnsi="Arial" w:cs="Times New Roman"/>
          <w:sz w:val="22"/>
          <w:lang w:val="en-US"/>
        </w:rPr>
      </w:pPr>
    </w:p>
    <w:p w14:paraId="4E77538E" w14:textId="77777777" w:rsidR="006E7714" w:rsidRPr="006E7714" w:rsidRDefault="006E7714" w:rsidP="006E7714">
      <w:pPr>
        <w:keepNext/>
        <w:spacing w:after="0" w:line="276" w:lineRule="auto"/>
        <w:jc w:val="left"/>
        <w:rPr>
          <w:rFonts w:ascii="Arial" w:eastAsia="Times New Roman" w:hAnsi="Arial" w:cs="Times New Roman"/>
          <w:sz w:val="22"/>
          <w:lang w:val="en-US"/>
        </w:rPr>
      </w:pPr>
      <w:r w:rsidRPr="006E7714">
        <w:rPr>
          <w:rFonts w:ascii="Arial" w:eastAsia="Times New Roman" w:hAnsi="Arial" w:cs="Times New Roman"/>
          <w:sz w:val="22"/>
          <w:lang w:val="en-US"/>
        </w:rPr>
        <w:lastRenderedPageBreak/>
        <w:t>I understand and agree that the collected data can be used in reports, research papers, and other research outputs and that the data will be later made available on the UK Data Archive repository</w:t>
      </w:r>
    </w:p>
    <w:p w14:paraId="52CD480D" w14:textId="77777777" w:rsidR="006E7714" w:rsidRPr="006E7714" w:rsidRDefault="006E7714" w:rsidP="006E7714">
      <w:pPr>
        <w:keepNext/>
        <w:numPr>
          <w:ilvl w:val="0"/>
          <w:numId w:val="32"/>
        </w:numPr>
        <w:spacing w:after="0" w:line="240" w:lineRule="auto"/>
        <w:jc w:val="left"/>
        <w:rPr>
          <w:rFonts w:ascii="Arial" w:eastAsia="Times New Roman" w:hAnsi="Arial" w:cs="Times New Roman"/>
          <w:sz w:val="22"/>
          <w:lang w:val="en-US"/>
        </w:rPr>
      </w:pPr>
      <w:proofErr w:type="gramStart"/>
      <w:r w:rsidRPr="006E7714">
        <w:rPr>
          <w:rFonts w:ascii="Arial" w:eastAsia="Times New Roman" w:hAnsi="Arial" w:cs="Times New Roman"/>
          <w:sz w:val="22"/>
          <w:lang w:val="en-US"/>
        </w:rPr>
        <w:t>Yes  (</w:t>
      </w:r>
      <w:proofErr w:type="gramEnd"/>
      <w:r w:rsidRPr="006E7714">
        <w:rPr>
          <w:rFonts w:ascii="Arial" w:eastAsia="Times New Roman" w:hAnsi="Arial" w:cs="Times New Roman"/>
          <w:sz w:val="22"/>
          <w:lang w:val="en-US"/>
        </w:rPr>
        <w:t xml:space="preserve">1) </w:t>
      </w:r>
    </w:p>
    <w:p w14:paraId="2851EFEB" w14:textId="77777777" w:rsidR="006E7714" w:rsidRPr="006E7714" w:rsidRDefault="006E7714" w:rsidP="006E7714">
      <w:pPr>
        <w:spacing w:after="0" w:line="276" w:lineRule="auto"/>
        <w:jc w:val="left"/>
        <w:rPr>
          <w:rFonts w:ascii="Arial" w:eastAsia="Times New Roman" w:hAnsi="Arial" w:cs="Times New Roman"/>
          <w:sz w:val="22"/>
          <w:lang w:val="en-US"/>
        </w:rPr>
      </w:pPr>
    </w:p>
    <w:p w14:paraId="6A6DD200" w14:textId="77777777" w:rsidR="006E7714" w:rsidRPr="006E7714" w:rsidRDefault="006E7714" w:rsidP="006E7714">
      <w:pPr>
        <w:pBdr>
          <w:top w:val="dashed" w:sz="8" w:space="0" w:color="CCCCCC"/>
        </w:pBdr>
        <w:spacing w:before="120" w:after="120" w:line="120" w:lineRule="auto"/>
        <w:jc w:val="left"/>
        <w:rPr>
          <w:rFonts w:ascii="Arial" w:eastAsia="Times New Roman" w:hAnsi="Arial" w:cs="Times New Roman"/>
          <w:sz w:val="22"/>
          <w:lang w:val="en-US"/>
        </w:rPr>
      </w:pPr>
    </w:p>
    <w:p w14:paraId="121E3CB8" w14:textId="77777777" w:rsidR="006E7714" w:rsidRPr="006E7714" w:rsidRDefault="006E7714" w:rsidP="006E7714">
      <w:pPr>
        <w:spacing w:after="0" w:line="276" w:lineRule="auto"/>
        <w:jc w:val="left"/>
        <w:rPr>
          <w:rFonts w:ascii="Arial" w:eastAsia="Times New Roman" w:hAnsi="Arial" w:cs="Times New Roman"/>
          <w:sz w:val="22"/>
          <w:lang w:val="en-US"/>
        </w:rPr>
      </w:pPr>
    </w:p>
    <w:p w14:paraId="2D0C15D8" w14:textId="77777777" w:rsidR="006E7714" w:rsidRPr="006E7714" w:rsidRDefault="006E7714" w:rsidP="006E7714">
      <w:pPr>
        <w:keepNext/>
        <w:spacing w:after="0" w:line="276" w:lineRule="auto"/>
        <w:jc w:val="left"/>
        <w:rPr>
          <w:rFonts w:ascii="Arial" w:eastAsia="Times New Roman" w:hAnsi="Arial" w:cs="Times New Roman"/>
          <w:sz w:val="22"/>
          <w:lang w:val="en-US"/>
        </w:rPr>
      </w:pPr>
      <w:r w:rsidRPr="006E7714">
        <w:rPr>
          <w:rFonts w:ascii="Arial" w:eastAsia="Times New Roman" w:hAnsi="Arial" w:cs="Times New Roman"/>
          <w:sz w:val="22"/>
          <w:lang w:val="en-US"/>
        </w:rPr>
        <w:t>I agree to take part in the project. I understand that taking part in the project will include filling a questionnaire and completing a few tasks (listening to an audio file and watching a video).</w:t>
      </w:r>
    </w:p>
    <w:p w14:paraId="43AEBF62" w14:textId="77777777" w:rsidR="006E7714" w:rsidRPr="006E7714" w:rsidRDefault="006E7714" w:rsidP="006E7714">
      <w:pPr>
        <w:keepNext/>
        <w:numPr>
          <w:ilvl w:val="0"/>
          <w:numId w:val="32"/>
        </w:numPr>
        <w:spacing w:after="0" w:line="240" w:lineRule="auto"/>
        <w:jc w:val="left"/>
        <w:rPr>
          <w:rFonts w:ascii="Arial" w:eastAsia="Times New Roman" w:hAnsi="Arial" w:cs="Times New Roman"/>
          <w:sz w:val="22"/>
          <w:lang w:val="en-US"/>
        </w:rPr>
      </w:pPr>
      <w:r w:rsidRPr="006E7714">
        <w:rPr>
          <w:rFonts w:ascii="Arial" w:eastAsia="Times New Roman" w:hAnsi="Arial" w:cs="Times New Roman"/>
          <w:sz w:val="22"/>
          <w:lang w:val="en-US"/>
        </w:rPr>
        <w:t xml:space="preserve">I </w:t>
      </w:r>
      <w:proofErr w:type="gramStart"/>
      <w:r w:rsidRPr="006E7714">
        <w:rPr>
          <w:rFonts w:ascii="Arial" w:eastAsia="Times New Roman" w:hAnsi="Arial" w:cs="Times New Roman"/>
          <w:sz w:val="22"/>
          <w:lang w:val="en-US"/>
        </w:rPr>
        <w:t>agree  (</w:t>
      </w:r>
      <w:proofErr w:type="gramEnd"/>
      <w:r w:rsidRPr="006E7714">
        <w:rPr>
          <w:rFonts w:ascii="Arial" w:eastAsia="Times New Roman" w:hAnsi="Arial" w:cs="Times New Roman"/>
          <w:sz w:val="22"/>
          <w:lang w:val="en-US"/>
        </w:rPr>
        <w:t xml:space="preserve">1) </w:t>
      </w:r>
    </w:p>
    <w:p w14:paraId="21F0EA1F" w14:textId="77777777" w:rsidR="006E7714" w:rsidRPr="006E7714" w:rsidRDefault="006E7714" w:rsidP="006E7714">
      <w:pPr>
        <w:spacing w:after="0" w:line="276" w:lineRule="auto"/>
        <w:jc w:val="left"/>
        <w:rPr>
          <w:rFonts w:ascii="Arial" w:eastAsia="Times New Roman" w:hAnsi="Arial" w:cs="Times New Roman"/>
          <w:sz w:val="22"/>
          <w:lang w:val="en-US"/>
        </w:rPr>
      </w:pPr>
    </w:p>
    <w:p w14:paraId="325260BC" w14:textId="77777777" w:rsidR="006E7714" w:rsidRPr="006E7714" w:rsidRDefault="006E7714" w:rsidP="006E7714">
      <w:pPr>
        <w:spacing w:before="120" w:after="0" w:line="240" w:lineRule="auto"/>
        <w:jc w:val="left"/>
        <w:rPr>
          <w:rFonts w:ascii="Arial" w:eastAsia="Times New Roman" w:hAnsi="Arial" w:cs="Times New Roman"/>
          <w:b/>
          <w:color w:val="CCCCCC"/>
          <w:sz w:val="22"/>
          <w:lang w:val="en-US"/>
        </w:rPr>
      </w:pPr>
      <w:r w:rsidRPr="006E7714">
        <w:rPr>
          <w:rFonts w:ascii="Arial" w:eastAsia="Times New Roman" w:hAnsi="Arial" w:cs="Times New Roman"/>
          <w:b/>
          <w:color w:val="CCCCCC"/>
          <w:sz w:val="22"/>
          <w:lang w:val="en-US"/>
        </w:rPr>
        <w:t>End of Block: Consent</w:t>
      </w:r>
    </w:p>
    <w:p w14:paraId="1D55CBFD" w14:textId="77777777" w:rsidR="006E7714" w:rsidRPr="006E7714" w:rsidRDefault="006E7714" w:rsidP="006E7714">
      <w:pPr>
        <w:pBdr>
          <w:bottom w:val="single" w:sz="8" w:space="0" w:color="CCCCCC"/>
        </w:pBdr>
        <w:spacing w:after="0" w:line="120" w:lineRule="auto"/>
        <w:jc w:val="center"/>
        <w:rPr>
          <w:rFonts w:ascii="Arial" w:eastAsia="Times New Roman" w:hAnsi="Arial" w:cs="Times New Roman"/>
          <w:b/>
          <w:color w:val="CCCCCC"/>
          <w:sz w:val="22"/>
          <w:lang w:val="en-US"/>
        </w:rPr>
      </w:pPr>
    </w:p>
    <w:p w14:paraId="7F7F6B85" w14:textId="77777777" w:rsidR="006E7714" w:rsidRPr="006E7714" w:rsidRDefault="006E7714" w:rsidP="006E7714">
      <w:pPr>
        <w:spacing w:before="120" w:after="120" w:line="240" w:lineRule="auto"/>
        <w:jc w:val="left"/>
        <w:rPr>
          <w:rFonts w:ascii="Arial" w:eastAsia="Times New Roman" w:hAnsi="Arial" w:cs="Times New Roman"/>
          <w:b/>
          <w:color w:val="CCCCCC"/>
          <w:sz w:val="22"/>
          <w:lang w:val="en-US"/>
        </w:rPr>
      </w:pPr>
      <w:r w:rsidRPr="006E7714">
        <w:rPr>
          <w:rFonts w:ascii="Arial" w:eastAsia="Times New Roman" w:hAnsi="Arial" w:cs="Times New Roman"/>
          <w:b/>
          <w:color w:val="CCCCCC"/>
          <w:sz w:val="22"/>
          <w:lang w:val="en-US"/>
        </w:rPr>
        <w:t>Start of Block: Intro and flowchart</w:t>
      </w:r>
    </w:p>
    <w:p w14:paraId="564CB983" w14:textId="77777777" w:rsidR="006E7714" w:rsidRPr="006E7714" w:rsidRDefault="006E7714" w:rsidP="006E7714">
      <w:pPr>
        <w:spacing w:after="0" w:line="276" w:lineRule="auto"/>
        <w:jc w:val="left"/>
        <w:rPr>
          <w:rFonts w:ascii="Arial" w:eastAsia="Times New Roman" w:hAnsi="Arial" w:cs="Times New Roman"/>
          <w:sz w:val="22"/>
          <w:lang w:val="en-US"/>
        </w:rPr>
      </w:pPr>
    </w:p>
    <w:p w14:paraId="5875BB84" w14:textId="77777777" w:rsidR="006E7714" w:rsidRPr="006E7714" w:rsidRDefault="006E7714" w:rsidP="006E7714">
      <w:pPr>
        <w:keepNext/>
        <w:spacing w:after="0" w:line="276" w:lineRule="auto"/>
        <w:jc w:val="left"/>
        <w:rPr>
          <w:rFonts w:ascii="Arial" w:eastAsia="Times New Roman" w:hAnsi="Arial" w:cs="Times New Roman"/>
          <w:sz w:val="22"/>
          <w:lang w:val="en-US"/>
        </w:rPr>
      </w:pPr>
      <w:r w:rsidRPr="006E7714">
        <w:rPr>
          <w:rFonts w:ascii="Arial" w:eastAsia="Times New Roman" w:hAnsi="Arial" w:cs="Times New Roman"/>
          <w:b/>
          <w:sz w:val="22"/>
          <w:lang w:val="en-US"/>
        </w:rPr>
        <w:t>A few suggestions before we start</w:t>
      </w:r>
      <w:r w:rsidRPr="006E7714">
        <w:rPr>
          <w:rFonts w:ascii="Arial" w:eastAsia="Times New Roman" w:hAnsi="Arial" w:cs="Times New Roman"/>
          <w:sz w:val="22"/>
          <w:lang w:val="en-US"/>
        </w:rPr>
        <w:t xml:space="preserve"> </w:t>
      </w:r>
      <w:r w:rsidRPr="006E7714">
        <w:rPr>
          <w:rFonts w:ascii="Arial" w:eastAsia="Times New Roman" w:hAnsi="Arial" w:cs="Times New Roman"/>
          <w:sz w:val="22"/>
          <w:lang w:val="en-US"/>
        </w:rPr>
        <w:br/>
        <w:t xml:space="preserve">   </w:t>
      </w:r>
      <w:r w:rsidRPr="006E7714">
        <w:rPr>
          <w:rFonts w:ascii="Arial" w:eastAsia="Times New Roman" w:hAnsi="Arial" w:cs="Times New Roman"/>
          <w:sz w:val="22"/>
          <w:lang w:val="en-US"/>
        </w:rPr>
        <w:br/>
        <w:t>Thank you for taking part in this study! The survey’s structure follows the flowchart below and should take less than 15 minutes to complete.</w:t>
      </w:r>
      <w:r w:rsidRPr="006E7714">
        <w:rPr>
          <w:rFonts w:ascii="Arial" w:eastAsia="Times New Roman" w:hAnsi="Arial" w:cs="Times New Roman"/>
          <w:sz w:val="22"/>
          <w:lang w:val="en-US"/>
        </w:rPr>
        <w:br/>
        <w:t xml:space="preserve">   Before you start, here are a few suggestions to improve your survey’s experience:</w:t>
      </w:r>
      <w:r w:rsidRPr="006E7714">
        <w:rPr>
          <w:rFonts w:ascii="Arial" w:eastAsia="Times New Roman" w:hAnsi="Arial" w:cs="Times New Roman"/>
          <w:sz w:val="22"/>
          <w:lang w:val="en-US"/>
        </w:rPr>
        <w:br/>
        <w:t xml:space="preserve"> •    Check that you are connected via Wi-Fi, so you can watch the video at the maximum quality.</w:t>
      </w:r>
      <w:r w:rsidRPr="006E7714">
        <w:rPr>
          <w:rFonts w:ascii="Arial" w:eastAsia="Times New Roman" w:hAnsi="Arial" w:cs="Times New Roman"/>
          <w:sz w:val="22"/>
          <w:lang w:val="en-US"/>
        </w:rPr>
        <w:br/>
        <w:t xml:space="preserve"> •    Wear earphones or headphones, so you can be fully immersed. </w:t>
      </w:r>
      <w:r w:rsidRPr="006E7714">
        <w:rPr>
          <w:rFonts w:ascii="Arial" w:eastAsia="Times New Roman" w:hAnsi="Arial" w:cs="Times New Roman"/>
          <w:sz w:val="22"/>
          <w:lang w:val="en-US"/>
        </w:rPr>
        <w:br/>
        <w:t>•    Seat comfortably and avoid distractions for the duration of the survey (switching off notifications helps greatly).</w:t>
      </w:r>
      <w:r w:rsidRPr="006E7714">
        <w:rPr>
          <w:rFonts w:ascii="Arial" w:eastAsia="Times New Roman" w:hAnsi="Arial" w:cs="Times New Roman"/>
          <w:sz w:val="22"/>
          <w:lang w:val="en-US"/>
        </w:rPr>
        <w:br/>
        <w:t xml:space="preserve">   This study is about your sensations, so there are no right or wrong answers. You should answer the questions quickly based on your first instincts.  </w:t>
      </w:r>
      <w:r w:rsidRPr="006E7714">
        <w:rPr>
          <w:rFonts w:ascii="Arial" w:eastAsia="Times New Roman" w:hAnsi="Arial" w:cs="Times New Roman"/>
          <w:sz w:val="22"/>
          <w:lang w:val="en-US"/>
        </w:rPr>
        <w:br/>
      </w:r>
      <w:r w:rsidRPr="006E7714">
        <w:rPr>
          <w:rFonts w:ascii="Arial" w:eastAsia="Times New Roman" w:hAnsi="Arial" w:cs="Times New Roman"/>
          <w:sz w:val="22"/>
          <w:lang w:val="en-US"/>
        </w:rPr>
        <w:br/>
        <w:t xml:space="preserve"> </w:t>
      </w:r>
      <w:r w:rsidRPr="006E7714">
        <w:rPr>
          <w:rFonts w:ascii="Arial" w:eastAsia="Times New Roman" w:hAnsi="Arial" w:cs="Times New Roman"/>
          <w:sz w:val="22"/>
          <w:lang w:val="en-US"/>
        </w:rPr>
        <w:br/>
        <w:t xml:space="preserve"> </w:t>
      </w:r>
      <w:r w:rsidRPr="006E7714">
        <w:rPr>
          <w:rFonts w:ascii="Arial" w:eastAsia="Times New Roman" w:hAnsi="Arial" w:cs="Times New Roman"/>
          <w:noProof/>
          <w:sz w:val="22"/>
          <w:lang w:val="en-US"/>
        </w:rPr>
        <w:drawing>
          <wp:inline distT="0" distB="0" distL="0" distR="0" wp14:anchorId="778B30E5" wp14:editId="31DFC764">
            <wp:extent cx="5943600" cy="711200"/>
            <wp:effectExtent l="0" t="0" r="0" b="0"/>
            <wp:docPr id="21227786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943600" cy="711200"/>
                    </a:xfrm>
                    <a:prstGeom prst="rect">
                      <a:avLst/>
                    </a:prstGeom>
                    <a:noFill/>
                    <a:ln>
                      <a:noFill/>
                    </a:ln>
                  </pic:spPr>
                </pic:pic>
              </a:graphicData>
            </a:graphic>
          </wp:inline>
        </w:drawing>
      </w:r>
      <w:r w:rsidRPr="006E7714">
        <w:rPr>
          <w:rFonts w:ascii="Arial" w:eastAsia="Times New Roman" w:hAnsi="Arial" w:cs="Times New Roman"/>
          <w:sz w:val="22"/>
          <w:lang w:val="en-US"/>
        </w:rPr>
        <w:br/>
        <w:t xml:space="preserve">    </w:t>
      </w:r>
      <w:r w:rsidRPr="006E7714">
        <w:rPr>
          <w:rFonts w:ascii="Arial" w:eastAsia="Times New Roman" w:hAnsi="Arial" w:cs="Times New Roman"/>
          <w:sz w:val="22"/>
          <w:lang w:val="en-US"/>
        </w:rPr>
        <w:br/>
        <w:t xml:space="preserve">  </w:t>
      </w:r>
      <w:r w:rsidRPr="006E7714">
        <w:rPr>
          <w:rFonts w:ascii="Arial" w:eastAsia="Times New Roman" w:hAnsi="Arial" w:cs="Times New Roman"/>
          <w:sz w:val="22"/>
          <w:lang w:val="en-US"/>
        </w:rPr>
        <w:br/>
        <w:t> </w:t>
      </w:r>
    </w:p>
    <w:p w14:paraId="37A7AA7E" w14:textId="77777777" w:rsidR="006E7714" w:rsidRPr="006E7714" w:rsidRDefault="006E7714" w:rsidP="006E7714">
      <w:pPr>
        <w:spacing w:after="0" w:line="276" w:lineRule="auto"/>
        <w:jc w:val="left"/>
        <w:rPr>
          <w:rFonts w:ascii="Arial" w:eastAsia="Times New Roman" w:hAnsi="Arial" w:cs="Times New Roman"/>
          <w:sz w:val="22"/>
          <w:lang w:val="en-US"/>
        </w:rPr>
      </w:pPr>
    </w:p>
    <w:p w14:paraId="3644810F" w14:textId="77777777" w:rsidR="006E7714" w:rsidRPr="006E7714" w:rsidRDefault="006E7714" w:rsidP="006E7714">
      <w:pPr>
        <w:keepNext/>
        <w:spacing w:after="0" w:line="276" w:lineRule="auto"/>
        <w:jc w:val="left"/>
        <w:rPr>
          <w:rFonts w:ascii="Arial" w:eastAsia="Times New Roman" w:hAnsi="Arial" w:cs="Times New Roman"/>
          <w:sz w:val="22"/>
          <w:lang w:val="en-US"/>
        </w:rPr>
      </w:pPr>
      <w:r w:rsidRPr="006E7714">
        <w:rPr>
          <w:rFonts w:ascii="Arial" w:eastAsia="Times New Roman" w:hAnsi="Arial" w:cs="Times New Roman"/>
          <w:sz w:val="22"/>
          <w:lang w:val="en-US"/>
        </w:rPr>
        <w:br/>
      </w:r>
      <w:r w:rsidRPr="006E7714">
        <w:rPr>
          <w:rFonts w:ascii="Arial" w:eastAsia="Times New Roman" w:hAnsi="Arial" w:cs="Times New Roman"/>
          <w:b/>
          <w:sz w:val="22"/>
          <w:lang w:val="en-US"/>
        </w:rPr>
        <w:t xml:space="preserve">Sound </w:t>
      </w:r>
      <w:proofErr w:type="gramStart"/>
      <w:r w:rsidRPr="006E7714">
        <w:rPr>
          <w:rFonts w:ascii="Arial" w:eastAsia="Times New Roman" w:hAnsi="Arial" w:cs="Times New Roman"/>
          <w:b/>
          <w:sz w:val="22"/>
          <w:lang w:val="en-US"/>
        </w:rPr>
        <w:t>check</w:t>
      </w:r>
      <w:proofErr w:type="gramEnd"/>
      <w:r w:rsidRPr="006E7714">
        <w:rPr>
          <w:rFonts w:ascii="Arial" w:eastAsia="Times New Roman" w:hAnsi="Arial" w:cs="Times New Roman"/>
          <w:sz w:val="22"/>
          <w:lang w:val="en-US"/>
        </w:rPr>
        <w:t xml:space="preserve">  </w:t>
      </w:r>
      <w:r w:rsidRPr="006E7714">
        <w:rPr>
          <w:rFonts w:ascii="Arial" w:eastAsia="Times New Roman" w:hAnsi="Arial" w:cs="Times New Roman"/>
          <w:sz w:val="22"/>
          <w:lang w:val="en-US"/>
        </w:rPr>
        <w:br/>
        <w:t xml:space="preserve">The audio is an important part of this study.  </w:t>
      </w:r>
      <w:r w:rsidRPr="006E7714">
        <w:rPr>
          <w:rFonts w:ascii="Arial" w:eastAsia="Times New Roman" w:hAnsi="Arial" w:cs="Times New Roman"/>
          <w:sz w:val="22"/>
          <w:lang w:val="en-US"/>
        </w:rPr>
        <w:br/>
      </w:r>
      <w:r w:rsidRPr="006E7714">
        <w:rPr>
          <w:rFonts w:ascii="Arial" w:eastAsia="Times New Roman" w:hAnsi="Arial" w:cs="Times New Roman"/>
          <w:sz w:val="22"/>
          <w:lang w:val="en-US"/>
        </w:rPr>
        <w:br/>
        <w:t xml:space="preserve"> Please listen to the audio file below and adjust your device volume at a comfortable level.</w:t>
      </w:r>
      <w:r w:rsidRPr="006E7714">
        <w:rPr>
          <w:rFonts w:ascii="Arial" w:eastAsia="Times New Roman" w:hAnsi="Arial" w:cs="Times New Roman"/>
          <w:sz w:val="22"/>
          <w:lang w:val="en-US"/>
        </w:rPr>
        <w:br/>
        <w:t xml:space="preserve"> You can replay the file as much as you need.</w:t>
      </w:r>
      <w:r w:rsidRPr="006E7714">
        <w:rPr>
          <w:rFonts w:ascii="Arial" w:eastAsia="Times New Roman" w:hAnsi="Arial" w:cs="Times New Roman"/>
          <w:sz w:val="22"/>
          <w:lang w:val="en-US"/>
        </w:rPr>
        <w:br/>
        <w:t xml:space="preserve"> </w:t>
      </w:r>
    </w:p>
    <w:p w14:paraId="7D17FBC1" w14:textId="77777777" w:rsidR="006E7714" w:rsidRPr="006E7714" w:rsidRDefault="006E7714" w:rsidP="006E7714">
      <w:pPr>
        <w:spacing w:before="120" w:after="0" w:line="240" w:lineRule="auto"/>
        <w:jc w:val="left"/>
        <w:rPr>
          <w:rFonts w:ascii="Arial" w:eastAsia="Times New Roman" w:hAnsi="Arial" w:cs="Times New Roman"/>
          <w:b/>
          <w:color w:val="CCCCCC"/>
          <w:sz w:val="22"/>
          <w:lang w:val="en-US"/>
        </w:rPr>
      </w:pPr>
      <w:r w:rsidRPr="006E7714">
        <w:rPr>
          <w:rFonts w:ascii="Arial" w:eastAsia="Times New Roman" w:hAnsi="Arial" w:cs="Times New Roman"/>
          <w:b/>
          <w:color w:val="CCCCCC"/>
          <w:sz w:val="22"/>
          <w:lang w:val="en-US"/>
        </w:rPr>
        <w:t>End of Block: Intro and flowchart</w:t>
      </w:r>
    </w:p>
    <w:p w14:paraId="1C221D1E" w14:textId="77777777" w:rsidR="006E7714" w:rsidRPr="006E7714" w:rsidRDefault="006E7714" w:rsidP="006E7714">
      <w:pPr>
        <w:pBdr>
          <w:bottom w:val="single" w:sz="8" w:space="0" w:color="CCCCCC"/>
        </w:pBdr>
        <w:spacing w:after="0" w:line="120" w:lineRule="auto"/>
        <w:jc w:val="center"/>
        <w:rPr>
          <w:rFonts w:ascii="Arial" w:eastAsia="Times New Roman" w:hAnsi="Arial" w:cs="Times New Roman"/>
          <w:b/>
          <w:color w:val="CCCCCC"/>
          <w:sz w:val="22"/>
          <w:lang w:val="en-US"/>
        </w:rPr>
      </w:pPr>
    </w:p>
    <w:p w14:paraId="63C3C111" w14:textId="77777777" w:rsidR="006E7714" w:rsidRPr="006E7714" w:rsidRDefault="006E7714" w:rsidP="006E7714">
      <w:pPr>
        <w:spacing w:before="120" w:after="120" w:line="240" w:lineRule="auto"/>
        <w:jc w:val="left"/>
        <w:rPr>
          <w:rFonts w:ascii="Arial" w:eastAsia="Times New Roman" w:hAnsi="Arial" w:cs="Times New Roman"/>
          <w:b/>
          <w:color w:val="CCCCCC"/>
          <w:sz w:val="22"/>
          <w:lang w:val="en-US"/>
        </w:rPr>
      </w:pPr>
      <w:r w:rsidRPr="006E7714">
        <w:rPr>
          <w:rFonts w:ascii="Arial" w:eastAsia="Times New Roman" w:hAnsi="Arial" w:cs="Times New Roman"/>
          <w:b/>
          <w:color w:val="CCCCCC"/>
          <w:sz w:val="22"/>
          <w:lang w:val="en-US"/>
        </w:rPr>
        <w:t>Start of Block: Demographic questions</w:t>
      </w:r>
    </w:p>
    <w:p w14:paraId="67D299B7" w14:textId="77777777" w:rsidR="006E7714" w:rsidRPr="006E7714" w:rsidRDefault="006E7714" w:rsidP="006E7714">
      <w:pPr>
        <w:spacing w:after="0" w:line="276" w:lineRule="auto"/>
        <w:jc w:val="left"/>
        <w:rPr>
          <w:rFonts w:ascii="Arial" w:eastAsia="Times New Roman" w:hAnsi="Arial" w:cs="Times New Roman"/>
          <w:sz w:val="22"/>
          <w:lang w:val="en-US"/>
        </w:rPr>
      </w:pPr>
    </w:p>
    <w:p w14:paraId="155FFAF1" w14:textId="77777777" w:rsidR="006E7714" w:rsidRPr="006E7714" w:rsidRDefault="006E7714" w:rsidP="006E7714">
      <w:pPr>
        <w:keepNext/>
        <w:spacing w:after="0" w:line="276" w:lineRule="auto"/>
        <w:jc w:val="left"/>
        <w:rPr>
          <w:rFonts w:ascii="Arial" w:eastAsia="Times New Roman" w:hAnsi="Arial" w:cs="Times New Roman"/>
          <w:sz w:val="22"/>
          <w:lang w:val="en-US"/>
        </w:rPr>
      </w:pPr>
      <w:r w:rsidRPr="006E7714">
        <w:rPr>
          <w:rFonts w:ascii="Arial" w:eastAsia="Times New Roman" w:hAnsi="Arial" w:cs="Times New Roman"/>
          <w:sz w:val="22"/>
          <w:lang w:val="en-US"/>
        </w:rPr>
        <w:t>Which kind of device are you using to take this survey?</w:t>
      </w:r>
    </w:p>
    <w:p w14:paraId="1E2AB3E3" w14:textId="77777777" w:rsidR="006E7714" w:rsidRPr="006E7714" w:rsidRDefault="006E7714" w:rsidP="006E7714">
      <w:pPr>
        <w:keepNext/>
        <w:numPr>
          <w:ilvl w:val="0"/>
          <w:numId w:val="32"/>
        </w:numPr>
        <w:spacing w:after="0" w:line="240" w:lineRule="auto"/>
        <w:jc w:val="left"/>
        <w:rPr>
          <w:rFonts w:ascii="Arial" w:eastAsia="Times New Roman" w:hAnsi="Arial" w:cs="Times New Roman"/>
          <w:sz w:val="22"/>
          <w:lang w:val="en-US"/>
        </w:rPr>
      </w:pPr>
      <w:proofErr w:type="gramStart"/>
      <w:r w:rsidRPr="006E7714">
        <w:rPr>
          <w:rFonts w:ascii="Arial" w:eastAsia="Times New Roman" w:hAnsi="Arial" w:cs="Times New Roman"/>
          <w:sz w:val="22"/>
          <w:lang w:val="en-US"/>
        </w:rPr>
        <w:t>Desktop  (</w:t>
      </w:r>
      <w:proofErr w:type="gramEnd"/>
      <w:r w:rsidRPr="006E7714">
        <w:rPr>
          <w:rFonts w:ascii="Arial" w:eastAsia="Times New Roman" w:hAnsi="Arial" w:cs="Times New Roman"/>
          <w:sz w:val="22"/>
          <w:lang w:val="en-US"/>
        </w:rPr>
        <w:t xml:space="preserve">1) </w:t>
      </w:r>
    </w:p>
    <w:p w14:paraId="6743D81D" w14:textId="77777777" w:rsidR="006E7714" w:rsidRPr="006E7714" w:rsidRDefault="006E7714" w:rsidP="006E7714">
      <w:pPr>
        <w:keepNext/>
        <w:numPr>
          <w:ilvl w:val="0"/>
          <w:numId w:val="32"/>
        </w:numPr>
        <w:spacing w:after="0" w:line="240" w:lineRule="auto"/>
        <w:jc w:val="left"/>
        <w:rPr>
          <w:rFonts w:ascii="Arial" w:eastAsia="Times New Roman" w:hAnsi="Arial" w:cs="Times New Roman"/>
          <w:sz w:val="22"/>
          <w:lang w:val="en-US"/>
        </w:rPr>
      </w:pPr>
      <w:proofErr w:type="gramStart"/>
      <w:r w:rsidRPr="006E7714">
        <w:rPr>
          <w:rFonts w:ascii="Arial" w:eastAsia="Times New Roman" w:hAnsi="Arial" w:cs="Times New Roman"/>
          <w:sz w:val="22"/>
          <w:lang w:val="en-US"/>
        </w:rPr>
        <w:t>Laptop  (</w:t>
      </w:r>
      <w:proofErr w:type="gramEnd"/>
      <w:r w:rsidRPr="006E7714">
        <w:rPr>
          <w:rFonts w:ascii="Arial" w:eastAsia="Times New Roman" w:hAnsi="Arial" w:cs="Times New Roman"/>
          <w:sz w:val="22"/>
          <w:lang w:val="en-US"/>
        </w:rPr>
        <w:t xml:space="preserve">2) </w:t>
      </w:r>
    </w:p>
    <w:p w14:paraId="30C6C9C5" w14:textId="77777777" w:rsidR="006E7714" w:rsidRPr="006E7714" w:rsidRDefault="006E7714" w:rsidP="006E7714">
      <w:pPr>
        <w:keepNext/>
        <w:numPr>
          <w:ilvl w:val="0"/>
          <w:numId w:val="32"/>
        </w:numPr>
        <w:spacing w:after="0" w:line="240" w:lineRule="auto"/>
        <w:jc w:val="left"/>
        <w:rPr>
          <w:rFonts w:ascii="Arial" w:eastAsia="Times New Roman" w:hAnsi="Arial" w:cs="Times New Roman"/>
          <w:sz w:val="22"/>
          <w:lang w:val="en-US"/>
        </w:rPr>
      </w:pPr>
      <w:proofErr w:type="gramStart"/>
      <w:r w:rsidRPr="006E7714">
        <w:rPr>
          <w:rFonts w:ascii="Arial" w:eastAsia="Times New Roman" w:hAnsi="Arial" w:cs="Times New Roman"/>
          <w:sz w:val="22"/>
          <w:lang w:val="en-US"/>
        </w:rPr>
        <w:t>Smartphone  (</w:t>
      </w:r>
      <w:proofErr w:type="gramEnd"/>
      <w:r w:rsidRPr="006E7714">
        <w:rPr>
          <w:rFonts w:ascii="Arial" w:eastAsia="Times New Roman" w:hAnsi="Arial" w:cs="Times New Roman"/>
          <w:sz w:val="22"/>
          <w:lang w:val="en-US"/>
        </w:rPr>
        <w:t xml:space="preserve">3) </w:t>
      </w:r>
    </w:p>
    <w:p w14:paraId="5537605C" w14:textId="77777777" w:rsidR="006E7714" w:rsidRPr="006E7714" w:rsidRDefault="006E7714" w:rsidP="006E7714">
      <w:pPr>
        <w:keepNext/>
        <w:numPr>
          <w:ilvl w:val="0"/>
          <w:numId w:val="32"/>
        </w:numPr>
        <w:spacing w:after="0" w:line="240" w:lineRule="auto"/>
        <w:jc w:val="left"/>
        <w:rPr>
          <w:rFonts w:ascii="Arial" w:eastAsia="Times New Roman" w:hAnsi="Arial" w:cs="Times New Roman"/>
          <w:sz w:val="22"/>
          <w:lang w:val="en-US"/>
        </w:rPr>
      </w:pPr>
      <w:proofErr w:type="gramStart"/>
      <w:r w:rsidRPr="006E7714">
        <w:rPr>
          <w:rFonts w:ascii="Arial" w:eastAsia="Times New Roman" w:hAnsi="Arial" w:cs="Times New Roman"/>
          <w:sz w:val="22"/>
          <w:lang w:val="en-US"/>
        </w:rPr>
        <w:t>Tablet  (</w:t>
      </w:r>
      <w:proofErr w:type="gramEnd"/>
      <w:r w:rsidRPr="006E7714">
        <w:rPr>
          <w:rFonts w:ascii="Arial" w:eastAsia="Times New Roman" w:hAnsi="Arial" w:cs="Times New Roman"/>
          <w:sz w:val="22"/>
          <w:lang w:val="en-US"/>
        </w:rPr>
        <w:t xml:space="preserve">4) </w:t>
      </w:r>
    </w:p>
    <w:p w14:paraId="48788270" w14:textId="77777777" w:rsidR="006E7714" w:rsidRPr="006E7714" w:rsidRDefault="006E7714" w:rsidP="006E7714">
      <w:pPr>
        <w:spacing w:after="0" w:line="276" w:lineRule="auto"/>
        <w:jc w:val="left"/>
        <w:rPr>
          <w:rFonts w:ascii="Arial" w:eastAsia="Times New Roman" w:hAnsi="Arial" w:cs="Times New Roman"/>
          <w:sz w:val="22"/>
          <w:lang w:val="en-US"/>
        </w:rPr>
      </w:pPr>
    </w:p>
    <w:p w14:paraId="5230D46F" w14:textId="77777777" w:rsidR="006E7714" w:rsidRPr="006E7714" w:rsidRDefault="006E7714" w:rsidP="006E7714">
      <w:pPr>
        <w:pBdr>
          <w:top w:val="dashed" w:sz="8" w:space="0" w:color="CCCCCC"/>
        </w:pBdr>
        <w:spacing w:before="120" w:after="120" w:line="120" w:lineRule="auto"/>
        <w:jc w:val="left"/>
        <w:rPr>
          <w:rFonts w:ascii="Arial" w:eastAsia="Times New Roman" w:hAnsi="Arial" w:cs="Times New Roman"/>
          <w:sz w:val="22"/>
          <w:lang w:val="en-US"/>
        </w:rPr>
      </w:pPr>
    </w:p>
    <w:p w14:paraId="365286AF" w14:textId="77777777" w:rsidR="006E7714" w:rsidRPr="006E7714" w:rsidRDefault="006E7714" w:rsidP="006E7714">
      <w:pPr>
        <w:spacing w:after="0" w:line="276" w:lineRule="auto"/>
        <w:jc w:val="left"/>
        <w:rPr>
          <w:rFonts w:ascii="Arial" w:eastAsia="Times New Roman" w:hAnsi="Arial" w:cs="Times New Roman"/>
          <w:sz w:val="22"/>
          <w:lang w:val="en-US"/>
        </w:rPr>
      </w:pPr>
    </w:p>
    <w:p w14:paraId="1705B1AE" w14:textId="77777777" w:rsidR="006E7714" w:rsidRPr="006E7714" w:rsidRDefault="006E7714" w:rsidP="006E7714">
      <w:pPr>
        <w:keepNext/>
        <w:spacing w:after="0" w:line="276" w:lineRule="auto"/>
        <w:jc w:val="left"/>
        <w:rPr>
          <w:rFonts w:ascii="Arial" w:eastAsia="Times New Roman" w:hAnsi="Arial" w:cs="Times New Roman"/>
          <w:sz w:val="22"/>
          <w:lang w:val="en-US"/>
        </w:rPr>
      </w:pPr>
      <w:r w:rsidRPr="006E7714">
        <w:rPr>
          <w:rFonts w:ascii="Arial" w:eastAsia="Times New Roman" w:hAnsi="Arial" w:cs="Times New Roman"/>
          <w:sz w:val="22"/>
          <w:lang w:val="en-US"/>
        </w:rPr>
        <w:t>Have you ever watched a 360-degree video before? (maybe on YouTube or Facebook)</w:t>
      </w:r>
    </w:p>
    <w:p w14:paraId="507E2C56" w14:textId="77777777" w:rsidR="006E7714" w:rsidRPr="006E7714" w:rsidRDefault="006E7714" w:rsidP="006E7714">
      <w:pPr>
        <w:keepNext/>
        <w:numPr>
          <w:ilvl w:val="0"/>
          <w:numId w:val="32"/>
        </w:numPr>
        <w:spacing w:after="0" w:line="240" w:lineRule="auto"/>
        <w:jc w:val="left"/>
        <w:rPr>
          <w:rFonts w:ascii="Arial" w:eastAsia="Times New Roman" w:hAnsi="Arial" w:cs="Times New Roman"/>
          <w:sz w:val="22"/>
          <w:lang w:val="en-US"/>
        </w:rPr>
      </w:pPr>
      <w:proofErr w:type="gramStart"/>
      <w:r w:rsidRPr="006E7714">
        <w:rPr>
          <w:rFonts w:ascii="Arial" w:eastAsia="Times New Roman" w:hAnsi="Arial" w:cs="Times New Roman"/>
          <w:sz w:val="22"/>
          <w:lang w:val="en-US"/>
        </w:rPr>
        <w:t>Yes  (</w:t>
      </w:r>
      <w:proofErr w:type="gramEnd"/>
      <w:r w:rsidRPr="006E7714">
        <w:rPr>
          <w:rFonts w:ascii="Arial" w:eastAsia="Times New Roman" w:hAnsi="Arial" w:cs="Times New Roman"/>
          <w:sz w:val="22"/>
          <w:lang w:val="en-US"/>
        </w:rPr>
        <w:t xml:space="preserve">1) </w:t>
      </w:r>
    </w:p>
    <w:p w14:paraId="1377CE10" w14:textId="77777777" w:rsidR="006E7714" w:rsidRPr="006E7714" w:rsidRDefault="006E7714" w:rsidP="006E7714">
      <w:pPr>
        <w:keepNext/>
        <w:numPr>
          <w:ilvl w:val="0"/>
          <w:numId w:val="32"/>
        </w:numPr>
        <w:spacing w:after="0" w:line="240" w:lineRule="auto"/>
        <w:jc w:val="left"/>
        <w:rPr>
          <w:rFonts w:ascii="Arial" w:eastAsia="Times New Roman" w:hAnsi="Arial" w:cs="Times New Roman"/>
          <w:sz w:val="22"/>
          <w:lang w:val="en-US"/>
        </w:rPr>
      </w:pPr>
      <w:proofErr w:type="gramStart"/>
      <w:r w:rsidRPr="006E7714">
        <w:rPr>
          <w:rFonts w:ascii="Arial" w:eastAsia="Times New Roman" w:hAnsi="Arial" w:cs="Times New Roman"/>
          <w:sz w:val="22"/>
          <w:lang w:val="en-US"/>
        </w:rPr>
        <w:t>No  (</w:t>
      </w:r>
      <w:proofErr w:type="gramEnd"/>
      <w:r w:rsidRPr="006E7714">
        <w:rPr>
          <w:rFonts w:ascii="Arial" w:eastAsia="Times New Roman" w:hAnsi="Arial" w:cs="Times New Roman"/>
          <w:sz w:val="22"/>
          <w:lang w:val="en-US"/>
        </w:rPr>
        <w:t xml:space="preserve">2) </w:t>
      </w:r>
    </w:p>
    <w:p w14:paraId="76290816" w14:textId="77777777" w:rsidR="006E7714" w:rsidRPr="006E7714" w:rsidRDefault="006E7714" w:rsidP="006E7714">
      <w:pPr>
        <w:spacing w:after="0" w:line="276" w:lineRule="auto"/>
        <w:jc w:val="left"/>
        <w:rPr>
          <w:rFonts w:ascii="Arial" w:eastAsia="Times New Roman" w:hAnsi="Arial" w:cs="Times New Roman"/>
          <w:sz w:val="22"/>
          <w:lang w:val="en-US"/>
        </w:rPr>
      </w:pPr>
    </w:p>
    <w:p w14:paraId="1F2830C0" w14:textId="77777777" w:rsidR="006E7714" w:rsidRPr="006E7714" w:rsidRDefault="006E7714" w:rsidP="006E7714">
      <w:pPr>
        <w:pBdr>
          <w:top w:val="dashed" w:sz="8" w:space="0" w:color="CCCCCC"/>
        </w:pBdr>
        <w:spacing w:before="120" w:after="120" w:line="120" w:lineRule="auto"/>
        <w:jc w:val="left"/>
        <w:rPr>
          <w:rFonts w:ascii="Arial" w:eastAsia="Times New Roman" w:hAnsi="Arial" w:cs="Times New Roman"/>
          <w:sz w:val="22"/>
          <w:lang w:val="en-US"/>
        </w:rPr>
      </w:pPr>
    </w:p>
    <w:p w14:paraId="63E2F9DC" w14:textId="77777777" w:rsidR="006E7714" w:rsidRPr="006E7714" w:rsidRDefault="006E7714" w:rsidP="006E7714">
      <w:pPr>
        <w:spacing w:after="0" w:line="276" w:lineRule="auto"/>
        <w:jc w:val="left"/>
        <w:rPr>
          <w:rFonts w:ascii="Arial" w:eastAsia="Times New Roman" w:hAnsi="Arial" w:cs="Times New Roman"/>
          <w:sz w:val="22"/>
          <w:lang w:val="en-US"/>
        </w:rPr>
      </w:pPr>
    </w:p>
    <w:p w14:paraId="15984B09" w14:textId="77777777" w:rsidR="006E7714" w:rsidRPr="006E7714" w:rsidRDefault="006E7714" w:rsidP="006E7714">
      <w:pPr>
        <w:keepNext/>
        <w:spacing w:after="0" w:line="276" w:lineRule="auto"/>
        <w:jc w:val="left"/>
        <w:rPr>
          <w:rFonts w:ascii="Arial" w:eastAsia="Times New Roman" w:hAnsi="Arial" w:cs="Times New Roman"/>
          <w:sz w:val="22"/>
          <w:lang w:val="en-US"/>
        </w:rPr>
      </w:pPr>
      <w:r w:rsidRPr="006E7714">
        <w:rPr>
          <w:rFonts w:ascii="Arial" w:eastAsia="Times New Roman" w:hAnsi="Arial" w:cs="Times New Roman"/>
          <w:sz w:val="22"/>
          <w:lang w:val="en-US"/>
        </w:rPr>
        <w:t>What is your gender?</w:t>
      </w:r>
    </w:p>
    <w:p w14:paraId="0E835125" w14:textId="77777777" w:rsidR="006E7714" w:rsidRPr="006E7714" w:rsidRDefault="006E7714" w:rsidP="006E7714">
      <w:pPr>
        <w:keepNext/>
        <w:numPr>
          <w:ilvl w:val="0"/>
          <w:numId w:val="32"/>
        </w:numPr>
        <w:spacing w:after="0" w:line="240" w:lineRule="auto"/>
        <w:jc w:val="left"/>
        <w:rPr>
          <w:rFonts w:ascii="Arial" w:eastAsia="Times New Roman" w:hAnsi="Arial" w:cs="Times New Roman"/>
          <w:sz w:val="22"/>
          <w:lang w:val="en-US"/>
        </w:rPr>
      </w:pPr>
      <w:proofErr w:type="gramStart"/>
      <w:r w:rsidRPr="006E7714">
        <w:rPr>
          <w:rFonts w:ascii="Arial" w:eastAsia="Times New Roman" w:hAnsi="Arial" w:cs="Times New Roman"/>
          <w:sz w:val="22"/>
          <w:lang w:val="en-US"/>
        </w:rPr>
        <w:t>Male  (</w:t>
      </w:r>
      <w:proofErr w:type="gramEnd"/>
      <w:r w:rsidRPr="006E7714">
        <w:rPr>
          <w:rFonts w:ascii="Arial" w:eastAsia="Times New Roman" w:hAnsi="Arial" w:cs="Times New Roman"/>
          <w:sz w:val="22"/>
          <w:lang w:val="en-US"/>
        </w:rPr>
        <w:t xml:space="preserve">1) </w:t>
      </w:r>
    </w:p>
    <w:p w14:paraId="5ECCA6BF" w14:textId="77777777" w:rsidR="006E7714" w:rsidRPr="006E7714" w:rsidRDefault="006E7714" w:rsidP="006E7714">
      <w:pPr>
        <w:keepNext/>
        <w:numPr>
          <w:ilvl w:val="0"/>
          <w:numId w:val="32"/>
        </w:numPr>
        <w:spacing w:after="0" w:line="240" w:lineRule="auto"/>
        <w:jc w:val="left"/>
        <w:rPr>
          <w:rFonts w:ascii="Arial" w:eastAsia="Times New Roman" w:hAnsi="Arial" w:cs="Times New Roman"/>
          <w:sz w:val="22"/>
          <w:lang w:val="en-US"/>
        </w:rPr>
      </w:pPr>
      <w:proofErr w:type="gramStart"/>
      <w:r w:rsidRPr="006E7714">
        <w:rPr>
          <w:rFonts w:ascii="Arial" w:eastAsia="Times New Roman" w:hAnsi="Arial" w:cs="Times New Roman"/>
          <w:sz w:val="22"/>
          <w:lang w:val="en-US"/>
        </w:rPr>
        <w:t>Female  (</w:t>
      </w:r>
      <w:proofErr w:type="gramEnd"/>
      <w:r w:rsidRPr="006E7714">
        <w:rPr>
          <w:rFonts w:ascii="Arial" w:eastAsia="Times New Roman" w:hAnsi="Arial" w:cs="Times New Roman"/>
          <w:sz w:val="22"/>
          <w:lang w:val="en-US"/>
        </w:rPr>
        <w:t xml:space="preserve">2) </w:t>
      </w:r>
    </w:p>
    <w:p w14:paraId="6C25D0F7" w14:textId="77777777" w:rsidR="006E7714" w:rsidRPr="006E7714" w:rsidRDefault="006E7714" w:rsidP="006E7714">
      <w:pPr>
        <w:keepNext/>
        <w:numPr>
          <w:ilvl w:val="0"/>
          <w:numId w:val="32"/>
        </w:numPr>
        <w:spacing w:after="0" w:line="240" w:lineRule="auto"/>
        <w:jc w:val="left"/>
        <w:rPr>
          <w:rFonts w:ascii="Arial" w:eastAsia="Times New Roman" w:hAnsi="Arial" w:cs="Times New Roman"/>
          <w:sz w:val="22"/>
          <w:lang w:val="en-US"/>
        </w:rPr>
      </w:pPr>
      <w:r w:rsidRPr="006E7714">
        <w:rPr>
          <w:rFonts w:ascii="Arial" w:eastAsia="Times New Roman" w:hAnsi="Arial" w:cs="Times New Roman"/>
          <w:sz w:val="22"/>
          <w:lang w:val="en-US"/>
        </w:rPr>
        <w:t xml:space="preserve">Non-binary / third </w:t>
      </w:r>
      <w:proofErr w:type="gramStart"/>
      <w:r w:rsidRPr="006E7714">
        <w:rPr>
          <w:rFonts w:ascii="Arial" w:eastAsia="Times New Roman" w:hAnsi="Arial" w:cs="Times New Roman"/>
          <w:sz w:val="22"/>
          <w:lang w:val="en-US"/>
        </w:rPr>
        <w:t>gender  (</w:t>
      </w:r>
      <w:proofErr w:type="gramEnd"/>
      <w:r w:rsidRPr="006E7714">
        <w:rPr>
          <w:rFonts w:ascii="Arial" w:eastAsia="Times New Roman" w:hAnsi="Arial" w:cs="Times New Roman"/>
          <w:sz w:val="22"/>
          <w:lang w:val="en-US"/>
        </w:rPr>
        <w:t xml:space="preserve">3) </w:t>
      </w:r>
    </w:p>
    <w:p w14:paraId="01CE7CEF" w14:textId="77777777" w:rsidR="006E7714" w:rsidRPr="006E7714" w:rsidRDefault="006E7714" w:rsidP="006E7714">
      <w:pPr>
        <w:keepNext/>
        <w:numPr>
          <w:ilvl w:val="0"/>
          <w:numId w:val="32"/>
        </w:numPr>
        <w:spacing w:after="0" w:line="240" w:lineRule="auto"/>
        <w:jc w:val="left"/>
        <w:rPr>
          <w:rFonts w:ascii="Arial" w:eastAsia="Times New Roman" w:hAnsi="Arial" w:cs="Times New Roman"/>
          <w:sz w:val="22"/>
          <w:lang w:val="en-US"/>
        </w:rPr>
      </w:pPr>
      <w:r w:rsidRPr="006E7714">
        <w:rPr>
          <w:rFonts w:ascii="Arial" w:eastAsia="Times New Roman" w:hAnsi="Arial" w:cs="Times New Roman"/>
          <w:sz w:val="22"/>
          <w:lang w:val="en-US"/>
        </w:rPr>
        <w:t xml:space="preserve">Prefer not to </w:t>
      </w:r>
      <w:proofErr w:type="gramStart"/>
      <w:r w:rsidRPr="006E7714">
        <w:rPr>
          <w:rFonts w:ascii="Arial" w:eastAsia="Times New Roman" w:hAnsi="Arial" w:cs="Times New Roman"/>
          <w:sz w:val="22"/>
          <w:lang w:val="en-US"/>
        </w:rPr>
        <w:t>say  (</w:t>
      </w:r>
      <w:proofErr w:type="gramEnd"/>
      <w:r w:rsidRPr="006E7714">
        <w:rPr>
          <w:rFonts w:ascii="Arial" w:eastAsia="Times New Roman" w:hAnsi="Arial" w:cs="Times New Roman"/>
          <w:sz w:val="22"/>
          <w:lang w:val="en-US"/>
        </w:rPr>
        <w:t xml:space="preserve">4) </w:t>
      </w:r>
    </w:p>
    <w:p w14:paraId="699B9132" w14:textId="77777777" w:rsidR="006E7714" w:rsidRPr="006E7714" w:rsidRDefault="006E7714" w:rsidP="006E7714">
      <w:pPr>
        <w:spacing w:after="0" w:line="276" w:lineRule="auto"/>
        <w:jc w:val="left"/>
        <w:rPr>
          <w:rFonts w:ascii="Arial" w:eastAsia="Times New Roman" w:hAnsi="Arial" w:cs="Times New Roman"/>
          <w:sz w:val="22"/>
          <w:lang w:val="en-US"/>
        </w:rPr>
      </w:pPr>
    </w:p>
    <w:p w14:paraId="101E2A19" w14:textId="77777777" w:rsidR="006E7714" w:rsidRPr="006E7714" w:rsidRDefault="006E7714" w:rsidP="006E7714">
      <w:pPr>
        <w:pBdr>
          <w:top w:val="dashed" w:sz="8" w:space="0" w:color="CCCCCC"/>
        </w:pBdr>
        <w:spacing w:before="120" w:after="120" w:line="120" w:lineRule="auto"/>
        <w:jc w:val="left"/>
        <w:rPr>
          <w:rFonts w:ascii="Arial" w:eastAsia="Times New Roman" w:hAnsi="Arial" w:cs="Times New Roman"/>
          <w:sz w:val="22"/>
          <w:lang w:val="en-US"/>
        </w:rPr>
      </w:pPr>
    </w:p>
    <w:p w14:paraId="7041C005" w14:textId="77777777" w:rsidR="006E7714" w:rsidRPr="006E7714" w:rsidRDefault="006E7714" w:rsidP="006E7714">
      <w:pPr>
        <w:keepNext/>
        <w:spacing w:after="0" w:line="276" w:lineRule="auto"/>
        <w:jc w:val="left"/>
        <w:rPr>
          <w:rFonts w:ascii="Arial" w:eastAsia="Times New Roman" w:hAnsi="Arial" w:cs="Times New Roman"/>
          <w:sz w:val="22"/>
          <w:lang w:val="en-US"/>
        </w:rPr>
      </w:pPr>
      <w:r w:rsidRPr="006E7714">
        <w:rPr>
          <w:rFonts w:ascii="Arial" w:eastAsia="Times New Roman" w:hAnsi="Arial" w:cs="Times New Roman"/>
          <w:sz w:val="22"/>
          <w:lang w:val="en-US"/>
        </w:rPr>
        <w:t>How old are you?</w:t>
      </w:r>
    </w:p>
    <w:p w14:paraId="25706FD6" w14:textId="77777777" w:rsidR="006E7714" w:rsidRPr="006E7714" w:rsidRDefault="006E7714" w:rsidP="006E7714">
      <w:pPr>
        <w:keepNext/>
        <w:pBdr>
          <w:top w:val="single" w:sz="4" w:space="4" w:color="CCCCCC"/>
          <w:left w:val="single" w:sz="4" w:space="4" w:color="CCCCCC"/>
          <w:bottom w:val="single" w:sz="4" w:space="4" w:color="CCCCCC"/>
          <w:right w:val="single" w:sz="4" w:space="4" w:color="CCCCCC"/>
        </w:pBdr>
        <w:spacing w:before="120" w:after="120" w:line="240" w:lineRule="auto"/>
        <w:jc w:val="left"/>
        <w:rPr>
          <w:rFonts w:ascii="Arial" w:eastAsia="Times New Roman" w:hAnsi="Arial" w:cs="Times New Roman"/>
          <w:sz w:val="22"/>
          <w:lang w:val="en-US"/>
        </w:rPr>
      </w:pPr>
      <w:r w:rsidRPr="006E7714">
        <w:rPr>
          <w:rFonts w:ascii="Arial" w:eastAsia="Times New Roman" w:hAnsi="Arial" w:cs="Times New Roman"/>
          <w:sz w:val="22"/>
          <w:lang w:val="en-US"/>
        </w:rPr>
        <w:t>▼ 18 - 24 (17) ... 85 or older (24)</w:t>
      </w:r>
    </w:p>
    <w:p w14:paraId="657F2D7F" w14:textId="77777777" w:rsidR="006E7714" w:rsidRPr="006E7714" w:rsidRDefault="006E7714" w:rsidP="006E7714">
      <w:pPr>
        <w:spacing w:after="0" w:line="276" w:lineRule="auto"/>
        <w:jc w:val="left"/>
        <w:rPr>
          <w:rFonts w:ascii="Arial" w:eastAsia="Times New Roman" w:hAnsi="Arial" w:cs="Times New Roman"/>
          <w:sz w:val="22"/>
          <w:lang w:val="en-US"/>
        </w:rPr>
      </w:pPr>
    </w:p>
    <w:p w14:paraId="5B014949" w14:textId="77777777" w:rsidR="006E7714" w:rsidRPr="006E7714" w:rsidRDefault="006E7714" w:rsidP="006E7714">
      <w:pPr>
        <w:pBdr>
          <w:top w:val="dashed" w:sz="8" w:space="0" w:color="CCCCCC"/>
        </w:pBdr>
        <w:spacing w:before="120" w:after="120" w:line="120" w:lineRule="auto"/>
        <w:jc w:val="left"/>
        <w:rPr>
          <w:rFonts w:ascii="Arial" w:eastAsia="Times New Roman" w:hAnsi="Arial" w:cs="Times New Roman"/>
          <w:sz w:val="22"/>
          <w:lang w:val="en-US"/>
        </w:rPr>
      </w:pPr>
    </w:p>
    <w:p w14:paraId="5B6561CA" w14:textId="77777777" w:rsidR="006E7714" w:rsidRPr="006E7714" w:rsidRDefault="006E7714" w:rsidP="006E7714">
      <w:pPr>
        <w:keepNext/>
        <w:spacing w:after="0" w:line="276" w:lineRule="auto"/>
        <w:jc w:val="left"/>
        <w:rPr>
          <w:rFonts w:ascii="Arial" w:eastAsia="Times New Roman" w:hAnsi="Arial" w:cs="Times New Roman"/>
          <w:sz w:val="22"/>
          <w:lang w:val="en-US"/>
        </w:rPr>
      </w:pPr>
      <w:r w:rsidRPr="006E7714">
        <w:rPr>
          <w:rFonts w:ascii="Arial" w:eastAsia="Times New Roman" w:hAnsi="Arial" w:cs="Times New Roman"/>
          <w:sz w:val="22"/>
          <w:lang w:val="en-US"/>
        </w:rPr>
        <w:br/>
        <w:t xml:space="preserve">What is your ethnic group? </w:t>
      </w:r>
      <w:r w:rsidRPr="006E7714">
        <w:rPr>
          <w:rFonts w:ascii="Arial" w:eastAsia="Times New Roman" w:hAnsi="Arial" w:cs="Times New Roman"/>
          <w:sz w:val="22"/>
          <w:lang w:val="en-US"/>
        </w:rPr>
        <w:br/>
      </w:r>
      <w:r w:rsidRPr="006E7714">
        <w:rPr>
          <w:rFonts w:ascii="Arial" w:eastAsia="Times New Roman" w:hAnsi="Arial" w:cs="Times New Roman"/>
          <w:sz w:val="22"/>
          <w:lang w:val="en-US"/>
        </w:rPr>
        <w:br/>
      </w:r>
      <w:r w:rsidRPr="006E7714">
        <w:rPr>
          <w:rFonts w:ascii="Arial" w:eastAsia="Times New Roman" w:hAnsi="Arial" w:cs="Times New Roman"/>
          <w:sz w:val="22"/>
          <w:lang w:val="en-US"/>
        </w:rPr>
        <w:lastRenderedPageBreak/>
        <w:t>Choose one option that best describes your ethnic group or background</w:t>
      </w:r>
      <w:r w:rsidRPr="006E7714">
        <w:rPr>
          <w:rFonts w:ascii="Arial" w:eastAsia="Times New Roman" w:hAnsi="Arial" w:cs="Times New Roman"/>
          <w:sz w:val="22"/>
          <w:lang w:val="en-US"/>
        </w:rPr>
        <w:br/>
      </w:r>
    </w:p>
    <w:p w14:paraId="5B656E47" w14:textId="77777777" w:rsidR="006E7714" w:rsidRPr="006E7714" w:rsidRDefault="006E7714" w:rsidP="006E7714">
      <w:pPr>
        <w:keepNext/>
        <w:numPr>
          <w:ilvl w:val="0"/>
          <w:numId w:val="32"/>
        </w:numPr>
        <w:spacing w:after="0" w:line="240" w:lineRule="auto"/>
        <w:jc w:val="left"/>
        <w:rPr>
          <w:rFonts w:ascii="Arial" w:eastAsia="Times New Roman" w:hAnsi="Arial" w:cs="Times New Roman"/>
          <w:sz w:val="22"/>
          <w:lang w:val="en-US"/>
        </w:rPr>
      </w:pPr>
      <w:r w:rsidRPr="006E7714">
        <w:rPr>
          <w:rFonts w:ascii="Arial" w:eastAsia="Times New Roman" w:hAnsi="Arial" w:cs="Times New Roman"/>
          <w:sz w:val="22"/>
          <w:lang w:val="en-US"/>
        </w:rPr>
        <w:t xml:space="preserve">White (including English/Welsh/Scottish/Northern Irish/British, Irish, Gypsy or Irish </w:t>
      </w:r>
      <w:proofErr w:type="spellStart"/>
      <w:r w:rsidRPr="006E7714">
        <w:rPr>
          <w:rFonts w:ascii="Arial" w:eastAsia="Times New Roman" w:hAnsi="Arial" w:cs="Times New Roman"/>
          <w:sz w:val="22"/>
          <w:lang w:val="en-US"/>
        </w:rPr>
        <w:t>Traveller</w:t>
      </w:r>
      <w:proofErr w:type="spellEnd"/>
      <w:r w:rsidRPr="006E7714">
        <w:rPr>
          <w:rFonts w:ascii="Arial" w:eastAsia="Times New Roman" w:hAnsi="Arial" w:cs="Times New Roman"/>
          <w:sz w:val="22"/>
          <w:lang w:val="en-US"/>
        </w:rPr>
        <w:t xml:space="preserve"> and Any other White </w:t>
      </w:r>
      <w:proofErr w:type="gramStart"/>
      <w:r w:rsidRPr="006E7714">
        <w:rPr>
          <w:rFonts w:ascii="Arial" w:eastAsia="Times New Roman" w:hAnsi="Arial" w:cs="Times New Roman"/>
          <w:sz w:val="22"/>
          <w:lang w:val="en-US"/>
        </w:rPr>
        <w:t>background)  (</w:t>
      </w:r>
      <w:proofErr w:type="gramEnd"/>
      <w:r w:rsidRPr="006E7714">
        <w:rPr>
          <w:rFonts w:ascii="Arial" w:eastAsia="Times New Roman" w:hAnsi="Arial" w:cs="Times New Roman"/>
          <w:sz w:val="22"/>
          <w:lang w:val="en-US"/>
        </w:rPr>
        <w:t xml:space="preserve">1) </w:t>
      </w:r>
    </w:p>
    <w:p w14:paraId="5D448936" w14:textId="77777777" w:rsidR="006E7714" w:rsidRPr="006E7714" w:rsidRDefault="006E7714" w:rsidP="006E7714">
      <w:pPr>
        <w:keepNext/>
        <w:numPr>
          <w:ilvl w:val="0"/>
          <w:numId w:val="32"/>
        </w:numPr>
        <w:spacing w:after="0" w:line="240" w:lineRule="auto"/>
        <w:jc w:val="left"/>
        <w:rPr>
          <w:rFonts w:ascii="Arial" w:eastAsia="Times New Roman" w:hAnsi="Arial" w:cs="Times New Roman"/>
          <w:sz w:val="22"/>
          <w:lang w:val="en-US"/>
        </w:rPr>
      </w:pPr>
      <w:r w:rsidRPr="006E7714">
        <w:rPr>
          <w:rFonts w:ascii="Arial" w:eastAsia="Times New Roman" w:hAnsi="Arial" w:cs="Times New Roman"/>
          <w:sz w:val="22"/>
          <w:lang w:val="en-US"/>
        </w:rPr>
        <w:t xml:space="preserve">Mixed/Multiple ethnic </w:t>
      </w:r>
      <w:proofErr w:type="gramStart"/>
      <w:r w:rsidRPr="006E7714">
        <w:rPr>
          <w:rFonts w:ascii="Arial" w:eastAsia="Times New Roman" w:hAnsi="Arial" w:cs="Times New Roman"/>
          <w:sz w:val="22"/>
          <w:lang w:val="en-US"/>
        </w:rPr>
        <w:t>groups  (</w:t>
      </w:r>
      <w:proofErr w:type="gramEnd"/>
      <w:r w:rsidRPr="006E7714">
        <w:rPr>
          <w:rFonts w:ascii="Arial" w:eastAsia="Times New Roman" w:hAnsi="Arial" w:cs="Times New Roman"/>
          <w:sz w:val="22"/>
          <w:lang w:val="en-US"/>
        </w:rPr>
        <w:t xml:space="preserve">2) </w:t>
      </w:r>
    </w:p>
    <w:p w14:paraId="2950BA47" w14:textId="77777777" w:rsidR="006E7714" w:rsidRPr="006E7714" w:rsidRDefault="006E7714" w:rsidP="006E7714">
      <w:pPr>
        <w:keepNext/>
        <w:numPr>
          <w:ilvl w:val="0"/>
          <w:numId w:val="32"/>
        </w:numPr>
        <w:spacing w:after="0" w:line="240" w:lineRule="auto"/>
        <w:jc w:val="left"/>
        <w:rPr>
          <w:rFonts w:ascii="Arial" w:eastAsia="Times New Roman" w:hAnsi="Arial" w:cs="Times New Roman"/>
          <w:sz w:val="22"/>
          <w:lang w:val="en-US"/>
        </w:rPr>
      </w:pPr>
      <w:r w:rsidRPr="006E7714">
        <w:rPr>
          <w:rFonts w:ascii="Arial" w:eastAsia="Times New Roman" w:hAnsi="Arial" w:cs="Times New Roman"/>
          <w:sz w:val="22"/>
          <w:lang w:val="en-US"/>
        </w:rPr>
        <w:t xml:space="preserve">Asian/Asian British (Including Indian, Pakistani, Bangladeshi, Chinese and any other Asian </w:t>
      </w:r>
      <w:proofErr w:type="gramStart"/>
      <w:r w:rsidRPr="006E7714">
        <w:rPr>
          <w:rFonts w:ascii="Arial" w:eastAsia="Times New Roman" w:hAnsi="Arial" w:cs="Times New Roman"/>
          <w:sz w:val="22"/>
          <w:lang w:val="en-US"/>
        </w:rPr>
        <w:t>background)  (</w:t>
      </w:r>
      <w:proofErr w:type="gramEnd"/>
      <w:r w:rsidRPr="006E7714">
        <w:rPr>
          <w:rFonts w:ascii="Arial" w:eastAsia="Times New Roman" w:hAnsi="Arial" w:cs="Times New Roman"/>
          <w:sz w:val="22"/>
          <w:lang w:val="en-US"/>
        </w:rPr>
        <w:t xml:space="preserve">3) </w:t>
      </w:r>
    </w:p>
    <w:p w14:paraId="19071195" w14:textId="77777777" w:rsidR="006E7714" w:rsidRPr="006E7714" w:rsidRDefault="006E7714" w:rsidP="006E7714">
      <w:pPr>
        <w:keepNext/>
        <w:numPr>
          <w:ilvl w:val="0"/>
          <w:numId w:val="32"/>
        </w:numPr>
        <w:spacing w:after="0" w:line="240" w:lineRule="auto"/>
        <w:jc w:val="left"/>
        <w:rPr>
          <w:rFonts w:ascii="Arial" w:eastAsia="Times New Roman" w:hAnsi="Arial" w:cs="Times New Roman"/>
          <w:sz w:val="22"/>
          <w:lang w:val="en-US"/>
        </w:rPr>
      </w:pPr>
      <w:r w:rsidRPr="006E7714">
        <w:rPr>
          <w:rFonts w:ascii="Arial" w:eastAsia="Times New Roman" w:hAnsi="Arial" w:cs="Times New Roman"/>
          <w:sz w:val="22"/>
          <w:lang w:val="en-US"/>
        </w:rPr>
        <w:t xml:space="preserve">Black/African/Caribbean/Black </w:t>
      </w:r>
      <w:proofErr w:type="gramStart"/>
      <w:r w:rsidRPr="006E7714">
        <w:rPr>
          <w:rFonts w:ascii="Arial" w:eastAsia="Times New Roman" w:hAnsi="Arial" w:cs="Times New Roman"/>
          <w:sz w:val="22"/>
          <w:lang w:val="en-US"/>
        </w:rPr>
        <w:t>British  (</w:t>
      </w:r>
      <w:proofErr w:type="gramEnd"/>
      <w:r w:rsidRPr="006E7714">
        <w:rPr>
          <w:rFonts w:ascii="Arial" w:eastAsia="Times New Roman" w:hAnsi="Arial" w:cs="Times New Roman"/>
          <w:sz w:val="22"/>
          <w:lang w:val="en-US"/>
        </w:rPr>
        <w:t xml:space="preserve">4) </w:t>
      </w:r>
    </w:p>
    <w:p w14:paraId="3F3A4829" w14:textId="77777777" w:rsidR="006E7714" w:rsidRPr="006E7714" w:rsidRDefault="006E7714" w:rsidP="006E7714">
      <w:pPr>
        <w:keepNext/>
        <w:numPr>
          <w:ilvl w:val="0"/>
          <w:numId w:val="32"/>
        </w:numPr>
        <w:spacing w:after="0" w:line="240" w:lineRule="auto"/>
        <w:jc w:val="left"/>
        <w:rPr>
          <w:rFonts w:ascii="Arial" w:eastAsia="Times New Roman" w:hAnsi="Arial" w:cs="Times New Roman"/>
          <w:sz w:val="22"/>
          <w:lang w:val="en-US"/>
        </w:rPr>
      </w:pPr>
      <w:r w:rsidRPr="006E7714">
        <w:rPr>
          <w:rFonts w:ascii="Arial" w:eastAsia="Times New Roman" w:hAnsi="Arial" w:cs="Times New Roman"/>
          <w:sz w:val="22"/>
          <w:lang w:val="en-US"/>
        </w:rPr>
        <w:t xml:space="preserve">Other ethnic group (please </w:t>
      </w:r>
      <w:proofErr w:type="gramStart"/>
      <w:r w:rsidRPr="006E7714">
        <w:rPr>
          <w:rFonts w:ascii="Arial" w:eastAsia="Times New Roman" w:hAnsi="Arial" w:cs="Times New Roman"/>
          <w:sz w:val="22"/>
          <w:lang w:val="en-US"/>
        </w:rPr>
        <w:t>describe)  (</w:t>
      </w:r>
      <w:proofErr w:type="gramEnd"/>
      <w:r w:rsidRPr="006E7714">
        <w:rPr>
          <w:rFonts w:ascii="Arial" w:eastAsia="Times New Roman" w:hAnsi="Arial" w:cs="Times New Roman"/>
          <w:sz w:val="22"/>
          <w:lang w:val="en-US"/>
        </w:rPr>
        <w:t>5) __________________________________________________</w:t>
      </w:r>
    </w:p>
    <w:p w14:paraId="39EF2E3A" w14:textId="77777777" w:rsidR="006E7714" w:rsidRPr="006E7714" w:rsidRDefault="006E7714" w:rsidP="006E7714">
      <w:pPr>
        <w:spacing w:after="0" w:line="276" w:lineRule="auto"/>
        <w:jc w:val="left"/>
        <w:rPr>
          <w:rFonts w:ascii="Arial" w:eastAsia="Times New Roman" w:hAnsi="Arial" w:cs="Times New Roman"/>
          <w:sz w:val="22"/>
          <w:lang w:val="en-US"/>
        </w:rPr>
      </w:pPr>
    </w:p>
    <w:p w14:paraId="27CD3F0A" w14:textId="77777777" w:rsidR="006E7714" w:rsidRPr="006E7714" w:rsidRDefault="006E7714" w:rsidP="006E7714">
      <w:pPr>
        <w:pBdr>
          <w:top w:val="dashed" w:sz="8" w:space="0" w:color="CCCCCC"/>
        </w:pBdr>
        <w:spacing w:before="120" w:after="120" w:line="120" w:lineRule="auto"/>
        <w:jc w:val="left"/>
        <w:rPr>
          <w:rFonts w:ascii="Arial" w:eastAsia="Times New Roman" w:hAnsi="Arial" w:cs="Times New Roman"/>
          <w:sz w:val="22"/>
          <w:lang w:val="en-US"/>
        </w:rPr>
      </w:pPr>
    </w:p>
    <w:p w14:paraId="07F81F8E" w14:textId="77777777" w:rsidR="006E7714" w:rsidRPr="006E7714" w:rsidRDefault="006E7714" w:rsidP="006E7714">
      <w:pPr>
        <w:spacing w:after="0" w:line="276" w:lineRule="auto"/>
        <w:jc w:val="left"/>
        <w:rPr>
          <w:rFonts w:ascii="Arial" w:eastAsia="Times New Roman" w:hAnsi="Arial" w:cs="Times New Roman"/>
          <w:sz w:val="22"/>
          <w:lang w:val="en-US"/>
        </w:rPr>
      </w:pPr>
    </w:p>
    <w:p w14:paraId="54DF318C" w14:textId="77777777" w:rsidR="006E7714" w:rsidRPr="006E7714" w:rsidRDefault="006E7714" w:rsidP="006E7714">
      <w:pPr>
        <w:keepNext/>
        <w:spacing w:after="0" w:line="276" w:lineRule="auto"/>
        <w:jc w:val="left"/>
        <w:rPr>
          <w:rFonts w:ascii="Arial" w:eastAsia="Times New Roman" w:hAnsi="Arial" w:cs="Times New Roman"/>
          <w:sz w:val="22"/>
          <w:lang w:val="en-US"/>
        </w:rPr>
      </w:pPr>
      <w:r w:rsidRPr="006E7714">
        <w:rPr>
          <w:rFonts w:ascii="Arial" w:eastAsia="Times New Roman" w:hAnsi="Arial" w:cs="Times New Roman"/>
          <w:sz w:val="22"/>
          <w:lang w:val="en-US"/>
        </w:rPr>
        <w:t>How much time did you spend outdoor as a child?</w:t>
      </w:r>
    </w:p>
    <w:p w14:paraId="117CB316" w14:textId="77777777" w:rsidR="006E7714" w:rsidRPr="006E7714" w:rsidRDefault="006E7714" w:rsidP="006E7714">
      <w:pPr>
        <w:keepNext/>
        <w:numPr>
          <w:ilvl w:val="0"/>
          <w:numId w:val="32"/>
        </w:numPr>
        <w:spacing w:after="0" w:line="240" w:lineRule="auto"/>
        <w:jc w:val="left"/>
        <w:rPr>
          <w:rFonts w:ascii="Arial" w:eastAsia="Times New Roman" w:hAnsi="Arial" w:cs="Times New Roman"/>
          <w:sz w:val="22"/>
          <w:lang w:val="en-US"/>
        </w:rPr>
      </w:pPr>
      <w:r w:rsidRPr="006E7714">
        <w:rPr>
          <w:rFonts w:ascii="Arial" w:eastAsia="Times New Roman" w:hAnsi="Arial" w:cs="Times New Roman"/>
          <w:sz w:val="22"/>
          <w:lang w:val="en-US"/>
        </w:rPr>
        <w:t xml:space="preserve">A </w:t>
      </w:r>
      <w:proofErr w:type="gramStart"/>
      <w:r w:rsidRPr="006E7714">
        <w:rPr>
          <w:rFonts w:ascii="Arial" w:eastAsia="Times New Roman" w:hAnsi="Arial" w:cs="Times New Roman"/>
          <w:sz w:val="22"/>
          <w:lang w:val="en-US"/>
        </w:rPr>
        <w:t>lot  (</w:t>
      </w:r>
      <w:proofErr w:type="gramEnd"/>
      <w:r w:rsidRPr="006E7714">
        <w:rPr>
          <w:rFonts w:ascii="Arial" w:eastAsia="Times New Roman" w:hAnsi="Arial" w:cs="Times New Roman"/>
          <w:sz w:val="22"/>
          <w:lang w:val="en-US"/>
        </w:rPr>
        <w:t xml:space="preserve">1) </w:t>
      </w:r>
    </w:p>
    <w:p w14:paraId="77EF03B1" w14:textId="77777777" w:rsidR="006E7714" w:rsidRPr="006E7714" w:rsidRDefault="006E7714" w:rsidP="006E7714">
      <w:pPr>
        <w:keepNext/>
        <w:numPr>
          <w:ilvl w:val="0"/>
          <w:numId w:val="32"/>
        </w:numPr>
        <w:spacing w:after="0" w:line="240" w:lineRule="auto"/>
        <w:jc w:val="left"/>
        <w:rPr>
          <w:rFonts w:ascii="Arial" w:eastAsia="Times New Roman" w:hAnsi="Arial" w:cs="Times New Roman"/>
          <w:sz w:val="22"/>
          <w:lang w:val="en-US"/>
        </w:rPr>
      </w:pPr>
      <w:r w:rsidRPr="006E7714">
        <w:rPr>
          <w:rFonts w:ascii="Arial" w:eastAsia="Times New Roman" w:hAnsi="Arial" w:cs="Times New Roman"/>
          <w:sz w:val="22"/>
          <w:lang w:val="en-US"/>
        </w:rPr>
        <w:t xml:space="preserve">A moderate </w:t>
      </w:r>
      <w:proofErr w:type="gramStart"/>
      <w:r w:rsidRPr="006E7714">
        <w:rPr>
          <w:rFonts w:ascii="Arial" w:eastAsia="Times New Roman" w:hAnsi="Arial" w:cs="Times New Roman"/>
          <w:sz w:val="22"/>
          <w:lang w:val="en-US"/>
        </w:rPr>
        <w:t>amount  (</w:t>
      </w:r>
      <w:proofErr w:type="gramEnd"/>
      <w:r w:rsidRPr="006E7714">
        <w:rPr>
          <w:rFonts w:ascii="Arial" w:eastAsia="Times New Roman" w:hAnsi="Arial" w:cs="Times New Roman"/>
          <w:sz w:val="22"/>
          <w:lang w:val="en-US"/>
        </w:rPr>
        <w:t xml:space="preserve">2) </w:t>
      </w:r>
    </w:p>
    <w:p w14:paraId="276DA00D" w14:textId="77777777" w:rsidR="006E7714" w:rsidRPr="006E7714" w:rsidRDefault="006E7714" w:rsidP="006E7714">
      <w:pPr>
        <w:keepNext/>
        <w:numPr>
          <w:ilvl w:val="0"/>
          <w:numId w:val="32"/>
        </w:numPr>
        <w:spacing w:after="0" w:line="240" w:lineRule="auto"/>
        <w:jc w:val="left"/>
        <w:rPr>
          <w:rFonts w:ascii="Arial" w:eastAsia="Times New Roman" w:hAnsi="Arial" w:cs="Times New Roman"/>
          <w:sz w:val="22"/>
          <w:lang w:val="en-US"/>
        </w:rPr>
      </w:pPr>
      <w:r w:rsidRPr="006E7714">
        <w:rPr>
          <w:rFonts w:ascii="Arial" w:eastAsia="Times New Roman" w:hAnsi="Arial" w:cs="Times New Roman"/>
          <w:sz w:val="22"/>
          <w:lang w:val="en-US"/>
        </w:rPr>
        <w:t xml:space="preserve">A </w:t>
      </w:r>
      <w:proofErr w:type="gramStart"/>
      <w:r w:rsidRPr="006E7714">
        <w:rPr>
          <w:rFonts w:ascii="Arial" w:eastAsia="Times New Roman" w:hAnsi="Arial" w:cs="Times New Roman"/>
          <w:sz w:val="22"/>
          <w:lang w:val="en-US"/>
        </w:rPr>
        <w:t>little  (</w:t>
      </w:r>
      <w:proofErr w:type="gramEnd"/>
      <w:r w:rsidRPr="006E7714">
        <w:rPr>
          <w:rFonts w:ascii="Arial" w:eastAsia="Times New Roman" w:hAnsi="Arial" w:cs="Times New Roman"/>
          <w:sz w:val="22"/>
          <w:lang w:val="en-US"/>
        </w:rPr>
        <w:t xml:space="preserve">3) </w:t>
      </w:r>
    </w:p>
    <w:p w14:paraId="33A1EB37" w14:textId="77777777" w:rsidR="006E7714" w:rsidRPr="006E7714" w:rsidRDefault="006E7714" w:rsidP="006E7714">
      <w:pPr>
        <w:keepNext/>
        <w:numPr>
          <w:ilvl w:val="0"/>
          <w:numId w:val="32"/>
        </w:numPr>
        <w:spacing w:after="0" w:line="240" w:lineRule="auto"/>
        <w:jc w:val="left"/>
        <w:rPr>
          <w:rFonts w:ascii="Arial" w:eastAsia="Times New Roman" w:hAnsi="Arial" w:cs="Times New Roman"/>
          <w:sz w:val="22"/>
          <w:lang w:val="en-US"/>
        </w:rPr>
      </w:pPr>
      <w:r w:rsidRPr="006E7714">
        <w:rPr>
          <w:rFonts w:ascii="Arial" w:eastAsia="Times New Roman" w:hAnsi="Arial" w:cs="Times New Roman"/>
          <w:sz w:val="22"/>
          <w:lang w:val="en-US"/>
        </w:rPr>
        <w:t xml:space="preserve">None at </w:t>
      </w:r>
      <w:proofErr w:type="gramStart"/>
      <w:r w:rsidRPr="006E7714">
        <w:rPr>
          <w:rFonts w:ascii="Arial" w:eastAsia="Times New Roman" w:hAnsi="Arial" w:cs="Times New Roman"/>
          <w:sz w:val="22"/>
          <w:lang w:val="en-US"/>
        </w:rPr>
        <w:t>all  (</w:t>
      </w:r>
      <w:proofErr w:type="gramEnd"/>
      <w:r w:rsidRPr="006E7714">
        <w:rPr>
          <w:rFonts w:ascii="Arial" w:eastAsia="Times New Roman" w:hAnsi="Arial" w:cs="Times New Roman"/>
          <w:sz w:val="22"/>
          <w:lang w:val="en-US"/>
        </w:rPr>
        <w:t xml:space="preserve">4) </w:t>
      </w:r>
    </w:p>
    <w:p w14:paraId="65C9644F" w14:textId="77777777" w:rsidR="006E7714" w:rsidRPr="006E7714" w:rsidRDefault="006E7714" w:rsidP="006E7714">
      <w:pPr>
        <w:spacing w:after="0" w:line="276" w:lineRule="auto"/>
        <w:jc w:val="left"/>
        <w:rPr>
          <w:rFonts w:ascii="Arial" w:eastAsia="Times New Roman" w:hAnsi="Arial" w:cs="Times New Roman"/>
          <w:sz w:val="22"/>
          <w:lang w:val="en-US"/>
        </w:rPr>
      </w:pPr>
    </w:p>
    <w:p w14:paraId="7A1A27E7" w14:textId="77777777" w:rsidR="006E7714" w:rsidRPr="006E7714" w:rsidRDefault="006E7714" w:rsidP="006E7714">
      <w:pPr>
        <w:spacing w:before="120" w:after="0" w:line="240" w:lineRule="auto"/>
        <w:jc w:val="left"/>
        <w:rPr>
          <w:rFonts w:ascii="Arial" w:eastAsia="Times New Roman" w:hAnsi="Arial" w:cs="Times New Roman"/>
          <w:b/>
          <w:color w:val="CCCCCC"/>
          <w:sz w:val="22"/>
          <w:lang w:val="en-US"/>
        </w:rPr>
      </w:pPr>
      <w:r w:rsidRPr="006E7714">
        <w:rPr>
          <w:rFonts w:ascii="Arial" w:eastAsia="Times New Roman" w:hAnsi="Arial" w:cs="Times New Roman"/>
          <w:b/>
          <w:color w:val="CCCCCC"/>
          <w:sz w:val="22"/>
          <w:lang w:val="en-US"/>
        </w:rPr>
        <w:t>End of Block: Demographic questions</w:t>
      </w:r>
    </w:p>
    <w:p w14:paraId="5879B6C3" w14:textId="77777777" w:rsidR="006E7714" w:rsidRPr="006E7714" w:rsidRDefault="006E7714" w:rsidP="006E7714">
      <w:pPr>
        <w:pBdr>
          <w:bottom w:val="single" w:sz="8" w:space="0" w:color="CCCCCC"/>
        </w:pBdr>
        <w:spacing w:after="0" w:line="120" w:lineRule="auto"/>
        <w:jc w:val="center"/>
        <w:rPr>
          <w:rFonts w:ascii="Arial" w:eastAsia="Times New Roman" w:hAnsi="Arial" w:cs="Times New Roman"/>
          <w:b/>
          <w:color w:val="CCCCCC"/>
          <w:sz w:val="22"/>
          <w:lang w:val="en-US"/>
        </w:rPr>
      </w:pPr>
    </w:p>
    <w:p w14:paraId="50653BC4" w14:textId="77777777" w:rsidR="006E7714" w:rsidRPr="006E7714" w:rsidRDefault="006E7714" w:rsidP="006E7714">
      <w:pPr>
        <w:spacing w:before="120" w:after="120" w:line="240" w:lineRule="auto"/>
        <w:jc w:val="left"/>
        <w:rPr>
          <w:rFonts w:ascii="Arial" w:eastAsia="Times New Roman" w:hAnsi="Arial" w:cs="Times New Roman"/>
          <w:b/>
          <w:color w:val="CCCCCC"/>
          <w:sz w:val="22"/>
          <w:lang w:val="en-US"/>
        </w:rPr>
      </w:pPr>
      <w:r w:rsidRPr="006E7714">
        <w:rPr>
          <w:rFonts w:ascii="Arial" w:eastAsia="Times New Roman" w:hAnsi="Arial" w:cs="Times New Roman"/>
          <w:b/>
          <w:color w:val="CCCCCC"/>
          <w:sz w:val="22"/>
          <w:lang w:val="en-US"/>
        </w:rPr>
        <w:t>Start of Block: Panas baseline</w:t>
      </w:r>
    </w:p>
    <w:tbl>
      <w:tblPr>
        <w:tblStyle w:val="QQuestionIconTable"/>
        <w:tblW w:w="50" w:type="auto"/>
        <w:tblLook w:val="07E0" w:firstRow="1" w:lastRow="1" w:firstColumn="1" w:lastColumn="1" w:noHBand="1" w:noVBand="1"/>
      </w:tblPr>
      <w:tblGrid>
        <w:gridCol w:w="380"/>
      </w:tblGrid>
      <w:tr w:rsidR="006E7714" w:rsidRPr="006E7714" w14:paraId="22BF7350" w14:textId="77777777" w:rsidTr="00B9053E">
        <w:tc>
          <w:tcPr>
            <w:tcW w:w="50" w:type="dxa"/>
          </w:tcPr>
          <w:p w14:paraId="56B2C1BE" w14:textId="77777777" w:rsidR="006E7714" w:rsidRPr="006E7714" w:rsidRDefault="006E7714" w:rsidP="006E7714">
            <w:pPr>
              <w:keepNext/>
              <w:spacing w:line="240" w:lineRule="auto"/>
              <w:jc w:val="center"/>
              <w:rPr>
                <w:rFonts w:ascii="Arial" w:eastAsia="Times New Roman" w:hAnsi="Arial" w:cs="Times New Roman"/>
                <w:sz w:val="22"/>
                <w:lang w:val="en-US"/>
              </w:rPr>
            </w:pPr>
            <w:r w:rsidRPr="006E7714">
              <w:rPr>
                <w:rFonts w:ascii="Arial" w:eastAsia="Times New Roman" w:hAnsi="Arial" w:cs="Times New Roman"/>
                <w:noProof/>
                <w:sz w:val="22"/>
                <w:lang w:val="en-US"/>
              </w:rPr>
              <w:drawing>
                <wp:inline distT="0" distB="0" distL="0" distR="0" wp14:anchorId="70F10717" wp14:editId="69A9ED4C">
                  <wp:extent cx="228600" cy="228600"/>
                  <wp:effectExtent l="0" t="0" r="0" b="0"/>
                  <wp:docPr id="1022505282" name="WordQuestionRandomiza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WordQuestionRandomization.png"/>
                          <pic:cNvPicPr/>
                        </pic:nvPicPr>
                        <pic:blipFill>
                          <a:blip r:embed="rId68"/>
                          <a:stretch>
                            <a:fillRect/>
                          </a:stretch>
                        </pic:blipFill>
                        <pic:spPr>
                          <a:xfrm>
                            <a:off x="0" y="0"/>
                            <a:ext cx="228600" cy="228600"/>
                          </a:xfrm>
                          <a:prstGeom prst="rect">
                            <a:avLst/>
                          </a:prstGeom>
                        </pic:spPr>
                      </pic:pic>
                    </a:graphicData>
                  </a:graphic>
                </wp:inline>
              </w:drawing>
            </w:r>
          </w:p>
        </w:tc>
      </w:tr>
    </w:tbl>
    <w:p w14:paraId="25B77D03" w14:textId="77777777" w:rsidR="006E7714" w:rsidRPr="006E7714" w:rsidRDefault="006E7714" w:rsidP="006E7714">
      <w:pPr>
        <w:spacing w:after="0" w:line="276" w:lineRule="auto"/>
        <w:jc w:val="left"/>
        <w:rPr>
          <w:rFonts w:ascii="Arial" w:eastAsia="Times New Roman" w:hAnsi="Arial" w:cs="Times New Roman"/>
          <w:sz w:val="22"/>
          <w:lang w:val="en-US"/>
        </w:rPr>
      </w:pPr>
    </w:p>
    <w:p w14:paraId="0B43915E" w14:textId="77777777" w:rsidR="006E7714" w:rsidRPr="006E7714" w:rsidRDefault="006E7714" w:rsidP="006E7714">
      <w:pPr>
        <w:keepNext/>
        <w:spacing w:after="0" w:line="276" w:lineRule="auto"/>
        <w:jc w:val="left"/>
        <w:rPr>
          <w:rFonts w:ascii="Arial" w:eastAsia="Times New Roman" w:hAnsi="Arial" w:cs="Times New Roman"/>
          <w:sz w:val="22"/>
          <w:lang w:val="en-US"/>
        </w:rPr>
      </w:pPr>
      <w:r w:rsidRPr="006E7714">
        <w:rPr>
          <w:rFonts w:ascii="Arial" w:eastAsia="Times New Roman" w:hAnsi="Arial" w:cs="Times New Roman"/>
          <w:sz w:val="22"/>
          <w:lang w:val="en-US"/>
        </w:rPr>
        <w:lastRenderedPageBreak/>
        <w:t>Please rate according to how you feel RIGHT NOW. You should answer this quickly based on your first instincts</w:t>
      </w:r>
    </w:p>
    <w:tbl>
      <w:tblPr>
        <w:tblStyle w:val="QQuestionTable3"/>
        <w:tblW w:w="9576" w:type="auto"/>
        <w:tblLook w:val="07E0" w:firstRow="1" w:lastRow="1" w:firstColumn="1" w:lastColumn="1" w:noHBand="1" w:noVBand="1"/>
      </w:tblPr>
      <w:tblGrid>
        <w:gridCol w:w="1596"/>
        <w:gridCol w:w="1596"/>
        <w:gridCol w:w="1596"/>
        <w:gridCol w:w="1596"/>
        <w:gridCol w:w="1596"/>
        <w:gridCol w:w="1596"/>
      </w:tblGrid>
      <w:tr w:rsidR="006E7714" w:rsidRPr="006E7714" w14:paraId="2AC6A933" w14:textId="77777777" w:rsidTr="00B9053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96" w:type="dxa"/>
          </w:tcPr>
          <w:p w14:paraId="3A2C7C3F" w14:textId="77777777" w:rsidR="006E7714" w:rsidRPr="006E7714" w:rsidRDefault="006E7714" w:rsidP="006E7714">
            <w:pPr>
              <w:keepNext/>
              <w:spacing w:line="240" w:lineRule="auto"/>
              <w:jc w:val="center"/>
              <w:rPr>
                <w:rFonts w:ascii="Arial" w:hAnsi="Arial" w:cs="Times New Roman"/>
                <w:sz w:val="22"/>
                <w:lang w:val="en-US"/>
              </w:rPr>
            </w:pPr>
          </w:p>
        </w:tc>
        <w:tc>
          <w:tcPr>
            <w:tcW w:w="1596" w:type="dxa"/>
          </w:tcPr>
          <w:p w14:paraId="57A74019" w14:textId="77777777" w:rsidR="006E7714" w:rsidRPr="006E7714" w:rsidRDefault="006E7714" w:rsidP="006E7714">
            <w:pPr>
              <w:spacing w:line="240" w:lineRule="auto"/>
              <w:jc w:val="center"/>
              <w:cnfStyle w:val="100000000000" w:firstRow="1" w:lastRow="0" w:firstColumn="0" w:lastColumn="0" w:oddVBand="0" w:evenVBand="0" w:oddHBand="0" w:evenHBand="0" w:firstRowFirstColumn="0" w:firstRowLastColumn="0" w:lastRowFirstColumn="0" w:lastRowLastColumn="0"/>
              <w:rPr>
                <w:rFonts w:ascii="Arial" w:hAnsi="Arial" w:cs="Times New Roman"/>
                <w:sz w:val="22"/>
                <w:lang w:val="en-US"/>
              </w:rPr>
            </w:pPr>
            <w:r w:rsidRPr="006E7714">
              <w:rPr>
                <w:rFonts w:ascii="Arial" w:hAnsi="Arial" w:cs="Times New Roman"/>
                <w:sz w:val="22"/>
                <w:lang w:val="en-US"/>
              </w:rPr>
              <w:t>Not at all (1)</w:t>
            </w:r>
          </w:p>
        </w:tc>
        <w:tc>
          <w:tcPr>
            <w:tcW w:w="1596" w:type="dxa"/>
          </w:tcPr>
          <w:p w14:paraId="4652D64C" w14:textId="77777777" w:rsidR="006E7714" w:rsidRPr="006E7714" w:rsidRDefault="006E7714" w:rsidP="006E7714">
            <w:pPr>
              <w:spacing w:line="240" w:lineRule="auto"/>
              <w:jc w:val="center"/>
              <w:cnfStyle w:val="100000000000" w:firstRow="1" w:lastRow="0" w:firstColumn="0" w:lastColumn="0" w:oddVBand="0" w:evenVBand="0" w:oddHBand="0" w:evenHBand="0" w:firstRowFirstColumn="0" w:firstRowLastColumn="0" w:lastRowFirstColumn="0" w:lastRowLastColumn="0"/>
              <w:rPr>
                <w:rFonts w:ascii="Arial" w:hAnsi="Arial" w:cs="Times New Roman"/>
                <w:sz w:val="22"/>
                <w:lang w:val="en-US"/>
              </w:rPr>
            </w:pPr>
            <w:r w:rsidRPr="006E7714">
              <w:rPr>
                <w:rFonts w:ascii="Arial" w:hAnsi="Arial" w:cs="Times New Roman"/>
                <w:sz w:val="22"/>
                <w:lang w:val="en-US"/>
              </w:rPr>
              <w:t>A little (2)</w:t>
            </w:r>
          </w:p>
        </w:tc>
        <w:tc>
          <w:tcPr>
            <w:tcW w:w="1596" w:type="dxa"/>
          </w:tcPr>
          <w:p w14:paraId="72F40BEE" w14:textId="77777777" w:rsidR="006E7714" w:rsidRPr="006E7714" w:rsidRDefault="006E7714" w:rsidP="006E7714">
            <w:pPr>
              <w:spacing w:line="240" w:lineRule="auto"/>
              <w:jc w:val="center"/>
              <w:cnfStyle w:val="100000000000" w:firstRow="1" w:lastRow="0" w:firstColumn="0" w:lastColumn="0" w:oddVBand="0" w:evenVBand="0" w:oddHBand="0" w:evenHBand="0" w:firstRowFirstColumn="0" w:firstRowLastColumn="0" w:lastRowFirstColumn="0" w:lastRowLastColumn="0"/>
              <w:rPr>
                <w:rFonts w:ascii="Arial" w:hAnsi="Arial" w:cs="Times New Roman"/>
                <w:sz w:val="22"/>
                <w:lang w:val="en-US"/>
              </w:rPr>
            </w:pPr>
            <w:r w:rsidRPr="006E7714">
              <w:rPr>
                <w:rFonts w:ascii="Arial" w:hAnsi="Arial" w:cs="Times New Roman"/>
                <w:sz w:val="22"/>
                <w:lang w:val="en-US"/>
              </w:rPr>
              <w:t>Moderately (3)</w:t>
            </w:r>
          </w:p>
        </w:tc>
        <w:tc>
          <w:tcPr>
            <w:tcW w:w="1596" w:type="dxa"/>
          </w:tcPr>
          <w:p w14:paraId="177AA000" w14:textId="77777777" w:rsidR="006E7714" w:rsidRPr="006E7714" w:rsidRDefault="006E7714" w:rsidP="006E7714">
            <w:pPr>
              <w:spacing w:line="240" w:lineRule="auto"/>
              <w:jc w:val="center"/>
              <w:cnfStyle w:val="100000000000" w:firstRow="1" w:lastRow="0" w:firstColumn="0" w:lastColumn="0" w:oddVBand="0" w:evenVBand="0" w:oddHBand="0" w:evenHBand="0" w:firstRowFirstColumn="0" w:firstRowLastColumn="0" w:lastRowFirstColumn="0" w:lastRowLastColumn="0"/>
              <w:rPr>
                <w:rFonts w:ascii="Arial" w:hAnsi="Arial" w:cs="Times New Roman"/>
                <w:sz w:val="22"/>
                <w:lang w:val="en-US"/>
              </w:rPr>
            </w:pPr>
            <w:r w:rsidRPr="006E7714">
              <w:rPr>
                <w:rFonts w:ascii="Arial" w:hAnsi="Arial" w:cs="Times New Roman"/>
                <w:sz w:val="22"/>
                <w:lang w:val="en-US"/>
              </w:rPr>
              <w:t>Quite a bit (4)</w:t>
            </w:r>
          </w:p>
        </w:tc>
        <w:tc>
          <w:tcPr>
            <w:tcW w:w="1596" w:type="dxa"/>
          </w:tcPr>
          <w:p w14:paraId="5658E143" w14:textId="77777777" w:rsidR="006E7714" w:rsidRPr="006E7714" w:rsidRDefault="006E7714" w:rsidP="006E7714">
            <w:pPr>
              <w:spacing w:line="240" w:lineRule="auto"/>
              <w:jc w:val="center"/>
              <w:cnfStyle w:val="100000000000" w:firstRow="1" w:lastRow="0" w:firstColumn="0" w:lastColumn="0" w:oddVBand="0" w:evenVBand="0" w:oddHBand="0" w:evenHBand="0" w:firstRowFirstColumn="0" w:firstRowLastColumn="0" w:lastRowFirstColumn="0" w:lastRowLastColumn="0"/>
              <w:rPr>
                <w:rFonts w:ascii="Arial" w:hAnsi="Arial" w:cs="Times New Roman"/>
                <w:sz w:val="22"/>
                <w:lang w:val="en-US"/>
              </w:rPr>
            </w:pPr>
            <w:r w:rsidRPr="006E7714">
              <w:rPr>
                <w:rFonts w:ascii="Arial" w:hAnsi="Arial" w:cs="Times New Roman"/>
                <w:sz w:val="22"/>
                <w:lang w:val="en-US"/>
              </w:rPr>
              <w:t>Extremely (5)</w:t>
            </w:r>
          </w:p>
        </w:tc>
      </w:tr>
      <w:tr w:rsidR="006E7714" w:rsidRPr="006E7714" w14:paraId="7C85DEF3" w14:textId="77777777" w:rsidTr="00B9053E">
        <w:tc>
          <w:tcPr>
            <w:cnfStyle w:val="001000000000" w:firstRow="0" w:lastRow="0" w:firstColumn="1" w:lastColumn="0" w:oddVBand="0" w:evenVBand="0" w:oddHBand="0" w:evenHBand="0" w:firstRowFirstColumn="0" w:firstRowLastColumn="0" w:lastRowFirstColumn="0" w:lastRowLastColumn="0"/>
            <w:tcW w:w="1596" w:type="dxa"/>
          </w:tcPr>
          <w:p w14:paraId="2255C58C" w14:textId="77777777" w:rsidR="006E7714" w:rsidRPr="006E7714" w:rsidRDefault="006E7714" w:rsidP="006E7714">
            <w:pPr>
              <w:keepNext/>
              <w:spacing w:line="240" w:lineRule="auto"/>
              <w:jc w:val="center"/>
              <w:rPr>
                <w:rFonts w:ascii="Arial" w:hAnsi="Arial" w:cs="Times New Roman"/>
                <w:sz w:val="22"/>
                <w:lang w:val="en-US"/>
              </w:rPr>
            </w:pPr>
            <w:r w:rsidRPr="006E7714">
              <w:rPr>
                <w:rFonts w:ascii="Arial" w:hAnsi="Arial" w:cs="Times New Roman"/>
                <w:sz w:val="22"/>
                <w:lang w:val="en-US"/>
              </w:rPr>
              <w:t xml:space="preserve">Afraid (1) </w:t>
            </w:r>
          </w:p>
        </w:tc>
        <w:tc>
          <w:tcPr>
            <w:tcW w:w="1596" w:type="dxa"/>
          </w:tcPr>
          <w:p w14:paraId="4F88524B" w14:textId="77777777" w:rsidR="006E7714" w:rsidRPr="006E7714" w:rsidRDefault="006E7714" w:rsidP="006E7714">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3BC9D732" w14:textId="77777777" w:rsidR="006E7714" w:rsidRPr="006E7714" w:rsidRDefault="006E7714" w:rsidP="006E7714">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49516BBC" w14:textId="77777777" w:rsidR="006E7714" w:rsidRPr="006E7714" w:rsidRDefault="006E7714" w:rsidP="006E7714">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539EEB94" w14:textId="77777777" w:rsidR="006E7714" w:rsidRPr="006E7714" w:rsidRDefault="006E7714" w:rsidP="006E7714">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12C07645" w14:textId="77777777" w:rsidR="006E7714" w:rsidRPr="006E7714" w:rsidRDefault="006E7714" w:rsidP="006E7714">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r>
      <w:tr w:rsidR="006E7714" w:rsidRPr="006E7714" w14:paraId="636B9F5A" w14:textId="77777777" w:rsidTr="00B9053E">
        <w:tc>
          <w:tcPr>
            <w:cnfStyle w:val="001000000000" w:firstRow="0" w:lastRow="0" w:firstColumn="1" w:lastColumn="0" w:oddVBand="0" w:evenVBand="0" w:oddHBand="0" w:evenHBand="0" w:firstRowFirstColumn="0" w:firstRowLastColumn="0" w:lastRowFirstColumn="0" w:lastRowLastColumn="0"/>
            <w:tcW w:w="1596" w:type="dxa"/>
          </w:tcPr>
          <w:p w14:paraId="36C6FEB9" w14:textId="77777777" w:rsidR="006E7714" w:rsidRPr="006E7714" w:rsidRDefault="006E7714" w:rsidP="006E7714">
            <w:pPr>
              <w:keepNext/>
              <w:spacing w:line="240" w:lineRule="auto"/>
              <w:jc w:val="center"/>
              <w:rPr>
                <w:rFonts w:ascii="Arial" w:hAnsi="Arial" w:cs="Times New Roman"/>
                <w:sz w:val="22"/>
                <w:lang w:val="en-US"/>
              </w:rPr>
            </w:pPr>
            <w:r w:rsidRPr="006E7714">
              <w:rPr>
                <w:rFonts w:ascii="Arial" w:hAnsi="Arial" w:cs="Times New Roman"/>
                <w:sz w:val="22"/>
                <w:lang w:val="en-US"/>
              </w:rPr>
              <w:t xml:space="preserve">Upset (2) </w:t>
            </w:r>
          </w:p>
        </w:tc>
        <w:tc>
          <w:tcPr>
            <w:tcW w:w="1596" w:type="dxa"/>
          </w:tcPr>
          <w:p w14:paraId="0B26CF29" w14:textId="77777777" w:rsidR="006E7714" w:rsidRPr="006E7714" w:rsidRDefault="006E7714" w:rsidP="006E7714">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6AE6041A" w14:textId="77777777" w:rsidR="006E7714" w:rsidRPr="006E7714" w:rsidRDefault="006E7714" w:rsidP="006E7714">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153839BB" w14:textId="77777777" w:rsidR="006E7714" w:rsidRPr="006E7714" w:rsidRDefault="006E7714" w:rsidP="006E7714">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290B7E25" w14:textId="77777777" w:rsidR="006E7714" w:rsidRPr="006E7714" w:rsidRDefault="006E7714" w:rsidP="006E7714">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38F328A9" w14:textId="77777777" w:rsidR="006E7714" w:rsidRPr="006E7714" w:rsidRDefault="006E7714" w:rsidP="006E7714">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r>
      <w:tr w:rsidR="006E7714" w:rsidRPr="006E7714" w14:paraId="5AD81186" w14:textId="77777777" w:rsidTr="00B9053E">
        <w:tc>
          <w:tcPr>
            <w:cnfStyle w:val="001000000000" w:firstRow="0" w:lastRow="0" w:firstColumn="1" w:lastColumn="0" w:oddVBand="0" w:evenVBand="0" w:oddHBand="0" w:evenHBand="0" w:firstRowFirstColumn="0" w:firstRowLastColumn="0" w:lastRowFirstColumn="0" w:lastRowLastColumn="0"/>
            <w:tcW w:w="1596" w:type="dxa"/>
          </w:tcPr>
          <w:p w14:paraId="32CD363C" w14:textId="77777777" w:rsidR="006E7714" w:rsidRPr="006E7714" w:rsidRDefault="006E7714" w:rsidP="006E7714">
            <w:pPr>
              <w:keepNext/>
              <w:spacing w:line="240" w:lineRule="auto"/>
              <w:jc w:val="center"/>
              <w:rPr>
                <w:rFonts w:ascii="Arial" w:hAnsi="Arial" w:cs="Times New Roman"/>
                <w:sz w:val="22"/>
                <w:lang w:val="en-US"/>
              </w:rPr>
            </w:pPr>
            <w:r w:rsidRPr="006E7714">
              <w:rPr>
                <w:rFonts w:ascii="Arial" w:hAnsi="Arial" w:cs="Times New Roman"/>
                <w:sz w:val="22"/>
                <w:lang w:val="en-US"/>
              </w:rPr>
              <w:t xml:space="preserve">Hostile (3) </w:t>
            </w:r>
          </w:p>
        </w:tc>
        <w:tc>
          <w:tcPr>
            <w:tcW w:w="1596" w:type="dxa"/>
          </w:tcPr>
          <w:p w14:paraId="05A65CEA" w14:textId="77777777" w:rsidR="006E7714" w:rsidRPr="006E7714" w:rsidRDefault="006E7714" w:rsidP="006E7714">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5A472A90" w14:textId="77777777" w:rsidR="006E7714" w:rsidRPr="006E7714" w:rsidRDefault="006E7714" w:rsidP="006E7714">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7738C0EF" w14:textId="77777777" w:rsidR="006E7714" w:rsidRPr="006E7714" w:rsidRDefault="006E7714" w:rsidP="006E7714">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574E7CDF" w14:textId="77777777" w:rsidR="006E7714" w:rsidRPr="006E7714" w:rsidRDefault="006E7714" w:rsidP="006E7714">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79194E26" w14:textId="77777777" w:rsidR="006E7714" w:rsidRPr="006E7714" w:rsidRDefault="006E7714" w:rsidP="006E7714">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r>
      <w:tr w:rsidR="006E7714" w:rsidRPr="006E7714" w14:paraId="7E11BD1C" w14:textId="77777777" w:rsidTr="00B9053E">
        <w:tc>
          <w:tcPr>
            <w:cnfStyle w:val="001000000000" w:firstRow="0" w:lastRow="0" w:firstColumn="1" w:lastColumn="0" w:oddVBand="0" w:evenVBand="0" w:oddHBand="0" w:evenHBand="0" w:firstRowFirstColumn="0" w:firstRowLastColumn="0" w:lastRowFirstColumn="0" w:lastRowLastColumn="0"/>
            <w:tcW w:w="1596" w:type="dxa"/>
          </w:tcPr>
          <w:p w14:paraId="2E251620" w14:textId="77777777" w:rsidR="006E7714" w:rsidRPr="006E7714" w:rsidRDefault="006E7714" w:rsidP="006E7714">
            <w:pPr>
              <w:keepNext/>
              <w:spacing w:line="240" w:lineRule="auto"/>
              <w:jc w:val="center"/>
              <w:rPr>
                <w:rFonts w:ascii="Arial" w:hAnsi="Arial" w:cs="Times New Roman"/>
                <w:sz w:val="22"/>
                <w:lang w:val="en-US"/>
              </w:rPr>
            </w:pPr>
            <w:r w:rsidRPr="006E7714">
              <w:rPr>
                <w:rFonts w:ascii="Arial" w:hAnsi="Arial" w:cs="Times New Roman"/>
                <w:sz w:val="22"/>
                <w:lang w:val="en-US"/>
              </w:rPr>
              <w:t xml:space="preserve">Ashamed (4) </w:t>
            </w:r>
          </w:p>
        </w:tc>
        <w:tc>
          <w:tcPr>
            <w:tcW w:w="1596" w:type="dxa"/>
          </w:tcPr>
          <w:p w14:paraId="5FCE984C" w14:textId="77777777" w:rsidR="006E7714" w:rsidRPr="006E7714" w:rsidRDefault="006E7714" w:rsidP="006E7714">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13B5912D" w14:textId="77777777" w:rsidR="006E7714" w:rsidRPr="006E7714" w:rsidRDefault="006E7714" w:rsidP="006E7714">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378F1E99" w14:textId="77777777" w:rsidR="006E7714" w:rsidRPr="006E7714" w:rsidRDefault="006E7714" w:rsidP="006E7714">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0895B6B7" w14:textId="77777777" w:rsidR="006E7714" w:rsidRPr="006E7714" w:rsidRDefault="006E7714" w:rsidP="006E7714">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728F49DE" w14:textId="77777777" w:rsidR="006E7714" w:rsidRPr="006E7714" w:rsidRDefault="006E7714" w:rsidP="006E7714">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r>
      <w:tr w:rsidR="006E7714" w:rsidRPr="006E7714" w14:paraId="70C2306B" w14:textId="77777777" w:rsidTr="00B9053E">
        <w:tc>
          <w:tcPr>
            <w:cnfStyle w:val="001000000000" w:firstRow="0" w:lastRow="0" w:firstColumn="1" w:lastColumn="0" w:oddVBand="0" w:evenVBand="0" w:oddHBand="0" w:evenHBand="0" w:firstRowFirstColumn="0" w:firstRowLastColumn="0" w:lastRowFirstColumn="0" w:lastRowLastColumn="0"/>
            <w:tcW w:w="1596" w:type="dxa"/>
          </w:tcPr>
          <w:p w14:paraId="0990D7EE" w14:textId="77777777" w:rsidR="006E7714" w:rsidRPr="006E7714" w:rsidRDefault="006E7714" w:rsidP="006E7714">
            <w:pPr>
              <w:keepNext/>
              <w:spacing w:line="240" w:lineRule="auto"/>
              <w:jc w:val="center"/>
              <w:rPr>
                <w:rFonts w:ascii="Arial" w:hAnsi="Arial" w:cs="Times New Roman"/>
                <w:sz w:val="22"/>
                <w:lang w:val="en-US"/>
              </w:rPr>
            </w:pPr>
            <w:r w:rsidRPr="006E7714">
              <w:rPr>
                <w:rFonts w:ascii="Arial" w:hAnsi="Arial" w:cs="Times New Roman"/>
                <w:sz w:val="22"/>
                <w:lang w:val="en-US"/>
              </w:rPr>
              <w:t xml:space="preserve">Nervous (5) </w:t>
            </w:r>
          </w:p>
        </w:tc>
        <w:tc>
          <w:tcPr>
            <w:tcW w:w="1596" w:type="dxa"/>
          </w:tcPr>
          <w:p w14:paraId="14B88993" w14:textId="77777777" w:rsidR="006E7714" w:rsidRPr="006E7714" w:rsidRDefault="006E7714" w:rsidP="006E7714">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06828427" w14:textId="77777777" w:rsidR="006E7714" w:rsidRPr="006E7714" w:rsidRDefault="006E7714" w:rsidP="006E7714">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5814850A" w14:textId="77777777" w:rsidR="006E7714" w:rsidRPr="006E7714" w:rsidRDefault="006E7714" w:rsidP="006E7714">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2640A54E" w14:textId="77777777" w:rsidR="006E7714" w:rsidRPr="006E7714" w:rsidRDefault="006E7714" w:rsidP="006E7714">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19125E8E" w14:textId="77777777" w:rsidR="006E7714" w:rsidRPr="006E7714" w:rsidRDefault="006E7714" w:rsidP="006E7714">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r>
      <w:tr w:rsidR="006E7714" w:rsidRPr="006E7714" w14:paraId="049D3045" w14:textId="77777777" w:rsidTr="00B9053E">
        <w:tc>
          <w:tcPr>
            <w:cnfStyle w:val="001000000000" w:firstRow="0" w:lastRow="0" w:firstColumn="1" w:lastColumn="0" w:oddVBand="0" w:evenVBand="0" w:oddHBand="0" w:evenHBand="0" w:firstRowFirstColumn="0" w:firstRowLastColumn="0" w:lastRowFirstColumn="0" w:lastRowLastColumn="0"/>
            <w:tcW w:w="1596" w:type="dxa"/>
          </w:tcPr>
          <w:p w14:paraId="64C879F8" w14:textId="77777777" w:rsidR="006E7714" w:rsidRPr="006E7714" w:rsidRDefault="006E7714" w:rsidP="006E7714">
            <w:pPr>
              <w:keepNext/>
              <w:spacing w:line="240" w:lineRule="auto"/>
              <w:jc w:val="center"/>
              <w:rPr>
                <w:rFonts w:ascii="Arial" w:hAnsi="Arial" w:cs="Times New Roman"/>
                <w:sz w:val="22"/>
                <w:lang w:val="en-US"/>
              </w:rPr>
            </w:pPr>
            <w:r w:rsidRPr="006E7714">
              <w:rPr>
                <w:rFonts w:ascii="Arial" w:hAnsi="Arial" w:cs="Times New Roman"/>
                <w:sz w:val="22"/>
                <w:lang w:val="en-US"/>
              </w:rPr>
              <w:t xml:space="preserve">Active (6) </w:t>
            </w:r>
          </w:p>
        </w:tc>
        <w:tc>
          <w:tcPr>
            <w:tcW w:w="1596" w:type="dxa"/>
          </w:tcPr>
          <w:p w14:paraId="79FC1E18" w14:textId="77777777" w:rsidR="006E7714" w:rsidRPr="006E7714" w:rsidRDefault="006E7714" w:rsidP="006E7714">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581B7A59" w14:textId="77777777" w:rsidR="006E7714" w:rsidRPr="006E7714" w:rsidRDefault="006E7714" w:rsidP="006E7714">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31319D72" w14:textId="77777777" w:rsidR="006E7714" w:rsidRPr="006E7714" w:rsidRDefault="006E7714" w:rsidP="006E7714">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5771F495" w14:textId="77777777" w:rsidR="006E7714" w:rsidRPr="006E7714" w:rsidRDefault="006E7714" w:rsidP="006E7714">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49C0CD9F" w14:textId="77777777" w:rsidR="006E7714" w:rsidRPr="006E7714" w:rsidRDefault="006E7714" w:rsidP="006E7714">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r>
      <w:tr w:rsidR="006E7714" w:rsidRPr="006E7714" w14:paraId="03A4011F" w14:textId="77777777" w:rsidTr="00B9053E">
        <w:tc>
          <w:tcPr>
            <w:cnfStyle w:val="001000000000" w:firstRow="0" w:lastRow="0" w:firstColumn="1" w:lastColumn="0" w:oddVBand="0" w:evenVBand="0" w:oddHBand="0" w:evenHBand="0" w:firstRowFirstColumn="0" w:firstRowLastColumn="0" w:lastRowFirstColumn="0" w:lastRowLastColumn="0"/>
            <w:tcW w:w="1596" w:type="dxa"/>
          </w:tcPr>
          <w:p w14:paraId="1D5182F0" w14:textId="77777777" w:rsidR="006E7714" w:rsidRPr="006E7714" w:rsidRDefault="006E7714" w:rsidP="006E7714">
            <w:pPr>
              <w:keepNext/>
              <w:spacing w:line="240" w:lineRule="auto"/>
              <w:jc w:val="center"/>
              <w:rPr>
                <w:rFonts w:ascii="Arial" w:hAnsi="Arial" w:cs="Times New Roman"/>
                <w:sz w:val="22"/>
                <w:lang w:val="en-US"/>
              </w:rPr>
            </w:pPr>
            <w:r w:rsidRPr="006E7714">
              <w:rPr>
                <w:rFonts w:ascii="Arial" w:hAnsi="Arial" w:cs="Times New Roman"/>
                <w:sz w:val="22"/>
                <w:lang w:val="en-US"/>
              </w:rPr>
              <w:t xml:space="preserve">Determined (7) </w:t>
            </w:r>
          </w:p>
        </w:tc>
        <w:tc>
          <w:tcPr>
            <w:tcW w:w="1596" w:type="dxa"/>
          </w:tcPr>
          <w:p w14:paraId="5B18E9AF" w14:textId="77777777" w:rsidR="006E7714" w:rsidRPr="006E7714" w:rsidRDefault="006E7714" w:rsidP="006E7714">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65C9B6C3" w14:textId="77777777" w:rsidR="006E7714" w:rsidRPr="006E7714" w:rsidRDefault="006E7714" w:rsidP="006E7714">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06754F07" w14:textId="77777777" w:rsidR="006E7714" w:rsidRPr="006E7714" w:rsidRDefault="006E7714" w:rsidP="006E7714">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5D658081" w14:textId="77777777" w:rsidR="006E7714" w:rsidRPr="006E7714" w:rsidRDefault="006E7714" w:rsidP="006E7714">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19FFC136" w14:textId="77777777" w:rsidR="006E7714" w:rsidRPr="006E7714" w:rsidRDefault="006E7714" w:rsidP="006E7714">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r>
      <w:tr w:rsidR="006E7714" w:rsidRPr="006E7714" w14:paraId="0D754A15" w14:textId="77777777" w:rsidTr="00B9053E">
        <w:tc>
          <w:tcPr>
            <w:cnfStyle w:val="001000000000" w:firstRow="0" w:lastRow="0" w:firstColumn="1" w:lastColumn="0" w:oddVBand="0" w:evenVBand="0" w:oddHBand="0" w:evenHBand="0" w:firstRowFirstColumn="0" w:firstRowLastColumn="0" w:lastRowFirstColumn="0" w:lastRowLastColumn="0"/>
            <w:tcW w:w="1596" w:type="dxa"/>
          </w:tcPr>
          <w:p w14:paraId="45CBC732" w14:textId="77777777" w:rsidR="006E7714" w:rsidRPr="006E7714" w:rsidRDefault="006E7714" w:rsidP="006E7714">
            <w:pPr>
              <w:keepNext/>
              <w:spacing w:line="240" w:lineRule="auto"/>
              <w:jc w:val="center"/>
              <w:rPr>
                <w:rFonts w:ascii="Arial" w:hAnsi="Arial" w:cs="Times New Roman"/>
                <w:sz w:val="22"/>
                <w:lang w:val="en-US"/>
              </w:rPr>
            </w:pPr>
            <w:r w:rsidRPr="006E7714">
              <w:rPr>
                <w:rFonts w:ascii="Arial" w:hAnsi="Arial" w:cs="Times New Roman"/>
                <w:sz w:val="22"/>
                <w:lang w:val="en-US"/>
              </w:rPr>
              <w:t xml:space="preserve">Attentive (8) </w:t>
            </w:r>
          </w:p>
        </w:tc>
        <w:tc>
          <w:tcPr>
            <w:tcW w:w="1596" w:type="dxa"/>
          </w:tcPr>
          <w:p w14:paraId="35A5A733" w14:textId="77777777" w:rsidR="006E7714" w:rsidRPr="006E7714" w:rsidRDefault="006E7714" w:rsidP="006E7714">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2F0C27CB" w14:textId="77777777" w:rsidR="006E7714" w:rsidRPr="006E7714" w:rsidRDefault="006E7714" w:rsidP="006E7714">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005F6F8A" w14:textId="77777777" w:rsidR="006E7714" w:rsidRPr="006E7714" w:rsidRDefault="006E7714" w:rsidP="006E7714">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6846BDF9" w14:textId="77777777" w:rsidR="006E7714" w:rsidRPr="006E7714" w:rsidRDefault="006E7714" w:rsidP="006E7714">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7CF2E62D" w14:textId="77777777" w:rsidR="006E7714" w:rsidRPr="006E7714" w:rsidRDefault="006E7714" w:rsidP="006E7714">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r>
      <w:tr w:rsidR="006E7714" w:rsidRPr="006E7714" w14:paraId="4BD32DD1" w14:textId="77777777" w:rsidTr="00B9053E">
        <w:tc>
          <w:tcPr>
            <w:cnfStyle w:val="001000000000" w:firstRow="0" w:lastRow="0" w:firstColumn="1" w:lastColumn="0" w:oddVBand="0" w:evenVBand="0" w:oddHBand="0" w:evenHBand="0" w:firstRowFirstColumn="0" w:firstRowLastColumn="0" w:lastRowFirstColumn="0" w:lastRowLastColumn="0"/>
            <w:tcW w:w="1596" w:type="dxa"/>
          </w:tcPr>
          <w:p w14:paraId="67A7B34F" w14:textId="77777777" w:rsidR="006E7714" w:rsidRPr="006E7714" w:rsidRDefault="006E7714" w:rsidP="006E7714">
            <w:pPr>
              <w:keepNext/>
              <w:spacing w:line="240" w:lineRule="auto"/>
              <w:jc w:val="center"/>
              <w:rPr>
                <w:rFonts w:ascii="Arial" w:hAnsi="Arial" w:cs="Times New Roman"/>
                <w:sz w:val="22"/>
                <w:lang w:val="en-US"/>
              </w:rPr>
            </w:pPr>
            <w:r w:rsidRPr="006E7714">
              <w:rPr>
                <w:rFonts w:ascii="Arial" w:hAnsi="Arial" w:cs="Times New Roman"/>
                <w:sz w:val="22"/>
                <w:lang w:val="en-US"/>
              </w:rPr>
              <w:t xml:space="preserve">Inspired (9) </w:t>
            </w:r>
          </w:p>
        </w:tc>
        <w:tc>
          <w:tcPr>
            <w:tcW w:w="1596" w:type="dxa"/>
          </w:tcPr>
          <w:p w14:paraId="2796D9EF" w14:textId="77777777" w:rsidR="006E7714" w:rsidRPr="006E7714" w:rsidRDefault="006E7714" w:rsidP="006E7714">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61335F71" w14:textId="77777777" w:rsidR="006E7714" w:rsidRPr="006E7714" w:rsidRDefault="006E7714" w:rsidP="006E7714">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0AE1660B" w14:textId="77777777" w:rsidR="006E7714" w:rsidRPr="006E7714" w:rsidRDefault="006E7714" w:rsidP="006E7714">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04146E5F" w14:textId="77777777" w:rsidR="006E7714" w:rsidRPr="006E7714" w:rsidRDefault="006E7714" w:rsidP="006E7714">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1EDAD2BC" w14:textId="77777777" w:rsidR="006E7714" w:rsidRPr="006E7714" w:rsidRDefault="006E7714" w:rsidP="006E7714">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r>
      <w:tr w:rsidR="006E7714" w:rsidRPr="006E7714" w14:paraId="311605DE" w14:textId="77777777" w:rsidTr="00B9053E">
        <w:tc>
          <w:tcPr>
            <w:cnfStyle w:val="001000000000" w:firstRow="0" w:lastRow="0" w:firstColumn="1" w:lastColumn="0" w:oddVBand="0" w:evenVBand="0" w:oddHBand="0" w:evenHBand="0" w:firstRowFirstColumn="0" w:firstRowLastColumn="0" w:lastRowFirstColumn="0" w:lastRowLastColumn="0"/>
            <w:tcW w:w="1596" w:type="dxa"/>
          </w:tcPr>
          <w:p w14:paraId="7F919B9D" w14:textId="77777777" w:rsidR="006E7714" w:rsidRPr="006E7714" w:rsidRDefault="006E7714" w:rsidP="006E7714">
            <w:pPr>
              <w:keepNext/>
              <w:spacing w:line="240" w:lineRule="auto"/>
              <w:jc w:val="center"/>
              <w:rPr>
                <w:rFonts w:ascii="Arial" w:hAnsi="Arial" w:cs="Times New Roman"/>
                <w:sz w:val="22"/>
                <w:lang w:val="en-US"/>
              </w:rPr>
            </w:pPr>
            <w:r w:rsidRPr="006E7714">
              <w:rPr>
                <w:rFonts w:ascii="Arial" w:hAnsi="Arial" w:cs="Times New Roman"/>
                <w:sz w:val="22"/>
                <w:lang w:val="en-US"/>
              </w:rPr>
              <w:t xml:space="preserve">Alert (10) </w:t>
            </w:r>
          </w:p>
        </w:tc>
        <w:tc>
          <w:tcPr>
            <w:tcW w:w="1596" w:type="dxa"/>
          </w:tcPr>
          <w:p w14:paraId="100BDD6F" w14:textId="77777777" w:rsidR="006E7714" w:rsidRPr="006E7714" w:rsidRDefault="006E7714" w:rsidP="006E7714">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323AA77E" w14:textId="77777777" w:rsidR="006E7714" w:rsidRPr="006E7714" w:rsidRDefault="006E7714" w:rsidP="006E7714">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0F386125" w14:textId="77777777" w:rsidR="006E7714" w:rsidRPr="006E7714" w:rsidRDefault="006E7714" w:rsidP="006E7714">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00F39027" w14:textId="77777777" w:rsidR="006E7714" w:rsidRPr="006E7714" w:rsidRDefault="006E7714" w:rsidP="006E7714">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1AEDD521" w14:textId="77777777" w:rsidR="006E7714" w:rsidRPr="006E7714" w:rsidRDefault="006E7714" w:rsidP="006E7714">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r>
    </w:tbl>
    <w:p w14:paraId="34EBE170" w14:textId="77777777" w:rsidR="006E7714" w:rsidRPr="006E7714" w:rsidRDefault="006E7714" w:rsidP="006E7714">
      <w:pPr>
        <w:spacing w:after="0" w:line="276" w:lineRule="auto"/>
        <w:jc w:val="left"/>
        <w:rPr>
          <w:rFonts w:ascii="Arial" w:eastAsia="Times New Roman" w:hAnsi="Arial" w:cs="Times New Roman"/>
          <w:sz w:val="22"/>
          <w:lang w:val="en-US"/>
        </w:rPr>
      </w:pPr>
    </w:p>
    <w:p w14:paraId="58346854" w14:textId="77777777" w:rsidR="006E7714" w:rsidRPr="006E7714" w:rsidRDefault="006E7714" w:rsidP="006E7714">
      <w:pPr>
        <w:spacing w:after="0" w:line="276" w:lineRule="auto"/>
        <w:jc w:val="left"/>
        <w:rPr>
          <w:rFonts w:ascii="Arial" w:eastAsia="Times New Roman" w:hAnsi="Arial" w:cs="Times New Roman"/>
          <w:sz w:val="22"/>
          <w:lang w:val="en-US"/>
        </w:rPr>
      </w:pPr>
    </w:p>
    <w:p w14:paraId="6D935084" w14:textId="77777777" w:rsidR="006E7714" w:rsidRPr="006E7714" w:rsidRDefault="006E7714" w:rsidP="006E7714">
      <w:pPr>
        <w:spacing w:before="120" w:after="0" w:line="240" w:lineRule="auto"/>
        <w:jc w:val="left"/>
        <w:rPr>
          <w:rFonts w:ascii="Arial" w:eastAsia="Times New Roman" w:hAnsi="Arial" w:cs="Times New Roman"/>
          <w:b/>
          <w:color w:val="CCCCCC"/>
          <w:sz w:val="22"/>
          <w:lang w:val="en-US"/>
        </w:rPr>
      </w:pPr>
      <w:r w:rsidRPr="006E7714">
        <w:rPr>
          <w:rFonts w:ascii="Arial" w:eastAsia="Times New Roman" w:hAnsi="Arial" w:cs="Times New Roman"/>
          <w:b/>
          <w:color w:val="CCCCCC"/>
          <w:sz w:val="22"/>
          <w:lang w:val="en-US"/>
        </w:rPr>
        <w:t>End of Block: Panas baseline</w:t>
      </w:r>
    </w:p>
    <w:p w14:paraId="4784D2FC" w14:textId="77777777" w:rsidR="006E7714" w:rsidRPr="006E7714" w:rsidRDefault="006E7714" w:rsidP="006E7714">
      <w:pPr>
        <w:pBdr>
          <w:bottom w:val="single" w:sz="8" w:space="0" w:color="CCCCCC"/>
        </w:pBdr>
        <w:spacing w:after="0" w:line="120" w:lineRule="auto"/>
        <w:jc w:val="center"/>
        <w:rPr>
          <w:rFonts w:ascii="Arial" w:eastAsia="Times New Roman" w:hAnsi="Arial" w:cs="Times New Roman"/>
          <w:b/>
          <w:color w:val="CCCCCC"/>
          <w:sz w:val="22"/>
          <w:lang w:val="en-US"/>
        </w:rPr>
      </w:pPr>
    </w:p>
    <w:p w14:paraId="4D9EF147" w14:textId="77777777" w:rsidR="006E7714" w:rsidRPr="006E7714" w:rsidRDefault="006E7714" w:rsidP="006E7714">
      <w:pPr>
        <w:spacing w:before="120" w:after="120" w:line="240" w:lineRule="auto"/>
        <w:jc w:val="left"/>
        <w:rPr>
          <w:rFonts w:ascii="Arial" w:eastAsia="Times New Roman" w:hAnsi="Arial" w:cs="Times New Roman"/>
          <w:b/>
          <w:color w:val="CCCCCC"/>
          <w:sz w:val="22"/>
          <w:lang w:val="en-US"/>
        </w:rPr>
      </w:pPr>
      <w:r w:rsidRPr="006E7714">
        <w:rPr>
          <w:rFonts w:ascii="Arial" w:eastAsia="Times New Roman" w:hAnsi="Arial" w:cs="Times New Roman"/>
          <w:b/>
          <w:color w:val="CCCCCC"/>
          <w:sz w:val="22"/>
          <w:lang w:val="en-US"/>
        </w:rPr>
        <w:t>Start of Block: INS</w:t>
      </w:r>
    </w:p>
    <w:tbl>
      <w:tblPr>
        <w:tblStyle w:val="QQuestionIconTable"/>
        <w:tblW w:w="50" w:type="auto"/>
        <w:tblLook w:val="07E0" w:firstRow="1" w:lastRow="1" w:firstColumn="1" w:lastColumn="1" w:noHBand="1" w:noVBand="1"/>
      </w:tblPr>
      <w:tblGrid>
        <w:gridCol w:w="380"/>
      </w:tblGrid>
      <w:tr w:rsidR="006E7714" w:rsidRPr="006E7714" w14:paraId="0697EA2D" w14:textId="77777777" w:rsidTr="00B9053E">
        <w:tc>
          <w:tcPr>
            <w:tcW w:w="50" w:type="dxa"/>
          </w:tcPr>
          <w:p w14:paraId="659B0190" w14:textId="77777777" w:rsidR="006E7714" w:rsidRPr="006E7714" w:rsidRDefault="006E7714" w:rsidP="006E7714">
            <w:pPr>
              <w:keepNext/>
              <w:spacing w:line="240" w:lineRule="auto"/>
              <w:jc w:val="center"/>
              <w:rPr>
                <w:rFonts w:ascii="Arial" w:eastAsia="Times New Roman" w:hAnsi="Arial" w:cs="Times New Roman"/>
                <w:sz w:val="22"/>
                <w:lang w:val="en-US"/>
              </w:rPr>
            </w:pPr>
            <w:r w:rsidRPr="006E7714">
              <w:rPr>
                <w:rFonts w:ascii="Arial" w:eastAsia="Times New Roman" w:hAnsi="Arial" w:cs="Times New Roman"/>
                <w:noProof/>
                <w:sz w:val="22"/>
                <w:lang w:val="en-US"/>
              </w:rPr>
              <w:drawing>
                <wp:inline distT="0" distB="0" distL="0" distR="0" wp14:anchorId="370164D6" wp14:editId="4B86329E">
                  <wp:extent cx="228600" cy="228600"/>
                  <wp:effectExtent l="0" t="0" r="0" b="0"/>
                  <wp:docPr id="908093400" name="WordQuestionJavaScrip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WordQuestionJavaScript.png"/>
                          <pic:cNvPicPr/>
                        </pic:nvPicPr>
                        <pic:blipFill>
                          <a:blip r:embed="rId69"/>
                          <a:stretch>
                            <a:fillRect/>
                          </a:stretch>
                        </pic:blipFill>
                        <pic:spPr>
                          <a:xfrm>
                            <a:off x="0" y="0"/>
                            <a:ext cx="228600" cy="228600"/>
                          </a:xfrm>
                          <a:prstGeom prst="rect">
                            <a:avLst/>
                          </a:prstGeom>
                        </pic:spPr>
                      </pic:pic>
                    </a:graphicData>
                  </a:graphic>
                </wp:inline>
              </w:drawing>
            </w:r>
          </w:p>
        </w:tc>
      </w:tr>
    </w:tbl>
    <w:p w14:paraId="0CFF734D" w14:textId="77777777" w:rsidR="006E7714" w:rsidRPr="006E7714" w:rsidRDefault="006E7714" w:rsidP="006E7714">
      <w:pPr>
        <w:keepNext/>
        <w:spacing w:after="0" w:line="276" w:lineRule="auto"/>
        <w:jc w:val="left"/>
        <w:rPr>
          <w:rFonts w:ascii="Arial" w:eastAsia="Times New Roman" w:hAnsi="Arial" w:cs="Times New Roman"/>
          <w:sz w:val="22"/>
          <w:lang w:val="en-US"/>
        </w:rPr>
      </w:pPr>
      <w:r w:rsidRPr="006E7714">
        <w:rPr>
          <w:rFonts w:ascii="Arial" w:eastAsia="Times New Roman" w:hAnsi="Arial" w:cs="Times New Roman"/>
          <w:sz w:val="22"/>
          <w:lang w:val="en-US"/>
        </w:rPr>
        <w:br/>
        <w:t>The two circles below represent your own concepts of self and nature.</w:t>
      </w:r>
      <w:r w:rsidRPr="006E7714">
        <w:rPr>
          <w:rFonts w:ascii="Arial" w:eastAsia="Times New Roman" w:hAnsi="Arial" w:cs="Times New Roman"/>
          <w:sz w:val="22"/>
          <w:lang w:val="en-US"/>
        </w:rPr>
        <w:br/>
        <w:t xml:space="preserve"> </w:t>
      </w:r>
      <w:r w:rsidRPr="006E7714">
        <w:rPr>
          <w:rFonts w:ascii="Arial" w:eastAsia="Times New Roman" w:hAnsi="Arial" w:cs="Times New Roman"/>
          <w:i/>
          <w:sz w:val="22"/>
          <w:lang w:val="en-US"/>
        </w:rPr>
        <w:t>(If you don't see the circles, try moving the slider and they should appear)</w:t>
      </w:r>
      <w:r w:rsidRPr="006E7714">
        <w:rPr>
          <w:rFonts w:ascii="Arial" w:eastAsia="Times New Roman" w:hAnsi="Arial" w:cs="Times New Roman"/>
          <w:sz w:val="22"/>
          <w:lang w:val="en-US"/>
        </w:rPr>
        <w:t xml:space="preserve">  </w:t>
      </w:r>
      <w:r w:rsidRPr="006E7714">
        <w:rPr>
          <w:rFonts w:ascii="Arial" w:eastAsia="Times New Roman" w:hAnsi="Arial" w:cs="Times New Roman"/>
          <w:sz w:val="22"/>
          <w:lang w:val="en-US"/>
        </w:rPr>
        <w:br/>
        <w:t xml:space="preserve">   </w:t>
      </w:r>
      <w:r w:rsidRPr="006E7714">
        <w:rPr>
          <w:rFonts w:ascii="Arial" w:eastAsia="Times New Roman" w:hAnsi="Arial" w:cs="Times New Roman"/>
          <w:sz w:val="22"/>
          <w:lang w:val="en-US"/>
        </w:rPr>
        <w:br/>
        <w:t xml:space="preserve">Please use the slider below to describe your relationship with the natural environment.  </w:t>
      </w:r>
      <w:r w:rsidRPr="006E7714">
        <w:rPr>
          <w:rFonts w:ascii="Arial" w:eastAsia="Times New Roman" w:hAnsi="Arial" w:cs="Times New Roman"/>
          <w:sz w:val="22"/>
          <w:lang w:val="en-US"/>
        </w:rPr>
        <w:br/>
        <w:t xml:space="preserve">   </w:t>
      </w:r>
      <w:r w:rsidRPr="006E7714">
        <w:rPr>
          <w:rFonts w:ascii="Arial" w:eastAsia="Times New Roman" w:hAnsi="Arial" w:cs="Times New Roman"/>
          <w:sz w:val="22"/>
          <w:lang w:val="en-US"/>
        </w:rPr>
        <w:br/>
      </w:r>
      <w:r w:rsidRPr="006E7714">
        <w:rPr>
          <w:rFonts w:ascii="Arial" w:eastAsia="Times New Roman" w:hAnsi="Arial" w:cs="Times New Roman"/>
          <w:sz w:val="22"/>
          <w:u w:val="single"/>
          <w:lang w:val="en-US"/>
        </w:rPr>
        <w:lastRenderedPageBreak/>
        <w:t>How interconnected are you with nature right now?</w:t>
      </w:r>
      <w:r w:rsidRPr="006E7714">
        <w:rPr>
          <w:rFonts w:ascii="Arial" w:eastAsia="Times New Roman" w:hAnsi="Arial" w:cs="Times New Roman"/>
          <w:sz w:val="22"/>
          <w:lang w:val="en-US"/>
        </w:rPr>
        <w:t xml:space="preserve"> The more the circles overlap, the more connected you are.  </w:t>
      </w:r>
    </w:p>
    <w:p w14:paraId="3EF7183B" w14:textId="77777777" w:rsidR="006E7714" w:rsidRPr="006E7714" w:rsidRDefault="006E7714" w:rsidP="006E7714">
      <w:pPr>
        <w:keepNext/>
        <w:spacing w:after="0" w:line="276" w:lineRule="auto"/>
        <w:jc w:val="left"/>
        <w:rPr>
          <w:rFonts w:ascii="Arial" w:eastAsia="Times New Roman" w:hAnsi="Arial" w:cs="Times New Roman"/>
          <w:sz w:val="22"/>
          <w:lang w:val="en-US"/>
        </w:rPr>
      </w:pPr>
      <w:r w:rsidRPr="006E7714">
        <w:rPr>
          <w:rFonts w:ascii="Arial" w:eastAsia="Times New Roman" w:hAnsi="Arial" w:cs="Times New Roman"/>
          <w:noProof/>
          <w:sz w:val="22"/>
          <w:lang w:val="en-US"/>
        </w:rPr>
        <w:drawing>
          <wp:inline distT="0" distB="0" distL="0" distR="0" wp14:anchorId="7650BF2C" wp14:editId="12C2EAC8">
            <wp:extent cx="5943600" cy="2867025"/>
            <wp:effectExtent l="0" t="0" r="0" b="0"/>
            <wp:docPr id="92704898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943600" cy="2867025"/>
                    </a:xfrm>
                    <a:prstGeom prst="rect">
                      <a:avLst/>
                    </a:prstGeom>
                    <a:noFill/>
                    <a:ln>
                      <a:noFill/>
                    </a:ln>
                  </pic:spPr>
                </pic:pic>
              </a:graphicData>
            </a:graphic>
          </wp:inline>
        </w:drawing>
      </w:r>
      <w:r w:rsidRPr="006E7714">
        <w:rPr>
          <w:rFonts w:ascii="Arial" w:eastAsia="Times New Roman" w:hAnsi="Arial" w:cs="Times New Roman"/>
          <w:sz w:val="22"/>
          <w:lang w:val="en-US"/>
        </w:rPr>
        <w:br/>
      </w:r>
    </w:p>
    <w:tbl>
      <w:tblPr>
        <w:tblStyle w:val="QSliderLabelsTable2"/>
        <w:tblW w:w="9576" w:type="auto"/>
        <w:tblInd w:w="0" w:type="dxa"/>
        <w:tblLook w:val="07E0" w:firstRow="1" w:lastRow="1" w:firstColumn="1" w:lastColumn="1" w:noHBand="1" w:noVBand="1"/>
      </w:tblPr>
      <w:tblGrid>
        <w:gridCol w:w="4788"/>
        <w:gridCol w:w="684"/>
        <w:gridCol w:w="684"/>
        <w:gridCol w:w="684"/>
        <w:gridCol w:w="684"/>
        <w:gridCol w:w="684"/>
        <w:gridCol w:w="684"/>
        <w:gridCol w:w="684"/>
      </w:tblGrid>
      <w:tr w:rsidR="006E7714" w:rsidRPr="006E7714" w14:paraId="28BFD496" w14:textId="77777777" w:rsidTr="00B9053E">
        <w:tc>
          <w:tcPr>
            <w:tcW w:w="4788" w:type="dxa"/>
          </w:tcPr>
          <w:p w14:paraId="28695F4F" w14:textId="77777777" w:rsidR="006E7714" w:rsidRPr="006E7714" w:rsidRDefault="006E7714" w:rsidP="006E7714">
            <w:pPr>
              <w:spacing w:line="240" w:lineRule="auto"/>
              <w:jc w:val="center"/>
              <w:rPr>
                <w:rFonts w:ascii="Arial" w:hAnsi="Arial" w:cs="Times New Roman"/>
                <w:sz w:val="22"/>
                <w:lang w:val="en-US"/>
              </w:rPr>
            </w:pPr>
          </w:p>
        </w:tc>
        <w:tc>
          <w:tcPr>
            <w:tcW w:w="684" w:type="dxa"/>
          </w:tcPr>
          <w:p w14:paraId="6D7A254D" w14:textId="77777777" w:rsidR="006E7714" w:rsidRPr="006E7714" w:rsidRDefault="006E7714" w:rsidP="006E7714">
            <w:pPr>
              <w:spacing w:line="240" w:lineRule="auto"/>
              <w:jc w:val="center"/>
              <w:rPr>
                <w:rFonts w:ascii="Arial" w:hAnsi="Arial" w:cs="Times New Roman"/>
                <w:sz w:val="22"/>
                <w:lang w:val="en-US"/>
              </w:rPr>
            </w:pPr>
            <w:r w:rsidRPr="006E7714">
              <w:rPr>
                <w:rFonts w:ascii="Arial" w:hAnsi="Arial" w:cs="Times New Roman"/>
                <w:sz w:val="22"/>
                <w:lang w:val="en-US"/>
              </w:rPr>
              <w:t>1</w:t>
            </w:r>
          </w:p>
        </w:tc>
        <w:tc>
          <w:tcPr>
            <w:tcW w:w="684" w:type="dxa"/>
          </w:tcPr>
          <w:p w14:paraId="01F5DF61" w14:textId="77777777" w:rsidR="006E7714" w:rsidRPr="006E7714" w:rsidRDefault="006E7714" w:rsidP="006E7714">
            <w:pPr>
              <w:spacing w:line="240" w:lineRule="auto"/>
              <w:jc w:val="center"/>
              <w:rPr>
                <w:rFonts w:ascii="Arial" w:hAnsi="Arial" w:cs="Times New Roman"/>
                <w:sz w:val="22"/>
                <w:lang w:val="en-US"/>
              </w:rPr>
            </w:pPr>
            <w:r w:rsidRPr="006E7714">
              <w:rPr>
                <w:rFonts w:ascii="Arial" w:hAnsi="Arial" w:cs="Times New Roman"/>
                <w:sz w:val="22"/>
                <w:lang w:val="en-US"/>
              </w:rPr>
              <w:t>2</w:t>
            </w:r>
          </w:p>
        </w:tc>
        <w:tc>
          <w:tcPr>
            <w:tcW w:w="684" w:type="dxa"/>
          </w:tcPr>
          <w:p w14:paraId="50874F00" w14:textId="77777777" w:rsidR="006E7714" w:rsidRPr="006E7714" w:rsidRDefault="006E7714" w:rsidP="006E7714">
            <w:pPr>
              <w:spacing w:line="240" w:lineRule="auto"/>
              <w:jc w:val="center"/>
              <w:rPr>
                <w:rFonts w:ascii="Arial" w:hAnsi="Arial" w:cs="Times New Roman"/>
                <w:sz w:val="22"/>
                <w:lang w:val="en-US"/>
              </w:rPr>
            </w:pPr>
            <w:r w:rsidRPr="006E7714">
              <w:rPr>
                <w:rFonts w:ascii="Arial" w:hAnsi="Arial" w:cs="Times New Roman"/>
                <w:sz w:val="22"/>
                <w:lang w:val="en-US"/>
              </w:rPr>
              <w:t>3</w:t>
            </w:r>
          </w:p>
        </w:tc>
        <w:tc>
          <w:tcPr>
            <w:tcW w:w="684" w:type="dxa"/>
          </w:tcPr>
          <w:p w14:paraId="71EE86C5" w14:textId="77777777" w:rsidR="006E7714" w:rsidRPr="006E7714" w:rsidRDefault="006E7714" w:rsidP="006E7714">
            <w:pPr>
              <w:spacing w:line="240" w:lineRule="auto"/>
              <w:jc w:val="center"/>
              <w:rPr>
                <w:rFonts w:ascii="Arial" w:hAnsi="Arial" w:cs="Times New Roman"/>
                <w:sz w:val="22"/>
                <w:lang w:val="en-US"/>
              </w:rPr>
            </w:pPr>
            <w:r w:rsidRPr="006E7714">
              <w:rPr>
                <w:rFonts w:ascii="Arial" w:hAnsi="Arial" w:cs="Times New Roman"/>
                <w:sz w:val="22"/>
                <w:lang w:val="en-US"/>
              </w:rPr>
              <w:t>4</w:t>
            </w:r>
          </w:p>
        </w:tc>
        <w:tc>
          <w:tcPr>
            <w:tcW w:w="684" w:type="dxa"/>
          </w:tcPr>
          <w:p w14:paraId="66B52741" w14:textId="77777777" w:rsidR="006E7714" w:rsidRPr="006E7714" w:rsidRDefault="006E7714" w:rsidP="006E7714">
            <w:pPr>
              <w:spacing w:line="240" w:lineRule="auto"/>
              <w:jc w:val="center"/>
              <w:rPr>
                <w:rFonts w:ascii="Arial" w:hAnsi="Arial" w:cs="Times New Roman"/>
                <w:sz w:val="22"/>
                <w:lang w:val="en-US"/>
              </w:rPr>
            </w:pPr>
            <w:r w:rsidRPr="006E7714">
              <w:rPr>
                <w:rFonts w:ascii="Arial" w:hAnsi="Arial" w:cs="Times New Roman"/>
                <w:sz w:val="22"/>
                <w:lang w:val="en-US"/>
              </w:rPr>
              <w:t>5</w:t>
            </w:r>
          </w:p>
        </w:tc>
        <w:tc>
          <w:tcPr>
            <w:tcW w:w="684" w:type="dxa"/>
          </w:tcPr>
          <w:p w14:paraId="4EAFD3D6" w14:textId="77777777" w:rsidR="006E7714" w:rsidRPr="006E7714" w:rsidRDefault="006E7714" w:rsidP="006E7714">
            <w:pPr>
              <w:spacing w:line="240" w:lineRule="auto"/>
              <w:jc w:val="center"/>
              <w:rPr>
                <w:rFonts w:ascii="Arial" w:hAnsi="Arial" w:cs="Times New Roman"/>
                <w:sz w:val="22"/>
                <w:lang w:val="en-US"/>
              </w:rPr>
            </w:pPr>
            <w:r w:rsidRPr="006E7714">
              <w:rPr>
                <w:rFonts w:ascii="Arial" w:hAnsi="Arial" w:cs="Times New Roman"/>
                <w:sz w:val="22"/>
                <w:lang w:val="en-US"/>
              </w:rPr>
              <w:t>6</w:t>
            </w:r>
          </w:p>
        </w:tc>
        <w:tc>
          <w:tcPr>
            <w:tcW w:w="684" w:type="dxa"/>
          </w:tcPr>
          <w:p w14:paraId="4A5E8FCF" w14:textId="77777777" w:rsidR="006E7714" w:rsidRPr="006E7714" w:rsidRDefault="006E7714" w:rsidP="006E7714">
            <w:pPr>
              <w:spacing w:line="240" w:lineRule="auto"/>
              <w:jc w:val="center"/>
              <w:rPr>
                <w:rFonts w:ascii="Arial" w:hAnsi="Arial" w:cs="Times New Roman"/>
                <w:sz w:val="22"/>
                <w:lang w:val="en-US"/>
              </w:rPr>
            </w:pPr>
            <w:r w:rsidRPr="006E7714">
              <w:rPr>
                <w:rFonts w:ascii="Arial" w:hAnsi="Arial" w:cs="Times New Roman"/>
                <w:sz w:val="22"/>
                <w:lang w:val="en-US"/>
              </w:rPr>
              <w:t>7</w:t>
            </w:r>
          </w:p>
        </w:tc>
      </w:tr>
    </w:tbl>
    <w:p w14:paraId="624B56E8" w14:textId="77777777" w:rsidR="006E7714" w:rsidRPr="006E7714" w:rsidRDefault="006E7714" w:rsidP="006E7714">
      <w:pPr>
        <w:spacing w:after="0" w:line="276" w:lineRule="auto"/>
        <w:jc w:val="left"/>
        <w:rPr>
          <w:rFonts w:ascii="Arial" w:eastAsia="Times New Roman" w:hAnsi="Arial" w:cs="Times New Roman"/>
          <w:sz w:val="22"/>
          <w:lang w:val="en-US"/>
        </w:rPr>
      </w:pPr>
    </w:p>
    <w:tbl>
      <w:tblPr>
        <w:tblStyle w:val="QStandardSliderTable3"/>
        <w:tblW w:w="9576" w:type="auto"/>
        <w:tblLook w:val="07E0" w:firstRow="1" w:lastRow="1" w:firstColumn="1" w:lastColumn="1" w:noHBand="1" w:noVBand="1"/>
      </w:tblPr>
      <w:tblGrid>
        <w:gridCol w:w="4788"/>
        <w:gridCol w:w="4788"/>
      </w:tblGrid>
      <w:tr w:rsidR="006E7714" w:rsidRPr="006E7714" w14:paraId="2A0D698F" w14:textId="77777777" w:rsidTr="00B9053E">
        <w:tc>
          <w:tcPr>
            <w:cnfStyle w:val="001000000000" w:firstRow="0" w:lastRow="0" w:firstColumn="1" w:lastColumn="0" w:oddVBand="0" w:evenVBand="0" w:oddHBand="0" w:evenHBand="0" w:firstRowFirstColumn="0" w:firstRowLastColumn="0" w:lastRowFirstColumn="0" w:lastRowLastColumn="0"/>
            <w:tcW w:w="4788" w:type="dxa"/>
          </w:tcPr>
          <w:p w14:paraId="7F51E901" w14:textId="77777777" w:rsidR="006E7714" w:rsidRPr="006E7714" w:rsidRDefault="006E7714" w:rsidP="006E7714">
            <w:pPr>
              <w:keepNext/>
              <w:spacing w:line="240" w:lineRule="auto"/>
              <w:jc w:val="right"/>
              <w:rPr>
                <w:rFonts w:ascii="Arial" w:hAnsi="Arial" w:cs="Times New Roman"/>
                <w:sz w:val="22"/>
                <w:lang w:val="en-US"/>
              </w:rPr>
            </w:pPr>
            <w:r w:rsidRPr="006E7714">
              <w:rPr>
                <w:rFonts w:ascii="Arial" w:hAnsi="Arial" w:cs="Times New Roman"/>
                <w:sz w:val="22"/>
                <w:lang w:val="en-US"/>
              </w:rPr>
              <w:t>  ()</w:t>
            </w:r>
          </w:p>
        </w:tc>
        <w:tc>
          <w:tcPr>
            <w:tcW w:w="4788" w:type="dxa"/>
          </w:tcPr>
          <w:p w14:paraId="0464CCB2" w14:textId="77777777" w:rsidR="006E7714" w:rsidRPr="006E7714" w:rsidRDefault="006E7714" w:rsidP="006E7714">
            <w:pPr>
              <w:keepNext/>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r w:rsidRPr="006E7714">
              <w:rPr>
                <w:rFonts w:ascii="Arial" w:hAnsi="Arial" w:cs="Times New Roman"/>
                <w:noProof/>
                <w:sz w:val="22"/>
                <w:lang w:val="en-US"/>
              </w:rPr>
              <w:drawing>
                <wp:inline distT="0" distB="0" distL="0" distR="0" wp14:anchorId="5AB5AE6E" wp14:editId="06F19F83">
                  <wp:extent cx="1905000" cy="304800"/>
                  <wp:effectExtent l="0" t="0" r="0" b="0"/>
                  <wp:docPr id="3" name="WordSliderHorizont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WordSliderHorizontal.png"/>
                          <pic:cNvPicPr/>
                        </pic:nvPicPr>
                        <pic:blipFill>
                          <a:blip r:embed="rId71"/>
                          <a:stretch>
                            <a:fillRect/>
                          </a:stretch>
                        </pic:blipFill>
                        <pic:spPr>
                          <a:xfrm>
                            <a:off x="0" y="0"/>
                            <a:ext cx="1905000" cy="304800"/>
                          </a:xfrm>
                          <a:prstGeom prst="rect">
                            <a:avLst/>
                          </a:prstGeom>
                        </pic:spPr>
                      </pic:pic>
                    </a:graphicData>
                  </a:graphic>
                </wp:inline>
              </w:drawing>
            </w:r>
          </w:p>
        </w:tc>
      </w:tr>
    </w:tbl>
    <w:p w14:paraId="5F9762D2" w14:textId="77777777" w:rsidR="006E7714" w:rsidRPr="006E7714" w:rsidRDefault="006E7714" w:rsidP="006E7714">
      <w:pPr>
        <w:spacing w:after="0" w:line="276" w:lineRule="auto"/>
        <w:jc w:val="left"/>
        <w:rPr>
          <w:rFonts w:ascii="Arial" w:eastAsia="Times New Roman" w:hAnsi="Arial" w:cs="Times New Roman"/>
          <w:sz w:val="22"/>
          <w:lang w:val="en-US"/>
        </w:rPr>
      </w:pPr>
    </w:p>
    <w:p w14:paraId="4DB70441" w14:textId="77777777" w:rsidR="006E7714" w:rsidRPr="006E7714" w:rsidRDefault="006E7714" w:rsidP="006E7714">
      <w:pPr>
        <w:spacing w:after="0" w:line="276" w:lineRule="auto"/>
        <w:jc w:val="left"/>
        <w:rPr>
          <w:rFonts w:ascii="Arial" w:eastAsia="Times New Roman" w:hAnsi="Arial" w:cs="Times New Roman"/>
          <w:sz w:val="22"/>
          <w:lang w:val="en-US"/>
        </w:rPr>
      </w:pPr>
    </w:p>
    <w:p w14:paraId="012B1605" w14:textId="77777777" w:rsidR="006E7714" w:rsidRPr="006E7714" w:rsidRDefault="006E7714" w:rsidP="006E7714">
      <w:pPr>
        <w:spacing w:before="120" w:after="0" w:line="240" w:lineRule="auto"/>
        <w:jc w:val="left"/>
        <w:rPr>
          <w:rFonts w:ascii="Arial" w:eastAsia="Times New Roman" w:hAnsi="Arial" w:cs="Times New Roman"/>
          <w:b/>
          <w:color w:val="CCCCCC"/>
          <w:sz w:val="22"/>
          <w:lang w:val="en-US"/>
        </w:rPr>
      </w:pPr>
      <w:r w:rsidRPr="006E7714">
        <w:rPr>
          <w:rFonts w:ascii="Arial" w:eastAsia="Times New Roman" w:hAnsi="Arial" w:cs="Times New Roman"/>
          <w:b/>
          <w:color w:val="CCCCCC"/>
          <w:sz w:val="22"/>
          <w:lang w:val="en-US"/>
        </w:rPr>
        <w:t>End of Block: INS</w:t>
      </w:r>
    </w:p>
    <w:p w14:paraId="6CF88093" w14:textId="77777777" w:rsidR="006E7714" w:rsidRPr="006E7714" w:rsidRDefault="006E7714" w:rsidP="006E7714">
      <w:pPr>
        <w:pBdr>
          <w:bottom w:val="single" w:sz="8" w:space="0" w:color="CCCCCC"/>
        </w:pBdr>
        <w:spacing w:after="0" w:line="120" w:lineRule="auto"/>
        <w:jc w:val="center"/>
        <w:rPr>
          <w:rFonts w:ascii="Arial" w:eastAsia="Times New Roman" w:hAnsi="Arial" w:cs="Times New Roman"/>
          <w:b/>
          <w:color w:val="CCCCCC"/>
          <w:sz w:val="22"/>
          <w:lang w:val="en-US"/>
        </w:rPr>
      </w:pPr>
    </w:p>
    <w:p w14:paraId="1469818A" w14:textId="77777777" w:rsidR="006E7714" w:rsidRPr="006E7714" w:rsidRDefault="006E7714" w:rsidP="006E7714">
      <w:pPr>
        <w:spacing w:before="120" w:after="120" w:line="240" w:lineRule="auto"/>
        <w:jc w:val="left"/>
        <w:rPr>
          <w:rFonts w:ascii="Arial" w:eastAsia="Times New Roman" w:hAnsi="Arial" w:cs="Times New Roman"/>
          <w:b/>
          <w:color w:val="CCCCCC"/>
          <w:sz w:val="22"/>
          <w:lang w:val="en-US"/>
        </w:rPr>
      </w:pPr>
      <w:r w:rsidRPr="006E7714">
        <w:rPr>
          <w:rFonts w:ascii="Arial" w:eastAsia="Times New Roman" w:hAnsi="Arial" w:cs="Times New Roman"/>
          <w:b/>
          <w:color w:val="CCCCCC"/>
          <w:sz w:val="22"/>
          <w:lang w:val="en-US"/>
        </w:rPr>
        <w:t>Start of Block: Stressor</w:t>
      </w:r>
    </w:p>
    <w:p w14:paraId="2E9B4CFF" w14:textId="77777777" w:rsidR="006E7714" w:rsidRPr="006E7714" w:rsidRDefault="006E7714" w:rsidP="006E7714">
      <w:pPr>
        <w:keepNext/>
        <w:shd w:val="clear" w:color="auto" w:fill="6898BB"/>
        <w:spacing w:before="120" w:after="120" w:line="240" w:lineRule="auto"/>
        <w:jc w:val="left"/>
        <w:rPr>
          <w:rFonts w:ascii="Arial" w:eastAsia="Times New Roman" w:hAnsi="Arial" w:cs="Times New Roman"/>
          <w:i/>
          <w:color w:val="FFFFFF"/>
          <w:sz w:val="20"/>
          <w:lang w:val="en-US"/>
        </w:rPr>
      </w:pPr>
      <w:r w:rsidRPr="006E7714">
        <w:rPr>
          <w:rFonts w:ascii="Arial" w:eastAsia="Times New Roman" w:hAnsi="Arial" w:cs="Times New Roman"/>
          <w:i/>
          <w:color w:val="FFFFFF"/>
          <w:sz w:val="20"/>
          <w:lang w:val="en-US"/>
        </w:rPr>
        <w:t>Display This Question:</w:t>
      </w:r>
    </w:p>
    <w:p w14:paraId="16E59F84" w14:textId="77777777" w:rsidR="006E7714" w:rsidRPr="006E7714" w:rsidRDefault="006E7714" w:rsidP="006E7714">
      <w:pPr>
        <w:keepNext/>
        <w:shd w:val="clear" w:color="auto" w:fill="6898BB"/>
        <w:spacing w:before="120" w:after="120" w:line="240" w:lineRule="auto"/>
        <w:ind w:firstLine="400"/>
        <w:jc w:val="left"/>
        <w:rPr>
          <w:rFonts w:ascii="Arial" w:eastAsia="Times New Roman" w:hAnsi="Arial" w:cs="Times New Roman"/>
          <w:i/>
          <w:color w:val="FFFFFF"/>
          <w:sz w:val="20"/>
          <w:lang w:val="en-US"/>
        </w:rPr>
      </w:pPr>
      <w:r w:rsidRPr="006E7714">
        <w:rPr>
          <w:rFonts w:ascii="Arial" w:eastAsia="Times New Roman" w:hAnsi="Arial" w:cs="Times New Roman"/>
          <w:i/>
          <w:color w:val="FFFFFF"/>
          <w:sz w:val="20"/>
          <w:lang w:val="en-US"/>
        </w:rPr>
        <w:t>If Device Type Is Not iPhone</w:t>
      </w:r>
    </w:p>
    <w:p w14:paraId="02254C5F" w14:textId="77777777" w:rsidR="006E7714" w:rsidRPr="006E7714" w:rsidRDefault="006E7714" w:rsidP="006E7714">
      <w:pPr>
        <w:keepNext/>
        <w:spacing w:after="0" w:line="276" w:lineRule="auto"/>
        <w:jc w:val="left"/>
        <w:rPr>
          <w:rFonts w:ascii="Arial" w:eastAsia="Times New Roman" w:hAnsi="Arial" w:cs="Times New Roman"/>
          <w:sz w:val="22"/>
          <w:lang w:val="en-US"/>
        </w:rPr>
      </w:pPr>
      <w:r w:rsidRPr="006E7714">
        <w:rPr>
          <w:rFonts w:ascii="Arial" w:eastAsia="Times New Roman" w:hAnsi="Arial" w:cs="Times New Roman"/>
          <w:sz w:val="22"/>
          <w:lang w:val="en-US"/>
        </w:rPr>
        <w:br/>
      </w:r>
      <w:r w:rsidRPr="006E7714">
        <w:rPr>
          <w:rFonts w:ascii="Arial" w:eastAsia="Times New Roman" w:hAnsi="Arial" w:cs="Times New Roman"/>
          <w:b/>
          <w:sz w:val="22"/>
          <w:lang w:val="en-US"/>
        </w:rPr>
        <w:t xml:space="preserve">This sound is the </w:t>
      </w:r>
      <w:r w:rsidRPr="006E7714">
        <w:rPr>
          <w:rFonts w:ascii="Arial" w:eastAsia="Times New Roman" w:hAnsi="Arial" w:cs="Times New Roman"/>
          <w:b/>
          <w:sz w:val="22"/>
          <w:u w:val="single"/>
          <w:lang w:val="en-US"/>
        </w:rPr>
        <w:t>first task of the survey</w:t>
      </w:r>
      <w:r w:rsidRPr="006E7714">
        <w:rPr>
          <w:rFonts w:ascii="Arial" w:eastAsia="Times New Roman" w:hAnsi="Arial" w:cs="Times New Roman"/>
          <w:b/>
          <w:sz w:val="22"/>
          <w:lang w:val="en-US"/>
        </w:rPr>
        <w:t xml:space="preserve"> and it will only last a few more seconds.</w:t>
      </w:r>
      <w:r w:rsidRPr="006E7714">
        <w:rPr>
          <w:rFonts w:ascii="Arial" w:eastAsia="Times New Roman" w:hAnsi="Arial" w:cs="Times New Roman"/>
          <w:sz w:val="22"/>
          <w:lang w:val="en-US"/>
        </w:rPr>
        <w:t xml:space="preserve"> </w:t>
      </w:r>
      <w:r w:rsidRPr="006E7714">
        <w:rPr>
          <w:rFonts w:ascii="Arial" w:eastAsia="Times New Roman" w:hAnsi="Arial" w:cs="Times New Roman"/>
          <w:sz w:val="22"/>
          <w:lang w:val="en-US"/>
        </w:rPr>
        <w:br/>
        <w:t xml:space="preserve"> </w:t>
      </w:r>
      <w:r w:rsidRPr="006E7714">
        <w:rPr>
          <w:rFonts w:ascii="Arial" w:eastAsia="Times New Roman" w:hAnsi="Arial" w:cs="Times New Roman"/>
          <w:sz w:val="22"/>
          <w:lang w:val="en-US"/>
        </w:rPr>
        <w:br/>
      </w:r>
      <w:r w:rsidRPr="006E7714">
        <w:rPr>
          <w:rFonts w:ascii="Arial" w:eastAsia="Times New Roman" w:hAnsi="Arial" w:cs="Times New Roman"/>
          <w:b/>
          <w:sz w:val="22"/>
          <w:lang w:val="en-US"/>
        </w:rPr>
        <w:t>The survey will move on automatically</w:t>
      </w:r>
      <w:r w:rsidRPr="006E7714">
        <w:rPr>
          <w:rFonts w:ascii="Arial" w:eastAsia="Times New Roman" w:hAnsi="Arial" w:cs="Times New Roman"/>
          <w:sz w:val="22"/>
          <w:lang w:val="en-US"/>
        </w:rPr>
        <w:t xml:space="preserve">  </w:t>
      </w:r>
      <w:r w:rsidRPr="006E7714">
        <w:rPr>
          <w:rFonts w:ascii="Arial" w:eastAsia="Times New Roman" w:hAnsi="Arial" w:cs="Times New Roman"/>
          <w:sz w:val="22"/>
          <w:lang w:val="en-US"/>
        </w:rPr>
        <w:br/>
        <w:t xml:space="preserve">   </w:t>
      </w:r>
      <w:r w:rsidRPr="006E7714">
        <w:rPr>
          <w:rFonts w:ascii="Arial" w:eastAsia="Times New Roman" w:hAnsi="Arial" w:cs="Times New Roman"/>
          <w:sz w:val="22"/>
          <w:lang w:val="en-US"/>
        </w:rPr>
        <w:br/>
        <w:t xml:space="preserve">    </w:t>
      </w:r>
    </w:p>
    <w:p w14:paraId="6BEF7B93" w14:textId="77777777" w:rsidR="006E7714" w:rsidRPr="006E7714" w:rsidRDefault="006E7714" w:rsidP="006E7714">
      <w:pPr>
        <w:spacing w:after="0" w:line="276" w:lineRule="auto"/>
        <w:jc w:val="left"/>
        <w:rPr>
          <w:rFonts w:ascii="Arial" w:eastAsia="Times New Roman" w:hAnsi="Arial" w:cs="Times New Roman"/>
          <w:sz w:val="22"/>
          <w:lang w:val="en-US"/>
        </w:rPr>
      </w:pPr>
    </w:p>
    <w:p w14:paraId="5D64B6E8" w14:textId="77777777" w:rsidR="006E7714" w:rsidRPr="006E7714" w:rsidRDefault="006E7714" w:rsidP="006E7714">
      <w:pPr>
        <w:pBdr>
          <w:top w:val="dashed" w:sz="8" w:space="0" w:color="CCCCCC"/>
        </w:pBdr>
        <w:spacing w:before="120" w:after="120" w:line="120" w:lineRule="auto"/>
        <w:jc w:val="left"/>
        <w:rPr>
          <w:rFonts w:ascii="Arial" w:eastAsia="Times New Roman" w:hAnsi="Arial" w:cs="Times New Roman"/>
          <w:sz w:val="22"/>
          <w:lang w:val="en-US"/>
        </w:rPr>
      </w:pPr>
    </w:p>
    <w:p w14:paraId="7BC9C076" w14:textId="77777777" w:rsidR="006E7714" w:rsidRPr="006E7714" w:rsidRDefault="006E7714" w:rsidP="006E7714">
      <w:pPr>
        <w:keepNext/>
        <w:shd w:val="clear" w:color="auto" w:fill="6898BB"/>
        <w:spacing w:before="120" w:after="120" w:line="240" w:lineRule="auto"/>
        <w:jc w:val="left"/>
        <w:rPr>
          <w:rFonts w:ascii="Arial" w:eastAsia="Times New Roman" w:hAnsi="Arial" w:cs="Times New Roman"/>
          <w:i/>
          <w:color w:val="FFFFFF"/>
          <w:sz w:val="20"/>
          <w:lang w:val="en-US"/>
        </w:rPr>
      </w:pPr>
      <w:r w:rsidRPr="006E7714">
        <w:rPr>
          <w:rFonts w:ascii="Arial" w:eastAsia="Times New Roman" w:hAnsi="Arial" w:cs="Times New Roman"/>
          <w:i/>
          <w:color w:val="FFFFFF"/>
          <w:sz w:val="20"/>
          <w:lang w:val="en-US"/>
        </w:rPr>
        <w:t>Display This Question:</w:t>
      </w:r>
    </w:p>
    <w:p w14:paraId="05E97B70" w14:textId="77777777" w:rsidR="006E7714" w:rsidRPr="006E7714" w:rsidRDefault="006E7714" w:rsidP="006E7714">
      <w:pPr>
        <w:keepNext/>
        <w:shd w:val="clear" w:color="auto" w:fill="6898BB"/>
        <w:spacing w:before="120" w:after="120" w:line="240" w:lineRule="auto"/>
        <w:ind w:firstLine="400"/>
        <w:jc w:val="left"/>
        <w:rPr>
          <w:rFonts w:ascii="Arial" w:eastAsia="Times New Roman" w:hAnsi="Arial" w:cs="Times New Roman"/>
          <w:i/>
          <w:color w:val="FFFFFF"/>
          <w:sz w:val="20"/>
          <w:lang w:val="en-US"/>
        </w:rPr>
      </w:pPr>
      <w:r w:rsidRPr="006E7714">
        <w:rPr>
          <w:rFonts w:ascii="Arial" w:eastAsia="Times New Roman" w:hAnsi="Arial" w:cs="Times New Roman"/>
          <w:i/>
          <w:color w:val="FFFFFF"/>
          <w:sz w:val="20"/>
          <w:lang w:val="en-US"/>
        </w:rPr>
        <w:t>If Device Type Is Not iPhone</w:t>
      </w:r>
    </w:p>
    <w:p w14:paraId="693121DF" w14:textId="77777777" w:rsidR="006E7714" w:rsidRPr="006E7714" w:rsidRDefault="006E7714" w:rsidP="006E7714">
      <w:pPr>
        <w:spacing w:after="0" w:line="276" w:lineRule="auto"/>
        <w:jc w:val="left"/>
        <w:rPr>
          <w:rFonts w:ascii="Arial" w:eastAsia="Times New Roman" w:hAnsi="Arial" w:cs="Times New Roman"/>
          <w:sz w:val="22"/>
          <w:lang w:val="en-US"/>
        </w:rPr>
      </w:pPr>
    </w:p>
    <w:p w14:paraId="1CED4BF8" w14:textId="77777777" w:rsidR="006E7714" w:rsidRPr="006E7714" w:rsidRDefault="006E7714" w:rsidP="006E7714">
      <w:pPr>
        <w:spacing w:after="0" w:line="276" w:lineRule="auto"/>
        <w:jc w:val="left"/>
        <w:rPr>
          <w:rFonts w:ascii="Arial" w:eastAsia="Times New Roman" w:hAnsi="Arial" w:cs="Times New Roman"/>
          <w:sz w:val="22"/>
          <w:lang w:val="en-US"/>
        </w:rPr>
      </w:pPr>
    </w:p>
    <w:p w14:paraId="56882868" w14:textId="77777777" w:rsidR="006E7714" w:rsidRPr="006E7714" w:rsidRDefault="006E7714" w:rsidP="006E7714">
      <w:pPr>
        <w:spacing w:before="120" w:after="0" w:line="240" w:lineRule="auto"/>
        <w:jc w:val="left"/>
        <w:rPr>
          <w:rFonts w:ascii="Arial" w:eastAsia="Times New Roman" w:hAnsi="Arial" w:cs="Times New Roman"/>
          <w:b/>
          <w:color w:val="CCCCCC"/>
          <w:sz w:val="22"/>
          <w:lang w:val="en-US"/>
        </w:rPr>
      </w:pPr>
      <w:r w:rsidRPr="006E7714">
        <w:rPr>
          <w:rFonts w:ascii="Arial" w:eastAsia="Times New Roman" w:hAnsi="Arial" w:cs="Times New Roman"/>
          <w:b/>
          <w:color w:val="CCCCCC"/>
          <w:sz w:val="22"/>
          <w:lang w:val="en-US"/>
        </w:rPr>
        <w:t>End of Block: Stressor</w:t>
      </w:r>
    </w:p>
    <w:p w14:paraId="40830A47" w14:textId="77777777" w:rsidR="006E7714" w:rsidRPr="006E7714" w:rsidRDefault="006E7714" w:rsidP="006E7714">
      <w:pPr>
        <w:pBdr>
          <w:bottom w:val="single" w:sz="8" w:space="0" w:color="CCCCCC"/>
        </w:pBdr>
        <w:spacing w:after="0" w:line="120" w:lineRule="auto"/>
        <w:jc w:val="center"/>
        <w:rPr>
          <w:rFonts w:ascii="Arial" w:eastAsia="Times New Roman" w:hAnsi="Arial" w:cs="Times New Roman"/>
          <w:b/>
          <w:color w:val="CCCCCC"/>
          <w:sz w:val="22"/>
          <w:lang w:val="en-US"/>
        </w:rPr>
      </w:pPr>
    </w:p>
    <w:p w14:paraId="7E2E203A" w14:textId="77777777" w:rsidR="006E7714" w:rsidRPr="006E7714" w:rsidRDefault="006E7714" w:rsidP="006E7714">
      <w:pPr>
        <w:spacing w:before="120" w:after="120" w:line="240" w:lineRule="auto"/>
        <w:jc w:val="left"/>
        <w:rPr>
          <w:rFonts w:ascii="Arial" w:eastAsia="Times New Roman" w:hAnsi="Arial" w:cs="Times New Roman"/>
          <w:b/>
          <w:color w:val="CCCCCC"/>
          <w:sz w:val="22"/>
          <w:lang w:val="en-US"/>
        </w:rPr>
      </w:pPr>
      <w:r w:rsidRPr="006E7714">
        <w:rPr>
          <w:rFonts w:ascii="Arial" w:eastAsia="Times New Roman" w:hAnsi="Arial" w:cs="Times New Roman"/>
          <w:b/>
          <w:color w:val="CCCCCC"/>
          <w:sz w:val="22"/>
          <w:lang w:val="en-US"/>
        </w:rPr>
        <w:t xml:space="preserve">Start of Block: Stressor </w:t>
      </w:r>
      <w:proofErr w:type="spellStart"/>
      <w:r w:rsidRPr="006E7714">
        <w:rPr>
          <w:rFonts w:ascii="Arial" w:eastAsia="Times New Roman" w:hAnsi="Arial" w:cs="Times New Roman"/>
          <w:b/>
          <w:color w:val="CCCCCC"/>
          <w:sz w:val="22"/>
          <w:lang w:val="en-US"/>
        </w:rPr>
        <w:t>ios</w:t>
      </w:r>
      <w:proofErr w:type="spellEnd"/>
    </w:p>
    <w:p w14:paraId="4A975A7D" w14:textId="77777777" w:rsidR="006E7714" w:rsidRPr="006E7714" w:rsidRDefault="006E7714" w:rsidP="006E7714">
      <w:pPr>
        <w:keepNext/>
        <w:shd w:val="clear" w:color="auto" w:fill="6898BB"/>
        <w:spacing w:before="120" w:after="120" w:line="240" w:lineRule="auto"/>
        <w:jc w:val="left"/>
        <w:rPr>
          <w:rFonts w:ascii="Arial" w:eastAsia="Times New Roman" w:hAnsi="Arial" w:cs="Times New Roman"/>
          <w:i/>
          <w:color w:val="FFFFFF"/>
          <w:sz w:val="20"/>
          <w:lang w:val="en-US"/>
        </w:rPr>
      </w:pPr>
      <w:r w:rsidRPr="006E7714">
        <w:rPr>
          <w:rFonts w:ascii="Arial" w:eastAsia="Times New Roman" w:hAnsi="Arial" w:cs="Times New Roman"/>
          <w:i/>
          <w:color w:val="FFFFFF"/>
          <w:sz w:val="20"/>
          <w:lang w:val="en-US"/>
        </w:rPr>
        <w:lastRenderedPageBreak/>
        <w:t>Display This Question:</w:t>
      </w:r>
    </w:p>
    <w:p w14:paraId="2B774C59" w14:textId="77777777" w:rsidR="006E7714" w:rsidRPr="006E7714" w:rsidRDefault="006E7714" w:rsidP="006E7714">
      <w:pPr>
        <w:keepNext/>
        <w:shd w:val="clear" w:color="auto" w:fill="6898BB"/>
        <w:spacing w:before="120" w:after="120" w:line="240" w:lineRule="auto"/>
        <w:ind w:firstLine="400"/>
        <w:jc w:val="left"/>
        <w:rPr>
          <w:rFonts w:ascii="Arial" w:eastAsia="Times New Roman" w:hAnsi="Arial" w:cs="Times New Roman"/>
          <w:i/>
          <w:color w:val="FFFFFF"/>
          <w:sz w:val="20"/>
          <w:lang w:val="en-US"/>
        </w:rPr>
      </w:pPr>
      <w:r w:rsidRPr="006E7714">
        <w:rPr>
          <w:rFonts w:ascii="Arial" w:eastAsia="Times New Roman" w:hAnsi="Arial" w:cs="Times New Roman"/>
          <w:i/>
          <w:color w:val="FFFFFF"/>
          <w:sz w:val="20"/>
          <w:lang w:val="en-US"/>
        </w:rPr>
        <w:t>If Device Type Is iPhone</w:t>
      </w:r>
    </w:p>
    <w:p w14:paraId="1AB8AB21" w14:textId="77777777" w:rsidR="006E7714" w:rsidRPr="006E7714" w:rsidRDefault="006E7714" w:rsidP="006E7714">
      <w:pPr>
        <w:spacing w:after="0" w:line="276" w:lineRule="auto"/>
        <w:jc w:val="left"/>
        <w:rPr>
          <w:rFonts w:ascii="Arial" w:eastAsia="Times New Roman" w:hAnsi="Arial" w:cs="Times New Roman"/>
          <w:sz w:val="22"/>
          <w:lang w:val="en-US"/>
        </w:rPr>
      </w:pPr>
    </w:p>
    <w:p w14:paraId="3989DEB1" w14:textId="77777777" w:rsidR="006E7714" w:rsidRPr="006E7714" w:rsidRDefault="006E7714" w:rsidP="006E7714">
      <w:pPr>
        <w:keepNext/>
        <w:spacing w:after="0" w:line="276" w:lineRule="auto"/>
        <w:jc w:val="left"/>
        <w:rPr>
          <w:rFonts w:ascii="Arial" w:eastAsia="Times New Roman" w:hAnsi="Arial" w:cs="Times New Roman"/>
          <w:sz w:val="22"/>
          <w:lang w:val="en-US"/>
        </w:rPr>
      </w:pPr>
      <w:r w:rsidRPr="006E7714">
        <w:rPr>
          <w:rFonts w:ascii="Arial" w:eastAsia="Times New Roman" w:hAnsi="Arial" w:cs="Times New Roman"/>
          <w:sz w:val="22"/>
          <w:lang w:val="en-US"/>
        </w:rPr>
        <w:t xml:space="preserve">Stressor for iOS </w:t>
      </w:r>
      <w:r w:rsidRPr="006E7714">
        <w:rPr>
          <w:rFonts w:ascii="Arial" w:eastAsia="Times New Roman" w:hAnsi="Arial" w:cs="Times New Roman"/>
          <w:sz w:val="22"/>
          <w:lang w:val="en-US"/>
        </w:rPr>
        <w:br/>
      </w:r>
      <w:r w:rsidRPr="006E7714">
        <w:rPr>
          <w:rFonts w:ascii="Arial" w:eastAsia="Times New Roman" w:hAnsi="Arial" w:cs="Times New Roman"/>
          <w:b/>
          <w:sz w:val="22"/>
          <w:lang w:val="en-US"/>
        </w:rPr>
        <w:t>This sound track is the first task of the survey.</w:t>
      </w:r>
      <w:r w:rsidRPr="006E7714">
        <w:rPr>
          <w:rFonts w:ascii="Arial" w:eastAsia="Times New Roman" w:hAnsi="Arial" w:cs="Times New Roman"/>
          <w:sz w:val="22"/>
          <w:lang w:val="en-US"/>
        </w:rPr>
        <w:t xml:space="preserve">  </w:t>
      </w:r>
      <w:r w:rsidRPr="006E7714">
        <w:rPr>
          <w:rFonts w:ascii="Arial" w:eastAsia="Times New Roman" w:hAnsi="Arial" w:cs="Times New Roman"/>
          <w:sz w:val="22"/>
          <w:lang w:val="en-US"/>
        </w:rPr>
        <w:br/>
      </w:r>
      <w:r w:rsidRPr="006E7714">
        <w:rPr>
          <w:rFonts w:ascii="Arial" w:eastAsia="Times New Roman" w:hAnsi="Arial" w:cs="Times New Roman"/>
          <w:b/>
          <w:sz w:val="22"/>
          <w:lang w:val="en-US"/>
        </w:rPr>
        <w:t xml:space="preserve">Please, listen </w:t>
      </w:r>
      <w:r w:rsidRPr="006E7714">
        <w:rPr>
          <w:rFonts w:ascii="Arial" w:eastAsia="Times New Roman" w:hAnsi="Arial" w:cs="Times New Roman"/>
          <w:b/>
          <w:sz w:val="22"/>
          <w:u w:val="single"/>
          <w:lang w:val="en-US"/>
        </w:rPr>
        <w:t>only once</w:t>
      </w:r>
      <w:r w:rsidRPr="006E7714">
        <w:rPr>
          <w:rFonts w:ascii="Arial" w:eastAsia="Times New Roman" w:hAnsi="Arial" w:cs="Times New Roman"/>
          <w:b/>
          <w:sz w:val="22"/>
          <w:lang w:val="en-US"/>
        </w:rPr>
        <w:t xml:space="preserve"> and then proceed to the next page</w:t>
      </w:r>
      <w:r w:rsidRPr="006E7714">
        <w:rPr>
          <w:rFonts w:ascii="Arial" w:eastAsia="Times New Roman" w:hAnsi="Arial" w:cs="Times New Roman"/>
          <w:sz w:val="22"/>
          <w:lang w:val="en-US"/>
        </w:rPr>
        <w:t xml:space="preserve">  </w:t>
      </w:r>
      <w:r w:rsidRPr="006E7714">
        <w:rPr>
          <w:rFonts w:ascii="Arial" w:eastAsia="Times New Roman" w:hAnsi="Arial" w:cs="Times New Roman"/>
          <w:sz w:val="22"/>
          <w:lang w:val="en-US"/>
        </w:rPr>
        <w:br/>
        <w:t xml:space="preserve">   </w:t>
      </w:r>
      <w:r w:rsidRPr="006E7714">
        <w:rPr>
          <w:rFonts w:ascii="Arial" w:eastAsia="Times New Roman" w:hAnsi="Arial" w:cs="Times New Roman"/>
          <w:sz w:val="22"/>
          <w:lang w:val="en-US"/>
        </w:rPr>
        <w:br/>
        <w:t xml:space="preserve">  </w:t>
      </w:r>
    </w:p>
    <w:p w14:paraId="7930EDA3" w14:textId="77777777" w:rsidR="006E7714" w:rsidRPr="006E7714" w:rsidRDefault="006E7714" w:rsidP="006E7714">
      <w:pPr>
        <w:spacing w:after="0" w:line="276" w:lineRule="auto"/>
        <w:jc w:val="left"/>
        <w:rPr>
          <w:rFonts w:ascii="Arial" w:eastAsia="Times New Roman" w:hAnsi="Arial" w:cs="Times New Roman"/>
          <w:sz w:val="22"/>
          <w:lang w:val="en-US"/>
        </w:rPr>
      </w:pPr>
    </w:p>
    <w:p w14:paraId="65196F0A" w14:textId="77777777" w:rsidR="006E7714" w:rsidRPr="006E7714" w:rsidRDefault="006E7714" w:rsidP="006E7714">
      <w:pPr>
        <w:spacing w:after="0" w:line="276" w:lineRule="auto"/>
        <w:jc w:val="left"/>
        <w:rPr>
          <w:rFonts w:ascii="Arial" w:eastAsia="Times New Roman" w:hAnsi="Arial" w:cs="Times New Roman"/>
          <w:sz w:val="22"/>
          <w:lang w:val="en-US"/>
        </w:rPr>
      </w:pPr>
    </w:p>
    <w:p w14:paraId="1BC5B0F8" w14:textId="77777777" w:rsidR="006E7714" w:rsidRPr="006E7714" w:rsidRDefault="006E7714" w:rsidP="006E7714">
      <w:pPr>
        <w:spacing w:before="120" w:after="0" w:line="240" w:lineRule="auto"/>
        <w:jc w:val="left"/>
        <w:rPr>
          <w:rFonts w:ascii="Arial" w:eastAsia="Times New Roman" w:hAnsi="Arial" w:cs="Times New Roman"/>
          <w:b/>
          <w:color w:val="CCCCCC"/>
          <w:sz w:val="22"/>
          <w:lang w:val="en-US"/>
        </w:rPr>
      </w:pPr>
      <w:r w:rsidRPr="006E7714">
        <w:rPr>
          <w:rFonts w:ascii="Arial" w:eastAsia="Times New Roman" w:hAnsi="Arial" w:cs="Times New Roman"/>
          <w:b/>
          <w:color w:val="CCCCCC"/>
          <w:sz w:val="22"/>
          <w:lang w:val="en-US"/>
        </w:rPr>
        <w:t xml:space="preserve">End of Block: Stressor </w:t>
      </w:r>
      <w:proofErr w:type="spellStart"/>
      <w:r w:rsidRPr="006E7714">
        <w:rPr>
          <w:rFonts w:ascii="Arial" w:eastAsia="Times New Roman" w:hAnsi="Arial" w:cs="Times New Roman"/>
          <w:b/>
          <w:color w:val="CCCCCC"/>
          <w:sz w:val="22"/>
          <w:lang w:val="en-US"/>
        </w:rPr>
        <w:t>ios</w:t>
      </w:r>
      <w:proofErr w:type="spellEnd"/>
    </w:p>
    <w:p w14:paraId="0A22E7DF" w14:textId="77777777" w:rsidR="006E7714" w:rsidRPr="006E7714" w:rsidRDefault="006E7714" w:rsidP="006E7714">
      <w:pPr>
        <w:pBdr>
          <w:bottom w:val="single" w:sz="8" w:space="0" w:color="CCCCCC"/>
        </w:pBdr>
        <w:spacing w:after="0" w:line="120" w:lineRule="auto"/>
        <w:jc w:val="center"/>
        <w:rPr>
          <w:rFonts w:ascii="Arial" w:eastAsia="Times New Roman" w:hAnsi="Arial" w:cs="Times New Roman"/>
          <w:b/>
          <w:color w:val="CCCCCC"/>
          <w:sz w:val="22"/>
          <w:lang w:val="en-US"/>
        </w:rPr>
      </w:pPr>
    </w:p>
    <w:p w14:paraId="78261E50" w14:textId="77777777" w:rsidR="006E7714" w:rsidRPr="006E7714" w:rsidRDefault="006E7714" w:rsidP="006E7714">
      <w:pPr>
        <w:spacing w:before="120" w:after="120" w:line="240" w:lineRule="auto"/>
        <w:jc w:val="left"/>
        <w:rPr>
          <w:rFonts w:ascii="Arial" w:eastAsia="Times New Roman" w:hAnsi="Arial" w:cs="Times New Roman"/>
          <w:b/>
          <w:color w:val="CCCCCC"/>
          <w:sz w:val="22"/>
          <w:lang w:val="en-US"/>
        </w:rPr>
      </w:pPr>
      <w:r w:rsidRPr="006E7714">
        <w:rPr>
          <w:rFonts w:ascii="Arial" w:eastAsia="Times New Roman" w:hAnsi="Arial" w:cs="Times New Roman"/>
          <w:b/>
          <w:color w:val="CCCCCC"/>
          <w:sz w:val="22"/>
          <w:lang w:val="en-US"/>
        </w:rPr>
        <w:t>Start of Block: Panas - Post Stressor</w:t>
      </w:r>
    </w:p>
    <w:tbl>
      <w:tblPr>
        <w:tblStyle w:val="QQuestionIconTable"/>
        <w:tblW w:w="50" w:type="auto"/>
        <w:tblLook w:val="07E0" w:firstRow="1" w:lastRow="1" w:firstColumn="1" w:lastColumn="1" w:noHBand="1" w:noVBand="1"/>
      </w:tblPr>
      <w:tblGrid>
        <w:gridCol w:w="380"/>
      </w:tblGrid>
      <w:tr w:rsidR="006E7714" w:rsidRPr="006E7714" w14:paraId="066D46A0" w14:textId="77777777" w:rsidTr="00B9053E">
        <w:tc>
          <w:tcPr>
            <w:tcW w:w="50" w:type="dxa"/>
          </w:tcPr>
          <w:p w14:paraId="6965EE21" w14:textId="77777777" w:rsidR="006E7714" w:rsidRPr="006E7714" w:rsidRDefault="006E7714" w:rsidP="006E7714">
            <w:pPr>
              <w:keepNext/>
              <w:spacing w:line="240" w:lineRule="auto"/>
              <w:jc w:val="center"/>
              <w:rPr>
                <w:rFonts w:ascii="Arial" w:eastAsia="Times New Roman" w:hAnsi="Arial" w:cs="Times New Roman"/>
                <w:sz w:val="22"/>
                <w:lang w:val="en-US"/>
              </w:rPr>
            </w:pPr>
            <w:r w:rsidRPr="006E7714">
              <w:rPr>
                <w:rFonts w:ascii="Arial" w:eastAsia="Times New Roman" w:hAnsi="Arial" w:cs="Times New Roman"/>
                <w:noProof/>
                <w:sz w:val="22"/>
                <w:lang w:val="en-US"/>
              </w:rPr>
              <w:drawing>
                <wp:inline distT="0" distB="0" distL="0" distR="0" wp14:anchorId="7E810721" wp14:editId="36FB7313">
                  <wp:extent cx="228600" cy="228600"/>
                  <wp:effectExtent l="0" t="0" r="0" b="0"/>
                  <wp:docPr id="4" name="WordQuestionRandomiza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WordQuestionRandomization.png"/>
                          <pic:cNvPicPr/>
                        </pic:nvPicPr>
                        <pic:blipFill>
                          <a:blip r:embed="rId68"/>
                          <a:stretch>
                            <a:fillRect/>
                          </a:stretch>
                        </pic:blipFill>
                        <pic:spPr>
                          <a:xfrm>
                            <a:off x="0" y="0"/>
                            <a:ext cx="228600" cy="228600"/>
                          </a:xfrm>
                          <a:prstGeom prst="rect">
                            <a:avLst/>
                          </a:prstGeom>
                        </pic:spPr>
                      </pic:pic>
                    </a:graphicData>
                  </a:graphic>
                </wp:inline>
              </w:drawing>
            </w:r>
          </w:p>
        </w:tc>
      </w:tr>
    </w:tbl>
    <w:p w14:paraId="293B2B6A" w14:textId="77777777" w:rsidR="006E7714" w:rsidRPr="006E7714" w:rsidRDefault="006E7714" w:rsidP="006E7714">
      <w:pPr>
        <w:spacing w:after="0" w:line="276" w:lineRule="auto"/>
        <w:jc w:val="left"/>
        <w:rPr>
          <w:rFonts w:ascii="Arial" w:eastAsia="Times New Roman" w:hAnsi="Arial" w:cs="Times New Roman"/>
          <w:sz w:val="22"/>
          <w:lang w:val="en-US"/>
        </w:rPr>
      </w:pPr>
    </w:p>
    <w:p w14:paraId="5DFD3954" w14:textId="77777777" w:rsidR="006E7714" w:rsidRPr="006E7714" w:rsidRDefault="006E7714" w:rsidP="006E7714">
      <w:pPr>
        <w:keepNext/>
        <w:spacing w:after="0" w:line="276" w:lineRule="auto"/>
        <w:jc w:val="left"/>
        <w:rPr>
          <w:rFonts w:ascii="Arial" w:eastAsia="Times New Roman" w:hAnsi="Arial" w:cs="Times New Roman"/>
          <w:sz w:val="22"/>
          <w:lang w:val="en-US"/>
        </w:rPr>
      </w:pPr>
      <w:r w:rsidRPr="006E7714">
        <w:rPr>
          <w:rFonts w:ascii="Arial" w:eastAsia="Times New Roman" w:hAnsi="Arial" w:cs="Times New Roman"/>
          <w:sz w:val="22"/>
          <w:lang w:val="en-US"/>
        </w:rPr>
        <w:t>Please rate according to how you feel RIGHT NOW. You should answer this quickly based on your first instincts</w:t>
      </w:r>
    </w:p>
    <w:tbl>
      <w:tblPr>
        <w:tblStyle w:val="QQuestionTable3"/>
        <w:tblW w:w="9576" w:type="auto"/>
        <w:tblLook w:val="07E0" w:firstRow="1" w:lastRow="1" w:firstColumn="1" w:lastColumn="1" w:noHBand="1" w:noVBand="1"/>
      </w:tblPr>
      <w:tblGrid>
        <w:gridCol w:w="1596"/>
        <w:gridCol w:w="1596"/>
        <w:gridCol w:w="1596"/>
        <w:gridCol w:w="1596"/>
        <w:gridCol w:w="1596"/>
        <w:gridCol w:w="1596"/>
      </w:tblGrid>
      <w:tr w:rsidR="006E7714" w:rsidRPr="006E7714" w14:paraId="4D1053EC" w14:textId="77777777" w:rsidTr="00B9053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96" w:type="dxa"/>
          </w:tcPr>
          <w:p w14:paraId="568D31B7" w14:textId="77777777" w:rsidR="006E7714" w:rsidRPr="006E7714" w:rsidRDefault="006E7714" w:rsidP="006E7714">
            <w:pPr>
              <w:keepNext/>
              <w:spacing w:line="240" w:lineRule="auto"/>
              <w:jc w:val="center"/>
              <w:rPr>
                <w:rFonts w:ascii="Arial" w:hAnsi="Arial" w:cs="Times New Roman"/>
                <w:sz w:val="22"/>
                <w:lang w:val="en-US"/>
              </w:rPr>
            </w:pPr>
          </w:p>
        </w:tc>
        <w:tc>
          <w:tcPr>
            <w:tcW w:w="1596" w:type="dxa"/>
          </w:tcPr>
          <w:p w14:paraId="01B93065" w14:textId="77777777" w:rsidR="006E7714" w:rsidRPr="006E7714" w:rsidRDefault="006E7714" w:rsidP="006E7714">
            <w:pPr>
              <w:spacing w:line="240" w:lineRule="auto"/>
              <w:jc w:val="center"/>
              <w:cnfStyle w:val="100000000000" w:firstRow="1" w:lastRow="0" w:firstColumn="0" w:lastColumn="0" w:oddVBand="0" w:evenVBand="0" w:oddHBand="0" w:evenHBand="0" w:firstRowFirstColumn="0" w:firstRowLastColumn="0" w:lastRowFirstColumn="0" w:lastRowLastColumn="0"/>
              <w:rPr>
                <w:rFonts w:ascii="Arial" w:hAnsi="Arial" w:cs="Times New Roman"/>
                <w:sz w:val="22"/>
                <w:lang w:val="en-US"/>
              </w:rPr>
            </w:pPr>
            <w:r w:rsidRPr="006E7714">
              <w:rPr>
                <w:rFonts w:ascii="Arial" w:hAnsi="Arial" w:cs="Times New Roman"/>
                <w:sz w:val="22"/>
                <w:lang w:val="en-US"/>
              </w:rPr>
              <w:t>Not at all (1)</w:t>
            </w:r>
          </w:p>
        </w:tc>
        <w:tc>
          <w:tcPr>
            <w:tcW w:w="1596" w:type="dxa"/>
          </w:tcPr>
          <w:p w14:paraId="38825049" w14:textId="77777777" w:rsidR="006E7714" w:rsidRPr="006E7714" w:rsidRDefault="006E7714" w:rsidP="006E7714">
            <w:pPr>
              <w:spacing w:line="240" w:lineRule="auto"/>
              <w:jc w:val="center"/>
              <w:cnfStyle w:val="100000000000" w:firstRow="1" w:lastRow="0" w:firstColumn="0" w:lastColumn="0" w:oddVBand="0" w:evenVBand="0" w:oddHBand="0" w:evenHBand="0" w:firstRowFirstColumn="0" w:firstRowLastColumn="0" w:lastRowFirstColumn="0" w:lastRowLastColumn="0"/>
              <w:rPr>
                <w:rFonts w:ascii="Arial" w:hAnsi="Arial" w:cs="Times New Roman"/>
                <w:sz w:val="22"/>
                <w:lang w:val="en-US"/>
              </w:rPr>
            </w:pPr>
            <w:r w:rsidRPr="006E7714">
              <w:rPr>
                <w:rFonts w:ascii="Arial" w:hAnsi="Arial" w:cs="Times New Roman"/>
                <w:sz w:val="22"/>
                <w:lang w:val="en-US"/>
              </w:rPr>
              <w:t>A little (2)</w:t>
            </w:r>
          </w:p>
        </w:tc>
        <w:tc>
          <w:tcPr>
            <w:tcW w:w="1596" w:type="dxa"/>
          </w:tcPr>
          <w:p w14:paraId="7A4EBFD5" w14:textId="77777777" w:rsidR="006E7714" w:rsidRPr="006E7714" w:rsidRDefault="006E7714" w:rsidP="006E7714">
            <w:pPr>
              <w:spacing w:line="240" w:lineRule="auto"/>
              <w:jc w:val="center"/>
              <w:cnfStyle w:val="100000000000" w:firstRow="1" w:lastRow="0" w:firstColumn="0" w:lastColumn="0" w:oddVBand="0" w:evenVBand="0" w:oddHBand="0" w:evenHBand="0" w:firstRowFirstColumn="0" w:firstRowLastColumn="0" w:lastRowFirstColumn="0" w:lastRowLastColumn="0"/>
              <w:rPr>
                <w:rFonts w:ascii="Arial" w:hAnsi="Arial" w:cs="Times New Roman"/>
                <w:sz w:val="22"/>
                <w:lang w:val="en-US"/>
              </w:rPr>
            </w:pPr>
            <w:r w:rsidRPr="006E7714">
              <w:rPr>
                <w:rFonts w:ascii="Arial" w:hAnsi="Arial" w:cs="Times New Roman"/>
                <w:sz w:val="22"/>
                <w:lang w:val="en-US"/>
              </w:rPr>
              <w:t>Moderately (3)</w:t>
            </w:r>
          </w:p>
        </w:tc>
        <w:tc>
          <w:tcPr>
            <w:tcW w:w="1596" w:type="dxa"/>
          </w:tcPr>
          <w:p w14:paraId="3A2251E1" w14:textId="77777777" w:rsidR="006E7714" w:rsidRPr="006E7714" w:rsidRDefault="006E7714" w:rsidP="006E7714">
            <w:pPr>
              <w:spacing w:line="240" w:lineRule="auto"/>
              <w:jc w:val="center"/>
              <w:cnfStyle w:val="100000000000" w:firstRow="1" w:lastRow="0" w:firstColumn="0" w:lastColumn="0" w:oddVBand="0" w:evenVBand="0" w:oddHBand="0" w:evenHBand="0" w:firstRowFirstColumn="0" w:firstRowLastColumn="0" w:lastRowFirstColumn="0" w:lastRowLastColumn="0"/>
              <w:rPr>
                <w:rFonts w:ascii="Arial" w:hAnsi="Arial" w:cs="Times New Roman"/>
                <w:sz w:val="22"/>
                <w:lang w:val="en-US"/>
              </w:rPr>
            </w:pPr>
            <w:r w:rsidRPr="006E7714">
              <w:rPr>
                <w:rFonts w:ascii="Arial" w:hAnsi="Arial" w:cs="Times New Roman"/>
                <w:sz w:val="22"/>
                <w:lang w:val="en-US"/>
              </w:rPr>
              <w:t>Quite a bit (4)</w:t>
            </w:r>
          </w:p>
        </w:tc>
        <w:tc>
          <w:tcPr>
            <w:tcW w:w="1596" w:type="dxa"/>
          </w:tcPr>
          <w:p w14:paraId="51ABF62F" w14:textId="77777777" w:rsidR="006E7714" w:rsidRPr="006E7714" w:rsidRDefault="006E7714" w:rsidP="006E7714">
            <w:pPr>
              <w:spacing w:line="240" w:lineRule="auto"/>
              <w:jc w:val="center"/>
              <w:cnfStyle w:val="100000000000" w:firstRow="1" w:lastRow="0" w:firstColumn="0" w:lastColumn="0" w:oddVBand="0" w:evenVBand="0" w:oddHBand="0" w:evenHBand="0" w:firstRowFirstColumn="0" w:firstRowLastColumn="0" w:lastRowFirstColumn="0" w:lastRowLastColumn="0"/>
              <w:rPr>
                <w:rFonts w:ascii="Arial" w:hAnsi="Arial" w:cs="Times New Roman"/>
                <w:sz w:val="22"/>
                <w:lang w:val="en-US"/>
              </w:rPr>
            </w:pPr>
            <w:r w:rsidRPr="006E7714">
              <w:rPr>
                <w:rFonts w:ascii="Arial" w:hAnsi="Arial" w:cs="Times New Roman"/>
                <w:sz w:val="22"/>
                <w:lang w:val="en-US"/>
              </w:rPr>
              <w:t>Extremely (5)</w:t>
            </w:r>
          </w:p>
        </w:tc>
      </w:tr>
      <w:tr w:rsidR="006E7714" w:rsidRPr="006E7714" w14:paraId="2ED23626" w14:textId="77777777" w:rsidTr="00B9053E">
        <w:tc>
          <w:tcPr>
            <w:cnfStyle w:val="001000000000" w:firstRow="0" w:lastRow="0" w:firstColumn="1" w:lastColumn="0" w:oddVBand="0" w:evenVBand="0" w:oddHBand="0" w:evenHBand="0" w:firstRowFirstColumn="0" w:firstRowLastColumn="0" w:lastRowFirstColumn="0" w:lastRowLastColumn="0"/>
            <w:tcW w:w="1596" w:type="dxa"/>
          </w:tcPr>
          <w:p w14:paraId="06705F54" w14:textId="77777777" w:rsidR="006E7714" w:rsidRPr="006E7714" w:rsidRDefault="006E7714" w:rsidP="006E7714">
            <w:pPr>
              <w:keepNext/>
              <w:spacing w:line="240" w:lineRule="auto"/>
              <w:jc w:val="center"/>
              <w:rPr>
                <w:rFonts w:ascii="Arial" w:hAnsi="Arial" w:cs="Times New Roman"/>
                <w:sz w:val="22"/>
                <w:lang w:val="en-US"/>
              </w:rPr>
            </w:pPr>
            <w:r w:rsidRPr="006E7714">
              <w:rPr>
                <w:rFonts w:ascii="Arial" w:hAnsi="Arial" w:cs="Times New Roman"/>
                <w:sz w:val="22"/>
                <w:lang w:val="en-US"/>
              </w:rPr>
              <w:t xml:space="preserve">Afraid (1) </w:t>
            </w:r>
          </w:p>
        </w:tc>
        <w:tc>
          <w:tcPr>
            <w:tcW w:w="1596" w:type="dxa"/>
          </w:tcPr>
          <w:p w14:paraId="2005BDC8" w14:textId="77777777" w:rsidR="006E7714" w:rsidRPr="006E7714" w:rsidRDefault="006E7714" w:rsidP="006E7714">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174E7834" w14:textId="77777777" w:rsidR="006E7714" w:rsidRPr="006E7714" w:rsidRDefault="006E7714" w:rsidP="006E7714">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38660E80" w14:textId="77777777" w:rsidR="006E7714" w:rsidRPr="006E7714" w:rsidRDefault="006E7714" w:rsidP="006E7714">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3E471366" w14:textId="77777777" w:rsidR="006E7714" w:rsidRPr="006E7714" w:rsidRDefault="006E7714" w:rsidP="006E7714">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47C01429" w14:textId="77777777" w:rsidR="006E7714" w:rsidRPr="006E7714" w:rsidRDefault="006E7714" w:rsidP="006E7714">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r>
      <w:tr w:rsidR="006E7714" w:rsidRPr="006E7714" w14:paraId="4B83EF7D" w14:textId="77777777" w:rsidTr="00B9053E">
        <w:tc>
          <w:tcPr>
            <w:cnfStyle w:val="001000000000" w:firstRow="0" w:lastRow="0" w:firstColumn="1" w:lastColumn="0" w:oddVBand="0" w:evenVBand="0" w:oddHBand="0" w:evenHBand="0" w:firstRowFirstColumn="0" w:firstRowLastColumn="0" w:lastRowFirstColumn="0" w:lastRowLastColumn="0"/>
            <w:tcW w:w="1596" w:type="dxa"/>
          </w:tcPr>
          <w:p w14:paraId="51740DB2" w14:textId="77777777" w:rsidR="006E7714" w:rsidRPr="006E7714" w:rsidRDefault="006E7714" w:rsidP="006E7714">
            <w:pPr>
              <w:keepNext/>
              <w:spacing w:line="240" w:lineRule="auto"/>
              <w:jc w:val="center"/>
              <w:rPr>
                <w:rFonts w:ascii="Arial" w:hAnsi="Arial" w:cs="Times New Roman"/>
                <w:sz w:val="22"/>
                <w:lang w:val="en-US"/>
              </w:rPr>
            </w:pPr>
            <w:r w:rsidRPr="006E7714">
              <w:rPr>
                <w:rFonts w:ascii="Arial" w:hAnsi="Arial" w:cs="Times New Roman"/>
                <w:sz w:val="22"/>
                <w:lang w:val="en-US"/>
              </w:rPr>
              <w:t xml:space="preserve">Upset (2) </w:t>
            </w:r>
          </w:p>
        </w:tc>
        <w:tc>
          <w:tcPr>
            <w:tcW w:w="1596" w:type="dxa"/>
          </w:tcPr>
          <w:p w14:paraId="6C3E40D9" w14:textId="77777777" w:rsidR="006E7714" w:rsidRPr="006E7714" w:rsidRDefault="006E7714" w:rsidP="006E7714">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2B4AC735" w14:textId="77777777" w:rsidR="006E7714" w:rsidRPr="006E7714" w:rsidRDefault="006E7714" w:rsidP="006E7714">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6EC91830" w14:textId="77777777" w:rsidR="006E7714" w:rsidRPr="006E7714" w:rsidRDefault="006E7714" w:rsidP="006E7714">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33B1E4C5" w14:textId="77777777" w:rsidR="006E7714" w:rsidRPr="006E7714" w:rsidRDefault="006E7714" w:rsidP="006E7714">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4AA232CE" w14:textId="77777777" w:rsidR="006E7714" w:rsidRPr="006E7714" w:rsidRDefault="006E7714" w:rsidP="006E7714">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r>
      <w:tr w:rsidR="006E7714" w:rsidRPr="006E7714" w14:paraId="4A3A7E61" w14:textId="77777777" w:rsidTr="00B9053E">
        <w:tc>
          <w:tcPr>
            <w:cnfStyle w:val="001000000000" w:firstRow="0" w:lastRow="0" w:firstColumn="1" w:lastColumn="0" w:oddVBand="0" w:evenVBand="0" w:oddHBand="0" w:evenHBand="0" w:firstRowFirstColumn="0" w:firstRowLastColumn="0" w:lastRowFirstColumn="0" w:lastRowLastColumn="0"/>
            <w:tcW w:w="1596" w:type="dxa"/>
          </w:tcPr>
          <w:p w14:paraId="1F876268" w14:textId="77777777" w:rsidR="006E7714" w:rsidRPr="006E7714" w:rsidRDefault="006E7714" w:rsidP="006E7714">
            <w:pPr>
              <w:keepNext/>
              <w:spacing w:line="240" w:lineRule="auto"/>
              <w:jc w:val="center"/>
              <w:rPr>
                <w:rFonts w:ascii="Arial" w:hAnsi="Arial" w:cs="Times New Roman"/>
                <w:sz w:val="22"/>
                <w:lang w:val="en-US"/>
              </w:rPr>
            </w:pPr>
            <w:r w:rsidRPr="006E7714">
              <w:rPr>
                <w:rFonts w:ascii="Arial" w:hAnsi="Arial" w:cs="Times New Roman"/>
                <w:sz w:val="22"/>
                <w:lang w:val="en-US"/>
              </w:rPr>
              <w:t xml:space="preserve">Hostile (3) </w:t>
            </w:r>
          </w:p>
        </w:tc>
        <w:tc>
          <w:tcPr>
            <w:tcW w:w="1596" w:type="dxa"/>
          </w:tcPr>
          <w:p w14:paraId="27D6FB03" w14:textId="77777777" w:rsidR="006E7714" w:rsidRPr="006E7714" w:rsidRDefault="006E7714" w:rsidP="006E7714">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7D6863A6" w14:textId="77777777" w:rsidR="006E7714" w:rsidRPr="006E7714" w:rsidRDefault="006E7714" w:rsidP="006E7714">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28C3D509" w14:textId="77777777" w:rsidR="006E7714" w:rsidRPr="006E7714" w:rsidRDefault="006E7714" w:rsidP="006E7714">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7BD08C50" w14:textId="77777777" w:rsidR="006E7714" w:rsidRPr="006E7714" w:rsidRDefault="006E7714" w:rsidP="006E7714">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0AA3D54C" w14:textId="77777777" w:rsidR="006E7714" w:rsidRPr="006E7714" w:rsidRDefault="006E7714" w:rsidP="006E7714">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r>
      <w:tr w:rsidR="006E7714" w:rsidRPr="006E7714" w14:paraId="2DEF8ED4" w14:textId="77777777" w:rsidTr="00B9053E">
        <w:tc>
          <w:tcPr>
            <w:cnfStyle w:val="001000000000" w:firstRow="0" w:lastRow="0" w:firstColumn="1" w:lastColumn="0" w:oddVBand="0" w:evenVBand="0" w:oddHBand="0" w:evenHBand="0" w:firstRowFirstColumn="0" w:firstRowLastColumn="0" w:lastRowFirstColumn="0" w:lastRowLastColumn="0"/>
            <w:tcW w:w="1596" w:type="dxa"/>
          </w:tcPr>
          <w:p w14:paraId="410F2ACD" w14:textId="77777777" w:rsidR="006E7714" w:rsidRPr="006E7714" w:rsidRDefault="006E7714" w:rsidP="006E7714">
            <w:pPr>
              <w:keepNext/>
              <w:spacing w:line="240" w:lineRule="auto"/>
              <w:jc w:val="center"/>
              <w:rPr>
                <w:rFonts w:ascii="Arial" w:hAnsi="Arial" w:cs="Times New Roman"/>
                <w:sz w:val="22"/>
                <w:lang w:val="en-US"/>
              </w:rPr>
            </w:pPr>
            <w:r w:rsidRPr="006E7714">
              <w:rPr>
                <w:rFonts w:ascii="Arial" w:hAnsi="Arial" w:cs="Times New Roman"/>
                <w:sz w:val="22"/>
                <w:lang w:val="en-US"/>
              </w:rPr>
              <w:t xml:space="preserve">Ashamed (4) </w:t>
            </w:r>
          </w:p>
        </w:tc>
        <w:tc>
          <w:tcPr>
            <w:tcW w:w="1596" w:type="dxa"/>
          </w:tcPr>
          <w:p w14:paraId="7DE9D2F6" w14:textId="77777777" w:rsidR="006E7714" w:rsidRPr="006E7714" w:rsidRDefault="006E7714" w:rsidP="006E7714">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0E4F1511" w14:textId="77777777" w:rsidR="006E7714" w:rsidRPr="006E7714" w:rsidRDefault="006E7714" w:rsidP="006E7714">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0AE7DDA8" w14:textId="77777777" w:rsidR="006E7714" w:rsidRPr="006E7714" w:rsidRDefault="006E7714" w:rsidP="006E7714">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7C2F3D82" w14:textId="77777777" w:rsidR="006E7714" w:rsidRPr="006E7714" w:rsidRDefault="006E7714" w:rsidP="006E7714">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3B57AF5E" w14:textId="77777777" w:rsidR="006E7714" w:rsidRPr="006E7714" w:rsidRDefault="006E7714" w:rsidP="006E7714">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r>
      <w:tr w:rsidR="006E7714" w:rsidRPr="006E7714" w14:paraId="65C7596A" w14:textId="77777777" w:rsidTr="00B9053E">
        <w:tc>
          <w:tcPr>
            <w:cnfStyle w:val="001000000000" w:firstRow="0" w:lastRow="0" w:firstColumn="1" w:lastColumn="0" w:oddVBand="0" w:evenVBand="0" w:oddHBand="0" w:evenHBand="0" w:firstRowFirstColumn="0" w:firstRowLastColumn="0" w:lastRowFirstColumn="0" w:lastRowLastColumn="0"/>
            <w:tcW w:w="1596" w:type="dxa"/>
          </w:tcPr>
          <w:p w14:paraId="5A472126" w14:textId="77777777" w:rsidR="006E7714" w:rsidRPr="006E7714" w:rsidRDefault="006E7714" w:rsidP="006E7714">
            <w:pPr>
              <w:keepNext/>
              <w:spacing w:line="240" w:lineRule="auto"/>
              <w:jc w:val="center"/>
              <w:rPr>
                <w:rFonts w:ascii="Arial" w:hAnsi="Arial" w:cs="Times New Roman"/>
                <w:sz w:val="22"/>
                <w:lang w:val="en-US"/>
              </w:rPr>
            </w:pPr>
            <w:r w:rsidRPr="006E7714">
              <w:rPr>
                <w:rFonts w:ascii="Arial" w:hAnsi="Arial" w:cs="Times New Roman"/>
                <w:sz w:val="22"/>
                <w:lang w:val="en-US"/>
              </w:rPr>
              <w:t xml:space="preserve">Nervous (5) </w:t>
            </w:r>
          </w:p>
        </w:tc>
        <w:tc>
          <w:tcPr>
            <w:tcW w:w="1596" w:type="dxa"/>
          </w:tcPr>
          <w:p w14:paraId="75CF893D" w14:textId="77777777" w:rsidR="006E7714" w:rsidRPr="006E7714" w:rsidRDefault="006E7714" w:rsidP="006E7714">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35D0F294" w14:textId="77777777" w:rsidR="006E7714" w:rsidRPr="006E7714" w:rsidRDefault="006E7714" w:rsidP="006E7714">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2BF6F6B4" w14:textId="77777777" w:rsidR="006E7714" w:rsidRPr="006E7714" w:rsidRDefault="006E7714" w:rsidP="006E7714">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3C631030" w14:textId="77777777" w:rsidR="006E7714" w:rsidRPr="006E7714" w:rsidRDefault="006E7714" w:rsidP="006E7714">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3F70CF23" w14:textId="77777777" w:rsidR="006E7714" w:rsidRPr="006E7714" w:rsidRDefault="006E7714" w:rsidP="006E7714">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r>
      <w:tr w:rsidR="006E7714" w:rsidRPr="006E7714" w14:paraId="76EE28D3" w14:textId="77777777" w:rsidTr="00B9053E">
        <w:tc>
          <w:tcPr>
            <w:cnfStyle w:val="001000000000" w:firstRow="0" w:lastRow="0" w:firstColumn="1" w:lastColumn="0" w:oddVBand="0" w:evenVBand="0" w:oddHBand="0" w:evenHBand="0" w:firstRowFirstColumn="0" w:firstRowLastColumn="0" w:lastRowFirstColumn="0" w:lastRowLastColumn="0"/>
            <w:tcW w:w="1596" w:type="dxa"/>
          </w:tcPr>
          <w:p w14:paraId="2BBE2056" w14:textId="77777777" w:rsidR="006E7714" w:rsidRPr="006E7714" w:rsidRDefault="006E7714" w:rsidP="006E7714">
            <w:pPr>
              <w:keepNext/>
              <w:spacing w:line="240" w:lineRule="auto"/>
              <w:jc w:val="center"/>
              <w:rPr>
                <w:rFonts w:ascii="Arial" w:hAnsi="Arial" w:cs="Times New Roman"/>
                <w:sz w:val="22"/>
                <w:lang w:val="en-US"/>
              </w:rPr>
            </w:pPr>
            <w:r w:rsidRPr="006E7714">
              <w:rPr>
                <w:rFonts w:ascii="Arial" w:hAnsi="Arial" w:cs="Times New Roman"/>
                <w:sz w:val="22"/>
                <w:lang w:val="en-US"/>
              </w:rPr>
              <w:t xml:space="preserve">Active (6) </w:t>
            </w:r>
          </w:p>
        </w:tc>
        <w:tc>
          <w:tcPr>
            <w:tcW w:w="1596" w:type="dxa"/>
          </w:tcPr>
          <w:p w14:paraId="37EB3B24" w14:textId="77777777" w:rsidR="006E7714" w:rsidRPr="006E7714" w:rsidRDefault="006E7714" w:rsidP="006E7714">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56489AE2" w14:textId="77777777" w:rsidR="006E7714" w:rsidRPr="006E7714" w:rsidRDefault="006E7714" w:rsidP="006E7714">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3A6AC2E4" w14:textId="77777777" w:rsidR="006E7714" w:rsidRPr="006E7714" w:rsidRDefault="006E7714" w:rsidP="006E7714">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2CC38929" w14:textId="77777777" w:rsidR="006E7714" w:rsidRPr="006E7714" w:rsidRDefault="006E7714" w:rsidP="006E7714">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6471A5AF" w14:textId="77777777" w:rsidR="006E7714" w:rsidRPr="006E7714" w:rsidRDefault="006E7714" w:rsidP="006E7714">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r>
      <w:tr w:rsidR="006E7714" w:rsidRPr="006E7714" w14:paraId="2BDBF29F" w14:textId="77777777" w:rsidTr="00B9053E">
        <w:tc>
          <w:tcPr>
            <w:cnfStyle w:val="001000000000" w:firstRow="0" w:lastRow="0" w:firstColumn="1" w:lastColumn="0" w:oddVBand="0" w:evenVBand="0" w:oddHBand="0" w:evenHBand="0" w:firstRowFirstColumn="0" w:firstRowLastColumn="0" w:lastRowFirstColumn="0" w:lastRowLastColumn="0"/>
            <w:tcW w:w="1596" w:type="dxa"/>
          </w:tcPr>
          <w:p w14:paraId="29A12954" w14:textId="77777777" w:rsidR="006E7714" w:rsidRPr="006E7714" w:rsidRDefault="006E7714" w:rsidP="006E7714">
            <w:pPr>
              <w:keepNext/>
              <w:spacing w:line="240" w:lineRule="auto"/>
              <w:jc w:val="center"/>
              <w:rPr>
                <w:rFonts w:ascii="Arial" w:hAnsi="Arial" w:cs="Times New Roman"/>
                <w:sz w:val="22"/>
                <w:lang w:val="en-US"/>
              </w:rPr>
            </w:pPr>
            <w:r w:rsidRPr="006E7714">
              <w:rPr>
                <w:rFonts w:ascii="Arial" w:hAnsi="Arial" w:cs="Times New Roman"/>
                <w:sz w:val="22"/>
                <w:lang w:val="en-US"/>
              </w:rPr>
              <w:t xml:space="preserve">Determined (7) </w:t>
            </w:r>
          </w:p>
        </w:tc>
        <w:tc>
          <w:tcPr>
            <w:tcW w:w="1596" w:type="dxa"/>
          </w:tcPr>
          <w:p w14:paraId="26BB4CF7" w14:textId="77777777" w:rsidR="006E7714" w:rsidRPr="006E7714" w:rsidRDefault="006E7714" w:rsidP="006E7714">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7A846436" w14:textId="77777777" w:rsidR="006E7714" w:rsidRPr="006E7714" w:rsidRDefault="006E7714" w:rsidP="006E7714">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44056C92" w14:textId="77777777" w:rsidR="006E7714" w:rsidRPr="006E7714" w:rsidRDefault="006E7714" w:rsidP="006E7714">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1F22E7BF" w14:textId="77777777" w:rsidR="006E7714" w:rsidRPr="006E7714" w:rsidRDefault="006E7714" w:rsidP="006E7714">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19214189" w14:textId="77777777" w:rsidR="006E7714" w:rsidRPr="006E7714" w:rsidRDefault="006E7714" w:rsidP="006E7714">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r>
      <w:tr w:rsidR="006E7714" w:rsidRPr="006E7714" w14:paraId="36C22095" w14:textId="77777777" w:rsidTr="00B9053E">
        <w:tc>
          <w:tcPr>
            <w:cnfStyle w:val="001000000000" w:firstRow="0" w:lastRow="0" w:firstColumn="1" w:lastColumn="0" w:oddVBand="0" w:evenVBand="0" w:oddHBand="0" w:evenHBand="0" w:firstRowFirstColumn="0" w:firstRowLastColumn="0" w:lastRowFirstColumn="0" w:lastRowLastColumn="0"/>
            <w:tcW w:w="1596" w:type="dxa"/>
          </w:tcPr>
          <w:p w14:paraId="2FF78D0A" w14:textId="77777777" w:rsidR="006E7714" w:rsidRPr="006E7714" w:rsidRDefault="006E7714" w:rsidP="006E7714">
            <w:pPr>
              <w:keepNext/>
              <w:spacing w:line="240" w:lineRule="auto"/>
              <w:jc w:val="center"/>
              <w:rPr>
                <w:rFonts w:ascii="Arial" w:hAnsi="Arial" w:cs="Times New Roman"/>
                <w:sz w:val="22"/>
                <w:lang w:val="en-US"/>
              </w:rPr>
            </w:pPr>
            <w:r w:rsidRPr="006E7714">
              <w:rPr>
                <w:rFonts w:ascii="Arial" w:hAnsi="Arial" w:cs="Times New Roman"/>
                <w:sz w:val="22"/>
                <w:lang w:val="en-US"/>
              </w:rPr>
              <w:t xml:space="preserve">Attentive (8) </w:t>
            </w:r>
          </w:p>
        </w:tc>
        <w:tc>
          <w:tcPr>
            <w:tcW w:w="1596" w:type="dxa"/>
          </w:tcPr>
          <w:p w14:paraId="46EA72DA" w14:textId="77777777" w:rsidR="006E7714" w:rsidRPr="006E7714" w:rsidRDefault="006E7714" w:rsidP="006E7714">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2B44F435" w14:textId="77777777" w:rsidR="006E7714" w:rsidRPr="006E7714" w:rsidRDefault="006E7714" w:rsidP="006E7714">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0F595505" w14:textId="77777777" w:rsidR="006E7714" w:rsidRPr="006E7714" w:rsidRDefault="006E7714" w:rsidP="006E7714">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711F6A65" w14:textId="77777777" w:rsidR="006E7714" w:rsidRPr="006E7714" w:rsidRDefault="006E7714" w:rsidP="006E7714">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5D418CC4" w14:textId="77777777" w:rsidR="006E7714" w:rsidRPr="006E7714" w:rsidRDefault="006E7714" w:rsidP="006E7714">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r>
      <w:tr w:rsidR="006E7714" w:rsidRPr="006E7714" w14:paraId="2C485278" w14:textId="77777777" w:rsidTr="00B9053E">
        <w:tc>
          <w:tcPr>
            <w:cnfStyle w:val="001000000000" w:firstRow="0" w:lastRow="0" w:firstColumn="1" w:lastColumn="0" w:oddVBand="0" w:evenVBand="0" w:oddHBand="0" w:evenHBand="0" w:firstRowFirstColumn="0" w:firstRowLastColumn="0" w:lastRowFirstColumn="0" w:lastRowLastColumn="0"/>
            <w:tcW w:w="1596" w:type="dxa"/>
          </w:tcPr>
          <w:p w14:paraId="5068C4C0" w14:textId="77777777" w:rsidR="006E7714" w:rsidRPr="006E7714" w:rsidRDefault="006E7714" w:rsidP="006E7714">
            <w:pPr>
              <w:keepNext/>
              <w:spacing w:line="240" w:lineRule="auto"/>
              <w:jc w:val="center"/>
              <w:rPr>
                <w:rFonts w:ascii="Arial" w:hAnsi="Arial" w:cs="Times New Roman"/>
                <w:sz w:val="22"/>
                <w:lang w:val="en-US"/>
              </w:rPr>
            </w:pPr>
            <w:r w:rsidRPr="006E7714">
              <w:rPr>
                <w:rFonts w:ascii="Arial" w:hAnsi="Arial" w:cs="Times New Roman"/>
                <w:sz w:val="22"/>
                <w:lang w:val="en-US"/>
              </w:rPr>
              <w:t xml:space="preserve">Inspired (9) </w:t>
            </w:r>
          </w:p>
        </w:tc>
        <w:tc>
          <w:tcPr>
            <w:tcW w:w="1596" w:type="dxa"/>
          </w:tcPr>
          <w:p w14:paraId="5E50E4AC" w14:textId="77777777" w:rsidR="006E7714" w:rsidRPr="006E7714" w:rsidRDefault="006E7714" w:rsidP="006E7714">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60617C0A" w14:textId="77777777" w:rsidR="006E7714" w:rsidRPr="006E7714" w:rsidRDefault="006E7714" w:rsidP="006E7714">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16E07882" w14:textId="77777777" w:rsidR="006E7714" w:rsidRPr="006E7714" w:rsidRDefault="006E7714" w:rsidP="006E7714">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3C7BC3C8" w14:textId="77777777" w:rsidR="006E7714" w:rsidRPr="006E7714" w:rsidRDefault="006E7714" w:rsidP="006E7714">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73129E1A" w14:textId="77777777" w:rsidR="006E7714" w:rsidRPr="006E7714" w:rsidRDefault="006E7714" w:rsidP="006E7714">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r>
      <w:tr w:rsidR="006E7714" w:rsidRPr="006E7714" w14:paraId="66344312" w14:textId="77777777" w:rsidTr="00B9053E">
        <w:tc>
          <w:tcPr>
            <w:cnfStyle w:val="001000000000" w:firstRow="0" w:lastRow="0" w:firstColumn="1" w:lastColumn="0" w:oddVBand="0" w:evenVBand="0" w:oddHBand="0" w:evenHBand="0" w:firstRowFirstColumn="0" w:firstRowLastColumn="0" w:lastRowFirstColumn="0" w:lastRowLastColumn="0"/>
            <w:tcW w:w="1596" w:type="dxa"/>
          </w:tcPr>
          <w:p w14:paraId="6D90855B" w14:textId="77777777" w:rsidR="006E7714" w:rsidRPr="006E7714" w:rsidRDefault="006E7714" w:rsidP="006E7714">
            <w:pPr>
              <w:keepNext/>
              <w:spacing w:line="240" w:lineRule="auto"/>
              <w:jc w:val="center"/>
              <w:rPr>
                <w:rFonts w:ascii="Arial" w:hAnsi="Arial" w:cs="Times New Roman"/>
                <w:sz w:val="22"/>
                <w:lang w:val="en-US"/>
              </w:rPr>
            </w:pPr>
            <w:r w:rsidRPr="006E7714">
              <w:rPr>
                <w:rFonts w:ascii="Arial" w:hAnsi="Arial" w:cs="Times New Roman"/>
                <w:sz w:val="22"/>
                <w:lang w:val="en-US"/>
              </w:rPr>
              <w:t xml:space="preserve">Alert (10) </w:t>
            </w:r>
          </w:p>
        </w:tc>
        <w:tc>
          <w:tcPr>
            <w:tcW w:w="1596" w:type="dxa"/>
          </w:tcPr>
          <w:p w14:paraId="5C58E400" w14:textId="77777777" w:rsidR="006E7714" w:rsidRPr="006E7714" w:rsidRDefault="006E7714" w:rsidP="006E7714">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592FBC39" w14:textId="77777777" w:rsidR="006E7714" w:rsidRPr="006E7714" w:rsidRDefault="006E7714" w:rsidP="006E7714">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1754C9F3" w14:textId="77777777" w:rsidR="006E7714" w:rsidRPr="006E7714" w:rsidRDefault="006E7714" w:rsidP="006E7714">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2AD430B1" w14:textId="77777777" w:rsidR="006E7714" w:rsidRPr="006E7714" w:rsidRDefault="006E7714" w:rsidP="006E7714">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295CBFBB" w14:textId="77777777" w:rsidR="006E7714" w:rsidRPr="006E7714" w:rsidRDefault="006E7714" w:rsidP="006E7714">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r>
    </w:tbl>
    <w:p w14:paraId="7DFDF715" w14:textId="77777777" w:rsidR="006E7714" w:rsidRPr="006E7714" w:rsidRDefault="006E7714" w:rsidP="006E7714">
      <w:pPr>
        <w:spacing w:after="0" w:line="276" w:lineRule="auto"/>
        <w:jc w:val="left"/>
        <w:rPr>
          <w:rFonts w:ascii="Arial" w:eastAsia="Times New Roman" w:hAnsi="Arial" w:cs="Times New Roman"/>
          <w:sz w:val="22"/>
          <w:lang w:val="en-US"/>
        </w:rPr>
      </w:pPr>
    </w:p>
    <w:p w14:paraId="12FCCFE7" w14:textId="77777777" w:rsidR="006E7714" w:rsidRPr="006E7714" w:rsidRDefault="006E7714" w:rsidP="006E7714">
      <w:pPr>
        <w:spacing w:after="0" w:line="276" w:lineRule="auto"/>
        <w:jc w:val="left"/>
        <w:rPr>
          <w:rFonts w:ascii="Arial" w:eastAsia="Times New Roman" w:hAnsi="Arial" w:cs="Times New Roman"/>
          <w:sz w:val="22"/>
          <w:lang w:val="en-US"/>
        </w:rPr>
      </w:pPr>
    </w:p>
    <w:p w14:paraId="07C07A5B" w14:textId="77777777" w:rsidR="006E7714" w:rsidRPr="006E7714" w:rsidRDefault="006E7714" w:rsidP="006E7714">
      <w:pPr>
        <w:spacing w:before="120" w:after="0" w:line="240" w:lineRule="auto"/>
        <w:jc w:val="left"/>
        <w:rPr>
          <w:rFonts w:ascii="Arial" w:eastAsia="Times New Roman" w:hAnsi="Arial" w:cs="Times New Roman"/>
          <w:b/>
          <w:color w:val="CCCCCC"/>
          <w:sz w:val="22"/>
          <w:lang w:val="en-US"/>
        </w:rPr>
      </w:pPr>
      <w:r w:rsidRPr="006E7714">
        <w:rPr>
          <w:rFonts w:ascii="Arial" w:eastAsia="Times New Roman" w:hAnsi="Arial" w:cs="Times New Roman"/>
          <w:b/>
          <w:color w:val="CCCCCC"/>
          <w:sz w:val="22"/>
          <w:lang w:val="en-US"/>
        </w:rPr>
        <w:lastRenderedPageBreak/>
        <w:t>End of Block: Panas - Post Stressor</w:t>
      </w:r>
    </w:p>
    <w:p w14:paraId="7E22B9B0" w14:textId="77777777" w:rsidR="006E7714" w:rsidRPr="006E7714" w:rsidRDefault="006E7714" w:rsidP="006E7714">
      <w:pPr>
        <w:pBdr>
          <w:bottom w:val="single" w:sz="8" w:space="0" w:color="CCCCCC"/>
        </w:pBdr>
        <w:spacing w:after="0" w:line="120" w:lineRule="auto"/>
        <w:jc w:val="center"/>
        <w:rPr>
          <w:rFonts w:ascii="Arial" w:eastAsia="Times New Roman" w:hAnsi="Arial" w:cs="Times New Roman"/>
          <w:b/>
          <w:color w:val="CCCCCC"/>
          <w:sz w:val="22"/>
          <w:lang w:val="en-US"/>
        </w:rPr>
      </w:pPr>
    </w:p>
    <w:p w14:paraId="153AA3D4" w14:textId="77777777" w:rsidR="006E7714" w:rsidRPr="006E7714" w:rsidRDefault="006E7714" w:rsidP="006E7714">
      <w:pPr>
        <w:spacing w:before="120" w:after="120" w:line="240" w:lineRule="auto"/>
        <w:jc w:val="left"/>
        <w:rPr>
          <w:rFonts w:ascii="Arial" w:eastAsia="Times New Roman" w:hAnsi="Arial" w:cs="Times New Roman"/>
          <w:b/>
          <w:color w:val="CCCCCC"/>
          <w:sz w:val="22"/>
          <w:lang w:val="en-US"/>
        </w:rPr>
      </w:pPr>
      <w:r w:rsidRPr="006E7714">
        <w:rPr>
          <w:rFonts w:ascii="Arial" w:eastAsia="Times New Roman" w:hAnsi="Arial" w:cs="Times New Roman"/>
          <w:b/>
          <w:color w:val="CCCCCC"/>
          <w:sz w:val="22"/>
          <w:lang w:val="en-US"/>
        </w:rPr>
        <w:t>Start of Block: Treatment video 1</w:t>
      </w:r>
    </w:p>
    <w:p w14:paraId="05ABBE7B" w14:textId="77777777" w:rsidR="006E7714" w:rsidRPr="006E7714" w:rsidRDefault="006E7714" w:rsidP="006E7714">
      <w:pPr>
        <w:keepNext/>
        <w:shd w:val="clear" w:color="auto" w:fill="6898BB"/>
        <w:spacing w:before="120" w:after="120" w:line="240" w:lineRule="auto"/>
        <w:jc w:val="left"/>
        <w:rPr>
          <w:rFonts w:ascii="Arial" w:eastAsia="Times New Roman" w:hAnsi="Arial" w:cs="Times New Roman"/>
          <w:i/>
          <w:color w:val="FFFFFF"/>
          <w:sz w:val="20"/>
          <w:lang w:val="en-US"/>
        </w:rPr>
      </w:pPr>
      <w:r w:rsidRPr="006E7714">
        <w:rPr>
          <w:rFonts w:ascii="Arial" w:eastAsia="Times New Roman" w:hAnsi="Arial" w:cs="Times New Roman"/>
          <w:i/>
          <w:color w:val="FFFFFF"/>
          <w:sz w:val="20"/>
          <w:lang w:val="en-US"/>
        </w:rPr>
        <w:t>Display This Question:</w:t>
      </w:r>
    </w:p>
    <w:p w14:paraId="28B72C95" w14:textId="77777777" w:rsidR="006E7714" w:rsidRPr="006E7714" w:rsidRDefault="006E7714" w:rsidP="006E7714">
      <w:pPr>
        <w:keepNext/>
        <w:shd w:val="clear" w:color="auto" w:fill="6898BB"/>
        <w:spacing w:before="120" w:after="120" w:line="240" w:lineRule="auto"/>
        <w:ind w:firstLine="400"/>
        <w:jc w:val="left"/>
        <w:rPr>
          <w:rFonts w:ascii="Arial" w:eastAsia="Times New Roman" w:hAnsi="Arial" w:cs="Times New Roman"/>
          <w:i/>
          <w:color w:val="FFFFFF"/>
          <w:sz w:val="20"/>
          <w:lang w:val="en-US"/>
        </w:rPr>
      </w:pPr>
      <w:r w:rsidRPr="006E7714">
        <w:rPr>
          <w:rFonts w:ascii="Arial" w:eastAsia="Times New Roman" w:hAnsi="Arial" w:cs="Times New Roman"/>
          <w:i/>
          <w:color w:val="FFFFFF"/>
          <w:sz w:val="20"/>
          <w:lang w:val="en-US"/>
        </w:rPr>
        <w:t>If Device Type Is Mobile</w:t>
      </w:r>
    </w:p>
    <w:p w14:paraId="163616F0" w14:textId="77777777" w:rsidR="006E7714" w:rsidRPr="006E7714" w:rsidRDefault="006E7714" w:rsidP="006E7714">
      <w:pPr>
        <w:spacing w:after="0" w:line="276" w:lineRule="auto"/>
        <w:jc w:val="left"/>
        <w:rPr>
          <w:rFonts w:ascii="Arial" w:eastAsia="Times New Roman" w:hAnsi="Arial" w:cs="Times New Roman"/>
          <w:sz w:val="22"/>
          <w:lang w:val="en-US"/>
        </w:rPr>
      </w:pPr>
    </w:p>
    <w:p w14:paraId="341AC19E" w14:textId="77777777" w:rsidR="006E7714" w:rsidRPr="006E7714" w:rsidRDefault="006E7714" w:rsidP="006E7714">
      <w:pPr>
        <w:keepNext/>
        <w:spacing w:after="0" w:line="276" w:lineRule="auto"/>
        <w:jc w:val="left"/>
        <w:rPr>
          <w:rFonts w:ascii="Arial" w:eastAsia="Times New Roman" w:hAnsi="Arial" w:cs="Times New Roman"/>
          <w:sz w:val="22"/>
          <w:lang w:val="en-US"/>
        </w:rPr>
      </w:pPr>
      <w:r w:rsidRPr="006E7714">
        <w:rPr>
          <w:rFonts w:ascii="Arial" w:eastAsia="Times New Roman" w:hAnsi="Arial" w:cs="Times New Roman"/>
          <w:b/>
          <w:sz w:val="22"/>
          <w:lang w:val="en-US"/>
        </w:rPr>
        <w:t>Second Task</w:t>
      </w:r>
      <w:r w:rsidRPr="006E7714">
        <w:rPr>
          <w:rFonts w:ascii="Arial" w:eastAsia="Times New Roman" w:hAnsi="Arial" w:cs="Times New Roman"/>
          <w:sz w:val="22"/>
          <w:lang w:val="en-US"/>
        </w:rPr>
        <w:br/>
        <w:t xml:space="preserve"> Please watch </w:t>
      </w:r>
      <w:proofErr w:type="gramStart"/>
      <w:r w:rsidRPr="006E7714">
        <w:rPr>
          <w:rFonts w:ascii="Arial" w:eastAsia="Times New Roman" w:hAnsi="Arial" w:cs="Times New Roman"/>
          <w:sz w:val="22"/>
          <w:lang w:val="en-US"/>
        </w:rPr>
        <w:t>this 5 minutes</w:t>
      </w:r>
      <w:proofErr w:type="gramEnd"/>
      <w:r w:rsidRPr="006E7714">
        <w:rPr>
          <w:rFonts w:ascii="Arial" w:eastAsia="Times New Roman" w:hAnsi="Arial" w:cs="Times New Roman"/>
          <w:sz w:val="22"/>
          <w:lang w:val="en-US"/>
        </w:rPr>
        <w:t xml:space="preserve"> 360-degree video. </w:t>
      </w:r>
      <w:r w:rsidRPr="006E7714">
        <w:rPr>
          <w:rFonts w:ascii="Arial" w:eastAsia="Times New Roman" w:hAnsi="Arial" w:cs="Times New Roman"/>
          <w:sz w:val="22"/>
          <w:lang w:val="en-US"/>
        </w:rPr>
        <w:br/>
        <w:t xml:space="preserve">It is recommended that you turn your phone horizontally and watch the video on full screen (just tap on this icon   on the bottom right of the video)  </w:t>
      </w:r>
      <w:r w:rsidRPr="006E7714">
        <w:rPr>
          <w:rFonts w:ascii="Arial" w:eastAsia="Times New Roman" w:hAnsi="Arial" w:cs="Times New Roman"/>
          <w:sz w:val="22"/>
          <w:lang w:val="en-US"/>
        </w:rPr>
        <w:br/>
        <w:t xml:space="preserve">If the video looks blurry, you may need to adjust the video quality with this icon   with a good connection, you should be able to watch the video at the maximum quality.  </w:t>
      </w:r>
      <w:r w:rsidRPr="006E7714">
        <w:rPr>
          <w:rFonts w:ascii="Arial" w:eastAsia="Times New Roman" w:hAnsi="Arial" w:cs="Times New Roman"/>
          <w:sz w:val="22"/>
          <w:lang w:val="en-US"/>
        </w:rPr>
        <w:br/>
        <w:t xml:space="preserve">   </w:t>
      </w:r>
      <w:r w:rsidRPr="006E7714">
        <w:rPr>
          <w:rFonts w:ascii="Arial" w:eastAsia="Times New Roman" w:hAnsi="Arial" w:cs="Times New Roman"/>
          <w:sz w:val="22"/>
          <w:lang w:val="en-US"/>
        </w:rPr>
        <w:br/>
        <w:t xml:space="preserve">Remember that you can freely explore the environment by moving the camera around.  </w:t>
      </w:r>
      <w:r w:rsidRPr="006E7714">
        <w:rPr>
          <w:rFonts w:ascii="Arial" w:eastAsia="Times New Roman" w:hAnsi="Arial" w:cs="Times New Roman"/>
          <w:sz w:val="22"/>
          <w:lang w:val="en-US"/>
        </w:rPr>
        <w:br/>
        <w:t xml:space="preserve">You can do this by moving your phone or swiping with your fingers.  </w:t>
      </w:r>
      <w:r w:rsidRPr="006E7714">
        <w:rPr>
          <w:rFonts w:ascii="Arial" w:eastAsia="Times New Roman" w:hAnsi="Arial" w:cs="Times New Roman"/>
          <w:sz w:val="22"/>
          <w:lang w:val="en-US"/>
        </w:rPr>
        <w:br/>
        <w:t xml:space="preserve">   </w:t>
      </w:r>
      <w:r w:rsidRPr="006E7714">
        <w:rPr>
          <w:rFonts w:ascii="Arial" w:eastAsia="Times New Roman" w:hAnsi="Arial" w:cs="Times New Roman"/>
          <w:sz w:val="22"/>
          <w:lang w:val="en-US"/>
        </w:rPr>
        <w:br/>
        <w:t xml:space="preserve">  </w:t>
      </w:r>
      <w:r w:rsidRPr="006E7714">
        <w:rPr>
          <w:rFonts w:ascii="Arial" w:eastAsia="Times New Roman" w:hAnsi="Arial" w:cs="Times New Roman"/>
          <w:sz w:val="22"/>
          <w:lang w:val="en-US"/>
        </w:rPr>
        <w:br/>
        <w:t xml:space="preserve"> </w:t>
      </w:r>
      <w:r w:rsidRPr="006E7714">
        <w:rPr>
          <w:rFonts w:ascii="Arial" w:eastAsia="Times New Roman" w:hAnsi="Arial" w:cs="Times New Roman"/>
          <w:sz w:val="22"/>
          <w:lang w:val="en-US"/>
        </w:rPr>
        <w:br/>
        <w:t xml:space="preserve"> The button to move on with the survey will appear after you have watched the video.</w:t>
      </w:r>
      <w:r w:rsidRPr="006E7714">
        <w:rPr>
          <w:rFonts w:ascii="Arial" w:eastAsia="Times New Roman" w:hAnsi="Arial" w:cs="Times New Roman"/>
          <w:sz w:val="22"/>
          <w:lang w:val="en-US"/>
        </w:rPr>
        <w:br/>
        <w:t xml:space="preserve"> </w:t>
      </w:r>
      <w:r w:rsidRPr="006E7714">
        <w:rPr>
          <w:rFonts w:ascii="Arial" w:eastAsia="Times New Roman" w:hAnsi="Arial" w:cs="Times New Roman"/>
          <w:i/>
          <w:sz w:val="22"/>
          <w:lang w:val="en-US"/>
        </w:rPr>
        <w:t>(Don't worry if the button does not appear. This page will turn automatically after 8 minutes)</w:t>
      </w:r>
    </w:p>
    <w:p w14:paraId="0182885E" w14:textId="77777777" w:rsidR="006E7714" w:rsidRPr="006E7714" w:rsidRDefault="006E7714" w:rsidP="006E7714">
      <w:pPr>
        <w:spacing w:after="0" w:line="276" w:lineRule="auto"/>
        <w:jc w:val="left"/>
        <w:rPr>
          <w:rFonts w:ascii="Arial" w:eastAsia="Times New Roman" w:hAnsi="Arial" w:cs="Times New Roman"/>
          <w:sz w:val="22"/>
          <w:lang w:val="en-US"/>
        </w:rPr>
      </w:pPr>
    </w:p>
    <w:p w14:paraId="07B639F2" w14:textId="77777777" w:rsidR="006E7714" w:rsidRPr="006E7714" w:rsidRDefault="006E7714" w:rsidP="006E7714">
      <w:pPr>
        <w:pBdr>
          <w:top w:val="dashed" w:sz="8" w:space="0" w:color="CCCCCC"/>
        </w:pBdr>
        <w:spacing w:before="120" w:after="120" w:line="120" w:lineRule="auto"/>
        <w:jc w:val="left"/>
        <w:rPr>
          <w:rFonts w:ascii="Arial" w:eastAsia="Times New Roman" w:hAnsi="Arial" w:cs="Times New Roman"/>
          <w:sz w:val="22"/>
          <w:lang w:val="en-US"/>
        </w:rPr>
      </w:pPr>
    </w:p>
    <w:p w14:paraId="74D9AA71" w14:textId="77777777" w:rsidR="006E7714" w:rsidRPr="006E7714" w:rsidRDefault="006E7714" w:rsidP="006E7714">
      <w:pPr>
        <w:keepNext/>
        <w:shd w:val="clear" w:color="auto" w:fill="6898BB"/>
        <w:spacing w:before="120" w:after="120" w:line="240" w:lineRule="auto"/>
        <w:jc w:val="left"/>
        <w:rPr>
          <w:rFonts w:ascii="Arial" w:eastAsia="Times New Roman" w:hAnsi="Arial" w:cs="Times New Roman"/>
          <w:i/>
          <w:color w:val="FFFFFF"/>
          <w:sz w:val="20"/>
          <w:lang w:val="en-US"/>
        </w:rPr>
      </w:pPr>
      <w:r w:rsidRPr="006E7714">
        <w:rPr>
          <w:rFonts w:ascii="Arial" w:eastAsia="Times New Roman" w:hAnsi="Arial" w:cs="Times New Roman"/>
          <w:i/>
          <w:color w:val="FFFFFF"/>
          <w:sz w:val="20"/>
          <w:lang w:val="en-US"/>
        </w:rPr>
        <w:t>Display This Question:</w:t>
      </w:r>
    </w:p>
    <w:p w14:paraId="5D6C98DD" w14:textId="77777777" w:rsidR="006E7714" w:rsidRPr="006E7714" w:rsidRDefault="006E7714" w:rsidP="006E7714">
      <w:pPr>
        <w:keepNext/>
        <w:shd w:val="clear" w:color="auto" w:fill="6898BB"/>
        <w:spacing w:before="120" w:after="120" w:line="240" w:lineRule="auto"/>
        <w:ind w:firstLine="400"/>
        <w:jc w:val="left"/>
        <w:rPr>
          <w:rFonts w:ascii="Arial" w:eastAsia="Times New Roman" w:hAnsi="Arial" w:cs="Times New Roman"/>
          <w:i/>
          <w:color w:val="FFFFFF"/>
          <w:sz w:val="20"/>
          <w:lang w:val="en-US"/>
        </w:rPr>
      </w:pPr>
      <w:r w:rsidRPr="006E7714">
        <w:rPr>
          <w:rFonts w:ascii="Arial" w:eastAsia="Times New Roman" w:hAnsi="Arial" w:cs="Times New Roman"/>
          <w:i/>
          <w:color w:val="FFFFFF"/>
          <w:sz w:val="20"/>
          <w:lang w:val="en-US"/>
        </w:rPr>
        <w:t>If Device Type Is Not Mobile</w:t>
      </w:r>
    </w:p>
    <w:p w14:paraId="2A31366B" w14:textId="77777777" w:rsidR="006E7714" w:rsidRPr="006E7714" w:rsidRDefault="006E7714" w:rsidP="006E7714">
      <w:pPr>
        <w:spacing w:after="0" w:line="276" w:lineRule="auto"/>
        <w:jc w:val="left"/>
        <w:rPr>
          <w:rFonts w:ascii="Arial" w:eastAsia="Times New Roman" w:hAnsi="Arial" w:cs="Times New Roman"/>
          <w:sz w:val="22"/>
          <w:lang w:val="en-US"/>
        </w:rPr>
      </w:pPr>
    </w:p>
    <w:p w14:paraId="3D01826F" w14:textId="77777777" w:rsidR="006E7714" w:rsidRPr="006E7714" w:rsidRDefault="006E7714" w:rsidP="006E7714">
      <w:pPr>
        <w:keepNext/>
        <w:spacing w:after="0" w:line="276" w:lineRule="auto"/>
        <w:jc w:val="left"/>
        <w:rPr>
          <w:rFonts w:ascii="Arial" w:eastAsia="Times New Roman" w:hAnsi="Arial" w:cs="Times New Roman"/>
          <w:sz w:val="22"/>
          <w:lang w:val="en-US"/>
        </w:rPr>
      </w:pPr>
      <w:r w:rsidRPr="006E7714">
        <w:rPr>
          <w:rFonts w:ascii="Arial" w:eastAsia="Times New Roman" w:hAnsi="Arial" w:cs="Times New Roman"/>
          <w:sz w:val="22"/>
          <w:lang w:val="en-US"/>
        </w:rPr>
        <w:t xml:space="preserve">video1pc </w:t>
      </w:r>
      <w:r w:rsidRPr="006E7714">
        <w:rPr>
          <w:rFonts w:ascii="Arial" w:eastAsia="Times New Roman" w:hAnsi="Arial" w:cs="Times New Roman"/>
          <w:sz w:val="22"/>
          <w:lang w:val="en-US"/>
        </w:rPr>
        <w:br/>
      </w:r>
      <w:r w:rsidRPr="006E7714">
        <w:rPr>
          <w:rFonts w:ascii="Arial" w:eastAsia="Times New Roman" w:hAnsi="Arial" w:cs="Times New Roman"/>
          <w:b/>
          <w:sz w:val="22"/>
          <w:lang w:val="en-US"/>
        </w:rPr>
        <w:t>Second task</w:t>
      </w:r>
      <w:r w:rsidRPr="006E7714">
        <w:rPr>
          <w:rFonts w:ascii="Arial" w:eastAsia="Times New Roman" w:hAnsi="Arial" w:cs="Times New Roman"/>
          <w:sz w:val="22"/>
          <w:lang w:val="en-US"/>
        </w:rPr>
        <w:t xml:space="preserve">  </w:t>
      </w:r>
      <w:r w:rsidRPr="006E7714">
        <w:rPr>
          <w:rFonts w:ascii="Arial" w:eastAsia="Times New Roman" w:hAnsi="Arial" w:cs="Times New Roman"/>
          <w:sz w:val="22"/>
          <w:lang w:val="en-US"/>
        </w:rPr>
        <w:br/>
        <w:t xml:space="preserve">Please watch </w:t>
      </w:r>
      <w:proofErr w:type="gramStart"/>
      <w:r w:rsidRPr="006E7714">
        <w:rPr>
          <w:rFonts w:ascii="Arial" w:eastAsia="Times New Roman" w:hAnsi="Arial" w:cs="Times New Roman"/>
          <w:sz w:val="22"/>
          <w:lang w:val="en-US"/>
        </w:rPr>
        <w:t>this 5 minutes</w:t>
      </w:r>
      <w:proofErr w:type="gramEnd"/>
      <w:r w:rsidRPr="006E7714">
        <w:rPr>
          <w:rFonts w:ascii="Arial" w:eastAsia="Times New Roman" w:hAnsi="Arial" w:cs="Times New Roman"/>
          <w:sz w:val="22"/>
          <w:lang w:val="en-US"/>
        </w:rPr>
        <w:t xml:space="preserve"> 360-degree video.  </w:t>
      </w:r>
      <w:r w:rsidRPr="006E7714">
        <w:rPr>
          <w:rFonts w:ascii="Arial" w:eastAsia="Times New Roman" w:hAnsi="Arial" w:cs="Times New Roman"/>
          <w:sz w:val="22"/>
          <w:lang w:val="en-US"/>
        </w:rPr>
        <w:br/>
        <w:t xml:space="preserve">It is recommended that you watch it on full screen (you can do this by clicking on this </w:t>
      </w:r>
      <w:proofErr w:type="gramStart"/>
      <w:r w:rsidRPr="006E7714">
        <w:rPr>
          <w:rFonts w:ascii="Arial" w:eastAsia="Times New Roman" w:hAnsi="Arial" w:cs="Times New Roman"/>
          <w:sz w:val="22"/>
          <w:lang w:val="en-US"/>
        </w:rPr>
        <w:t>button  on</w:t>
      </w:r>
      <w:proofErr w:type="gramEnd"/>
      <w:r w:rsidRPr="006E7714">
        <w:rPr>
          <w:rFonts w:ascii="Arial" w:eastAsia="Times New Roman" w:hAnsi="Arial" w:cs="Times New Roman"/>
          <w:sz w:val="22"/>
          <w:lang w:val="en-US"/>
        </w:rPr>
        <w:t xml:space="preserve"> the bottom right of the video)</w:t>
      </w:r>
      <w:r w:rsidRPr="006E7714">
        <w:rPr>
          <w:rFonts w:ascii="Arial" w:eastAsia="Times New Roman" w:hAnsi="Arial" w:cs="Times New Roman"/>
          <w:sz w:val="22"/>
          <w:lang w:val="en-US"/>
        </w:rPr>
        <w:br/>
        <w:t xml:space="preserve"> If the video looks blurry, you may need to adjust the video quality with this icon   with a good connection, you should be able to watch the video at the maximum quality.  </w:t>
      </w:r>
      <w:r w:rsidRPr="006E7714">
        <w:rPr>
          <w:rFonts w:ascii="Arial" w:eastAsia="Times New Roman" w:hAnsi="Arial" w:cs="Times New Roman"/>
          <w:sz w:val="22"/>
          <w:lang w:val="en-US"/>
        </w:rPr>
        <w:br/>
        <w:t xml:space="preserve">   </w:t>
      </w:r>
      <w:r w:rsidRPr="006E7714">
        <w:rPr>
          <w:rFonts w:ascii="Arial" w:eastAsia="Times New Roman" w:hAnsi="Arial" w:cs="Times New Roman"/>
          <w:sz w:val="22"/>
          <w:lang w:val="en-US"/>
        </w:rPr>
        <w:br/>
        <w:t xml:space="preserve">Remember that you can freely explore the environment by moving the camera around.  </w:t>
      </w:r>
      <w:r w:rsidRPr="006E7714">
        <w:rPr>
          <w:rFonts w:ascii="Arial" w:eastAsia="Times New Roman" w:hAnsi="Arial" w:cs="Times New Roman"/>
          <w:sz w:val="22"/>
          <w:lang w:val="en-US"/>
        </w:rPr>
        <w:br/>
        <w:t xml:space="preserve">You can use your mouse or the </w:t>
      </w:r>
      <w:r w:rsidRPr="006E7714">
        <w:rPr>
          <w:rFonts w:ascii="Arial" w:eastAsia="Times New Roman" w:hAnsi="Arial" w:cs="Times New Roman"/>
          <w:b/>
          <w:sz w:val="22"/>
          <w:lang w:val="en-US"/>
        </w:rPr>
        <w:t>WASD</w:t>
      </w:r>
      <w:r w:rsidRPr="006E7714">
        <w:rPr>
          <w:rFonts w:ascii="Arial" w:eastAsia="Times New Roman" w:hAnsi="Arial" w:cs="Times New Roman"/>
          <w:sz w:val="22"/>
          <w:lang w:val="en-US"/>
        </w:rPr>
        <w:t xml:space="preserve"> keys on your keyboard.  </w:t>
      </w:r>
      <w:r w:rsidRPr="006E7714">
        <w:rPr>
          <w:rFonts w:ascii="Arial" w:eastAsia="Times New Roman" w:hAnsi="Arial" w:cs="Times New Roman"/>
          <w:sz w:val="22"/>
          <w:lang w:val="en-US"/>
        </w:rPr>
        <w:br/>
        <w:t xml:space="preserve">   </w:t>
      </w:r>
      <w:r w:rsidRPr="006E7714">
        <w:rPr>
          <w:rFonts w:ascii="Arial" w:eastAsia="Times New Roman" w:hAnsi="Arial" w:cs="Times New Roman"/>
          <w:sz w:val="22"/>
          <w:lang w:val="en-US"/>
        </w:rPr>
        <w:br/>
        <w:t xml:space="preserve">  </w:t>
      </w:r>
      <w:r w:rsidRPr="006E7714">
        <w:rPr>
          <w:rFonts w:ascii="Arial" w:eastAsia="Times New Roman" w:hAnsi="Arial" w:cs="Times New Roman"/>
          <w:sz w:val="22"/>
          <w:lang w:val="en-US"/>
        </w:rPr>
        <w:br/>
        <w:t xml:space="preserve"> </w:t>
      </w:r>
      <w:r w:rsidRPr="006E7714">
        <w:rPr>
          <w:rFonts w:ascii="Arial" w:eastAsia="Times New Roman" w:hAnsi="Arial" w:cs="Times New Roman"/>
          <w:sz w:val="22"/>
          <w:lang w:val="en-US"/>
        </w:rPr>
        <w:br/>
        <w:t xml:space="preserve"> The button to move on with the survey will appear after you have watched the video.</w:t>
      </w:r>
      <w:r w:rsidRPr="006E7714">
        <w:rPr>
          <w:rFonts w:ascii="Arial" w:eastAsia="Times New Roman" w:hAnsi="Arial" w:cs="Times New Roman"/>
          <w:sz w:val="22"/>
          <w:lang w:val="en-US"/>
        </w:rPr>
        <w:br/>
        <w:t xml:space="preserve"> </w:t>
      </w:r>
      <w:r w:rsidRPr="006E7714">
        <w:rPr>
          <w:rFonts w:ascii="Arial" w:eastAsia="Times New Roman" w:hAnsi="Arial" w:cs="Times New Roman"/>
          <w:i/>
          <w:sz w:val="22"/>
          <w:lang w:val="en-US"/>
        </w:rPr>
        <w:t>(Don't worry if the button does not appear. This page will turn automatically after 8 minutes)</w:t>
      </w:r>
    </w:p>
    <w:p w14:paraId="7DF5B4D0" w14:textId="77777777" w:rsidR="006E7714" w:rsidRPr="006E7714" w:rsidRDefault="006E7714" w:rsidP="006E7714">
      <w:pPr>
        <w:spacing w:after="0" w:line="276" w:lineRule="auto"/>
        <w:jc w:val="left"/>
        <w:rPr>
          <w:rFonts w:ascii="Arial" w:eastAsia="Times New Roman" w:hAnsi="Arial" w:cs="Times New Roman"/>
          <w:sz w:val="22"/>
          <w:lang w:val="en-US"/>
        </w:rPr>
      </w:pPr>
    </w:p>
    <w:p w14:paraId="56267D42" w14:textId="77777777" w:rsidR="006E7714" w:rsidRPr="006E7714" w:rsidRDefault="006E7714" w:rsidP="006E7714">
      <w:pPr>
        <w:pBdr>
          <w:top w:val="dashed" w:sz="8" w:space="0" w:color="CCCCCC"/>
        </w:pBdr>
        <w:spacing w:before="120" w:after="120" w:line="120" w:lineRule="auto"/>
        <w:jc w:val="left"/>
        <w:rPr>
          <w:rFonts w:ascii="Arial" w:eastAsia="Times New Roman" w:hAnsi="Arial" w:cs="Times New Roman"/>
          <w:sz w:val="22"/>
          <w:lang w:val="en-US"/>
        </w:rPr>
      </w:pPr>
    </w:p>
    <w:p w14:paraId="1DA023D2" w14:textId="77777777" w:rsidR="006E7714" w:rsidRPr="006E7714" w:rsidRDefault="006E7714" w:rsidP="006E7714">
      <w:pPr>
        <w:spacing w:after="0" w:line="276" w:lineRule="auto"/>
        <w:jc w:val="left"/>
        <w:rPr>
          <w:rFonts w:ascii="Arial" w:eastAsia="Times New Roman" w:hAnsi="Arial" w:cs="Times New Roman"/>
          <w:sz w:val="22"/>
          <w:lang w:val="en-US"/>
        </w:rPr>
      </w:pPr>
    </w:p>
    <w:p w14:paraId="238AF6C6" w14:textId="77777777" w:rsidR="006E7714" w:rsidRPr="006E7714" w:rsidRDefault="006E7714" w:rsidP="006E7714">
      <w:pPr>
        <w:spacing w:before="120" w:after="0" w:line="240" w:lineRule="auto"/>
        <w:jc w:val="left"/>
        <w:rPr>
          <w:rFonts w:ascii="Arial" w:eastAsia="Times New Roman" w:hAnsi="Arial" w:cs="Times New Roman"/>
          <w:b/>
          <w:color w:val="CCCCCC"/>
          <w:sz w:val="22"/>
          <w:lang w:val="en-US"/>
        </w:rPr>
      </w:pPr>
      <w:r w:rsidRPr="006E7714">
        <w:rPr>
          <w:rFonts w:ascii="Arial" w:eastAsia="Times New Roman" w:hAnsi="Arial" w:cs="Times New Roman"/>
          <w:b/>
          <w:color w:val="CCCCCC"/>
          <w:sz w:val="22"/>
          <w:lang w:val="en-US"/>
        </w:rPr>
        <w:t>End of Block: Treatment video 1</w:t>
      </w:r>
    </w:p>
    <w:p w14:paraId="2529C859" w14:textId="77777777" w:rsidR="006E7714" w:rsidRPr="006E7714" w:rsidRDefault="006E7714" w:rsidP="006E7714">
      <w:pPr>
        <w:pBdr>
          <w:bottom w:val="single" w:sz="8" w:space="0" w:color="CCCCCC"/>
        </w:pBdr>
        <w:spacing w:after="0" w:line="120" w:lineRule="auto"/>
        <w:jc w:val="center"/>
        <w:rPr>
          <w:rFonts w:ascii="Arial" w:eastAsia="Times New Roman" w:hAnsi="Arial" w:cs="Times New Roman"/>
          <w:b/>
          <w:color w:val="CCCCCC"/>
          <w:sz w:val="22"/>
          <w:lang w:val="en-US"/>
        </w:rPr>
      </w:pPr>
    </w:p>
    <w:p w14:paraId="4EF7BD92" w14:textId="77777777" w:rsidR="006E7714" w:rsidRPr="006E7714" w:rsidRDefault="006E7714" w:rsidP="006E7714">
      <w:pPr>
        <w:pBdr>
          <w:bottom w:val="single" w:sz="8" w:space="0" w:color="CCCCCC"/>
        </w:pBdr>
        <w:spacing w:after="0" w:line="120" w:lineRule="auto"/>
        <w:jc w:val="center"/>
        <w:rPr>
          <w:rFonts w:ascii="Arial" w:eastAsia="Times New Roman" w:hAnsi="Arial" w:cs="Times New Roman"/>
          <w:b/>
          <w:color w:val="CCCCCC"/>
          <w:sz w:val="22"/>
          <w:lang w:val="en-US"/>
        </w:rPr>
      </w:pPr>
    </w:p>
    <w:p w14:paraId="11306F92" w14:textId="77777777" w:rsidR="006E7714" w:rsidRPr="006E7714" w:rsidRDefault="006E7714" w:rsidP="006E7714">
      <w:pPr>
        <w:spacing w:before="120" w:after="120" w:line="240" w:lineRule="auto"/>
        <w:jc w:val="left"/>
        <w:rPr>
          <w:rFonts w:ascii="Arial" w:eastAsia="Times New Roman" w:hAnsi="Arial" w:cs="Times New Roman"/>
          <w:b/>
          <w:color w:val="CCCCCC"/>
          <w:sz w:val="22"/>
          <w:lang w:val="en-US"/>
        </w:rPr>
      </w:pPr>
      <w:r w:rsidRPr="006E7714">
        <w:rPr>
          <w:rFonts w:ascii="Arial" w:eastAsia="Times New Roman" w:hAnsi="Arial" w:cs="Times New Roman"/>
          <w:b/>
          <w:color w:val="CCCCCC"/>
          <w:sz w:val="22"/>
          <w:lang w:val="en-US"/>
        </w:rPr>
        <w:t>Start of Block: PANAS post treatment</w:t>
      </w:r>
    </w:p>
    <w:tbl>
      <w:tblPr>
        <w:tblStyle w:val="QQuestionIconTable"/>
        <w:tblW w:w="50" w:type="auto"/>
        <w:tblLook w:val="07E0" w:firstRow="1" w:lastRow="1" w:firstColumn="1" w:lastColumn="1" w:noHBand="1" w:noVBand="1"/>
      </w:tblPr>
      <w:tblGrid>
        <w:gridCol w:w="380"/>
      </w:tblGrid>
      <w:tr w:rsidR="006E7714" w:rsidRPr="006E7714" w14:paraId="2B579C7B" w14:textId="77777777" w:rsidTr="00B9053E">
        <w:tc>
          <w:tcPr>
            <w:tcW w:w="50" w:type="dxa"/>
          </w:tcPr>
          <w:p w14:paraId="0A34EC3D" w14:textId="77777777" w:rsidR="006E7714" w:rsidRPr="006E7714" w:rsidRDefault="006E7714" w:rsidP="006E7714">
            <w:pPr>
              <w:keepNext/>
              <w:spacing w:line="240" w:lineRule="auto"/>
              <w:jc w:val="center"/>
              <w:rPr>
                <w:rFonts w:ascii="Arial" w:eastAsia="Times New Roman" w:hAnsi="Arial" w:cs="Times New Roman"/>
                <w:sz w:val="22"/>
                <w:lang w:val="en-US"/>
              </w:rPr>
            </w:pPr>
            <w:r w:rsidRPr="006E7714">
              <w:rPr>
                <w:rFonts w:ascii="Arial" w:eastAsia="Times New Roman" w:hAnsi="Arial" w:cs="Times New Roman"/>
                <w:noProof/>
                <w:sz w:val="22"/>
                <w:lang w:val="en-US"/>
              </w:rPr>
              <w:lastRenderedPageBreak/>
              <w:drawing>
                <wp:inline distT="0" distB="0" distL="0" distR="0" wp14:anchorId="677A83EE" wp14:editId="62242E1B">
                  <wp:extent cx="228600" cy="228600"/>
                  <wp:effectExtent l="0" t="0" r="0" b="0"/>
                  <wp:docPr id="276959553" name="WordQuestionRandomiza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WordQuestionRandomization.png"/>
                          <pic:cNvPicPr/>
                        </pic:nvPicPr>
                        <pic:blipFill>
                          <a:blip r:embed="rId68"/>
                          <a:stretch>
                            <a:fillRect/>
                          </a:stretch>
                        </pic:blipFill>
                        <pic:spPr>
                          <a:xfrm>
                            <a:off x="0" y="0"/>
                            <a:ext cx="228600" cy="228600"/>
                          </a:xfrm>
                          <a:prstGeom prst="rect">
                            <a:avLst/>
                          </a:prstGeom>
                        </pic:spPr>
                      </pic:pic>
                    </a:graphicData>
                  </a:graphic>
                </wp:inline>
              </w:drawing>
            </w:r>
          </w:p>
        </w:tc>
      </w:tr>
    </w:tbl>
    <w:p w14:paraId="5B1AD6A0" w14:textId="77777777" w:rsidR="006E7714" w:rsidRPr="006E7714" w:rsidRDefault="006E7714" w:rsidP="006E7714">
      <w:pPr>
        <w:spacing w:after="0" w:line="276" w:lineRule="auto"/>
        <w:jc w:val="left"/>
        <w:rPr>
          <w:rFonts w:ascii="Arial" w:eastAsia="Times New Roman" w:hAnsi="Arial" w:cs="Times New Roman"/>
          <w:sz w:val="22"/>
          <w:lang w:val="en-US"/>
        </w:rPr>
      </w:pPr>
    </w:p>
    <w:p w14:paraId="2FA89DF4" w14:textId="77777777" w:rsidR="006E7714" w:rsidRPr="006E7714" w:rsidRDefault="006E7714" w:rsidP="006E7714">
      <w:pPr>
        <w:keepNext/>
        <w:spacing w:after="0" w:line="276" w:lineRule="auto"/>
        <w:jc w:val="left"/>
        <w:rPr>
          <w:rFonts w:ascii="Arial" w:eastAsia="Times New Roman" w:hAnsi="Arial" w:cs="Times New Roman"/>
          <w:sz w:val="22"/>
          <w:lang w:val="en-US"/>
        </w:rPr>
      </w:pPr>
      <w:r w:rsidRPr="006E7714">
        <w:rPr>
          <w:rFonts w:ascii="Arial" w:eastAsia="Times New Roman" w:hAnsi="Arial" w:cs="Times New Roman"/>
          <w:sz w:val="22"/>
          <w:lang w:val="en-US"/>
        </w:rPr>
        <w:t>Please rate according to how you feel RIGHT NOW. You should answer this quickly based on your first instincts</w:t>
      </w:r>
    </w:p>
    <w:tbl>
      <w:tblPr>
        <w:tblStyle w:val="QQuestionTable3"/>
        <w:tblW w:w="9576" w:type="auto"/>
        <w:tblLook w:val="07E0" w:firstRow="1" w:lastRow="1" w:firstColumn="1" w:lastColumn="1" w:noHBand="1" w:noVBand="1"/>
      </w:tblPr>
      <w:tblGrid>
        <w:gridCol w:w="1596"/>
        <w:gridCol w:w="1596"/>
        <w:gridCol w:w="1596"/>
        <w:gridCol w:w="1596"/>
        <w:gridCol w:w="1596"/>
        <w:gridCol w:w="1596"/>
      </w:tblGrid>
      <w:tr w:rsidR="006E7714" w:rsidRPr="006E7714" w14:paraId="42BC4ABC" w14:textId="77777777" w:rsidTr="00B9053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96" w:type="dxa"/>
          </w:tcPr>
          <w:p w14:paraId="72C06DB5" w14:textId="77777777" w:rsidR="006E7714" w:rsidRPr="006E7714" w:rsidRDefault="006E7714" w:rsidP="006E7714">
            <w:pPr>
              <w:keepNext/>
              <w:spacing w:line="240" w:lineRule="auto"/>
              <w:jc w:val="center"/>
              <w:rPr>
                <w:rFonts w:ascii="Arial" w:hAnsi="Arial" w:cs="Times New Roman"/>
                <w:sz w:val="22"/>
                <w:lang w:val="en-US"/>
              </w:rPr>
            </w:pPr>
          </w:p>
        </w:tc>
        <w:tc>
          <w:tcPr>
            <w:tcW w:w="1596" w:type="dxa"/>
          </w:tcPr>
          <w:p w14:paraId="5B3DB150" w14:textId="77777777" w:rsidR="006E7714" w:rsidRPr="006E7714" w:rsidRDefault="006E7714" w:rsidP="006E7714">
            <w:pPr>
              <w:spacing w:line="240" w:lineRule="auto"/>
              <w:jc w:val="center"/>
              <w:cnfStyle w:val="100000000000" w:firstRow="1" w:lastRow="0" w:firstColumn="0" w:lastColumn="0" w:oddVBand="0" w:evenVBand="0" w:oddHBand="0" w:evenHBand="0" w:firstRowFirstColumn="0" w:firstRowLastColumn="0" w:lastRowFirstColumn="0" w:lastRowLastColumn="0"/>
              <w:rPr>
                <w:rFonts w:ascii="Arial" w:hAnsi="Arial" w:cs="Times New Roman"/>
                <w:sz w:val="22"/>
                <w:lang w:val="en-US"/>
              </w:rPr>
            </w:pPr>
            <w:r w:rsidRPr="006E7714">
              <w:rPr>
                <w:rFonts w:ascii="Arial" w:hAnsi="Arial" w:cs="Times New Roman"/>
                <w:sz w:val="22"/>
                <w:lang w:val="en-US"/>
              </w:rPr>
              <w:t>Not at all (1)</w:t>
            </w:r>
          </w:p>
        </w:tc>
        <w:tc>
          <w:tcPr>
            <w:tcW w:w="1596" w:type="dxa"/>
          </w:tcPr>
          <w:p w14:paraId="68C82DF1" w14:textId="77777777" w:rsidR="006E7714" w:rsidRPr="006E7714" w:rsidRDefault="006E7714" w:rsidP="006E7714">
            <w:pPr>
              <w:spacing w:line="240" w:lineRule="auto"/>
              <w:jc w:val="center"/>
              <w:cnfStyle w:val="100000000000" w:firstRow="1" w:lastRow="0" w:firstColumn="0" w:lastColumn="0" w:oddVBand="0" w:evenVBand="0" w:oddHBand="0" w:evenHBand="0" w:firstRowFirstColumn="0" w:firstRowLastColumn="0" w:lastRowFirstColumn="0" w:lastRowLastColumn="0"/>
              <w:rPr>
                <w:rFonts w:ascii="Arial" w:hAnsi="Arial" w:cs="Times New Roman"/>
                <w:sz w:val="22"/>
                <w:lang w:val="en-US"/>
              </w:rPr>
            </w:pPr>
            <w:r w:rsidRPr="006E7714">
              <w:rPr>
                <w:rFonts w:ascii="Arial" w:hAnsi="Arial" w:cs="Times New Roman"/>
                <w:sz w:val="22"/>
                <w:lang w:val="en-US"/>
              </w:rPr>
              <w:t>A little (2)</w:t>
            </w:r>
          </w:p>
        </w:tc>
        <w:tc>
          <w:tcPr>
            <w:tcW w:w="1596" w:type="dxa"/>
          </w:tcPr>
          <w:p w14:paraId="62975542" w14:textId="77777777" w:rsidR="006E7714" w:rsidRPr="006E7714" w:rsidRDefault="006E7714" w:rsidP="006E7714">
            <w:pPr>
              <w:spacing w:line="240" w:lineRule="auto"/>
              <w:jc w:val="center"/>
              <w:cnfStyle w:val="100000000000" w:firstRow="1" w:lastRow="0" w:firstColumn="0" w:lastColumn="0" w:oddVBand="0" w:evenVBand="0" w:oddHBand="0" w:evenHBand="0" w:firstRowFirstColumn="0" w:firstRowLastColumn="0" w:lastRowFirstColumn="0" w:lastRowLastColumn="0"/>
              <w:rPr>
                <w:rFonts w:ascii="Arial" w:hAnsi="Arial" w:cs="Times New Roman"/>
                <w:sz w:val="22"/>
                <w:lang w:val="en-US"/>
              </w:rPr>
            </w:pPr>
            <w:r w:rsidRPr="006E7714">
              <w:rPr>
                <w:rFonts w:ascii="Arial" w:hAnsi="Arial" w:cs="Times New Roman"/>
                <w:sz w:val="22"/>
                <w:lang w:val="en-US"/>
              </w:rPr>
              <w:t>Moderately (3)</w:t>
            </w:r>
          </w:p>
        </w:tc>
        <w:tc>
          <w:tcPr>
            <w:tcW w:w="1596" w:type="dxa"/>
          </w:tcPr>
          <w:p w14:paraId="62AEB598" w14:textId="77777777" w:rsidR="006E7714" w:rsidRPr="006E7714" w:rsidRDefault="006E7714" w:rsidP="006E7714">
            <w:pPr>
              <w:spacing w:line="240" w:lineRule="auto"/>
              <w:jc w:val="center"/>
              <w:cnfStyle w:val="100000000000" w:firstRow="1" w:lastRow="0" w:firstColumn="0" w:lastColumn="0" w:oddVBand="0" w:evenVBand="0" w:oddHBand="0" w:evenHBand="0" w:firstRowFirstColumn="0" w:firstRowLastColumn="0" w:lastRowFirstColumn="0" w:lastRowLastColumn="0"/>
              <w:rPr>
                <w:rFonts w:ascii="Arial" w:hAnsi="Arial" w:cs="Times New Roman"/>
                <w:sz w:val="22"/>
                <w:lang w:val="en-US"/>
              </w:rPr>
            </w:pPr>
            <w:r w:rsidRPr="006E7714">
              <w:rPr>
                <w:rFonts w:ascii="Arial" w:hAnsi="Arial" w:cs="Times New Roman"/>
                <w:sz w:val="22"/>
                <w:lang w:val="en-US"/>
              </w:rPr>
              <w:t>Quite a bit (4)</w:t>
            </w:r>
          </w:p>
        </w:tc>
        <w:tc>
          <w:tcPr>
            <w:tcW w:w="1596" w:type="dxa"/>
          </w:tcPr>
          <w:p w14:paraId="63796248" w14:textId="77777777" w:rsidR="006E7714" w:rsidRPr="006E7714" w:rsidRDefault="006E7714" w:rsidP="006E7714">
            <w:pPr>
              <w:spacing w:line="240" w:lineRule="auto"/>
              <w:jc w:val="center"/>
              <w:cnfStyle w:val="100000000000" w:firstRow="1" w:lastRow="0" w:firstColumn="0" w:lastColumn="0" w:oddVBand="0" w:evenVBand="0" w:oddHBand="0" w:evenHBand="0" w:firstRowFirstColumn="0" w:firstRowLastColumn="0" w:lastRowFirstColumn="0" w:lastRowLastColumn="0"/>
              <w:rPr>
                <w:rFonts w:ascii="Arial" w:hAnsi="Arial" w:cs="Times New Roman"/>
                <w:sz w:val="22"/>
                <w:lang w:val="en-US"/>
              </w:rPr>
            </w:pPr>
            <w:r w:rsidRPr="006E7714">
              <w:rPr>
                <w:rFonts w:ascii="Arial" w:hAnsi="Arial" w:cs="Times New Roman"/>
                <w:sz w:val="22"/>
                <w:lang w:val="en-US"/>
              </w:rPr>
              <w:t>Extremely (5)</w:t>
            </w:r>
          </w:p>
        </w:tc>
      </w:tr>
      <w:tr w:rsidR="006E7714" w:rsidRPr="006E7714" w14:paraId="07B23325" w14:textId="77777777" w:rsidTr="00B9053E">
        <w:tc>
          <w:tcPr>
            <w:cnfStyle w:val="001000000000" w:firstRow="0" w:lastRow="0" w:firstColumn="1" w:lastColumn="0" w:oddVBand="0" w:evenVBand="0" w:oddHBand="0" w:evenHBand="0" w:firstRowFirstColumn="0" w:firstRowLastColumn="0" w:lastRowFirstColumn="0" w:lastRowLastColumn="0"/>
            <w:tcW w:w="1596" w:type="dxa"/>
          </w:tcPr>
          <w:p w14:paraId="4C8BDB53" w14:textId="77777777" w:rsidR="006E7714" w:rsidRPr="006E7714" w:rsidRDefault="006E7714" w:rsidP="006E7714">
            <w:pPr>
              <w:keepNext/>
              <w:spacing w:line="240" w:lineRule="auto"/>
              <w:jc w:val="center"/>
              <w:rPr>
                <w:rFonts w:ascii="Arial" w:hAnsi="Arial" w:cs="Times New Roman"/>
                <w:sz w:val="22"/>
                <w:lang w:val="en-US"/>
              </w:rPr>
            </w:pPr>
            <w:r w:rsidRPr="006E7714">
              <w:rPr>
                <w:rFonts w:ascii="Arial" w:hAnsi="Arial" w:cs="Times New Roman"/>
                <w:sz w:val="22"/>
                <w:lang w:val="en-US"/>
              </w:rPr>
              <w:t xml:space="preserve">Afraid (1) </w:t>
            </w:r>
          </w:p>
        </w:tc>
        <w:tc>
          <w:tcPr>
            <w:tcW w:w="1596" w:type="dxa"/>
          </w:tcPr>
          <w:p w14:paraId="2C69CE81" w14:textId="77777777" w:rsidR="006E7714" w:rsidRPr="006E7714" w:rsidRDefault="006E7714" w:rsidP="006E7714">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7223EC0C" w14:textId="77777777" w:rsidR="006E7714" w:rsidRPr="006E7714" w:rsidRDefault="006E7714" w:rsidP="006E7714">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6723899C" w14:textId="77777777" w:rsidR="006E7714" w:rsidRPr="006E7714" w:rsidRDefault="006E7714" w:rsidP="006E7714">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59630C3F" w14:textId="77777777" w:rsidR="006E7714" w:rsidRPr="006E7714" w:rsidRDefault="006E7714" w:rsidP="006E7714">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47D9C047" w14:textId="77777777" w:rsidR="006E7714" w:rsidRPr="006E7714" w:rsidRDefault="006E7714" w:rsidP="006E7714">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r>
      <w:tr w:rsidR="006E7714" w:rsidRPr="006E7714" w14:paraId="3301A876" w14:textId="77777777" w:rsidTr="00B9053E">
        <w:tc>
          <w:tcPr>
            <w:cnfStyle w:val="001000000000" w:firstRow="0" w:lastRow="0" w:firstColumn="1" w:lastColumn="0" w:oddVBand="0" w:evenVBand="0" w:oddHBand="0" w:evenHBand="0" w:firstRowFirstColumn="0" w:firstRowLastColumn="0" w:lastRowFirstColumn="0" w:lastRowLastColumn="0"/>
            <w:tcW w:w="1596" w:type="dxa"/>
          </w:tcPr>
          <w:p w14:paraId="5A60D3A1" w14:textId="77777777" w:rsidR="006E7714" w:rsidRPr="006E7714" w:rsidRDefault="006E7714" w:rsidP="006E7714">
            <w:pPr>
              <w:keepNext/>
              <w:spacing w:line="240" w:lineRule="auto"/>
              <w:jc w:val="center"/>
              <w:rPr>
                <w:rFonts w:ascii="Arial" w:hAnsi="Arial" w:cs="Times New Roman"/>
                <w:sz w:val="22"/>
                <w:lang w:val="en-US"/>
              </w:rPr>
            </w:pPr>
            <w:r w:rsidRPr="006E7714">
              <w:rPr>
                <w:rFonts w:ascii="Arial" w:hAnsi="Arial" w:cs="Times New Roman"/>
                <w:sz w:val="22"/>
                <w:lang w:val="en-US"/>
              </w:rPr>
              <w:t xml:space="preserve">Upset (2) </w:t>
            </w:r>
          </w:p>
        </w:tc>
        <w:tc>
          <w:tcPr>
            <w:tcW w:w="1596" w:type="dxa"/>
          </w:tcPr>
          <w:p w14:paraId="4FA3A260" w14:textId="77777777" w:rsidR="006E7714" w:rsidRPr="006E7714" w:rsidRDefault="006E7714" w:rsidP="006E7714">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53992360" w14:textId="77777777" w:rsidR="006E7714" w:rsidRPr="006E7714" w:rsidRDefault="006E7714" w:rsidP="006E7714">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34EF064C" w14:textId="77777777" w:rsidR="006E7714" w:rsidRPr="006E7714" w:rsidRDefault="006E7714" w:rsidP="006E7714">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50D16514" w14:textId="77777777" w:rsidR="006E7714" w:rsidRPr="006E7714" w:rsidRDefault="006E7714" w:rsidP="006E7714">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0C1F9772" w14:textId="77777777" w:rsidR="006E7714" w:rsidRPr="006E7714" w:rsidRDefault="006E7714" w:rsidP="006E7714">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r>
      <w:tr w:rsidR="006E7714" w:rsidRPr="006E7714" w14:paraId="63622F6B" w14:textId="77777777" w:rsidTr="00B9053E">
        <w:tc>
          <w:tcPr>
            <w:cnfStyle w:val="001000000000" w:firstRow="0" w:lastRow="0" w:firstColumn="1" w:lastColumn="0" w:oddVBand="0" w:evenVBand="0" w:oddHBand="0" w:evenHBand="0" w:firstRowFirstColumn="0" w:firstRowLastColumn="0" w:lastRowFirstColumn="0" w:lastRowLastColumn="0"/>
            <w:tcW w:w="1596" w:type="dxa"/>
          </w:tcPr>
          <w:p w14:paraId="61A88B9C" w14:textId="77777777" w:rsidR="006E7714" w:rsidRPr="006E7714" w:rsidRDefault="006E7714" w:rsidP="006E7714">
            <w:pPr>
              <w:keepNext/>
              <w:spacing w:line="240" w:lineRule="auto"/>
              <w:jc w:val="center"/>
              <w:rPr>
                <w:rFonts w:ascii="Arial" w:hAnsi="Arial" w:cs="Times New Roman"/>
                <w:sz w:val="22"/>
                <w:lang w:val="en-US"/>
              </w:rPr>
            </w:pPr>
            <w:r w:rsidRPr="006E7714">
              <w:rPr>
                <w:rFonts w:ascii="Arial" w:hAnsi="Arial" w:cs="Times New Roman"/>
                <w:sz w:val="22"/>
                <w:lang w:val="en-US"/>
              </w:rPr>
              <w:t xml:space="preserve">Hostile (3) </w:t>
            </w:r>
          </w:p>
        </w:tc>
        <w:tc>
          <w:tcPr>
            <w:tcW w:w="1596" w:type="dxa"/>
          </w:tcPr>
          <w:p w14:paraId="1A00CA39" w14:textId="77777777" w:rsidR="006E7714" w:rsidRPr="006E7714" w:rsidRDefault="006E7714" w:rsidP="006E7714">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2B5AAB6C" w14:textId="77777777" w:rsidR="006E7714" w:rsidRPr="006E7714" w:rsidRDefault="006E7714" w:rsidP="006E7714">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506F2959" w14:textId="77777777" w:rsidR="006E7714" w:rsidRPr="006E7714" w:rsidRDefault="006E7714" w:rsidP="006E7714">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53921060" w14:textId="77777777" w:rsidR="006E7714" w:rsidRPr="006E7714" w:rsidRDefault="006E7714" w:rsidP="006E7714">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258B12EF" w14:textId="77777777" w:rsidR="006E7714" w:rsidRPr="006E7714" w:rsidRDefault="006E7714" w:rsidP="006E7714">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r>
      <w:tr w:rsidR="006E7714" w:rsidRPr="006E7714" w14:paraId="463C16A0" w14:textId="77777777" w:rsidTr="00B9053E">
        <w:tc>
          <w:tcPr>
            <w:cnfStyle w:val="001000000000" w:firstRow="0" w:lastRow="0" w:firstColumn="1" w:lastColumn="0" w:oddVBand="0" w:evenVBand="0" w:oddHBand="0" w:evenHBand="0" w:firstRowFirstColumn="0" w:firstRowLastColumn="0" w:lastRowFirstColumn="0" w:lastRowLastColumn="0"/>
            <w:tcW w:w="1596" w:type="dxa"/>
          </w:tcPr>
          <w:p w14:paraId="48C1F87B" w14:textId="77777777" w:rsidR="006E7714" w:rsidRPr="006E7714" w:rsidRDefault="006E7714" w:rsidP="006E7714">
            <w:pPr>
              <w:keepNext/>
              <w:spacing w:line="240" w:lineRule="auto"/>
              <w:jc w:val="center"/>
              <w:rPr>
                <w:rFonts w:ascii="Arial" w:hAnsi="Arial" w:cs="Times New Roman"/>
                <w:sz w:val="22"/>
                <w:lang w:val="en-US"/>
              </w:rPr>
            </w:pPr>
            <w:r w:rsidRPr="006E7714">
              <w:rPr>
                <w:rFonts w:ascii="Arial" w:hAnsi="Arial" w:cs="Times New Roman"/>
                <w:sz w:val="22"/>
                <w:lang w:val="en-US"/>
              </w:rPr>
              <w:t xml:space="preserve">Ashamed (4) </w:t>
            </w:r>
          </w:p>
        </w:tc>
        <w:tc>
          <w:tcPr>
            <w:tcW w:w="1596" w:type="dxa"/>
          </w:tcPr>
          <w:p w14:paraId="54667401" w14:textId="77777777" w:rsidR="006E7714" w:rsidRPr="006E7714" w:rsidRDefault="006E7714" w:rsidP="006E7714">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797D24B9" w14:textId="77777777" w:rsidR="006E7714" w:rsidRPr="006E7714" w:rsidRDefault="006E7714" w:rsidP="006E7714">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50F6CFA8" w14:textId="77777777" w:rsidR="006E7714" w:rsidRPr="006E7714" w:rsidRDefault="006E7714" w:rsidP="006E7714">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27894303" w14:textId="77777777" w:rsidR="006E7714" w:rsidRPr="006E7714" w:rsidRDefault="006E7714" w:rsidP="006E7714">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57DCA1E8" w14:textId="77777777" w:rsidR="006E7714" w:rsidRPr="006E7714" w:rsidRDefault="006E7714" w:rsidP="006E7714">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r>
      <w:tr w:rsidR="006E7714" w:rsidRPr="006E7714" w14:paraId="1816304F" w14:textId="77777777" w:rsidTr="00B9053E">
        <w:tc>
          <w:tcPr>
            <w:cnfStyle w:val="001000000000" w:firstRow="0" w:lastRow="0" w:firstColumn="1" w:lastColumn="0" w:oddVBand="0" w:evenVBand="0" w:oddHBand="0" w:evenHBand="0" w:firstRowFirstColumn="0" w:firstRowLastColumn="0" w:lastRowFirstColumn="0" w:lastRowLastColumn="0"/>
            <w:tcW w:w="1596" w:type="dxa"/>
          </w:tcPr>
          <w:p w14:paraId="0A3CCDB2" w14:textId="77777777" w:rsidR="006E7714" w:rsidRPr="006E7714" w:rsidRDefault="006E7714" w:rsidP="006E7714">
            <w:pPr>
              <w:keepNext/>
              <w:spacing w:line="240" w:lineRule="auto"/>
              <w:jc w:val="center"/>
              <w:rPr>
                <w:rFonts w:ascii="Arial" w:hAnsi="Arial" w:cs="Times New Roman"/>
                <w:sz w:val="22"/>
                <w:lang w:val="en-US"/>
              </w:rPr>
            </w:pPr>
            <w:r w:rsidRPr="006E7714">
              <w:rPr>
                <w:rFonts w:ascii="Arial" w:hAnsi="Arial" w:cs="Times New Roman"/>
                <w:sz w:val="22"/>
                <w:lang w:val="en-US"/>
              </w:rPr>
              <w:t xml:space="preserve">Nervous (5) </w:t>
            </w:r>
          </w:p>
        </w:tc>
        <w:tc>
          <w:tcPr>
            <w:tcW w:w="1596" w:type="dxa"/>
          </w:tcPr>
          <w:p w14:paraId="59ABE9C6" w14:textId="77777777" w:rsidR="006E7714" w:rsidRPr="006E7714" w:rsidRDefault="006E7714" w:rsidP="006E7714">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33342F0A" w14:textId="77777777" w:rsidR="006E7714" w:rsidRPr="006E7714" w:rsidRDefault="006E7714" w:rsidP="006E7714">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73FD71DD" w14:textId="77777777" w:rsidR="006E7714" w:rsidRPr="006E7714" w:rsidRDefault="006E7714" w:rsidP="006E7714">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5D062651" w14:textId="77777777" w:rsidR="006E7714" w:rsidRPr="006E7714" w:rsidRDefault="006E7714" w:rsidP="006E7714">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4FF8D528" w14:textId="77777777" w:rsidR="006E7714" w:rsidRPr="006E7714" w:rsidRDefault="006E7714" w:rsidP="006E7714">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r>
      <w:tr w:rsidR="006E7714" w:rsidRPr="006E7714" w14:paraId="1B8E7781" w14:textId="77777777" w:rsidTr="00B9053E">
        <w:tc>
          <w:tcPr>
            <w:cnfStyle w:val="001000000000" w:firstRow="0" w:lastRow="0" w:firstColumn="1" w:lastColumn="0" w:oddVBand="0" w:evenVBand="0" w:oddHBand="0" w:evenHBand="0" w:firstRowFirstColumn="0" w:firstRowLastColumn="0" w:lastRowFirstColumn="0" w:lastRowLastColumn="0"/>
            <w:tcW w:w="1596" w:type="dxa"/>
          </w:tcPr>
          <w:p w14:paraId="2647F2D5" w14:textId="77777777" w:rsidR="006E7714" w:rsidRPr="006E7714" w:rsidRDefault="006E7714" w:rsidP="006E7714">
            <w:pPr>
              <w:keepNext/>
              <w:spacing w:line="240" w:lineRule="auto"/>
              <w:jc w:val="center"/>
              <w:rPr>
                <w:rFonts w:ascii="Arial" w:hAnsi="Arial" w:cs="Times New Roman"/>
                <w:sz w:val="22"/>
                <w:lang w:val="en-US"/>
              </w:rPr>
            </w:pPr>
            <w:r w:rsidRPr="006E7714">
              <w:rPr>
                <w:rFonts w:ascii="Arial" w:hAnsi="Arial" w:cs="Times New Roman"/>
                <w:sz w:val="22"/>
                <w:lang w:val="en-US"/>
              </w:rPr>
              <w:t xml:space="preserve">Active (6) </w:t>
            </w:r>
          </w:p>
        </w:tc>
        <w:tc>
          <w:tcPr>
            <w:tcW w:w="1596" w:type="dxa"/>
          </w:tcPr>
          <w:p w14:paraId="313BAEB2" w14:textId="77777777" w:rsidR="006E7714" w:rsidRPr="006E7714" w:rsidRDefault="006E7714" w:rsidP="006E7714">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59A9A9EB" w14:textId="77777777" w:rsidR="006E7714" w:rsidRPr="006E7714" w:rsidRDefault="006E7714" w:rsidP="006E7714">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5CE8929B" w14:textId="77777777" w:rsidR="006E7714" w:rsidRPr="006E7714" w:rsidRDefault="006E7714" w:rsidP="006E7714">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614D3646" w14:textId="77777777" w:rsidR="006E7714" w:rsidRPr="006E7714" w:rsidRDefault="006E7714" w:rsidP="006E7714">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6A27FFD5" w14:textId="77777777" w:rsidR="006E7714" w:rsidRPr="006E7714" w:rsidRDefault="006E7714" w:rsidP="006E7714">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r>
      <w:tr w:rsidR="006E7714" w:rsidRPr="006E7714" w14:paraId="7345CE4F" w14:textId="77777777" w:rsidTr="00B9053E">
        <w:tc>
          <w:tcPr>
            <w:cnfStyle w:val="001000000000" w:firstRow="0" w:lastRow="0" w:firstColumn="1" w:lastColumn="0" w:oddVBand="0" w:evenVBand="0" w:oddHBand="0" w:evenHBand="0" w:firstRowFirstColumn="0" w:firstRowLastColumn="0" w:lastRowFirstColumn="0" w:lastRowLastColumn="0"/>
            <w:tcW w:w="1596" w:type="dxa"/>
          </w:tcPr>
          <w:p w14:paraId="438B63A2" w14:textId="77777777" w:rsidR="006E7714" w:rsidRPr="006E7714" w:rsidRDefault="006E7714" w:rsidP="006E7714">
            <w:pPr>
              <w:keepNext/>
              <w:spacing w:line="240" w:lineRule="auto"/>
              <w:jc w:val="center"/>
              <w:rPr>
                <w:rFonts w:ascii="Arial" w:hAnsi="Arial" w:cs="Times New Roman"/>
                <w:sz w:val="22"/>
                <w:lang w:val="en-US"/>
              </w:rPr>
            </w:pPr>
            <w:r w:rsidRPr="006E7714">
              <w:rPr>
                <w:rFonts w:ascii="Arial" w:hAnsi="Arial" w:cs="Times New Roman"/>
                <w:sz w:val="22"/>
                <w:lang w:val="en-US"/>
              </w:rPr>
              <w:t xml:space="preserve">Determined (7) </w:t>
            </w:r>
          </w:p>
        </w:tc>
        <w:tc>
          <w:tcPr>
            <w:tcW w:w="1596" w:type="dxa"/>
          </w:tcPr>
          <w:p w14:paraId="557A1A89" w14:textId="77777777" w:rsidR="006E7714" w:rsidRPr="006E7714" w:rsidRDefault="006E7714" w:rsidP="006E7714">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4858EE0F" w14:textId="77777777" w:rsidR="006E7714" w:rsidRPr="006E7714" w:rsidRDefault="006E7714" w:rsidP="006E7714">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16B18BB2" w14:textId="77777777" w:rsidR="006E7714" w:rsidRPr="006E7714" w:rsidRDefault="006E7714" w:rsidP="006E7714">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3448E1C3" w14:textId="77777777" w:rsidR="006E7714" w:rsidRPr="006E7714" w:rsidRDefault="006E7714" w:rsidP="006E7714">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6B09D539" w14:textId="77777777" w:rsidR="006E7714" w:rsidRPr="006E7714" w:rsidRDefault="006E7714" w:rsidP="006E7714">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r>
      <w:tr w:rsidR="006E7714" w:rsidRPr="006E7714" w14:paraId="0D764AB2" w14:textId="77777777" w:rsidTr="00B9053E">
        <w:tc>
          <w:tcPr>
            <w:cnfStyle w:val="001000000000" w:firstRow="0" w:lastRow="0" w:firstColumn="1" w:lastColumn="0" w:oddVBand="0" w:evenVBand="0" w:oddHBand="0" w:evenHBand="0" w:firstRowFirstColumn="0" w:firstRowLastColumn="0" w:lastRowFirstColumn="0" w:lastRowLastColumn="0"/>
            <w:tcW w:w="1596" w:type="dxa"/>
          </w:tcPr>
          <w:p w14:paraId="5808AE66" w14:textId="77777777" w:rsidR="006E7714" w:rsidRPr="006E7714" w:rsidRDefault="006E7714" w:rsidP="006E7714">
            <w:pPr>
              <w:keepNext/>
              <w:spacing w:line="240" w:lineRule="auto"/>
              <w:jc w:val="center"/>
              <w:rPr>
                <w:rFonts w:ascii="Arial" w:hAnsi="Arial" w:cs="Times New Roman"/>
                <w:sz w:val="22"/>
                <w:lang w:val="en-US"/>
              </w:rPr>
            </w:pPr>
            <w:r w:rsidRPr="006E7714">
              <w:rPr>
                <w:rFonts w:ascii="Arial" w:hAnsi="Arial" w:cs="Times New Roman"/>
                <w:sz w:val="22"/>
                <w:lang w:val="en-US"/>
              </w:rPr>
              <w:t xml:space="preserve">Attentive (8) </w:t>
            </w:r>
          </w:p>
        </w:tc>
        <w:tc>
          <w:tcPr>
            <w:tcW w:w="1596" w:type="dxa"/>
          </w:tcPr>
          <w:p w14:paraId="60176914" w14:textId="77777777" w:rsidR="006E7714" w:rsidRPr="006E7714" w:rsidRDefault="006E7714" w:rsidP="006E7714">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7D26FEED" w14:textId="77777777" w:rsidR="006E7714" w:rsidRPr="006E7714" w:rsidRDefault="006E7714" w:rsidP="006E7714">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5C0EC20E" w14:textId="77777777" w:rsidR="006E7714" w:rsidRPr="006E7714" w:rsidRDefault="006E7714" w:rsidP="006E7714">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3D378BF2" w14:textId="77777777" w:rsidR="006E7714" w:rsidRPr="006E7714" w:rsidRDefault="006E7714" w:rsidP="006E7714">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17009C3B" w14:textId="77777777" w:rsidR="006E7714" w:rsidRPr="006E7714" w:rsidRDefault="006E7714" w:rsidP="006E7714">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r>
      <w:tr w:rsidR="006E7714" w:rsidRPr="006E7714" w14:paraId="1D3EE939" w14:textId="77777777" w:rsidTr="00B9053E">
        <w:tc>
          <w:tcPr>
            <w:cnfStyle w:val="001000000000" w:firstRow="0" w:lastRow="0" w:firstColumn="1" w:lastColumn="0" w:oddVBand="0" w:evenVBand="0" w:oddHBand="0" w:evenHBand="0" w:firstRowFirstColumn="0" w:firstRowLastColumn="0" w:lastRowFirstColumn="0" w:lastRowLastColumn="0"/>
            <w:tcW w:w="1596" w:type="dxa"/>
          </w:tcPr>
          <w:p w14:paraId="0E1C382D" w14:textId="77777777" w:rsidR="006E7714" w:rsidRPr="006E7714" w:rsidRDefault="006E7714" w:rsidP="006E7714">
            <w:pPr>
              <w:keepNext/>
              <w:spacing w:line="240" w:lineRule="auto"/>
              <w:jc w:val="center"/>
              <w:rPr>
                <w:rFonts w:ascii="Arial" w:hAnsi="Arial" w:cs="Times New Roman"/>
                <w:sz w:val="22"/>
                <w:lang w:val="en-US"/>
              </w:rPr>
            </w:pPr>
            <w:r w:rsidRPr="006E7714">
              <w:rPr>
                <w:rFonts w:ascii="Arial" w:hAnsi="Arial" w:cs="Times New Roman"/>
                <w:sz w:val="22"/>
                <w:lang w:val="en-US"/>
              </w:rPr>
              <w:t xml:space="preserve">Inspired (9) </w:t>
            </w:r>
          </w:p>
        </w:tc>
        <w:tc>
          <w:tcPr>
            <w:tcW w:w="1596" w:type="dxa"/>
          </w:tcPr>
          <w:p w14:paraId="6BA3E1F3" w14:textId="77777777" w:rsidR="006E7714" w:rsidRPr="006E7714" w:rsidRDefault="006E7714" w:rsidP="006E7714">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09200BAF" w14:textId="77777777" w:rsidR="006E7714" w:rsidRPr="006E7714" w:rsidRDefault="006E7714" w:rsidP="006E7714">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2D6CFB56" w14:textId="77777777" w:rsidR="006E7714" w:rsidRPr="006E7714" w:rsidRDefault="006E7714" w:rsidP="006E7714">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48F2E603" w14:textId="77777777" w:rsidR="006E7714" w:rsidRPr="006E7714" w:rsidRDefault="006E7714" w:rsidP="006E7714">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296EDDC7" w14:textId="77777777" w:rsidR="006E7714" w:rsidRPr="006E7714" w:rsidRDefault="006E7714" w:rsidP="006E7714">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r>
      <w:tr w:rsidR="006E7714" w:rsidRPr="006E7714" w14:paraId="12036093" w14:textId="77777777" w:rsidTr="00B9053E">
        <w:tc>
          <w:tcPr>
            <w:cnfStyle w:val="001000000000" w:firstRow="0" w:lastRow="0" w:firstColumn="1" w:lastColumn="0" w:oddVBand="0" w:evenVBand="0" w:oddHBand="0" w:evenHBand="0" w:firstRowFirstColumn="0" w:firstRowLastColumn="0" w:lastRowFirstColumn="0" w:lastRowLastColumn="0"/>
            <w:tcW w:w="1596" w:type="dxa"/>
          </w:tcPr>
          <w:p w14:paraId="1185DF97" w14:textId="77777777" w:rsidR="006E7714" w:rsidRPr="006E7714" w:rsidRDefault="006E7714" w:rsidP="006E7714">
            <w:pPr>
              <w:keepNext/>
              <w:spacing w:line="240" w:lineRule="auto"/>
              <w:jc w:val="center"/>
              <w:rPr>
                <w:rFonts w:ascii="Arial" w:hAnsi="Arial" w:cs="Times New Roman"/>
                <w:sz w:val="22"/>
                <w:lang w:val="en-US"/>
              </w:rPr>
            </w:pPr>
            <w:r w:rsidRPr="006E7714">
              <w:rPr>
                <w:rFonts w:ascii="Arial" w:hAnsi="Arial" w:cs="Times New Roman"/>
                <w:sz w:val="22"/>
                <w:lang w:val="en-US"/>
              </w:rPr>
              <w:t xml:space="preserve">Alert (10) </w:t>
            </w:r>
          </w:p>
        </w:tc>
        <w:tc>
          <w:tcPr>
            <w:tcW w:w="1596" w:type="dxa"/>
          </w:tcPr>
          <w:p w14:paraId="57DF59F4" w14:textId="77777777" w:rsidR="006E7714" w:rsidRPr="006E7714" w:rsidRDefault="006E7714" w:rsidP="006E7714">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2E8AC507" w14:textId="77777777" w:rsidR="006E7714" w:rsidRPr="006E7714" w:rsidRDefault="006E7714" w:rsidP="006E7714">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1CB559CA" w14:textId="77777777" w:rsidR="006E7714" w:rsidRPr="006E7714" w:rsidRDefault="006E7714" w:rsidP="006E7714">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74424F5B" w14:textId="77777777" w:rsidR="006E7714" w:rsidRPr="006E7714" w:rsidRDefault="006E7714" w:rsidP="006E7714">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2EEB4002" w14:textId="77777777" w:rsidR="006E7714" w:rsidRPr="006E7714" w:rsidRDefault="006E7714" w:rsidP="006E7714">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r>
    </w:tbl>
    <w:p w14:paraId="269CA4B2" w14:textId="77777777" w:rsidR="006E7714" w:rsidRPr="006E7714" w:rsidRDefault="006E7714" w:rsidP="006E7714">
      <w:pPr>
        <w:spacing w:after="0" w:line="276" w:lineRule="auto"/>
        <w:jc w:val="left"/>
        <w:rPr>
          <w:rFonts w:ascii="Arial" w:eastAsia="Times New Roman" w:hAnsi="Arial" w:cs="Times New Roman"/>
          <w:sz w:val="22"/>
          <w:lang w:val="en-US"/>
        </w:rPr>
      </w:pPr>
    </w:p>
    <w:p w14:paraId="62670A77" w14:textId="77777777" w:rsidR="006E7714" w:rsidRPr="006E7714" w:rsidRDefault="006E7714" w:rsidP="006E7714">
      <w:pPr>
        <w:spacing w:after="0" w:line="276" w:lineRule="auto"/>
        <w:jc w:val="left"/>
        <w:rPr>
          <w:rFonts w:ascii="Arial" w:eastAsia="Times New Roman" w:hAnsi="Arial" w:cs="Times New Roman"/>
          <w:sz w:val="22"/>
          <w:lang w:val="en-US"/>
        </w:rPr>
      </w:pPr>
    </w:p>
    <w:p w14:paraId="26097436" w14:textId="77777777" w:rsidR="006E7714" w:rsidRPr="006E7714" w:rsidRDefault="006E7714" w:rsidP="006E7714">
      <w:pPr>
        <w:keepNext/>
        <w:spacing w:after="0" w:line="276" w:lineRule="auto"/>
        <w:jc w:val="left"/>
        <w:rPr>
          <w:rFonts w:ascii="Arial" w:eastAsia="Times New Roman" w:hAnsi="Arial" w:cs="Times New Roman"/>
          <w:sz w:val="22"/>
          <w:lang w:val="en-US"/>
        </w:rPr>
      </w:pPr>
      <w:r w:rsidRPr="006E7714">
        <w:rPr>
          <w:rFonts w:ascii="Arial" w:eastAsia="Times New Roman" w:hAnsi="Arial" w:cs="Times New Roman"/>
          <w:sz w:val="22"/>
          <w:lang w:val="en-US"/>
        </w:rPr>
        <w:t>In your opinion, how good was the video's environment for wildlife and plants?</w:t>
      </w:r>
    </w:p>
    <w:p w14:paraId="53BC148E" w14:textId="77777777" w:rsidR="006E7714" w:rsidRPr="006E7714" w:rsidRDefault="006E7714" w:rsidP="006E7714">
      <w:pPr>
        <w:keepNext/>
        <w:numPr>
          <w:ilvl w:val="0"/>
          <w:numId w:val="32"/>
        </w:numPr>
        <w:spacing w:after="0" w:line="240" w:lineRule="auto"/>
        <w:jc w:val="left"/>
        <w:rPr>
          <w:rFonts w:ascii="Arial" w:eastAsia="Times New Roman" w:hAnsi="Arial" w:cs="Times New Roman"/>
          <w:sz w:val="22"/>
          <w:lang w:val="en-US"/>
        </w:rPr>
      </w:pPr>
      <w:r w:rsidRPr="006E7714">
        <w:rPr>
          <w:rFonts w:ascii="Arial" w:eastAsia="Times New Roman" w:hAnsi="Arial" w:cs="Times New Roman"/>
          <w:sz w:val="22"/>
          <w:lang w:val="en-US"/>
        </w:rPr>
        <w:t xml:space="preserve">Very </w:t>
      </w:r>
      <w:proofErr w:type="gramStart"/>
      <w:r w:rsidRPr="006E7714">
        <w:rPr>
          <w:rFonts w:ascii="Arial" w:eastAsia="Times New Roman" w:hAnsi="Arial" w:cs="Times New Roman"/>
          <w:sz w:val="22"/>
          <w:lang w:val="en-US"/>
        </w:rPr>
        <w:t>bad  (</w:t>
      </w:r>
      <w:proofErr w:type="gramEnd"/>
      <w:r w:rsidRPr="006E7714">
        <w:rPr>
          <w:rFonts w:ascii="Arial" w:eastAsia="Times New Roman" w:hAnsi="Arial" w:cs="Times New Roman"/>
          <w:sz w:val="22"/>
          <w:lang w:val="en-US"/>
        </w:rPr>
        <w:t xml:space="preserve">1) </w:t>
      </w:r>
    </w:p>
    <w:p w14:paraId="716D7CBA" w14:textId="77777777" w:rsidR="006E7714" w:rsidRPr="006E7714" w:rsidRDefault="006E7714" w:rsidP="006E7714">
      <w:pPr>
        <w:keepNext/>
        <w:numPr>
          <w:ilvl w:val="0"/>
          <w:numId w:val="32"/>
        </w:numPr>
        <w:spacing w:after="0" w:line="240" w:lineRule="auto"/>
        <w:jc w:val="left"/>
        <w:rPr>
          <w:rFonts w:ascii="Arial" w:eastAsia="Times New Roman" w:hAnsi="Arial" w:cs="Times New Roman"/>
          <w:sz w:val="22"/>
          <w:lang w:val="en-US"/>
        </w:rPr>
      </w:pPr>
      <w:proofErr w:type="gramStart"/>
      <w:r w:rsidRPr="006E7714">
        <w:rPr>
          <w:rFonts w:ascii="Arial" w:eastAsia="Times New Roman" w:hAnsi="Arial" w:cs="Times New Roman"/>
          <w:sz w:val="22"/>
          <w:lang w:val="en-US"/>
        </w:rPr>
        <w:t>Bad  (</w:t>
      </w:r>
      <w:proofErr w:type="gramEnd"/>
      <w:r w:rsidRPr="006E7714">
        <w:rPr>
          <w:rFonts w:ascii="Arial" w:eastAsia="Times New Roman" w:hAnsi="Arial" w:cs="Times New Roman"/>
          <w:sz w:val="22"/>
          <w:lang w:val="en-US"/>
        </w:rPr>
        <w:t xml:space="preserve">2) </w:t>
      </w:r>
    </w:p>
    <w:p w14:paraId="1056D00D" w14:textId="77777777" w:rsidR="006E7714" w:rsidRPr="006E7714" w:rsidRDefault="006E7714" w:rsidP="006E7714">
      <w:pPr>
        <w:keepNext/>
        <w:numPr>
          <w:ilvl w:val="0"/>
          <w:numId w:val="32"/>
        </w:numPr>
        <w:spacing w:after="0" w:line="240" w:lineRule="auto"/>
        <w:jc w:val="left"/>
        <w:rPr>
          <w:rFonts w:ascii="Arial" w:eastAsia="Times New Roman" w:hAnsi="Arial" w:cs="Times New Roman"/>
          <w:sz w:val="22"/>
          <w:lang w:val="en-US"/>
        </w:rPr>
      </w:pPr>
      <w:r w:rsidRPr="006E7714">
        <w:rPr>
          <w:rFonts w:ascii="Arial" w:eastAsia="Times New Roman" w:hAnsi="Arial" w:cs="Times New Roman"/>
          <w:sz w:val="22"/>
          <w:lang w:val="en-US"/>
        </w:rPr>
        <w:t xml:space="preserve">Neither good nor </w:t>
      </w:r>
      <w:proofErr w:type="gramStart"/>
      <w:r w:rsidRPr="006E7714">
        <w:rPr>
          <w:rFonts w:ascii="Arial" w:eastAsia="Times New Roman" w:hAnsi="Arial" w:cs="Times New Roman"/>
          <w:sz w:val="22"/>
          <w:lang w:val="en-US"/>
        </w:rPr>
        <w:t>bad  (</w:t>
      </w:r>
      <w:proofErr w:type="gramEnd"/>
      <w:r w:rsidRPr="006E7714">
        <w:rPr>
          <w:rFonts w:ascii="Arial" w:eastAsia="Times New Roman" w:hAnsi="Arial" w:cs="Times New Roman"/>
          <w:sz w:val="22"/>
          <w:lang w:val="en-US"/>
        </w:rPr>
        <w:t xml:space="preserve">3) </w:t>
      </w:r>
    </w:p>
    <w:p w14:paraId="6D784C86" w14:textId="77777777" w:rsidR="006E7714" w:rsidRPr="006E7714" w:rsidRDefault="006E7714" w:rsidP="006E7714">
      <w:pPr>
        <w:keepNext/>
        <w:numPr>
          <w:ilvl w:val="0"/>
          <w:numId w:val="32"/>
        </w:numPr>
        <w:spacing w:after="0" w:line="240" w:lineRule="auto"/>
        <w:jc w:val="left"/>
        <w:rPr>
          <w:rFonts w:ascii="Arial" w:eastAsia="Times New Roman" w:hAnsi="Arial" w:cs="Times New Roman"/>
          <w:sz w:val="22"/>
          <w:lang w:val="en-US"/>
        </w:rPr>
      </w:pPr>
      <w:proofErr w:type="gramStart"/>
      <w:r w:rsidRPr="006E7714">
        <w:rPr>
          <w:rFonts w:ascii="Arial" w:eastAsia="Times New Roman" w:hAnsi="Arial" w:cs="Times New Roman"/>
          <w:sz w:val="22"/>
          <w:lang w:val="en-US"/>
        </w:rPr>
        <w:t>Good  (</w:t>
      </w:r>
      <w:proofErr w:type="gramEnd"/>
      <w:r w:rsidRPr="006E7714">
        <w:rPr>
          <w:rFonts w:ascii="Arial" w:eastAsia="Times New Roman" w:hAnsi="Arial" w:cs="Times New Roman"/>
          <w:sz w:val="22"/>
          <w:lang w:val="en-US"/>
        </w:rPr>
        <w:t xml:space="preserve">4) </w:t>
      </w:r>
    </w:p>
    <w:p w14:paraId="3B1CADA9" w14:textId="77777777" w:rsidR="006E7714" w:rsidRPr="006E7714" w:rsidRDefault="006E7714" w:rsidP="006E7714">
      <w:pPr>
        <w:keepNext/>
        <w:numPr>
          <w:ilvl w:val="0"/>
          <w:numId w:val="32"/>
        </w:numPr>
        <w:spacing w:after="0" w:line="240" w:lineRule="auto"/>
        <w:jc w:val="left"/>
        <w:rPr>
          <w:rFonts w:ascii="Arial" w:eastAsia="Times New Roman" w:hAnsi="Arial" w:cs="Times New Roman"/>
          <w:sz w:val="22"/>
          <w:lang w:val="en-US"/>
        </w:rPr>
      </w:pPr>
      <w:r w:rsidRPr="006E7714">
        <w:rPr>
          <w:rFonts w:ascii="Arial" w:eastAsia="Times New Roman" w:hAnsi="Arial" w:cs="Times New Roman"/>
          <w:sz w:val="22"/>
          <w:lang w:val="en-US"/>
        </w:rPr>
        <w:t xml:space="preserve">Very </w:t>
      </w:r>
      <w:proofErr w:type="gramStart"/>
      <w:r w:rsidRPr="006E7714">
        <w:rPr>
          <w:rFonts w:ascii="Arial" w:eastAsia="Times New Roman" w:hAnsi="Arial" w:cs="Times New Roman"/>
          <w:sz w:val="22"/>
          <w:lang w:val="en-US"/>
        </w:rPr>
        <w:t>good  (</w:t>
      </w:r>
      <w:proofErr w:type="gramEnd"/>
      <w:r w:rsidRPr="006E7714">
        <w:rPr>
          <w:rFonts w:ascii="Arial" w:eastAsia="Times New Roman" w:hAnsi="Arial" w:cs="Times New Roman"/>
          <w:sz w:val="22"/>
          <w:lang w:val="en-US"/>
        </w:rPr>
        <w:t xml:space="preserve">5) </w:t>
      </w:r>
    </w:p>
    <w:p w14:paraId="563F0555" w14:textId="77777777" w:rsidR="006E7714" w:rsidRPr="006E7714" w:rsidRDefault="006E7714" w:rsidP="006E7714">
      <w:pPr>
        <w:spacing w:after="0" w:line="276" w:lineRule="auto"/>
        <w:jc w:val="left"/>
        <w:rPr>
          <w:rFonts w:ascii="Arial" w:eastAsia="Times New Roman" w:hAnsi="Arial" w:cs="Times New Roman"/>
          <w:sz w:val="22"/>
          <w:lang w:val="en-US"/>
        </w:rPr>
      </w:pPr>
    </w:p>
    <w:p w14:paraId="4ABC7F05" w14:textId="77777777" w:rsidR="006E7714" w:rsidRPr="006E7714" w:rsidRDefault="006E7714" w:rsidP="006E7714">
      <w:pPr>
        <w:pBdr>
          <w:top w:val="dashed" w:sz="8" w:space="0" w:color="CCCCCC"/>
        </w:pBdr>
        <w:spacing w:before="120" w:after="120" w:line="120" w:lineRule="auto"/>
        <w:jc w:val="left"/>
        <w:rPr>
          <w:rFonts w:ascii="Arial" w:eastAsia="Times New Roman" w:hAnsi="Arial" w:cs="Times New Roman"/>
          <w:sz w:val="22"/>
          <w:lang w:val="en-US"/>
        </w:rPr>
      </w:pPr>
    </w:p>
    <w:p w14:paraId="3C61C74C" w14:textId="77777777" w:rsidR="006E7714" w:rsidRPr="006E7714" w:rsidRDefault="006E7714" w:rsidP="006E7714">
      <w:pPr>
        <w:keepNext/>
        <w:shd w:val="clear" w:color="auto" w:fill="6898BB"/>
        <w:spacing w:before="120" w:after="120" w:line="240" w:lineRule="auto"/>
        <w:jc w:val="left"/>
        <w:rPr>
          <w:rFonts w:ascii="Arial" w:eastAsia="Times New Roman" w:hAnsi="Arial" w:cs="Times New Roman"/>
          <w:i/>
          <w:color w:val="FFFFFF"/>
          <w:sz w:val="20"/>
          <w:lang w:val="en-US"/>
        </w:rPr>
      </w:pPr>
      <w:r w:rsidRPr="006E7714">
        <w:rPr>
          <w:rFonts w:ascii="Arial" w:eastAsia="Times New Roman" w:hAnsi="Arial" w:cs="Times New Roman"/>
          <w:i/>
          <w:color w:val="FFFFFF"/>
          <w:sz w:val="20"/>
          <w:lang w:val="en-US"/>
        </w:rPr>
        <w:lastRenderedPageBreak/>
        <w:t>Display This Question:</w:t>
      </w:r>
    </w:p>
    <w:p w14:paraId="0E277858" w14:textId="77777777" w:rsidR="006E7714" w:rsidRPr="006E7714" w:rsidRDefault="006E7714" w:rsidP="006E7714">
      <w:pPr>
        <w:keepNext/>
        <w:shd w:val="clear" w:color="auto" w:fill="6898BB"/>
        <w:spacing w:before="120" w:after="120" w:line="240" w:lineRule="auto"/>
        <w:ind w:firstLine="400"/>
        <w:jc w:val="left"/>
        <w:rPr>
          <w:rFonts w:ascii="Arial" w:eastAsia="Times New Roman" w:hAnsi="Arial" w:cs="Times New Roman"/>
          <w:i/>
          <w:color w:val="FFFFFF"/>
          <w:sz w:val="20"/>
          <w:lang w:val="en-US"/>
        </w:rPr>
      </w:pPr>
      <w:r w:rsidRPr="006E7714">
        <w:rPr>
          <w:rFonts w:ascii="Arial" w:eastAsia="Times New Roman" w:hAnsi="Arial" w:cs="Times New Roman"/>
          <w:i/>
          <w:color w:val="FFFFFF"/>
          <w:sz w:val="20"/>
          <w:lang w:val="en-US"/>
        </w:rPr>
        <w:t xml:space="preserve">If </w:t>
      </w:r>
      <w:proofErr w:type="gramStart"/>
      <w:r w:rsidRPr="006E7714">
        <w:rPr>
          <w:rFonts w:ascii="Arial" w:eastAsia="Times New Roman" w:hAnsi="Arial" w:cs="Times New Roman"/>
          <w:i/>
          <w:color w:val="FFFFFF"/>
          <w:sz w:val="20"/>
          <w:lang w:val="en-US"/>
        </w:rPr>
        <w:t>In</w:t>
      </w:r>
      <w:proofErr w:type="gramEnd"/>
      <w:r w:rsidRPr="006E7714">
        <w:rPr>
          <w:rFonts w:ascii="Arial" w:eastAsia="Times New Roman" w:hAnsi="Arial" w:cs="Times New Roman"/>
          <w:i/>
          <w:color w:val="FFFFFF"/>
          <w:sz w:val="20"/>
          <w:lang w:val="en-US"/>
        </w:rPr>
        <w:t xml:space="preserve"> your opinion, how good was the video's environment for wildlife and plants? = Good</w:t>
      </w:r>
    </w:p>
    <w:p w14:paraId="1B407142" w14:textId="77777777" w:rsidR="006E7714" w:rsidRPr="006E7714" w:rsidRDefault="006E7714" w:rsidP="006E7714">
      <w:pPr>
        <w:keepNext/>
        <w:shd w:val="clear" w:color="auto" w:fill="6898BB"/>
        <w:spacing w:before="120" w:after="120" w:line="240" w:lineRule="auto"/>
        <w:ind w:firstLine="400"/>
        <w:jc w:val="left"/>
        <w:rPr>
          <w:rFonts w:ascii="Arial" w:eastAsia="Times New Roman" w:hAnsi="Arial" w:cs="Times New Roman"/>
          <w:i/>
          <w:color w:val="FFFFFF"/>
          <w:sz w:val="20"/>
          <w:lang w:val="en-US"/>
        </w:rPr>
      </w:pPr>
      <w:r w:rsidRPr="006E7714">
        <w:rPr>
          <w:rFonts w:ascii="Arial" w:eastAsia="Times New Roman" w:hAnsi="Arial" w:cs="Times New Roman"/>
          <w:i/>
          <w:color w:val="FFFFFF"/>
          <w:sz w:val="20"/>
          <w:lang w:val="en-US"/>
        </w:rPr>
        <w:t xml:space="preserve">Or </w:t>
      </w:r>
      <w:proofErr w:type="gramStart"/>
      <w:r w:rsidRPr="006E7714">
        <w:rPr>
          <w:rFonts w:ascii="Arial" w:eastAsia="Times New Roman" w:hAnsi="Arial" w:cs="Times New Roman"/>
          <w:i/>
          <w:color w:val="FFFFFF"/>
          <w:sz w:val="20"/>
          <w:lang w:val="en-US"/>
        </w:rPr>
        <w:t>In</w:t>
      </w:r>
      <w:proofErr w:type="gramEnd"/>
      <w:r w:rsidRPr="006E7714">
        <w:rPr>
          <w:rFonts w:ascii="Arial" w:eastAsia="Times New Roman" w:hAnsi="Arial" w:cs="Times New Roman"/>
          <w:i/>
          <w:color w:val="FFFFFF"/>
          <w:sz w:val="20"/>
          <w:lang w:val="en-US"/>
        </w:rPr>
        <w:t xml:space="preserve"> your opinion, how good was the video's environment for wildlife and plants? = Very good</w:t>
      </w:r>
    </w:p>
    <w:p w14:paraId="1245A7AD" w14:textId="77777777" w:rsidR="006E7714" w:rsidRPr="006E7714" w:rsidRDefault="006E7714" w:rsidP="006E7714">
      <w:pPr>
        <w:spacing w:after="0" w:line="276" w:lineRule="auto"/>
        <w:jc w:val="left"/>
        <w:rPr>
          <w:rFonts w:ascii="Arial" w:eastAsia="Times New Roman" w:hAnsi="Arial" w:cs="Times New Roman"/>
          <w:sz w:val="22"/>
          <w:lang w:val="en-US"/>
        </w:rPr>
      </w:pPr>
    </w:p>
    <w:p w14:paraId="153E6241" w14:textId="77777777" w:rsidR="006E7714" w:rsidRPr="006E7714" w:rsidRDefault="006E7714" w:rsidP="006E7714">
      <w:pPr>
        <w:keepNext/>
        <w:spacing w:after="0" w:line="276" w:lineRule="auto"/>
        <w:jc w:val="left"/>
        <w:rPr>
          <w:rFonts w:ascii="Arial" w:eastAsia="Times New Roman" w:hAnsi="Arial" w:cs="Times New Roman"/>
          <w:sz w:val="22"/>
          <w:lang w:val="en-US"/>
        </w:rPr>
      </w:pPr>
      <w:r w:rsidRPr="006E7714">
        <w:rPr>
          <w:rFonts w:ascii="Arial" w:eastAsia="Times New Roman" w:hAnsi="Arial" w:cs="Times New Roman"/>
          <w:sz w:val="22"/>
          <w:lang w:val="en-US"/>
        </w:rPr>
        <w:t>Did you notice anything in the video that makes you say so?</w:t>
      </w:r>
    </w:p>
    <w:p w14:paraId="154C1941" w14:textId="77777777" w:rsidR="006E7714" w:rsidRPr="006E7714" w:rsidRDefault="006E7714" w:rsidP="006E7714">
      <w:pPr>
        <w:spacing w:before="240" w:after="0" w:line="240" w:lineRule="auto"/>
        <w:ind w:firstLine="400"/>
        <w:jc w:val="left"/>
        <w:rPr>
          <w:rFonts w:ascii="Arial" w:eastAsia="Times New Roman" w:hAnsi="Arial" w:cs="Times New Roman"/>
          <w:sz w:val="22"/>
          <w:lang w:val="en-US"/>
        </w:rPr>
      </w:pPr>
      <w:r w:rsidRPr="006E7714">
        <w:rPr>
          <w:rFonts w:ascii="Arial" w:eastAsia="Times New Roman" w:hAnsi="Arial" w:cs="Times New Roman"/>
          <w:sz w:val="22"/>
          <w:lang w:val="en-US"/>
        </w:rPr>
        <w:t>________________________________________________________________</w:t>
      </w:r>
    </w:p>
    <w:p w14:paraId="23718A96" w14:textId="77777777" w:rsidR="006E7714" w:rsidRPr="006E7714" w:rsidRDefault="006E7714" w:rsidP="006E7714">
      <w:pPr>
        <w:spacing w:after="0" w:line="276" w:lineRule="auto"/>
        <w:jc w:val="left"/>
        <w:rPr>
          <w:rFonts w:ascii="Arial" w:eastAsia="Times New Roman" w:hAnsi="Arial" w:cs="Times New Roman"/>
          <w:sz w:val="22"/>
          <w:lang w:val="en-US"/>
        </w:rPr>
      </w:pPr>
    </w:p>
    <w:p w14:paraId="55DE6A44" w14:textId="77777777" w:rsidR="006E7714" w:rsidRPr="006E7714" w:rsidRDefault="006E7714" w:rsidP="006E7714">
      <w:pPr>
        <w:spacing w:before="120" w:after="0" w:line="240" w:lineRule="auto"/>
        <w:jc w:val="left"/>
        <w:rPr>
          <w:rFonts w:ascii="Arial" w:eastAsia="Times New Roman" w:hAnsi="Arial" w:cs="Times New Roman"/>
          <w:b/>
          <w:color w:val="CCCCCC"/>
          <w:sz w:val="22"/>
          <w:lang w:val="en-US"/>
        </w:rPr>
      </w:pPr>
      <w:r w:rsidRPr="006E7714">
        <w:rPr>
          <w:rFonts w:ascii="Arial" w:eastAsia="Times New Roman" w:hAnsi="Arial" w:cs="Times New Roman"/>
          <w:b/>
          <w:color w:val="CCCCCC"/>
          <w:sz w:val="22"/>
          <w:lang w:val="en-US"/>
        </w:rPr>
        <w:t>End of Block: PANAS post treatment</w:t>
      </w:r>
    </w:p>
    <w:p w14:paraId="509FA15F" w14:textId="77777777" w:rsidR="006E7714" w:rsidRPr="006E7714" w:rsidRDefault="006E7714" w:rsidP="006E7714">
      <w:pPr>
        <w:pBdr>
          <w:bottom w:val="single" w:sz="8" w:space="0" w:color="CCCCCC"/>
        </w:pBdr>
        <w:spacing w:after="0" w:line="120" w:lineRule="auto"/>
        <w:jc w:val="center"/>
        <w:rPr>
          <w:rFonts w:ascii="Arial" w:eastAsia="Times New Roman" w:hAnsi="Arial" w:cs="Times New Roman"/>
          <w:b/>
          <w:color w:val="CCCCCC"/>
          <w:sz w:val="22"/>
          <w:lang w:val="en-US"/>
        </w:rPr>
      </w:pPr>
    </w:p>
    <w:p w14:paraId="16FE9E38" w14:textId="77777777" w:rsidR="006E7714" w:rsidRPr="006E7714" w:rsidRDefault="006E7714" w:rsidP="006E7714">
      <w:pPr>
        <w:spacing w:before="120" w:after="120" w:line="240" w:lineRule="auto"/>
        <w:jc w:val="left"/>
        <w:rPr>
          <w:rFonts w:ascii="Arial" w:eastAsia="Times New Roman" w:hAnsi="Arial" w:cs="Times New Roman"/>
          <w:b/>
          <w:color w:val="CCCCCC"/>
          <w:sz w:val="22"/>
          <w:lang w:val="en-US"/>
        </w:rPr>
      </w:pPr>
      <w:r w:rsidRPr="006E7714">
        <w:rPr>
          <w:rFonts w:ascii="Arial" w:eastAsia="Times New Roman" w:hAnsi="Arial" w:cs="Times New Roman"/>
          <w:b/>
          <w:color w:val="CCCCCC"/>
          <w:sz w:val="22"/>
          <w:lang w:val="en-US"/>
        </w:rPr>
        <w:t>Start of Block: Feedback and comments</w:t>
      </w:r>
    </w:p>
    <w:p w14:paraId="4108829D" w14:textId="77777777" w:rsidR="006E7714" w:rsidRPr="006E7714" w:rsidRDefault="006E7714" w:rsidP="006E7714">
      <w:pPr>
        <w:spacing w:after="0" w:line="276" w:lineRule="auto"/>
        <w:jc w:val="left"/>
        <w:rPr>
          <w:rFonts w:ascii="Arial" w:eastAsia="Times New Roman" w:hAnsi="Arial" w:cs="Times New Roman"/>
          <w:sz w:val="22"/>
          <w:lang w:val="en-US"/>
        </w:rPr>
      </w:pPr>
    </w:p>
    <w:p w14:paraId="7E87AAAE" w14:textId="77777777" w:rsidR="006E7714" w:rsidRPr="006E7714" w:rsidRDefault="006E7714" w:rsidP="006E7714">
      <w:pPr>
        <w:keepNext/>
        <w:spacing w:after="0" w:line="276" w:lineRule="auto"/>
        <w:jc w:val="left"/>
        <w:rPr>
          <w:rFonts w:ascii="Arial" w:eastAsia="Times New Roman" w:hAnsi="Arial" w:cs="Times New Roman"/>
          <w:sz w:val="22"/>
          <w:lang w:val="en-US"/>
        </w:rPr>
      </w:pPr>
      <w:r w:rsidRPr="006E7714">
        <w:rPr>
          <w:rFonts w:ascii="Arial" w:eastAsia="Times New Roman" w:hAnsi="Arial" w:cs="Times New Roman"/>
          <w:sz w:val="22"/>
          <w:lang w:val="en-US"/>
        </w:rPr>
        <w:t xml:space="preserve">Q13 </w:t>
      </w:r>
      <w:r w:rsidRPr="006E7714">
        <w:rPr>
          <w:rFonts w:ascii="Arial" w:eastAsia="Times New Roman" w:hAnsi="Arial" w:cs="Times New Roman"/>
          <w:sz w:val="22"/>
          <w:lang w:val="en-US"/>
        </w:rPr>
        <w:br/>
        <w:t xml:space="preserve">Thank you so much for taking part in this study!  </w:t>
      </w:r>
      <w:r w:rsidRPr="006E7714">
        <w:rPr>
          <w:rFonts w:ascii="Arial" w:eastAsia="Times New Roman" w:hAnsi="Arial" w:cs="Times New Roman"/>
          <w:sz w:val="22"/>
          <w:lang w:val="en-US"/>
        </w:rPr>
        <w:br/>
        <w:t xml:space="preserve">   </w:t>
      </w:r>
      <w:r w:rsidRPr="006E7714">
        <w:rPr>
          <w:rFonts w:ascii="Arial" w:eastAsia="Times New Roman" w:hAnsi="Arial" w:cs="Times New Roman"/>
          <w:sz w:val="22"/>
          <w:lang w:val="en-US"/>
        </w:rPr>
        <w:br/>
        <w:t>OPTIONAL - Before you go, you may use the spaces below to give us important feedback for future improvements.</w:t>
      </w:r>
    </w:p>
    <w:p w14:paraId="35ABD9C3" w14:textId="77777777" w:rsidR="006E7714" w:rsidRPr="006E7714" w:rsidRDefault="006E7714" w:rsidP="006E7714">
      <w:pPr>
        <w:spacing w:after="0" w:line="276" w:lineRule="auto"/>
        <w:jc w:val="left"/>
        <w:rPr>
          <w:rFonts w:ascii="Arial" w:eastAsia="Times New Roman" w:hAnsi="Arial" w:cs="Times New Roman"/>
          <w:sz w:val="22"/>
          <w:lang w:val="en-US"/>
        </w:rPr>
      </w:pPr>
    </w:p>
    <w:p w14:paraId="1CCDCDC2" w14:textId="77777777" w:rsidR="006E7714" w:rsidRPr="006E7714" w:rsidRDefault="006E7714" w:rsidP="006E7714">
      <w:pPr>
        <w:spacing w:after="0" w:line="276" w:lineRule="auto"/>
        <w:jc w:val="left"/>
        <w:rPr>
          <w:rFonts w:ascii="Arial" w:eastAsia="Times New Roman" w:hAnsi="Arial" w:cs="Times New Roman"/>
          <w:sz w:val="22"/>
          <w:lang w:val="en-US"/>
        </w:rPr>
      </w:pPr>
    </w:p>
    <w:p w14:paraId="1E5B3CA2" w14:textId="77777777" w:rsidR="006E7714" w:rsidRPr="006E7714" w:rsidRDefault="006E7714" w:rsidP="006E7714">
      <w:pPr>
        <w:keepNext/>
        <w:spacing w:after="0" w:line="276" w:lineRule="auto"/>
        <w:jc w:val="left"/>
        <w:rPr>
          <w:rFonts w:ascii="Arial" w:eastAsia="Times New Roman" w:hAnsi="Arial" w:cs="Times New Roman"/>
          <w:sz w:val="22"/>
          <w:lang w:val="en-US"/>
        </w:rPr>
      </w:pPr>
      <w:r w:rsidRPr="006E7714">
        <w:rPr>
          <w:rFonts w:ascii="Arial" w:eastAsia="Times New Roman" w:hAnsi="Arial" w:cs="Times New Roman"/>
          <w:sz w:val="22"/>
          <w:lang w:val="en-US"/>
        </w:rPr>
        <w:t>Q12 Was there anything that you noticed or liked in particular in the video?</w:t>
      </w:r>
    </w:p>
    <w:p w14:paraId="2D31CC53" w14:textId="77777777" w:rsidR="006E7714" w:rsidRPr="006E7714" w:rsidRDefault="006E7714" w:rsidP="006E7714">
      <w:pPr>
        <w:spacing w:before="240" w:after="0" w:line="240" w:lineRule="auto"/>
        <w:ind w:firstLine="400"/>
        <w:jc w:val="left"/>
        <w:rPr>
          <w:rFonts w:ascii="Arial" w:eastAsia="Times New Roman" w:hAnsi="Arial" w:cs="Times New Roman"/>
          <w:sz w:val="22"/>
          <w:lang w:val="en-US"/>
        </w:rPr>
      </w:pPr>
      <w:r w:rsidRPr="006E7714">
        <w:rPr>
          <w:rFonts w:ascii="Arial" w:eastAsia="Times New Roman" w:hAnsi="Arial" w:cs="Times New Roman"/>
          <w:sz w:val="22"/>
          <w:lang w:val="en-US"/>
        </w:rPr>
        <w:t>________________________________________________________________</w:t>
      </w:r>
    </w:p>
    <w:p w14:paraId="6A784BD7" w14:textId="77777777" w:rsidR="006E7714" w:rsidRPr="006E7714" w:rsidRDefault="006E7714" w:rsidP="006E7714">
      <w:pPr>
        <w:spacing w:after="0" w:line="276" w:lineRule="auto"/>
        <w:jc w:val="left"/>
        <w:rPr>
          <w:rFonts w:ascii="Arial" w:eastAsia="Times New Roman" w:hAnsi="Arial" w:cs="Times New Roman"/>
          <w:sz w:val="22"/>
          <w:lang w:val="en-US"/>
        </w:rPr>
      </w:pPr>
    </w:p>
    <w:p w14:paraId="24026015" w14:textId="77777777" w:rsidR="006E7714" w:rsidRPr="006E7714" w:rsidRDefault="006E7714" w:rsidP="006E7714">
      <w:pPr>
        <w:spacing w:after="0" w:line="276" w:lineRule="auto"/>
        <w:jc w:val="left"/>
        <w:rPr>
          <w:rFonts w:ascii="Arial" w:eastAsia="Times New Roman" w:hAnsi="Arial" w:cs="Times New Roman"/>
          <w:sz w:val="22"/>
          <w:lang w:val="en-US"/>
        </w:rPr>
      </w:pPr>
    </w:p>
    <w:p w14:paraId="0A2CCB77" w14:textId="77777777" w:rsidR="006E7714" w:rsidRPr="006E7714" w:rsidRDefault="006E7714" w:rsidP="006E7714">
      <w:pPr>
        <w:keepNext/>
        <w:spacing w:after="0" w:line="276" w:lineRule="auto"/>
        <w:jc w:val="left"/>
        <w:rPr>
          <w:rFonts w:ascii="Arial" w:eastAsia="Times New Roman" w:hAnsi="Arial" w:cs="Times New Roman"/>
          <w:sz w:val="22"/>
          <w:lang w:val="en-US"/>
        </w:rPr>
      </w:pPr>
      <w:r w:rsidRPr="006E7714">
        <w:rPr>
          <w:rFonts w:ascii="Arial" w:eastAsia="Times New Roman" w:hAnsi="Arial" w:cs="Times New Roman"/>
          <w:sz w:val="22"/>
          <w:lang w:val="en-US"/>
        </w:rPr>
        <w:t>Q14 Was there anything that you didn’t like or that made you feel uneasy in the video?</w:t>
      </w:r>
    </w:p>
    <w:p w14:paraId="738652CB" w14:textId="77777777" w:rsidR="006E7714" w:rsidRPr="006E7714" w:rsidRDefault="006E7714" w:rsidP="006E7714">
      <w:pPr>
        <w:spacing w:before="240" w:after="0" w:line="240" w:lineRule="auto"/>
        <w:ind w:firstLine="400"/>
        <w:jc w:val="left"/>
        <w:rPr>
          <w:rFonts w:ascii="Arial" w:eastAsia="Times New Roman" w:hAnsi="Arial" w:cs="Times New Roman"/>
          <w:sz w:val="22"/>
          <w:lang w:val="en-US"/>
        </w:rPr>
      </w:pPr>
      <w:r w:rsidRPr="006E7714">
        <w:rPr>
          <w:rFonts w:ascii="Arial" w:eastAsia="Times New Roman" w:hAnsi="Arial" w:cs="Times New Roman"/>
          <w:sz w:val="22"/>
          <w:lang w:val="en-US"/>
        </w:rPr>
        <w:t>________________________________________________________________</w:t>
      </w:r>
    </w:p>
    <w:p w14:paraId="0323294A" w14:textId="77777777" w:rsidR="006E7714" w:rsidRPr="006E7714" w:rsidRDefault="006E7714" w:rsidP="006E7714">
      <w:pPr>
        <w:spacing w:after="0" w:line="276" w:lineRule="auto"/>
        <w:jc w:val="left"/>
        <w:rPr>
          <w:rFonts w:ascii="Arial" w:eastAsia="Times New Roman" w:hAnsi="Arial" w:cs="Times New Roman"/>
          <w:sz w:val="22"/>
          <w:lang w:val="en-US"/>
        </w:rPr>
      </w:pPr>
    </w:p>
    <w:p w14:paraId="76F3B2F4" w14:textId="77777777" w:rsidR="006E7714" w:rsidRPr="006E7714" w:rsidRDefault="006E7714" w:rsidP="006E7714">
      <w:pPr>
        <w:keepNext/>
        <w:spacing w:after="0" w:line="276" w:lineRule="auto"/>
        <w:jc w:val="left"/>
        <w:rPr>
          <w:rFonts w:ascii="Arial" w:eastAsia="Times New Roman" w:hAnsi="Arial" w:cs="Times New Roman"/>
          <w:sz w:val="22"/>
          <w:lang w:val="en-US"/>
        </w:rPr>
      </w:pPr>
      <w:r w:rsidRPr="006E7714">
        <w:rPr>
          <w:rFonts w:ascii="Arial" w:eastAsia="Times New Roman" w:hAnsi="Arial" w:cs="Times New Roman"/>
          <w:sz w:val="22"/>
          <w:lang w:val="en-US"/>
        </w:rPr>
        <w:t>Q15 Is there anything else that you would like to share?</w:t>
      </w:r>
    </w:p>
    <w:p w14:paraId="7E2527E3" w14:textId="77777777" w:rsidR="006E7714" w:rsidRPr="006E7714" w:rsidRDefault="006E7714" w:rsidP="006E7714">
      <w:pPr>
        <w:spacing w:before="240" w:after="0" w:line="240" w:lineRule="auto"/>
        <w:ind w:firstLine="400"/>
        <w:jc w:val="left"/>
        <w:rPr>
          <w:rFonts w:ascii="Arial" w:eastAsia="Times New Roman" w:hAnsi="Arial" w:cs="Times New Roman"/>
          <w:sz w:val="22"/>
          <w:lang w:val="en-US"/>
        </w:rPr>
      </w:pPr>
      <w:r w:rsidRPr="006E7714">
        <w:rPr>
          <w:rFonts w:ascii="Arial" w:eastAsia="Times New Roman" w:hAnsi="Arial" w:cs="Times New Roman"/>
          <w:sz w:val="22"/>
          <w:lang w:val="en-US"/>
        </w:rPr>
        <w:t>________________________________________________________________</w:t>
      </w:r>
    </w:p>
    <w:p w14:paraId="727819EF" w14:textId="77777777" w:rsidR="006E7714" w:rsidRPr="006E7714" w:rsidRDefault="006E7714" w:rsidP="006E7714">
      <w:pPr>
        <w:spacing w:before="120" w:after="0" w:line="240" w:lineRule="auto"/>
        <w:jc w:val="left"/>
        <w:rPr>
          <w:rFonts w:ascii="Arial" w:eastAsia="Times New Roman" w:hAnsi="Arial" w:cs="Times New Roman"/>
          <w:b/>
          <w:color w:val="CCCCCC"/>
          <w:sz w:val="22"/>
          <w:lang w:val="en-US"/>
        </w:rPr>
      </w:pPr>
      <w:r w:rsidRPr="006E7714">
        <w:rPr>
          <w:rFonts w:ascii="Arial" w:eastAsia="Times New Roman" w:hAnsi="Arial" w:cs="Times New Roman"/>
          <w:b/>
          <w:color w:val="CCCCCC"/>
          <w:sz w:val="22"/>
          <w:lang w:val="en-US"/>
        </w:rPr>
        <w:t>End of Block: Feedback and comments</w:t>
      </w:r>
    </w:p>
    <w:p w14:paraId="0487EA60" w14:textId="77777777" w:rsidR="006E7714" w:rsidRPr="006E7714" w:rsidRDefault="006E7714" w:rsidP="006E7714">
      <w:pPr>
        <w:pBdr>
          <w:bottom w:val="single" w:sz="8" w:space="0" w:color="CCCCCC"/>
        </w:pBdr>
        <w:spacing w:after="0" w:line="120" w:lineRule="auto"/>
        <w:jc w:val="center"/>
        <w:rPr>
          <w:rFonts w:ascii="Arial" w:eastAsia="Times New Roman" w:hAnsi="Arial" w:cs="Times New Roman"/>
          <w:b/>
          <w:color w:val="CCCCCC"/>
          <w:sz w:val="22"/>
          <w:lang w:val="en-US"/>
        </w:rPr>
      </w:pPr>
    </w:p>
    <w:p w14:paraId="6D3724C9" w14:textId="77777777" w:rsidR="006E7714" w:rsidRPr="006E7714" w:rsidRDefault="006E7714" w:rsidP="006E7714">
      <w:pPr>
        <w:spacing w:after="0" w:line="276" w:lineRule="auto"/>
        <w:jc w:val="left"/>
        <w:rPr>
          <w:rFonts w:ascii="Arial" w:eastAsia="Times New Roman" w:hAnsi="Arial" w:cs="Times New Roman"/>
          <w:sz w:val="22"/>
          <w:lang w:val="en-US"/>
        </w:rPr>
      </w:pPr>
    </w:p>
    <w:p w14:paraId="681F1AA5" w14:textId="77777777" w:rsidR="00FD58E4" w:rsidRPr="00FD58E4" w:rsidRDefault="00FD58E4" w:rsidP="00FD58E4"/>
    <w:p w14:paraId="258A260D" w14:textId="77777777" w:rsidR="00FA59EA" w:rsidRPr="00C05886" w:rsidRDefault="00FA59EA">
      <w:pPr>
        <w:spacing w:line="259" w:lineRule="auto"/>
        <w:jc w:val="left"/>
        <w:rPr>
          <w:rFonts w:eastAsiaTheme="majorEastAsia" w:cstheme="majorBidi"/>
          <w:b/>
          <w:sz w:val="36"/>
          <w:szCs w:val="26"/>
        </w:rPr>
      </w:pPr>
      <w:r w:rsidRPr="00C05886">
        <w:br w:type="page"/>
      </w:r>
    </w:p>
    <w:p w14:paraId="462EE2EE" w14:textId="62139D65" w:rsidR="00375BD2" w:rsidRPr="00C05886" w:rsidRDefault="00375BD2" w:rsidP="00375BD2">
      <w:pPr>
        <w:pStyle w:val="Heading2"/>
        <w:spacing w:line="240" w:lineRule="auto"/>
      </w:pPr>
      <w:bookmarkStart w:id="196" w:name="_Toc179962432"/>
      <w:r w:rsidRPr="00C05886">
        <w:lastRenderedPageBreak/>
        <w:t>Chapter 6 – Supporting information</w:t>
      </w:r>
      <w:bookmarkEnd w:id="196"/>
    </w:p>
    <w:p w14:paraId="3C70C5C8" w14:textId="77777777" w:rsidR="00375BD2" w:rsidRPr="00C05886" w:rsidRDefault="00375BD2" w:rsidP="00375BD2">
      <w:pPr>
        <w:pStyle w:val="Heading4"/>
        <w:spacing w:line="240" w:lineRule="auto"/>
      </w:pPr>
      <w:r w:rsidRPr="00C05886">
        <w:t>Additional descriptive statistics</w:t>
      </w:r>
    </w:p>
    <w:p w14:paraId="4D606F09" w14:textId="0B96FD69" w:rsidR="00375BD2" w:rsidRPr="00C05886" w:rsidRDefault="00375BD2" w:rsidP="00375BD2">
      <w:pPr>
        <w:pStyle w:val="Caption"/>
        <w:keepNext/>
      </w:pPr>
      <w:r w:rsidRPr="00C05886">
        <w:t xml:space="preserve">Table </w:t>
      </w:r>
      <w:r w:rsidR="00B62F3A" w:rsidRPr="00C05886">
        <w:t>S1</w:t>
      </w:r>
      <w:r w:rsidRPr="00C05886">
        <w:t>. Device used by participants to take the survey. Inferred by screen resolution metadata, see dataset.</w:t>
      </w:r>
    </w:p>
    <w:tbl>
      <w:tblPr>
        <w:tblStyle w:val="TableGrid"/>
        <w:tblW w:w="6309" w:type="dxa"/>
        <w:tblLook w:val="04A0" w:firstRow="1" w:lastRow="0" w:firstColumn="1" w:lastColumn="0" w:noHBand="0" w:noVBand="1"/>
      </w:tblPr>
      <w:tblGrid>
        <w:gridCol w:w="1561"/>
        <w:gridCol w:w="2102"/>
        <w:gridCol w:w="1444"/>
        <w:gridCol w:w="1202"/>
      </w:tblGrid>
      <w:tr w:rsidR="00375BD2" w:rsidRPr="00C05886" w14:paraId="357F952C" w14:textId="77777777" w:rsidTr="0070406A">
        <w:trPr>
          <w:trHeight w:val="262"/>
        </w:trPr>
        <w:tc>
          <w:tcPr>
            <w:tcW w:w="1561" w:type="dxa"/>
            <w:noWrap/>
            <w:hideMark/>
          </w:tcPr>
          <w:p w14:paraId="07907CE5" w14:textId="77777777" w:rsidR="00375BD2" w:rsidRPr="00C05886" w:rsidRDefault="00375BD2" w:rsidP="00375BD2">
            <w:pPr>
              <w:spacing w:line="240" w:lineRule="auto"/>
              <w:rPr>
                <w:rFonts w:ascii="Times New Roman" w:eastAsia="Times New Roman" w:hAnsi="Times New Roman" w:cs="Times New Roman"/>
                <w:sz w:val="20"/>
                <w:szCs w:val="20"/>
                <w:lang w:eastAsia="en-GB"/>
              </w:rPr>
            </w:pPr>
          </w:p>
        </w:tc>
        <w:tc>
          <w:tcPr>
            <w:tcW w:w="2102" w:type="dxa"/>
            <w:noWrap/>
            <w:hideMark/>
          </w:tcPr>
          <w:p w14:paraId="4D1421C0" w14:textId="77777777" w:rsidR="00375BD2" w:rsidRPr="00C05886" w:rsidRDefault="00375BD2" w:rsidP="00375BD2">
            <w:pPr>
              <w:spacing w:line="240" w:lineRule="auto"/>
              <w:rPr>
                <w:rFonts w:ascii="Calibri" w:eastAsia="Times New Roman" w:hAnsi="Calibri" w:cs="Calibri"/>
                <w:color w:val="000000"/>
                <w:sz w:val="20"/>
                <w:szCs w:val="20"/>
                <w:lang w:eastAsia="en-GB"/>
              </w:rPr>
            </w:pPr>
            <w:r w:rsidRPr="00C05886">
              <w:rPr>
                <w:rFonts w:ascii="Calibri" w:eastAsia="Times New Roman" w:hAnsi="Calibri" w:cs="Calibri"/>
                <w:color w:val="000000"/>
                <w:sz w:val="20"/>
                <w:szCs w:val="20"/>
                <w:lang w:eastAsia="en-GB"/>
              </w:rPr>
              <w:t>Device used</w:t>
            </w:r>
          </w:p>
        </w:tc>
        <w:tc>
          <w:tcPr>
            <w:tcW w:w="1444" w:type="dxa"/>
            <w:noWrap/>
            <w:hideMark/>
          </w:tcPr>
          <w:p w14:paraId="185FA44F" w14:textId="77777777" w:rsidR="00375BD2" w:rsidRPr="00C05886" w:rsidRDefault="00375BD2" w:rsidP="00375BD2">
            <w:pPr>
              <w:spacing w:line="240" w:lineRule="auto"/>
              <w:rPr>
                <w:rFonts w:ascii="Calibri" w:eastAsia="Times New Roman" w:hAnsi="Calibri" w:cs="Calibri"/>
                <w:color w:val="000000"/>
                <w:sz w:val="20"/>
                <w:szCs w:val="20"/>
                <w:lang w:eastAsia="en-GB"/>
              </w:rPr>
            </w:pPr>
            <w:r w:rsidRPr="00C05886">
              <w:rPr>
                <w:rFonts w:ascii="Calibri" w:eastAsia="Times New Roman" w:hAnsi="Calibri" w:cs="Calibri"/>
                <w:color w:val="000000"/>
                <w:sz w:val="20"/>
                <w:szCs w:val="20"/>
                <w:lang w:eastAsia="en-GB"/>
              </w:rPr>
              <w:t>Frequency</w:t>
            </w:r>
          </w:p>
        </w:tc>
        <w:tc>
          <w:tcPr>
            <w:tcW w:w="1202" w:type="dxa"/>
            <w:noWrap/>
            <w:hideMark/>
          </w:tcPr>
          <w:p w14:paraId="282F3135" w14:textId="77777777" w:rsidR="00375BD2" w:rsidRPr="00C05886" w:rsidRDefault="00375BD2" w:rsidP="00375BD2">
            <w:pPr>
              <w:spacing w:line="240" w:lineRule="auto"/>
              <w:rPr>
                <w:rFonts w:ascii="Calibri" w:eastAsia="Times New Roman" w:hAnsi="Calibri" w:cs="Calibri"/>
                <w:color w:val="000000"/>
                <w:sz w:val="20"/>
                <w:szCs w:val="20"/>
                <w:lang w:eastAsia="en-GB"/>
              </w:rPr>
            </w:pPr>
            <w:r w:rsidRPr="00C05886">
              <w:rPr>
                <w:rFonts w:ascii="Calibri" w:eastAsia="Times New Roman" w:hAnsi="Calibri" w:cs="Calibri"/>
                <w:color w:val="000000"/>
                <w:sz w:val="20"/>
                <w:szCs w:val="20"/>
                <w:lang w:eastAsia="en-GB"/>
              </w:rPr>
              <w:t>Percent</w:t>
            </w:r>
          </w:p>
        </w:tc>
      </w:tr>
      <w:tr w:rsidR="00375BD2" w:rsidRPr="00C05886" w14:paraId="657605A7" w14:textId="77777777" w:rsidTr="0070406A">
        <w:trPr>
          <w:trHeight w:val="262"/>
        </w:trPr>
        <w:tc>
          <w:tcPr>
            <w:tcW w:w="1561" w:type="dxa"/>
            <w:vMerge w:val="restart"/>
            <w:noWrap/>
            <w:vAlign w:val="center"/>
            <w:hideMark/>
          </w:tcPr>
          <w:p w14:paraId="7A8A876E" w14:textId="77777777" w:rsidR="00375BD2" w:rsidRPr="00C05886" w:rsidRDefault="00375BD2" w:rsidP="00375BD2">
            <w:pPr>
              <w:spacing w:line="240" w:lineRule="auto"/>
              <w:jc w:val="center"/>
              <w:rPr>
                <w:rFonts w:ascii="Calibri" w:eastAsia="Times New Roman" w:hAnsi="Calibri" w:cs="Calibri"/>
                <w:color w:val="000000"/>
                <w:sz w:val="20"/>
                <w:szCs w:val="20"/>
                <w:lang w:eastAsia="en-GB"/>
              </w:rPr>
            </w:pPr>
            <w:r w:rsidRPr="00C05886">
              <w:rPr>
                <w:rFonts w:ascii="Calibri" w:eastAsia="Times New Roman" w:hAnsi="Calibri" w:cs="Calibri"/>
                <w:color w:val="000000"/>
                <w:sz w:val="20"/>
                <w:szCs w:val="20"/>
                <w:lang w:eastAsia="en-GB"/>
              </w:rPr>
              <w:t>Experiment 1</w:t>
            </w:r>
          </w:p>
        </w:tc>
        <w:tc>
          <w:tcPr>
            <w:tcW w:w="2102" w:type="dxa"/>
            <w:noWrap/>
            <w:hideMark/>
          </w:tcPr>
          <w:p w14:paraId="2F7A8DFC" w14:textId="77777777" w:rsidR="00375BD2" w:rsidRPr="00C05886" w:rsidRDefault="00375BD2" w:rsidP="00375BD2">
            <w:pPr>
              <w:spacing w:line="240" w:lineRule="auto"/>
              <w:rPr>
                <w:rFonts w:ascii="Calibri" w:eastAsia="Times New Roman" w:hAnsi="Calibri" w:cs="Calibri"/>
                <w:color w:val="000000"/>
                <w:sz w:val="20"/>
                <w:szCs w:val="20"/>
                <w:lang w:eastAsia="en-GB"/>
              </w:rPr>
            </w:pPr>
            <w:r w:rsidRPr="00C05886">
              <w:rPr>
                <w:rFonts w:ascii="Calibri" w:eastAsia="Times New Roman" w:hAnsi="Calibri" w:cs="Calibri"/>
                <w:color w:val="000000"/>
                <w:sz w:val="20"/>
                <w:szCs w:val="20"/>
                <w:lang w:eastAsia="en-GB"/>
              </w:rPr>
              <w:t>Laptop or Desktop</w:t>
            </w:r>
          </w:p>
        </w:tc>
        <w:tc>
          <w:tcPr>
            <w:tcW w:w="1444" w:type="dxa"/>
            <w:noWrap/>
            <w:hideMark/>
          </w:tcPr>
          <w:p w14:paraId="0BA5BC50" w14:textId="77777777" w:rsidR="00375BD2" w:rsidRPr="00C05886" w:rsidRDefault="00375BD2" w:rsidP="00375BD2">
            <w:pPr>
              <w:spacing w:line="240" w:lineRule="auto"/>
              <w:jc w:val="right"/>
              <w:rPr>
                <w:rFonts w:ascii="Calibri" w:eastAsia="Times New Roman" w:hAnsi="Calibri" w:cs="Calibri"/>
                <w:color w:val="000000"/>
                <w:sz w:val="20"/>
                <w:szCs w:val="20"/>
                <w:lang w:eastAsia="en-GB"/>
              </w:rPr>
            </w:pPr>
            <w:r w:rsidRPr="00C05886">
              <w:rPr>
                <w:rFonts w:ascii="Calibri" w:eastAsia="Times New Roman" w:hAnsi="Calibri" w:cs="Calibri"/>
                <w:color w:val="000000"/>
                <w:sz w:val="20"/>
                <w:szCs w:val="20"/>
                <w:lang w:eastAsia="en-GB"/>
              </w:rPr>
              <w:t>386</w:t>
            </w:r>
          </w:p>
        </w:tc>
        <w:tc>
          <w:tcPr>
            <w:tcW w:w="1202" w:type="dxa"/>
            <w:noWrap/>
            <w:hideMark/>
          </w:tcPr>
          <w:p w14:paraId="703612A4" w14:textId="77777777" w:rsidR="00375BD2" w:rsidRPr="00C05886" w:rsidRDefault="00375BD2" w:rsidP="00375BD2">
            <w:pPr>
              <w:spacing w:line="240" w:lineRule="auto"/>
              <w:rPr>
                <w:rFonts w:ascii="Calibri" w:eastAsia="Times New Roman" w:hAnsi="Calibri" w:cs="Calibri"/>
                <w:color w:val="000000"/>
                <w:sz w:val="20"/>
                <w:szCs w:val="20"/>
                <w:lang w:eastAsia="en-GB"/>
              </w:rPr>
            </w:pPr>
            <w:r w:rsidRPr="00C05886">
              <w:rPr>
                <w:rFonts w:ascii="Calibri" w:eastAsia="Times New Roman" w:hAnsi="Calibri" w:cs="Calibri"/>
                <w:color w:val="000000"/>
                <w:sz w:val="20"/>
                <w:szCs w:val="20"/>
                <w:lang w:eastAsia="en-GB"/>
              </w:rPr>
              <w:t>83.4%</w:t>
            </w:r>
          </w:p>
        </w:tc>
      </w:tr>
      <w:tr w:rsidR="00375BD2" w:rsidRPr="00C05886" w14:paraId="058516A9" w14:textId="77777777" w:rsidTr="0070406A">
        <w:trPr>
          <w:trHeight w:val="262"/>
        </w:trPr>
        <w:tc>
          <w:tcPr>
            <w:tcW w:w="1561" w:type="dxa"/>
            <w:vMerge/>
            <w:noWrap/>
            <w:vAlign w:val="center"/>
            <w:hideMark/>
          </w:tcPr>
          <w:p w14:paraId="7BC3BD0B" w14:textId="77777777" w:rsidR="00375BD2" w:rsidRPr="00C05886" w:rsidRDefault="00375BD2" w:rsidP="00375BD2">
            <w:pPr>
              <w:spacing w:line="240" w:lineRule="auto"/>
              <w:jc w:val="center"/>
              <w:rPr>
                <w:rFonts w:ascii="Calibri" w:eastAsia="Times New Roman" w:hAnsi="Calibri" w:cs="Calibri"/>
                <w:color w:val="000000"/>
                <w:sz w:val="20"/>
                <w:szCs w:val="20"/>
                <w:lang w:eastAsia="en-GB"/>
              </w:rPr>
            </w:pPr>
          </w:p>
        </w:tc>
        <w:tc>
          <w:tcPr>
            <w:tcW w:w="2102" w:type="dxa"/>
            <w:noWrap/>
            <w:hideMark/>
          </w:tcPr>
          <w:p w14:paraId="1F3845FC" w14:textId="77777777" w:rsidR="00375BD2" w:rsidRPr="00C05886" w:rsidRDefault="00375BD2" w:rsidP="00375BD2">
            <w:pPr>
              <w:spacing w:line="240" w:lineRule="auto"/>
              <w:rPr>
                <w:rFonts w:ascii="Calibri" w:eastAsia="Times New Roman" w:hAnsi="Calibri" w:cs="Calibri"/>
                <w:color w:val="000000"/>
                <w:sz w:val="20"/>
                <w:szCs w:val="20"/>
                <w:lang w:eastAsia="en-GB"/>
              </w:rPr>
            </w:pPr>
            <w:r w:rsidRPr="00C05886">
              <w:rPr>
                <w:rFonts w:ascii="Calibri" w:eastAsia="Times New Roman" w:hAnsi="Calibri" w:cs="Calibri"/>
                <w:color w:val="000000"/>
                <w:sz w:val="20"/>
                <w:szCs w:val="20"/>
                <w:lang w:eastAsia="en-GB"/>
              </w:rPr>
              <w:t>Mobile or tablet</w:t>
            </w:r>
          </w:p>
        </w:tc>
        <w:tc>
          <w:tcPr>
            <w:tcW w:w="1444" w:type="dxa"/>
            <w:noWrap/>
            <w:hideMark/>
          </w:tcPr>
          <w:p w14:paraId="4CE1991B" w14:textId="77777777" w:rsidR="00375BD2" w:rsidRPr="00C05886" w:rsidRDefault="00375BD2" w:rsidP="00375BD2">
            <w:pPr>
              <w:spacing w:line="240" w:lineRule="auto"/>
              <w:jc w:val="right"/>
              <w:rPr>
                <w:rFonts w:ascii="Calibri" w:eastAsia="Times New Roman" w:hAnsi="Calibri" w:cs="Calibri"/>
                <w:color w:val="000000"/>
                <w:sz w:val="20"/>
                <w:szCs w:val="20"/>
                <w:lang w:eastAsia="en-GB"/>
              </w:rPr>
            </w:pPr>
            <w:r w:rsidRPr="00C05886">
              <w:rPr>
                <w:rFonts w:ascii="Calibri" w:eastAsia="Times New Roman" w:hAnsi="Calibri" w:cs="Calibri"/>
                <w:color w:val="000000"/>
                <w:sz w:val="20"/>
                <w:szCs w:val="20"/>
                <w:lang w:eastAsia="en-GB"/>
              </w:rPr>
              <w:t>77</w:t>
            </w:r>
          </w:p>
        </w:tc>
        <w:tc>
          <w:tcPr>
            <w:tcW w:w="1202" w:type="dxa"/>
            <w:noWrap/>
            <w:hideMark/>
          </w:tcPr>
          <w:p w14:paraId="05BB825E" w14:textId="77777777" w:rsidR="00375BD2" w:rsidRPr="00C05886" w:rsidRDefault="00375BD2" w:rsidP="00375BD2">
            <w:pPr>
              <w:spacing w:line="240" w:lineRule="auto"/>
              <w:rPr>
                <w:rFonts w:ascii="Calibri" w:eastAsia="Times New Roman" w:hAnsi="Calibri" w:cs="Calibri"/>
                <w:color w:val="000000"/>
                <w:sz w:val="20"/>
                <w:szCs w:val="20"/>
                <w:lang w:eastAsia="en-GB"/>
              </w:rPr>
            </w:pPr>
            <w:r w:rsidRPr="00C05886">
              <w:rPr>
                <w:rFonts w:ascii="Calibri" w:eastAsia="Times New Roman" w:hAnsi="Calibri" w:cs="Calibri"/>
                <w:color w:val="000000"/>
                <w:sz w:val="20"/>
                <w:szCs w:val="20"/>
                <w:lang w:eastAsia="en-GB"/>
              </w:rPr>
              <w:t>16.6%</w:t>
            </w:r>
          </w:p>
        </w:tc>
      </w:tr>
      <w:tr w:rsidR="00375BD2" w:rsidRPr="00C05886" w14:paraId="1460325E" w14:textId="77777777" w:rsidTr="0070406A">
        <w:trPr>
          <w:trHeight w:val="262"/>
        </w:trPr>
        <w:tc>
          <w:tcPr>
            <w:tcW w:w="1561" w:type="dxa"/>
            <w:vMerge/>
            <w:noWrap/>
            <w:vAlign w:val="center"/>
            <w:hideMark/>
          </w:tcPr>
          <w:p w14:paraId="5DC301F2" w14:textId="77777777" w:rsidR="00375BD2" w:rsidRPr="00C05886" w:rsidRDefault="00375BD2" w:rsidP="00375BD2">
            <w:pPr>
              <w:spacing w:line="240" w:lineRule="auto"/>
              <w:jc w:val="center"/>
              <w:rPr>
                <w:rFonts w:ascii="Calibri" w:eastAsia="Times New Roman" w:hAnsi="Calibri" w:cs="Calibri"/>
                <w:color w:val="000000"/>
                <w:sz w:val="20"/>
                <w:szCs w:val="20"/>
                <w:lang w:eastAsia="en-GB"/>
              </w:rPr>
            </w:pPr>
          </w:p>
        </w:tc>
        <w:tc>
          <w:tcPr>
            <w:tcW w:w="2102" w:type="dxa"/>
            <w:noWrap/>
            <w:hideMark/>
          </w:tcPr>
          <w:p w14:paraId="1D2E95BB" w14:textId="77777777" w:rsidR="00375BD2" w:rsidRPr="00C05886" w:rsidRDefault="00375BD2" w:rsidP="00375BD2">
            <w:pPr>
              <w:spacing w:line="240" w:lineRule="auto"/>
              <w:rPr>
                <w:rFonts w:ascii="Calibri" w:eastAsia="Times New Roman" w:hAnsi="Calibri" w:cs="Calibri"/>
                <w:color w:val="000000"/>
                <w:sz w:val="20"/>
                <w:szCs w:val="20"/>
                <w:lang w:eastAsia="en-GB"/>
              </w:rPr>
            </w:pPr>
            <w:r w:rsidRPr="00C05886">
              <w:rPr>
                <w:rFonts w:ascii="Calibri" w:eastAsia="Times New Roman" w:hAnsi="Calibri" w:cs="Calibri"/>
                <w:color w:val="000000"/>
                <w:sz w:val="20"/>
                <w:szCs w:val="20"/>
                <w:lang w:eastAsia="en-GB"/>
              </w:rPr>
              <w:t>Total</w:t>
            </w:r>
          </w:p>
        </w:tc>
        <w:tc>
          <w:tcPr>
            <w:tcW w:w="1444" w:type="dxa"/>
            <w:noWrap/>
            <w:hideMark/>
          </w:tcPr>
          <w:p w14:paraId="1F32E13B" w14:textId="77777777" w:rsidR="00375BD2" w:rsidRPr="00C05886" w:rsidRDefault="00375BD2" w:rsidP="00375BD2">
            <w:pPr>
              <w:spacing w:line="240" w:lineRule="auto"/>
              <w:jc w:val="right"/>
              <w:rPr>
                <w:rFonts w:ascii="Calibri" w:eastAsia="Times New Roman" w:hAnsi="Calibri" w:cs="Calibri"/>
                <w:color w:val="000000"/>
                <w:sz w:val="20"/>
                <w:szCs w:val="20"/>
                <w:lang w:eastAsia="en-GB"/>
              </w:rPr>
            </w:pPr>
            <w:r w:rsidRPr="00C05886">
              <w:rPr>
                <w:rFonts w:ascii="Calibri" w:eastAsia="Times New Roman" w:hAnsi="Calibri" w:cs="Calibri"/>
                <w:color w:val="000000"/>
                <w:sz w:val="20"/>
                <w:szCs w:val="20"/>
                <w:lang w:eastAsia="en-GB"/>
              </w:rPr>
              <w:t>463</w:t>
            </w:r>
          </w:p>
        </w:tc>
        <w:tc>
          <w:tcPr>
            <w:tcW w:w="1202" w:type="dxa"/>
            <w:noWrap/>
            <w:hideMark/>
          </w:tcPr>
          <w:p w14:paraId="7DF7540B" w14:textId="77777777" w:rsidR="00375BD2" w:rsidRPr="00C05886" w:rsidRDefault="00375BD2" w:rsidP="00375BD2">
            <w:pPr>
              <w:spacing w:line="240" w:lineRule="auto"/>
              <w:rPr>
                <w:rFonts w:ascii="Calibri" w:eastAsia="Times New Roman" w:hAnsi="Calibri" w:cs="Calibri"/>
                <w:color w:val="000000"/>
                <w:sz w:val="20"/>
                <w:szCs w:val="20"/>
                <w:lang w:eastAsia="en-GB"/>
              </w:rPr>
            </w:pPr>
            <w:r w:rsidRPr="00C05886">
              <w:rPr>
                <w:rFonts w:ascii="Calibri" w:eastAsia="Times New Roman" w:hAnsi="Calibri" w:cs="Calibri"/>
                <w:color w:val="000000"/>
                <w:sz w:val="20"/>
                <w:szCs w:val="20"/>
                <w:lang w:eastAsia="en-GB"/>
              </w:rPr>
              <w:t>100%</w:t>
            </w:r>
          </w:p>
        </w:tc>
      </w:tr>
      <w:tr w:rsidR="00375BD2" w:rsidRPr="00C05886" w14:paraId="4E94F705" w14:textId="77777777" w:rsidTr="0070406A">
        <w:trPr>
          <w:trHeight w:val="262"/>
        </w:trPr>
        <w:tc>
          <w:tcPr>
            <w:tcW w:w="1561" w:type="dxa"/>
            <w:vMerge w:val="restart"/>
            <w:noWrap/>
            <w:vAlign w:val="center"/>
            <w:hideMark/>
          </w:tcPr>
          <w:p w14:paraId="49790A1A" w14:textId="77777777" w:rsidR="00375BD2" w:rsidRPr="00C05886" w:rsidRDefault="00375BD2" w:rsidP="00375BD2">
            <w:pPr>
              <w:spacing w:line="240" w:lineRule="auto"/>
              <w:jc w:val="center"/>
              <w:rPr>
                <w:rFonts w:ascii="Calibri" w:eastAsia="Times New Roman" w:hAnsi="Calibri" w:cs="Calibri"/>
                <w:color w:val="000000"/>
                <w:sz w:val="20"/>
                <w:szCs w:val="20"/>
                <w:lang w:eastAsia="en-GB"/>
              </w:rPr>
            </w:pPr>
            <w:r w:rsidRPr="00C05886">
              <w:rPr>
                <w:rFonts w:ascii="Calibri" w:eastAsia="Times New Roman" w:hAnsi="Calibri" w:cs="Calibri"/>
                <w:color w:val="000000"/>
                <w:sz w:val="20"/>
                <w:szCs w:val="20"/>
                <w:lang w:eastAsia="en-GB"/>
              </w:rPr>
              <w:t>Experiment 2</w:t>
            </w:r>
          </w:p>
        </w:tc>
        <w:tc>
          <w:tcPr>
            <w:tcW w:w="2102" w:type="dxa"/>
            <w:noWrap/>
            <w:hideMark/>
          </w:tcPr>
          <w:p w14:paraId="43856C00" w14:textId="77777777" w:rsidR="00375BD2" w:rsidRPr="00C05886" w:rsidRDefault="00375BD2" w:rsidP="00375BD2">
            <w:pPr>
              <w:spacing w:line="240" w:lineRule="auto"/>
              <w:rPr>
                <w:rFonts w:ascii="Calibri" w:eastAsia="Times New Roman" w:hAnsi="Calibri" w:cs="Calibri"/>
                <w:color w:val="000000"/>
                <w:sz w:val="20"/>
                <w:szCs w:val="20"/>
                <w:lang w:eastAsia="en-GB"/>
              </w:rPr>
            </w:pPr>
            <w:r w:rsidRPr="00C05886">
              <w:rPr>
                <w:rFonts w:ascii="Calibri" w:eastAsia="Times New Roman" w:hAnsi="Calibri" w:cs="Calibri"/>
                <w:color w:val="000000"/>
                <w:sz w:val="20"/>
                <w:szCs w:val="20"/>
                <w:lang w:eastAsia="en-GB"/>
              </w:rPr>
              <w:t>Laptop or Desktop</w:t>
            </w:r>
          </w:p>
        </w:tc>
        <w:tc>
          <w:tcPr>
            <w:tcW w:w="1444" w:type="dxa"/>
            <w:noWrap/>
            <w:hideMark/>
          </w:tcPr>
          <w:p w14:paraId="708D0CB2" w14:textId="77777777" w:rsidR="00375BD2" w:rsidRPr="00C05886" w:rsidRDefault="00375BD2" w:rsidP="00375BD2">
            <w:pPr>
              <w:spacing w:line="240" w:lineRule="auto"/>
              <w:jc w:val="right"/>
              <w:rPr>
                <w:rFonts w:ascii="Calibri" w:eastAsia="Times New Roman" w:hAnsi="Calibri" w:cs="Calibri"/>
                <w:color w:val="000000"/>
                <w:sz w:val="20"/>
                <w:szCs w:val="20"/>
                <w:lang w:eastAsia="en-GB"/>
              </w:rPr>
            </w:pPr>
            <w:r w:rsidRPr="00C05886">
              <w:rPr>
                <w:rFonts w:ascii="Calibri" w:eastAsia="Times New Roman" w:hAnsi="Calibri" w:cs="Calibri"/>
                <w:color w:val="000000"/>
                <w:sz w:val="20"/>
                <w:szCs w:val="20"/>
                <w:lang w:eastAsia="en-GB"/>
              </w:rPr>
              <w:t>408</w:t>
            </w:r>
          </w:p>
        </w:tc>
        <w:tc>
          <w:tcPr>
            <w:tcW w:w="1202" w:type="dxa"/>
            <w:noWrap/>
            <w:hideMark/>
          </w:tcPr>
          <w:p w14:paraId="6E2CFA8D" w14:textId="77777777" w:rsidR="00375BD2" w:rsidRPr="00C05886" w:rsidRDefault="00375BD2" w:rsidP="00375BD2">
            <w:pPr>
              <w:spacing w:line="240" w:lineRule="auto"/>
              <w:rPr>
                <w:rFonts w:ascii="Calibri" w:eastAsia="Times New Roman" w:hAnsi="Calibri" w:cs="Calibri"/>
                <w:color w:val="000000"/>
                <w:sz w:val="20"/>
                <w:szCs w:val="20"/>
                <w:lang w:eastAsia="en-GB"/>
              </w:rPr>
            </w:pPr>
            <w:r w:rsidRPr="00C05886">
              <w:rPr>
                <w:rFonts w:ascii="Calibri" w:eastAsia="Times New Roman" w:hAnsi="Calibri" w:cs="Calibri"/>
                <w:color w:val="000000"/>
                <w:sz w:val="20"/>
                <w:szCs w:val="20"/>
                <w:lang w:eastAsia="en-GB"/>
              </w:rPr>
              <w:t>85.5%</w:t>
            </w:r>
          </w:p>
        </w:tc>
      </w:tr>
      <w:tr w:rsidR="00375BD2" w:rsidRPr="00C05886" w14:paraId="3AEB9FAA" w14:textId="77777777" w:rsidTr="0070406A">
        <w:trPr>
          <w:trHeight w:val="262"/>
        </w:trPr>
        <w:tc>
          <w:tcPr>
            <w:tcW w:w="1561" w:type="dxa"/>
            <w:vMerge/>
            <w:noWrap/>
            <w:vAlign w:val="center"/>
            <w:hideMark/>
          </w:tcPr>
          <w:p w14:paraId="43D56823" w14:textId="77777777" w:rsidR="00375BD2" w:rsidRPr="00C05886" w:rsidRDefault="00375BD2" w:rsidP="00375BD2">
            <w:pPr>
              <w:spacing w:line="240" w:lineRule="auto"/>
              <w:jc w:val="center"/>
              <w:rPr>
                <w:rFonts w:ascii="Calibri" w:eastAsia="Times New Roman" w:hAnsi="Calibri" w:cs="Calibri"/>
                <w:color w:val="000000"/>
                <w:sz w:val="20"/>
                <w:szCs w:val="20"/>
                <w:lang w:eastAsia="en-GB"/>
              </w:rPr>
            </w:pPr>
          </w:p>
        </w:tc>
        <w:tc>
          <w:tcPr>
            <w:tcW w:w="2102" w:type="dxa"/>
            <w:noWrap/>
            <w:hideMark/>
          </w:tcPr>
          <w:p w14:paraId="6D08E113" w14:textId="77777777" w:rsidR="00375BD2" w:rsidRPr="00C05886" w:rsidRDefault="00375BD2" w:rsidP="00375BD2">
            <w:pPr>
              <w:spacing w:line="240" w:lineRule="auto"/>
              <w:rPr>
                <w:rFonts w:ascii="Calibri" w:eastAsia="Times New Roman" w:hAnsi="Calibri" w:cs="Calibri"/>
                <w:color w:val="000000"/>
                <w:sz w:val="20"/>
                <w:szCs w:val="20"/>
                <w:lang w:eastAsia="en-GB"/>
              </w:rPr>
            </w:pPr>
            <w:r w:rsidRPr="00C05886">
              <w:rPr>
                <w:rFonts w:ascii="Calibri" w:eastAsia="Times New Roman" w:hAnsi="Calibri" w:cs="Calibri"/>
                <w:color w:val="000000"/>
                <w:sz w:val="20"/>
                <w:szCs w:val="20"/>
                <w:lang w:eastAsia="en-GB"/>
              </w:rPr>
              <w:t>Mobile or tablet</w:t>
            </w:r>
          </w:p>
        </w:tc>
        <w:tc>
          <w:tcPr>
            <w:tcW w:w="1444" w:type="dxa"/>
            <w:noWrap/>
            <w:hideMark/>
          </w:tcPr>
          <w:p w14:paraId="08AF985B" w14:textId="77777777" w:rsidR="00375BD2" w:rsidRPr="00C05886" w:rsidRDefault="00375BD2" w:rsidP="00375BD2">
            <w:pPr>
              <w:spacing w:line="240" w:lineRule="auto"/>
              <w:jc w:val="right"/>
              <w:rPr>
                <w:rFonts w:ascii="Calibri" w:eastAsia="Times New Roman" w:hAnsi="Calibri" w:cs="Calibri"/>
                <w:color w:val="000000"/>
                <w:sz w:val="20"/>
                <w:szCs w:val="20"/>
                <w:lang w:eastAsia="en-GB"/>
              </w:rPr>
            </w:pPr>
            <w:r w:rsidRPr="00C05886">
              <w:rPr>
                <w:rFonts w:ascii="Calibri" w:eastAsia="Times New Roman" w:hAnsi="Calibri" w:cs="Calibri"/>
                <w:color w:val="000000"/>
                <w:sz w:val="20"/>
                <w:szCs w:val="20"/>
                <w:lang w:eastAsia="en-GB"/>
              </w:rPr>
              <w:t>69</w:t>
            </w:r>
          </w:p>
        </w:tc>
        <w:tc>
          <w:tcPr>
            <w:tcW w:w="1202" w:type="dxa"/>
            <w:noWrap/>
            <w:hideMark/>
          </w:tcPr>
          <w:p w14:paraId="537497AD" w14:textId="77777777" w:rsidR="00375BD2" w:rsidRPr="00C05886" w:rsidRDefault="00375BD2" w:rsidP="00375BD2">
            <w:pPr>
              <w:spacing w:line="240" w:lineRule="auto"/>
              <w:rPr>
                <w:rFonts w:ascii="Calibri" w:eastAsia="Times New Roman" w:hAnsi="Calibri" w:cs="Calibri"/>
                <w:color w:val="000000"/>
                <w:sz w:val="20"/>
                <w:szCs w:val="20"/>
                <w:lang w:eastAsia="en-GB"/>
              </w:rPr>
            </w:pPr>
            <w:r w:rsidRPr="00C05886">
              <w:rPr>
                <w:rFonts w:ascii="Calibri" w:eastAsia="Times New Roman" w:hAnsi="Calibri" w:cs="Calibri"/>
                <w:color w:val="000000"/>
                <w:sz w:val="20"/>
                <w:szCs w:val="20"/>
                <w:lang w:eastAsia="en-GB"/>
              </w:rPr>
              <w:t>14.5%</w:t>
            </w:r>
          </w:p>
        </w:tc>
      </w:tr>
      <w:tr w:rsidR="00375BD2" w:rsidRPr="00C05886" w14:paraId="43A1B7E3" w14:textId="77777777" w:rsidTr="0070406A">
        <w:trPr>
          <w:trHeight w:val="262"/>
        </w:trPr>
        <w:tc>
          <w:tcPr>
            <w:tcW w:w="1561" w:type="dxa"/>
            <w:vMerge/>
            <w:noWrap/>
            <w:vAlign w:val="center"/>
            <w:hideMark/>
          </w:tcPr>
          <w:p w14:paraId="7C591219" w14:textId="77777777" w:rsidR="00375BD2" w:rsidRPr="00C05886" w:rsidRDefault="00375BD2" w:rsidP="00375BD2">
            <w:pPr>
              <w:spacing w:line="240" w:lineRule="auto"/>
              <w:jc w:val="center"/>
              <w:rPr>
                <w:rFonts w:ascii="Calibri" w:eastAsia="Times New Roman" w:hAnsi="Calibri" w:cs="Calibri"/>
                <w:color w:val="000000"/>
                <w:sz w:val="20"/>
                <w:szCs w:val="20"/>
                <w:lang w:eastAsia="en-GB"/>
              </w:rPr>
            </w:pPr>
          </w:p>
        </w:tc>
        <w:tc>
          <w:tcPr>
            <w:tcW w:w="2102" w:type="dxa"/>
            <w:noWrap/>
            <w:hideMark/>
          </w:tcPr>
          <w:p w14:paraId="00184505" w14:textId="77777777" w:rsidR="00375BD2" w:rsidRPr="00C05886" w:rsidRDefault="00375BD2" w:rsidP="00375BD2">
            <w:pPr>
              <w:spacing w:line="240" w:lineRule="auto"/>
              <w:rPr>
                <w:rFonts w:ascii="Calibri" w:eastAsia="Times New Roman" w:hAnsi="Calibri" w:cs="Calibri"/>
                <w:color w:val="000000"/>
                <w:sz w:val="20"/>
                <w:szCs w:val="20"/>
                <w:lang w:eastAsia="en-GB"/>
              </w:rPr>
            </w:pPr>
            <w:r w:rsidRPr="00C05886">
              <w:rPr>
                <w:rFonts w:ascii="Calibri" w:eastAsia="Times New Roman" w:hAnsi="Calibri" w:cs="Calibri"/>
                <w:color w:val="000000"/>
                <w:sz w:val="20"/>
                <w:szCs w:val="20"/>
                <w:lang w:eastAsia="en-GB"/>
              </w:rPr>
              <w:t>Total</w:t>
            </w:r>
          </w:p>
        </w:tc>
        <w:tc>
          <w:tcPr>
            <w:tcW w:w="1444" w:type="dxa"/>
            <w:noWrap/>
            <w:hideMark/>
          </w:tcPr>
          <w:p w14:paraId="3E1C6EB7" w14:textId="77777777" w:rsidR="00375BD2" w:rsidRPr="00C05886" w:rsidRDefault="00375BD2" w:rsidP="00375BD2">
            <w:pPr>
              <w:spacing w:line="240" w:lineRule="auto"/>
              <w:jc w:val="right"/>
              <w:rPr>
                <w:rFonts w:ascii="Calibri" w:eastAsia="Times New Roman" w:hAnsi="Calibri" w:cs="Calibri"/>
                <w:color w:val="000000"/>
                <w:sz w:val="20"/>
                <w:szCs w:val="20"/>
                <w:lang w:eastAsia="en-GB"/>
              </w:rPr>
            </w:pPr>
            <w:r w:rsidRPr="00C05886">
              <w:rPr>
                <w:rFonts w:ascii="Calibri" w:eastAsia="Times New Roman" w:hAnsi="Calibri" w:cs="Calibri"/>
                <w:color w:val="000000"/>
                <w:sz w:val="20"/>
                <w:szCs w:val="20"/>
                <w:lang w:eastAsia="en-GB"/>
              </w:rPr>
              <w:t>477</w:t>
            </w:r>
          </w:p>
        </w:tc>
        <w:tc>
          <w:tcPr>
            <w:tcW w:w="1202" w:type="dxa"/>
            <w:noWrap/>
            <w:hideMark/>
          </w:tcPr>
          <w:p w14:paraId="63D0282A" w14:textId="77777777" w:rsidR="00375BD2" w:rsidRPr="00C05886" w:rsidRDefault="00375BD2" w:rsidP="00375BD2">
            <w:pPr>
              <w:spacing w:line="240" w:lineRule="auto"/>
              <w:rPr>
                <w:rFonts w:ascii="Calibri" w:eastAsia="Times New Roman" w:hAnsi="Calibri" w:cs="Calibri"/>
                <w:color w:val="000000"/>
                <w:sz w:val="20"/>
                <w:szCs w:val="20"/>
                <w:lang w:eastAsia="en-GB"/>
              </w:rPr>
            </w:pPr>
            <w:r w:rsidRPr="00C05886">
              <w:rPr>
                <w:rFonts w:ascii="Calibri" w:eastAsia="Times New Roman" w:hAnsi="Calibri" w:cs="Calibri"/>
                <w:color w:val="000000"/>
                <w:sz w:val="20"/>
                <w:szCs w:val="20"/>
                <w:lang w:eastAsia="en-GB"/>
              </w:rPr>
              <w:t>100%</w:t>
            </w:r>
          </w:p>
        </w:tc>
      </w:tr>
      <w:tr w:rsidR="00375BD2" w:rsidRPr="00C05886" w14:paraId="6EAB33AD" w14:textId="77777777" w:rsidTr="0070406A">
        <w:trPr>
          <w:trHeight w:val="262"/>
        </w:trPr>
        <w:tc>
          <w:tcPr>
            <w:tcW w:w="1561" w:type="dxa"/>
            <w:vMerge w:val="restart"/>
            <w:noWrap/>
            <w:vAlign w:val="center"/>
            <w:hideMark/>
          </w:tcPr>
          <w:p w14:paraId="2E185722" w14:textId="77777777" w:rsidR="00375BD2" w:rsidRPr="00C05886" w:rsidRDefault="00375BD2" w:rsidP="00375BD2">
            <w:pPr>
              <w:spacing w:line="240" w:lineRule="auto"/>
              <w:jc w:val="center"/>
              <w:rPr>
                <w:rFonts w:ascii="Calibri" w:eastAsia="Times New Roman" w:hAnsi="Calibri" w:cs="Calibri"/>
                <w:color w:val="000000"/>
                <w:sz w:val="20"/>
                <w:szCs w:val="20"/>
                <w:lang w:eastAsia="en-GB"/>
              </w:rPr>
            </w:pPr>
            <w:r w:rsidRPr="00C05886">
              <w:rPr>
                <w:rFonts w:ascii="Calibri" w:eastAsia="Times New Roman" w:hAnsi="Calibri" w:cs="Calibri"/>
                <w:color w:val="000000"/>
                <w:sz w:val="20"/>
                <w:szCs w:val="20"/>
                <w:lang w:eastAsia="en-GB"/>
              </w:rPr>
              <w:t>Experiment 3</w:t>
            </w:r>
          </w:p>
        </w:tc>
        <w:tc>
          <w:tcPr>
            <w:tcW w:w="2102" w:type="dxa"/>
            <w:noWrap/>
            <w:hideMark/>
          </w:tcPr>
          <w:p w14:paraId="76D37AC1" w14:textId="77777777" w:rsidR="00375BD2" w:rsidRPr="00C05886" w:rsidRDefault="00375BD2" w:rsidP="00375BD2">
            <w:pPr>
              <w:spacing w:line="240" w:lineRule="auto"/>
              <w:rPr>
                <w:rFonts w:ascii="Calibri" w:eastAsia="Times New Roman" w:hAnsi="Calibri" w:cs="Calibri"/>
                <w:color w:val="000000"/>
                <w:sz w:val="20"/>
                <w:szCs w:val="20"/>
                <w:lang w:eastAsia="en-GB"/>
              </w:rPr>
            </w:pPr>
            <w:r w:rsidRPr="00C05886">
              <w:rPr>
                <w:rFonts w:ascii="Calibri" w:eastAsia="Times New Roman" w:hAnsi="Calibri" w:cs="Calibri"/>
                <w:color w:val="000000"/>
                <w:sz w:val="20"/>
                <w:szCs w:val="20"/>
                <w:lang w:eastAsia="en-GB"/>
              </w:rPr>
              <w:t>Laptop or Desktop</w:t>
            </w:r>
          </w:p>
        </w:tc>
        <w:tc>
          <w:tcPr>
            <w:tcW w:w="1444" w:type="dxa"/>
            <w:noWrap/>
            <w:hideMark/>
          </w:tcPr>
          <w:p w14:paraId="2A19424A" w14:textId="77777777" w:rsidR="00375BD2" w:rsidRPr="00C05886" w:rsidRDefault="00375BD2" w:rsidP="00375BD2">
            <w:pPr>
              <w:spacing w:line="240" w:lineRule="auto"/>
              <w:jc w:val="right"/>
              <w:rPr>
                <w:rFonts w:ascii="Calibri" w:eastAsia="Times New Roman" w:hAnsi="Calibri" w:cs="Calibri"/>
                <w:color w:val="000000"/>
                <w:sz w:val="20"/>
                <w:szCs w:val="20"/>
                <w:lang w:eastAsia="en-GB"/>
              </w:rPr>
            </w:pPr>
            <w:r w:rsidRPr="00C05886">
              <w:rPr>
                <w:rFonts w:ascii="Calibri" w:eastAsia="Times New Roman" w:hAnsi="Calibri" w:cs="Calibri"/>
                <w:color w:val="000000"/>
                <w:sz w:val="20"/>
                <w:szCs w:val="20"/>
                <w:lang w:eastAsia="en-GB"/>
              </w:rPr>
              <w:t>34</w:t>
            </w:r>
          </w:p>
        </w:tc>
        <w:tc>
          <w:tcPr>
            <w:tcW w:w="1202" w:type="dxa"/>
            <w:noWrap/>
            <w:hideMark/>
          </w:tcPr>
          <w:p w14:paraId="2610D43F" w14:textId="77777777" w:rsidR="00375BD2" w:rsidRPr="00C05886" w:rsidRDefault="00375BD2" w:rsidP="00375BD2">
            <w:pPr>
              <w:spacing w:line="240" w:lineRule="auto"/>
              <w:rPr>
                <w:rFonts w:ascii="Calibri" w:eastAsia="Times New Roman" w:hAnsi="Calibri" w:cs="Calibri"/>
                <w:color w:val="000000"/>
                <w:sz w:val="20"/>
                <w:szCs w:val="20"/>
                <w:lang w:eastAsia="en-GB"/>
              </w:rPr>
            </w:pPr>
            <w:r w:rsidRPr="00C05886">
              <w:rPr>
                <w:rFonts w:ascii="Calibri" w:eastAsia="Times New Roman" w:hAnsi="Calibri" w:cs="Calibri"/>
                <w:color w:val="000000"/>
                <w:sz w:val="20"/>
                <w:szCs w:val="20"/>
                <w:lang w:eastAsia="en-GB"/>
              </w:rPr>
              <w:t>9%</w:t>
            </w:r>
          </w:p>
        </w:tc>
      </w:tr>
      <w:tr w:rsidR="00375BD2" w:rsidRPr="00C05886" w14:paraId="4748662D" w14:textId="77777777" w:rsidTr="0070406A">
        <w:trPr>
          <w:trHeight w:val="262"/>
        </w:trPr>
        <w:tc>
          <w:tcPr>
            <w:tcW w:w="1561" w:type="dxa"/>
            <w:vMerge/>
            <w:noWrap/>
            <w:vAlign w:val="center"/>
            <w:hideMark/>
          </w:tcPr>
          <w:p w14:paraId="38EA55EE" w14:textId="77777777" w:rsidR="00375BD2" w:rsidRPr="00C05886" w:rsidRDefault="00375BD2" w:rsidP="00375BD2">
            <w:pPr>
              <w:spacing w:line="240" w:lineRule="auto"/>
              <w:jc w:val="center"/>
              <w:rPr>
                <w:rFonts w:ascii="Calibri" w:eastAsia="Times New Roman" w:hAnsi="Calibri" w:cs="Calibri"/>
                <w:color w:val="000000"/>
                <w:sz w:val="20"/>
                <w:szCs w:val="20"/>
                <w:lang w:eastAsia="en-GB"/>
              </w:rPr>
            </w:pPr>
          </w:p>
        </w:tc>
        <w:tc>
          <w:tcPr>
            <w:tcW w:w="2102" w:type="dxa"/>
            <w:noWrap/>
            <w:hideMark/>
          </w:tcPr>
          <w:p w14:paraId="10EF5C76" w14:textId="77777777" w:rsidR="00375BD2" w:rsidRPr="00C05886" w:rsidRDefault="00375BD2" w:rsidP="00375BD2">
            <w:pPr>
              <w:spacing w:line="240" w:lineRule="auto"/>
              <w:rPr>
                <w:rFonts w:ascii="Calibri" w:eastAsia="Times New Roman" w:hAnsi="Calibri" w:cs="Calibri"/>
                <w:color w:val="000000"/>
                <w:sz w:val="20"/>
                <w:szCs w:val="20"/>
                <w:lang w:eastAsia="en-GB"/>
              </w:rPr>
            </w:pPr>
            <w:r w:rsidRPr="00C05886">
              <w:rPr>
                <w:rFonts w:ascii="Calibri" w:eastAsia="Times New Roman" w:hAnsi="Calibri" w:cs="Calibri"/>
                <w:color w:val="000000"/>
                <w:sz w:val="20"/>
                <w:szCs w:val="20"/>
                <w:lang w:eastAsia="en-GB"/>
              </w:rPr>
              <w:t>Mobile or tablet</w:t>
            </w:r>
          </w:p>
        </w:tc>
        <w:tc>
          <w:tcPr>
            <w:tcW w:w="1444" w:type="dxa"/>
            <w:noWrap/>
            <w:hideMark/>
          </w:tcPr>
          <w:p w14:paraId="49BADBE8" w14:textId="77777777" w:rsidR="00375BD2" w:rsidRPr="00C05886" w:rsidRDefault="00375BD2" w:rsidP="00375BD2">
            <w:pPr>
              <w:spacing w:line="240" w:lineRule="auto"/>
              <w:jc w:val="right"/>
              <w:rPr>
                <w:rFonts w:ascii="Calibri" w:eastAsia="Times New Roman" w:hAnsi="Calibri" w:cs="Calibri"/>
                <w:color w:val="000000"/>
                <w:sz w:val="20"/>
                <w:szCs w:val="20"/>
                <w:lang w:eastAsia="en-GB"/>
              </w:rPr>
            </w:pPr>
            <w:r w:rsidRPr="00C05886">
              <w:rPr>
                <w:rFonts w:ascii="Calibri" w:eastAsia="Times New Roman" w:hAnsi="Calibri" w:cs="Calibri"/>
                <w:color w:val="000000"/>
                <w:sz w:val="20"/>
                <w:szCs w:val="20"/>
                <w:lang w:eastAsia="en-GB"/>
              </w:rPr>
              <w:t>345</w:t>
            </w:r>
          </w:p>
        </w:tc>
        <w:tc>
          <w:tcPr>
            <w:tcW w:w="1202" w:type="dxa"/>
            <w:noWrap/>
            <w:hideMark/>
          </w:tcPr>
          <w:p w14:paraId="2093203C" w14:textId="77777777" w:rsidR="00375BD2" w:rsidRPr="00C05886" w:rsidRDefault="00375BD2" w:rsidP="00375BD2">
            <w:pPr>
              <w:spacing w:line="240" w:lineRule="auto"/>
              <w:rPr>
                <w:rFonts w:ascii="Calibri" w:eastAsia="Times New Roman" w:hAnsi="Calibri" w:cs="Calibri"/>
                <w:color w:val="000000"/>
                <w:sz w:val="20"/>
                <w:szCs w:val="20"/>
                <w:lang w:eastAsia="en-GB"/>
              </w:rPr>
            </w:pPr>
            <w:r w:rsidRPr="00C05886">
              <w:rPr>
                <w:rFonts w:ascii="Calibri" w:eastAsia="Times New Roman" w:hAnsi="Calibri" w:cs="Calibri"/>
                <w:color w:val="000000"/>
                <w:sz w:val="20"/>
                <w:szCs w:val="20"/>
                <w:lang w:eastAsia="en-GB"/>
              </w:rPr>
              <w:t>91%</w:t>
            </w:r>
          </w:p>
        </w:tc>
      </w:tr>
      <w:tr w:rsidR="00375BD2" w:rsidRPr="00C05886" w14:paraId="620585B4" w14:textId="77777777" w:rsidTr="0070406A">
        <w:trPr>
          <w:trHeight w:val="262"/>
        </w:trPr>
        <w:tc>
          <w:tcPr>
            <w:tcW w:w="1561" w:type="dxa"/>
            <w:vMerge/>
            <w:noWrap/>
            <w:vAlign w:val="center"/>
            <w:hideMark/>
          </w:tcPr>
          <w:p w14:paraId="3F84B805" w14:textId="77777777" w:rsidR="00375BD2" w:rsidRPr="00C05886" w:rsidRDefault="00375BD2" w:rsidP="00375BD2">
            <w:pPr>
              <w:spacing w:line="240" w:lineRule="auto"/>
              <w:jc w:val="center"/>
              <w:rPr>
                <w:rFonts w:ascii="Calibri" w:eastAsia="Times New Roman" w:hAnsi="Calibri" w:cs="Calibri"/>
                <w:color w:val="000000"/>
                <w:sz w:val="20"/>
                <w:szCs w:val="20"/>
                <w:lang w:eastAsia="en-GB"/>
              </w:rPr>
            </w:pPr>
          </w:p>
        </w:tc>
        <w:tc>
          <w:tcPr>
            <w:tcW w:w="2102" w:type="dxa"/>
            <w:noWrap/>
            <w:hideMark/>
          </w:tcPr>
          <w:p w14:paraId="61947254" w14:textId="77777777" w:rsidR="00375BD2" w:rsidRPr="00C05886" w:rsidRDefault="00375BD2" w:rsidP="00375BD2">
            <w:pPr>
              <w:spacing w:line="240" w:lineRule="auto"/>
              <w:rPr>
                <w:rFonts w:ascii="Calibri" w:eastAsia="Times New Roman" w:hAnsi="Calibri" w:cs="Calibri"/>
                <w:color w:val="000000"/>
                <w:sz w:val="20"/>
                <w:szCs w:val="20"/>
                <w:lang w:eastAsia="en-GB"/>
              </w:rPr>
            </w:pPr>
            <w:r w:rsidRPr="00C05886">
              <w:rPr>
                <w:rFonts w:ascii="Calibri" w:eastAsia="Times New Roman" w:hAnsi="Calibri" w:cs="Calibri"/>
                <w:color w:val="000000"/>
                <w:sz w:val="20"/>
                <w:szCs w:val="20"/>
                <w:lang w:eastAsia="en-GB"/>
              </w:rPr>
              <w:t>Total</w:t>
            </w:r>
          </w:p>
        </w:tc>
        <w:tc>
          <w:tcPr>
            <w:tcW w:w="1444" w:type="dxa"/>
            <w:noWrap/>
            <w:hideMark/>
          </w:tcPr>
          <w:p w14:paraId="16F2EA8B" w14:textId="77777777" w:rsidR="00375BD2" w:rsidRPr="00C05886" w:rsidRDefault="00375BD2" w:rsidP="00375BD2">
            <w:pPr>
              <w:spacing w:line="240" w:lineRule="auto"/>
              <w:jc w:val="right"/>
              <w:rPr>
                <w:rFonts w:ascii="Calibri" w:eastAsia="Times New Roman" w:hAnsi="Calibri" w:cs="Calibri"/>
                <w:color w:val="000000"/>
                <w:sz w:val="20"/>
                <w:szCs w:val="20"/>
                <w:lang w:eastAsia="en-GB"/>
              </w:rPr>
            </w:pPr>
            <w:r w:rsidRPr="00C05886">
              <w:rPr>
                <w:rFonts w:ascii="Calibri" w:eastAsia="Times New Roman" w:hAnsi="Calibri" w:cs="Calibri"/>
                <w:color w:val="000000"/>
                <w:sz w:val="20"/>
                <w:szCs w:val="20"/>
                <w:lang w:eastAsia="en-GB"/>
              </w:rPr>
              <w:t>379</w:t>
            </w:r>
          </w:p>
        </w:tc>
        <w:tc>
          <w:tcPr>
            <w:tcW w:w="1202" w:type="dxa"/>
            <w:noWrap/>
            <w:hideMark/>
          </w:tcPr>
          <w:p w14:paraId="001C8ACD" w14:textId="77777777" w:rsidR="00375BD2" w:rsidRPr="00C05886" w:rsidRDefault="00375BD2" w:rsidP="00375BD2">
            <w:pPr>
              <w:spacing w:line="240" w:lineRule="auto"/>
              <w:rPr>
                <w:rFonts w:ascii="Calibri" w:eastAsia="Times New Roman" w:hAnsi="Calibri" w:cs="Calibri"/>
                <w:color w:val="000000"/>
                <w:sz w:val="20"/>
                <w:szCs w:val="20"/>
                <w:lang w:eastAsia="en-GB"/>
              </w:rPr>
            </w:pPr>
            <w:r w:rsidRPr="00C05886">
              <w:rPr>
                <w:rFonts w:ascii="Calibri" w:eastAsia="Times New Roman" w:hAnsi="Calibri" w:cs="Calibri"/>
                <w:color w:val="000000"/>
                <w:sz w:val="20"/>
                <w:szCs w:val="20"/>
                <w:lang w:eastAsia="en-GB"/>
              </w:rPr>
              <w:t>100%</w:t>
            </w:r>
          </w:p>
        </w:tc>
      </w:tr>
      <w:tr w:rsidR="00375BD2" w:rsidRPr="00C05886" w14:paraId="3C343A31" w14:textId="77777777" w:rsidTr="0070406A">
        <w:trPr>
          <w:trHeight w:val="262"/>
        </w:trPr>
        <w:tc>
          <w:tcPr>
            <w:tcW w:w="1561" w:type="dxa"/>
            <w:vMerge w:val="restart"/>
            <w:noWrap/>
            <w:vAlign w:val="center"/>
            <w:hideMark/>
          </w:tcPr>
          <w:p w14:paraId="08E7432E" w14:textId="77777777" w:rsidR="00375BD2" w:rsidRPr="00C05886" w:rsidRDefault="00375BD2" w:rsidP="00375BD2">
            <w:pPr>
              <w:spacing w:line="240" w:lineRule="auto"/>
              <w:jc w:val="center"/>
              <w:rPr>
                <w:rFonts w:ascii="Calibri" w:eastAsia="Times New Roman" w:hAnsi="Calibri" w:cs="Calibri"/>
                <w:color w:val="000000"/>
                <w:sz w:val="20"/>
                <w:szCs w:val="20"/>
                <w:lang w:eastAsia="en-GB"/>
              </w:rPr>
            </w:pPr>
            <w:r w:rsidRPr="00C05886">
              <w:rPr>
                <w:rFonts w:ascii="Calibri" w:eastAsia="Times New Roman" w:hAnsi="Calibri" w:cs="Calibri"/>
                <w:color w:val="000000"/>
                <w:sz w:val="20"/>
                <w:szCs w:val="20"/>
                <w:lang w:eastAsia="en-GB"/>
              </w:rPr>
              <w:t>Experiment 4</w:t>
            </w:r>
          </w:p>
        </w:tc>
        <w:tc>
          <w:tcPr>
            <w:tcW w:w="2102" w:type="dxa"/>
            <w:noWrap/>
            <w:hideMark/>
          </w:tcPr>
          <w:p w14:paraId="2B08F615" w14:textId="77777777" w:rsidR="00375BD2" w:rsidRPr="00C05886" w:rsidRDefault="00375BD2" w:rsidP="00375BD2">
            <w:pPr>
              <w:spacing w:line="240" w:lineRule="auto"/>
              <w:rPr>
                <w:rFonts w:ascii="Calibri" w:eastAsia="Times New Roman" w:hAnsi="Calibri" w:cs="Calibri"/>
                <w:color w:val="000000"/>
                <w:sz w:val="20"/>
                <w:szCs w:val="20"/>
                <w:lang w:eastAsia="en-GB"/>
              </w:rPr>
            </w:pPr>
            <w:r w:rsidRPr="00C05886">
              <w:rPr>
                <w:rFonts w:ascii="Calibri" w:eastAsia="Times New Roman" w:hAnsi="Calibri" w:cs="Calibri"/>
                <w:color w:val="000000"/>
                <w:sz w:val="20"/>
                <w:szCs w:val="20"/>
                <w:lang w:eastAsia="en-GB"/>
              </w:rPr>
              <w:t>Laptop or Desktop</w:t>
            </w:r>
          </w:p>
        </w:tc>
        <w:tc>
          <w:tcPr>
            <w:tcW w:w="1444" w:type="dxa"/>
            <w:noWrap/>
            <w:hideMark/>
          </w:tcPr>
          <w:p w14:paraId="11D54A37" w14:textId="77777777" w:rsidR="00375BD2" w:rsidRPr="00C05886" w:rsidRDefault="00375BD2" w:rsidP="00375BD2">
            <w:pPr>
              <w:spacing w:line="240" w:lineRule="auto"/>
              <w:jc w:val="right"/>
              <w:rPr>
                <w:rFonts w:ascii="Calibri" w:eastAsia="Times New Roman" w:hAnsi="Calibri" w:cs="Calibri"/>
                <w:color w:val="000000"/>
                <w:sz w:val="20"/>
                <w:szCs w:val="20"/>
                <w:lang w:eastAsia="en-GB"/>
              </w:rPr>
            </w:pPr>
            <w:r w:rsidRPr="00C05886">
              <w:rPr>
                <w:rFonts w:ascii="Calibri" w:eastAsia="Times New Roman" w:hAnsi="Calibri" w:cs="Calibri"/>
                <w:color w:val="000000"/>
                <w:sz w:val="20"/>
                <w:szCs w:val="20"/>
                <w:lang w:eastAsia="en-GB"/>
              </w:rPr>
              <w:t>42</w:t>
            </w:r>
          </w:p>
        </w:tc>
        <w:tc>
          <w:tcPr>
            <w:tcW w:w="1202" w:type="dxa"/>
            <w:noWrap/>
            <w:hideMark/>
          </w:tcPr>
          <w:p w14:paraId="3E8CD781" w14:textId="77777777" w:rsidR="00375BD2" w:rsidRPr="00C05886" w:rsidRDefault="00375BD2" w:rsidP="00375BD2">
            <w:pPr>
              <w:spacing w:line="240" w:lineRule="auto"/>
              <w:rPr>
                <w:rFonts w:ascii="Calibri" w:eastAsia="Times New Roman" w:hAnsi="Calibri" w:cs="Calibri"/>
                <w:color w:val="000000"/>
                <w:sz w:val="20"/>
                <w:szCs w:val="20"/>
                <w:lang w:eastAsia="en-GB"/>
              </w:rPr>
            </w:pPr>
            <w:r w:rsidRPr="00C05886">
              <w:rPr>
                <w:rFonts w:ascii="Calibri" w:eastAsia="Times New Roman" w:hAnsi="Calibri" w:cs="Calibri"/>
                <w:color w:val="000000"/>
                <w:sz w:val="20"/>
                <w:szCs w:val="20"/>
                <w:lang w:eastAsia="en-GB"/>
              </w:rPr>
              <w:t>10.6%</w:t>
            </w:r>
          </w:p>
        </w:tc>
      </w:tr>
      <w:tr w:rsidR="00375BD2" w:rsidRPr="00C05886" w14:paraId="418C4703" w14:textId="77777777" w:rsidTr="0070406A">
        <w:trPr>
          <w:trHeight w:val="262"/>
        </w:trPr>
        <w:tc>
          <w:tcPr>
            <w:tcW w:w="1561" w:type="dxa"/>
            <w:vMerge/>
            <w:noWrap/>
            <w:hideMark/>
          </w:tcPr>
          <w:p w14:paraId="3AA94AD5" w14:textId="77777777" w:rsidR="00375BD2" w:rsidRPr="00C05886" w:rsidRDefault="00375BD2" w:rsidP="00375BD2">
            <w:pPr>
              <w:spacing w:line="240" w:lineRule="auto"/>
              <w:rPr>
                <w:rFonts w:ascii="Calibri" w:eastAsia="Times New Roman" w:hAnsi="Calibri" w:cs="Calibri"/>
                <w:color w:val="000000"/>
                <w:sz w:val="20"/>
                <w:szCs w:val="20"/>
                <w:lang w:eastAsia="en-GB"/>
              </w:rPr>
            </w:pPr>
          </w:p>
        </w:tc>
        <w:tc>
          <w:tcPr>
            <w:tcW w:w="2102" w:type="dxa"/>
            <w:noWrap/>
            <w:hideMark/>
          </w:tcPr>
          <w:p w14:paraId="0BA8AFD7" w14:textId="77777777" w:rsidR="00375BD2" w:rsidRPr="00C05886" w:rsidRDefault="00375BD2" w:rsidP="00375BD2">
            <w:pPr>
              <w:spacing w:line="240" w:lineRule="auto"/>
              <w:rPr>
                <w:rFonts w:ascii="Calibri" w:eastAsia="Times New Roman" w:hAnsi="Calibri" w:cs="Calibri"/>
                <w:color w:val="000000"/>
                <w:sz w:val="20"/>
                <w:szCs w:val="20"/>
                <w:lang w:eastAsia="en-GB"/>
              </w:rPr>
            </w:pPr>
            <w:r w:rsidRPr="00C05886">
              <w:rPr>
                <w:rFonts w:ascii="Calibri" w:eastAsia="Times New Roman" w:hAnsi="Calibri" w:cs="Calibri"/>
                <w:color w:val="000000"/>
                <w:sz w:val="20"/>
                <w:szCs w:val="20"/>
                <w:lang w:eastAsia="en-GB"/>
              </w:rPr>
              <w:t>Mobile or tablet</w:t>
            </w:r>
          </w:p>
        </w:tc>
        <w:tc>
          <w:tcPr>
            <w:tcW w:w="1444" w:type="dxa"/>
            <w:noWrap/>
            <w:hideMark/>
          </w:tcPr>
          <w:p w14:paraId="616E7224" w14:textId="77777777" w:rsidR="00375BD2" w:rsidRPr="00C05886" w:rsidRDefault="00375BD2" w:rsidP="00375BD2">
            <w:pPr>
              <w:spacing w:line="240" w:lineRule="auto"/>
              <w:jc w:val="right"/>
              <w:rPr>
                <w:rFonts w:ascii="Calibri" w:eastAsia="Times New Roman" w:hAnsi="Calibri" w:cs="Calibri"/>
                <w:color w:val="000000"/>
                <w:sz w:val="20"/>
                <w:szCs w:val="20"/>
                <w:lang w:eastAsia="en-GB"/>
              </w:rPr>
            </w:pPr>
            <w:r w:rsidRPr="00C05886">
              <w:rPr>
                <w:rFonts w:ascii="Calibri" w:eastAsia="Times New Roman" w:hAnsi="Calibri" w:cs="Calibri"/>
                <w:color w:val="000000"/>
                <w:sz w:val="20"/>
                <w:szCs w:val="20"/>
                <w:lang w:eastAsia="en-GB"/>
              </w:rPr>
              <w:t>353</w:t>
            </w:r>
          </w:p>
        </w:tc>
        <w:tc>
          <w:tcPr>
            <w:tcW w:w="1202" w:type="dxa"/>
            <w:noWrap/>
            <w:hideMark/>
          </w:tcPr>
          <w:p w14:paraId="651DC144" w14:textId="77777777" w:rsidR="00375BD2" w:rsidRPr="00C05886" w:rsidRDefault="00375BD2" w:rsidP="00375BD2">
            <w:pPr>
              <w:spacing w:line="240" w:lineRule="auto"/>
              <w:rPr>
                <w:rFonts w:ascii="Calibri" w:eastAsia="Times New Roman" w:hAnsi="Calibri" w:cs="Calibri"/>
                <w:color w:val="000000"/>
                <w:sz w:val="20"/>
                <w:szCs w:val="20"/>
                <w:lang w:eastAsia="en-GB"/>
              </w:rPr>
            </w:pPr>
            <w:r w:rsidRPr="00C05886">
              <w:rPr>
                <w:rFonts w:ascii="Calibri" w:eastAsia="Times New Roman" w:hAnsi="Calibri" w:cs="Calibri"/>
                <w:color w:val="000000"/>
                <w:sz w:val="20"/>
                <w:szCs w:val="20"/>
                <w:lang w:eastAsia="en-GB"/>
              </w:rPr>
              <w:t>89.4%</w:t>
            </w:r>
          </w:p>
        </w:tc>
      </w:tr>
      <w:tr w:rsidR="00375BD2" w:rsidRPr="00C05886" w14:paraId="6C666964" w14:textId="77777777" w:rsidTr="0070406A">
        <w:trPr>
          <w:trHeight w:val="262"/>
        </w:trPr>
        <w:tc>
          <w:tcPr>
            <w:tcW w:w="1561" w:type="dxa"/>
            <w:vMerge/>
            <w:noWrap/>
            <w:hideMark/>
          </w:tcPr>
          <w:p w14:paraId="3D8D1ADA" w14:textId="77777777" w:rsidR="00375BD2" w:rsidRPr="00C05886" w:rsidRDefault="00375BD2" w:rsidP="00375BD2">
            <w:pPr>
              <w:spacing w:line="240" w:lineRule="auto"/>
              <w:rPr>
                <w:rFonts w:ascii="Calibri" w:eastAsia="Times New Roman" w:hAnsi="Calibri" w:cs="Calibri"/>
                <w:color w:val="000000"/>
                <w:sz w:val="20"/>
                <w:szCs w:val="20"/>
                <w:lang w:eastAsia="en-GB"/>
              </w:rPr>
            </w:pPr>
          </w:p>
        </w:tc>
        <w:tc>
          <w:tcPr>
            <w:tcW w:w="2102" w:type="dxa"/>
            <w:noWrap/>
            <w:hideMark/>
          </w:tcPr>
          <w:p w14:paraId="694BF216" w14:textId="77777777" w:rsidR="00375BD2" w:rsidRPr="00C05886" w:rsidRDefault="00375BD2" w:rsidP="00375BD2">
            <w:pPr>
              <w:spacing w:line="240" w:lineRule="auto"/>
              <w:rPr>
                <w:rFonts w:ascii="Calibri" w:eastAsia="Times New Roman" w:hAnsi="Calibri" w:cs="Calibri"/>
                <w:color w:val="000000"/>
                <w:sz w:val="20"/>
                <w:szCs w:val="20"/>
                <w:lang w:eastAsia="en-GB"/>
              </w:rPr>
            </w:pPr>
            <w:r w:rsidRPr="00C05886">
              <w:rPr>
                <w:rFonts w:ascii="Calibri" w:eastAsia="Times New Roman" w:hAnsi="Calibri" w:cs="Calibri"/>
                <w:color w:val="000000"/>
                <w:sz w:val="20"/>
                <w:szCs w:val="20"/>
                <w:lang w:eastAsia="en-GB"/>
              </w:rPr>
              <w:t>Total</w:t>
            </w:r>
          </w:p>
        </w:tc>
        <w:tc>
          <w:tcPr>
            <w:tcW w:w="1444" w:type="dxa"/>
            <w:noWrap/>
            <w:hideMark/>
          </w:tcPr>
          <w:p w14:paraId="21932E7B" w14:textId="77777777" w:rsidR="00375BD2" w:rsidRPr="00C05886" w:rsidRDefault="00375BD2" w:rsidP="00375BD2">
            <w:pPr>
              <w:spacing w:line="240" w:lineRule="auto"/>
              <w:jc w:val="right"/>
              <w:rPr>
                <w:rFonts w:ascii="Calibri" w:eastAsia="Times New Roman" w:hAnsi="Calibri" w:cs="Calibri"/>
                <w:color w:val="000000"/>
                <w:sz w:val="20"/>
                <w:szCs w:val="20"/>
                <w:lang w:eastAsia="en-GB"/>
              </w:rPr>
            </w:pPr>
            <w:r w:rsidRPr="00C05886">
              <w:rPr>
                <w:rFonts w:ascii="Calibri" w:eastAsia="Times New Roman" w:hAnsi="Calibri" w:cs="Calibri"/>
                <w:color w:val="000000"/>
                <w:sz w:val="20"/>
                <w:szCs w:val="20"/>
                <w:lang w:eastAsia="en-GB"/>
              </w:rPr>
              <w:t>395</w:t>
            </w:r>
          </w:p>
        </w:tc>
        <w:tc>
          <w:tcPr>
            <w:tcW w:w="1202" w:type="dxa"/>
            <w:noWrap/>
            <w:hideMark/>
          </w:tcPr>
          <w:p w14:paraId="266ADB29" w14:textId="77777777" w:rsidR="00375BD2" w:rsidRPr="00C05886" w:rsidRDefault="00375BD2" w:rsidP="00375BD2">
            <w:pPr>
              <w:spacing w:line="240" w:lineRule="auto"/>
              <w:rPr>
                <w:rFonts w:ascii="Calibri" w:eastAsia="Times New Roman" w:hAnsi="Calibri" w:cs="Calibri"/>
                <w:color w:val="000000"/>
                <w:sz w:val="20"/>
                <w:szCs w:val="20"/>
                <w:lang w:eastAsia="en-GB"/>
              </w:rPr>
            </w:pPr>
            <w:r w:rsidRPr="00C05886">
              <w:rPr>
                <w:rFonts w:ascii="Calibri" w:eastAsia="Times New Roman" w:hAnsi="Calibri" w:cs="Calibri"/>
                <w:color w:val="000000"/>
                <w:sz w:val="20"/>
                <w:szCs w:val="20"/>
                <w:lang w:eastAsia="en-GB"/>
              </w:rPr>
              <w:t>100%</w:t>
            </w:r>
          </w:p>
        </w:tc>
      </w:tr>
    </w:tbl>
    <w:p w14:paraId="2FE615B1" w14:textId="77777777" w:rsidR="00375BD2" w:rsidRPr="00C05886" w:rsidRDefault="00375BD2" w:rsidP="00375BD2">
      <w:pPr>
        <w:spacing w:line="240" w:lineRule="auto"/>
      </w:pPr>
    </w:p>
    <w:p w14:paraId="28DB0497" w14:textId="44B852B2" w:rsidR="00375BD2" w:rsidRPr="00C05886" w:rsidRDefault="00375BD2" w:rsidP="00375BD2">
      <w:pPr>
        <w:pStyle w:val="Caption"/>
        <w:keepNext/>
      </w:pPr>
      <w:r w:rsidRPr="00C05886">
        <w:t xml:space="preserve">Table </w:t>
      </w:r>
      <w:r w:rsidR="00B62F3A" w:rsidRPr="00C05886">
        <w:t>S2</w:t>
      </w:r>
      <w:r w:rsidRPr="00C05886">
        <w:t>. Responses to the question “Have you ever used a virtual tour before? (maybe on Google Maps or renting agency)”</w:t>
      </w:r>
    </w:p>
    <w:tbl>
      <w:tblPr>
        <w:tblStyle w:val="TableGrid"/>
        <w:tblW w:w="6467" w:type="dxa"/>
        <w:tblLook w:val="04A0" w:firstRow="1" w:lastRow="0" w:firstColumn="1" w:lastColumn="0" w:noHBand="0" w:noVBand="1"/>
      </w:tblPr>
      <w:tblGrid>
        <w:gridCol w:w="1555"/>
        <w:gridCol w:w="2268"/>
        <w:gridCol w:w="1275"/>
        <w:gridCol w:w="1369"/>
      </w:tblGrid>
      <w:tr w:rsidR="00375BD2" w:rsidRPr="00C05886" w14:paraId="6013C2DD" w14:textId="77777777" w:rsidTr="0070406A">
        <w:trPr>
          <w:trHeight w:val="279"/>
        </w:trPr>
        <w:tc>
          <w:tcPr>
            <w:tcW w:w="1555" w:type="dxa"/>
            <w:noWrap/>
            <w:hideMark/>
          </w:tcPr>
          <w:p w14:paraId="754BCDCC" w14:textId="77777777" w:rsidR="00375BD2" w:rsidRPr="00C05886" w:rsidRDefault="00375BD2" w:rsidP="00375BD2">
            <w:pPr>
              <w:spacing w:line="240" w:lineRule="auto"/>
              <w:rPr>
                <w:rFonts w:ascii="Times New Roman" w:eastAsia="Times New Roman" w:hAnsi="Times New Roman" w:cs="Times New Roman"/>
                <w:sz w:val="20"/>
                <w:szCs w:val="20"/>
                <w:lang w:eastAsia="en-GB"/>
              </w:rPr>
            </w:pPr>
          </w:p>
        </w:tc>
        <w:tc>
          <w:tcPr>
            <w:tcW w:w="2268" w:type="dxa"/>
            <w:noWrap/>
            <w:hideMark/>
          </w:tcPr>
          <w:p w14:paraId="78230D1B" w14:textId="77777777" w:rsidR="00375BD2" w:rsidRPr="00C05886" w:rsidRDefault="00375BD2" w:rsidP="00375BD2">
            <w:pPr>
              <w:spacing w:line="240" w:lineRule="auto"/>
              <w:rPr>
                <w:rFonts w:ascii="Calibri" w:eastAsia="Times New Roman" w:hAnsi="Calibri" w:cs="Calibri"/>
                <w:color w:val="000000"/>
                <w:sz w:val="20"/>
                <w:szCs w:val="20"/>
                <w:lang w:eastAsia="en-GB"/>
              </w:rPr>
            </w:pPr>
            <w:r w:rsidRPr="00C05886">
              <w:rPr>
                <w:rFonts w:ascii="Calibri" w:eastAsia="Times New Roman" w:hAnsi="Calibri" w:cs="Calibri"/>
                <w:color w:val="000000"/>
                <w:sz w:val="20"/>
                <w:szCs w:val="20"/>
                <w:lang w:eastAsia="en-GB"/>
              </w:rPr>
              <w:t>Used virtual tour before</w:t>
            </w:r>
          </w:p>
        </w:tc>
        <w:tc>
          <w:tcPr>
            <w:tcW w:w="1275" w:type="dxa"/>
            <w:noWrap/>
            <w:hideMark/>
          </w:tcPr>
          <w:p w14:paraId="73BACAB4" w14:textId="77777777" w:rsidR="00375BD2" w:rsidRPr="00C05886" w:rsidRDefault="00375BD2" w:rsidP="00375BD2">
            <w:pPr>
              <w:spacing w:line="240" w:lineRule="auto"/>
              <w:rPr>
                <w:rFonts w:ascii="Calibri" w:eastAsia="Times New Roman" w:hAnsi="Calibri" w:cs="Calibri"/>
                <w:color w:val="000000"/>
                <w:sz w:val="20"/>
                <w:szCs w:val="20"/>
                <w:lang w:eastAsia="en-GB"/>
              </w:rPr>
            </w:pPr>
            <w:r w:rsidRPr="00C05886">
              <w:rPr>
                <w:rFonts w:ascii="Calibri" w:eastAsia="Times New Roman" w:hAnsi="Calibri" w:cs="Calibri"/>
                <w:color w:val="000000"/>
                <w:sz w:val="20"/>
                <w:szCs w:val="20"/>
                <w:lang w:eastAsia="en-GB"/>
              </w:rPr>
              <w:t>Frequency</w:t>
            </w:r>
          </w:p>
        </w:tc>
        <w:tc>
          <w:tcPr>
            <w:tcW w:w="1369" w:type="dxa"/>
            <w:noWrap/>
            <w:hideMark/>
          </w:tcPr>
          <w:p w14:paraId="5FFF4C02" w14:textId="77777777" w:rsidR="00375BD2" w:rsidRPr="00C05886" w:rsidRDefault="00375BD2" w:rsidP="00375BD2">
            <w:pPr>
              <w:spacing w:line="240" w:lineRule="auto"/>
              <w:rPr>
                <w:rFonts w:ascii="Calibri" w:eastAsia="Times New Roman" w:hAnsi="Calibri" w:cs="Calibri"/>
                <w:color w:val="000000"/>
                <w:sz w:val="20"/>
                <w:szCs w:val="20"/>
                <w:lang w:eastAsia="en-GB"/>
              </w:rPr>
            </w:pPr>
            <w:r w:rsidRPr="00C05886">
              <w:rPr>
                <w:rFonts w:ascii="Calibri" w:eastAsia="Times New Roman" w:hAnsi="Calibri" w:cs="Calibri"/>
                <w:color w:val="000000"/>
                <w:sz w:val="20"/>
                <w:szCs w:val="20"/>
                <w:lang w:eastAsia="en-GB"/>
              </w:rPr>
              <w:t>Percent</w:t>
            </w:r>
          </w:p>
        </w:tc>
      </w:tr>
      <w:tr w:rsidR="00375BD2" w:rsidRPr="00C05886" w14:paraId="71F706C2" w14:textId="77777777" w:rsidTr="006266B5">
        <w:trPr>
          <w:trHeight w:val="279"/>
        </w:trPr>
        <w:tc>
          <w:tcPr>
            <w:tcW w:w="1555" w:type="dxa"/>
            <w:vMerge w:val="restart"/>
            <w:noWrap/>
            <w:vAlign w:val="center"/>
            <w:hideMark/>
          </w:tcPr>
          <w:p w14:paraId="712785D4" w14:textId="77777777" w:rsidR="00375BD2" w:rsidRPr="00C05886" w:rsidRDefault="00375BD2" w:rsidP="00375BD2">
            <w:pPr>
              <w:spacing w:line="240" w:lineRule="auto"/>
              <w:jc w:val="center"/>
              <w:rPr>
                <w:rFonts w:ascii="Calibri" w:eastAsia="Times New Roman" w:hAnsi="Calibri" w:cs="Calibri"/>
                <w:color w:val="000000"/>
                <w:sz w:val="20"/>
                <w:szCs w:val="20"/>
                <w:lang w:eastAsia="en-GB"/>
              </w:rPr>
            </w:pPr>
            <w:r w:rsidRPr="00C05886">
              <w:rPr>
                <w:rFonts w:ascii="Calibri" w:eastAsia="Times New Roman" w:hAnsi="Calibri" w:cs="Calibri"/>
                <w:color w:val="000000"/>
                <w:sz w:val="20"/>
                <w:szCs w:val="20"/>
                <w:lang w:eastAsia="en-GB"/>
              </w:rPr>
              <w:t>Experiment 1</w:t>
            </w:r>
          </w:p>
        </w:tc>
        <w:tc>
          <w:tcPr>
            <w:tcW w:w="2268" w:type="dxa"/>
            <w:noWrap/>
            <w:hideMark/>
          </w:tcPr>
          <w:p w14:paraId="1446054A" w14:textId="77777777" w:rsidR="00375BD2" w:rsidRPr="00C05886" w:rsidRDefault="00375BD2" w:rsidP="00375BD2">
            <w:pPr>
              <w:spacing w:line="240" w:lineRule="auto"/>
              <w:rPr>
                <w:rFonts w:ascii="Calibri" w:eastAsia="Times New Roman" w:hAnsi="Calibri" w:cs="Calibri"/>
                <w:color w:val="000000"/>
                <w:sz w:val="20"/>
                <w:szCs w:val="20"/>
                <w:lang w:eastAsia="en-GB"/>
              </w:rPr>
            </w:pPr>
            <w:r w:rsidRPr="00C05886">
              <w:rPr>
                <w:rFonts w:ascii="Calibri" w:eastAsia="Times New Roman" w:hAnsi="Calibri" w:cs="Calibri"/>
                <w:color w:val="000000"/>
                <w:sz w:val="20"/>
                <w:szCs w:val="20"/>
                <w:lang w:eastAsia="en-GB"/>
              </w:rPr>
              <w:t>Yes</w:t>
            </w:r>
          </w:p>
        </w:tc>
        <w:tc>
          <w:tcPr>
            <w:tcW w:w="1275" w:type="dxa"/>
            <w:noWrap/>
            <w:hideMark/>
          </w:tcPr>
          <w:p w14:paraId="5D459151" w14:textId="77777777" w:rsidR="00375BD2" w:rsidRPr="00C05886" w:rsidRDefault="00375BD2" w:rsidP="00375BD2">
            <w:pPr>
              <w:spacing w:line="240" w:lineRule="auto"/>
              <w:jc w:val="right"/>
              <w:rPr>
                <w:rFonts w:ascii="Calibri" w:eastAsia="Times New Roman" w:hAnsi="Calibri" w:cs="Calibri"/>
                <w:color w:val="000000"/>
                <w:sz w:val="20"/>
                <w:szCs w:val="20"/>
                <w:lang w:eastAsia="en-GB"/>
              </w:rPr>
            </w:pPr>
            <w:r w:rsidRPr="00C05886">
              <w:rPr>
                <w:rFonts w:ascii="Calibri" w:eastAsia="Times New Roman" w:hAnsi="Calibri" w:cs="Calibri"/>
                <w:color w:val="000000"/>
                <w:sz w:val="20"/>
                <w:szCs w:val="20"/>
                <w:lang w:eastAsia="en-GB"/>
              </w:rPr>
              <w:t>357</w:t>
            </w:r>
          </w:p>
        </w:tc>
        <w:tc>
          <w:tcPr>
            <w:tcW w:w="1369" w:type="dxa"/>
            <w:noWrap/>
            <w:hideMark/>
          </w:tcPr>
          <w:p w14:paraId="50E4BB6C" w14:textId="77777777" w:rsidR="00375BD2" w:rsidRPr="00C05886" w:rsidRDefault="00375BD2" w:rsidP="00375BD2">
            <w:pPr>
              <w:spacing w:line="240" w:lineRule="auto"/>
              <w:rPr>
                <w:rFonts w:ascii="Calibri" w:eastAsia="Times New Roman" w:hAnsi="Calibri" w:cs="Calibri"/>
                <w:color w:val="000000"/>
                <w:sz w:val="20"/>
                <w:szCs w:val="20"/>
                <w:lang w:eastAsia="en-GB"/>
              </w:rPr>
            </w:pPr>
            <w:r w:rsidRPr="00C05886">
              <w:rPr>
                <w:rFonts w:ascii="Calibri" w:eastAsia="Times New Roman" w:hAnsi="Calibri" w:cs="Calibri"/>
                <w:color w:val="000000"/>
                <w:sz w:val="20"/>
                <w:szCs w:val="20"/>
                <w:lang w:eastAsia="en-GB"/>
              </w:rPr>
              <w:t>77.1%</w:t>
            </w:r>
          </w:p>
        </w:tc>
      </w:tr>
      <w:tr w:rsidR="00375BD2" w:rsidRPr="00C05886" w14:paraId="21FB6CAA" w14:textId="77777777" w:rsidTr="006266B5">
        <w:trPr>
          <w:trHeight w:val="279"/>
        </w:trPr>
        <w:tc>
          <w:tcPr>
            <w:tcW w:w="1555" w:type="dxa"/>
            <w:vMerge/>
            <w:noWrap/>
            <w:vAlign w:val="center"/>
            <w:hideMark/>
          </w:tcPr>
          <w:p w14:paraId="2CCB293A" w14:textId="77777777" w:rsidR="00375BD2" w:rsidRPr="00C05886" w:rsidRDefault="00375BD2" w:rsidP="00375BD2">
            <w:pPr>
              <w:spacing w:line="240" w:lineRule="auto"/>
              <w:jc w:val="center"/>
              <w:rPr>
                <w:rFonts w:ascii="Calibri" w:eastAsia="Times New Roman" w:hAnsi="Calibri" w:cs="Calibri"/>
                <w:color w:val="000000"/>
                <w:sz w:val="20"/>
                <w:szCs w:val="20"/>
                <w:lang w:eastAsia="en-GB"/>
              </w:rPr>
            </w:pPr>
          </w:p>
        </w:tc>
        <w:tc>
          <w:tcPr>
            <w:tcW w:w="2268" w:type="dxa"/>
            <w:noWrap/>
            <w:hideMark/>
          </w:tcPr>
          <w:p w14:paraId="08F96D84" w14:textId="77777777" w:rsidR="00375BD2" w:rsidRPr="00C05886" w:rsidRDefault="00375BD2" w:rsidP="00375BD2">
            <w:pPr>
              <w:spacing w:line="240" w:lineRule="auto"/>
              <w:rPr>
                <w:rFonts w:ascii="Calibri" w:eastAsia="Times New Roman" w:hAnsi="Calibri" w:cs="Calibri"/>
                <w:color w:val="000000"/>
                <w:sz w:val="20"/>
                <w:szCs w:val="20"/>
                <w:lang w:eastAsia="en-GB"/>
              </w:rPr>
            </w:pPr>
            <w:r w:rsidRPr="00C05886">
              <w:rPr>
                <w:rFonts w:ascii="Calibri" w:eastAsia="Times New Roman" w:hAnsi="Calibri" w:cs="Calibri"/>
                <w:color w:val="000000"/>
                <w:sz w:val="20"/>
                <w:szCs w:val="20"/>
                <w:lang w:eastAsia="en-GB"/>
              </w:rPr>
              <w:t>No</w:t>
            </w:r>
          </w:p>
        </w:tc>
        <w:tc>
          <w:tcPr>
            <w:tcW w:w="1275" w:type="dxa"/>
            <w:noWrap/>
            <w:hideMark/>
          </w:tcPr>
          <w:p w14:paraId="63EB1374" w14:textId="77777777" w:rsidR="00375BD2" w:rsidRPr="00C05886" w:rsidRDefault="00375BD2" w:rsidP="00375BD2">
            <w:pPr>
              <w:spacing w:line="240" w:lineRule="auto"/>
              <w:jc w:val="right"/>
              <w:rPr>
                <w:rFonts w:ascii="Calibri" w:eastAsia="Times New Roman" w:hAnsi="Calibri" w:cs="Calibri"/>
                <w:color w:val="000000"/>
                <w:sz w:val="20"/>
                <w:szCs w:val="20"/>
                <w:lang w:eastAsia="en-GB"/>
              </w:rPr>
            </w:pPr>
            <w:r w:rsidRPr="00C05886">
              <w:rPr>
                <w:rFonts w:ascii="Calibri" w:eastAsia="Times New Roman" w:hAnsi="Calibri" w:cs="Calibri"/>
                <w:color w:val="000000"/>
                <w:sz w:val="20"/>
                <w:szCs w:val="20"/>
                <w:lang w:eastAsia="en-GB"/>
              </w:rPr>
              <w:t>106</w:t>
            </w:r>
          </w:p>
        </w:tc>
        <w:tc>
          <w:tcPr>
            <w:tcW w:w="1369" w:type="dxa"/>
            <w:noWrap/>
            <w:hideMark/>
          </w:tcPr>
          <w:p w14:paraId="4C563350" w14:textId="77777777" w:rsidR="00375BD2" w:rsidRPr="00C05886" w:rsidRDefault="00375BD2" w:rsidP="00375BD2">
            <w:pPr>
              <w:spacing w:line="240" w:lineRule="auto"/>
              <w:rPr>
                <w:rFonts w:ascii="Calibri" w:eastAsia="Times New Roman" w:hAnsi="Calibri" w:cs="Calibri"/>
                <w:color w:val="000000"/>
                <w:sz w:val="20"/>
                <w:szCs w:val="20"/>
                <w:lang w:eastAsia="en-GB"/>
              </w:rPr>
            </w:pPr>
            <w:r w:rsidRPr="00C05886">
              <w:rPr>
                <w:rFonts w:ascii="Calibri" w:eastAsia="Times New Roman" w:hAnsi="Calibri" w:cs="Calibri"/>
                <w:color w:val="000000"/>
                <w:sz w:val="20"/>
                <w:szCs w:val="20"/>
                <w:lang w:eastAsia="en-GB"/>
              </w:rPr>
              <w:t>22.9%</w:t>
            </w:r>
          </w:p>
        </w:tc>
      </w:tr>
      <w:tr w:rsidR="00375BD2" w:rsidRPr="00C05886" w14:paraId="1CBB046E" w14:textId="77777777" w:rsidTr="006266B5">
        <w:trPr>
          <w:trHeight w:val="279"/>
        </w:trPr>
        <w:tc>
          <w:tcPr>
            <w:tcW w:w="1555" w:type="dxa"/>
            <w:vMerge/>
            <w:noWrap/>
            <w:vAlign w:val="center"/>
            <w:hideMark/>
          </w:tcPr>
          <w:p w14:paraId="45847F1D" w14:textId="77777777" w:rsidR="00375BD2" w:rsidRPr="00C05886" w:rsidRDefault="00375BD2" w:rsidP="00375BD2">
            <w:pPr>
              <w:spacing w:line="240" w:lineRule="auto"/>
              <w:jc w:val="center"/>
              <w:rPr>
                <w:rFonts w:ascii="Calibri" w:eastAsia="Times New Roman" w:hAnsi="Calibri" w:cs="Calibri"/>
                <w:color w:val="000000"/>
                <w:sz w:val="20"/>
                <w:szCs w:val="20"/>
                <w:lang w:eastAsia="en-GB"/>
              </w:rPr>
            </w:pPr>
          </w:p>
        </w:tc>
        <w:tc>
          <w:tcPr>
            <w:tcW w:w="2268" w:type="dxa"/>
            <w:noWrap/>
            <w:hideMark/>
          </w:tcPr>
          <w:p w14:paraId="070D4EB6" w14:textId="77777777" w:rsidR="00375BD2" w:rsidRPr="00C05886" w:rsidRDefault="00375BD2" w:rsidP="00375BD2">
            <w:pPr>
              <w:spacing w:line="240" w:lineRule="auto"/>
              <w:rPr>
                <w:rFonts w:ascii="Calibri" w:eastAsia="Times New Roman" w:hAnsi="Calibri" w:cs="Calibri"/>
                <w:color w:val="000000"/>
                <w:sz w:val="20"/>
                <w:szCs w:val="20"/>
                <w:lang w:eastAsia="en-GB"/>
              </w:rPr>
            </w:pPr>
            <w:r w:rsidRPr="00C05886">
              <w:rPr>
                <w:rFonts w:ascii="Calibri" w:eastAsia="Times New Roman" w:hAnsi="Calibri" w:cs="Calibri"/>
                <w:color w:val="000000"/>
                <w:sz w:val="20"/>
                <w:szCs w:val="20"/>
                <w:lang w:eastAsia="en-GB"/>
              </w:rPr>
              <w:t>Total</w:t>
            </w:r>
          </w:p>
        </w:tc>
        <w:tc>
          <w:tcPr>
            <w:tcW w:w="1275" w:type="dxa"/>
            <w:noWrap/>
            <w:hideMark/>
          </w:tcPr>
          <w:p w14:paraId="2491410F" w14:textId="77777777" w:rsidR="00375BD2" w:rsidRPr="00C05886" w:rsidRDefault="00375BD2" w:rsidP="00375BD2">
            <w:pPr>
              <w:spacing w:line="240" w:lineRule="auto"/>
              <w:jc w:val="right"/>
              <w:rPr>
                <w:rFonts w:ascii="Calibri" w:eastAsia="Times New Roman" w:hAnsi="Calibri" w:cs="Calibri"/>
                <w:color w:val="000000"/>
                <w:sz w:val="20"/>
                <w:szCs w:val="20"/>
                <w:lang w:eastAsia="en-GB"/>
              </w:rPr>
            </w:pPr>
            <w:r w:rsidRPr="00C05886">
              <w:rPr>
                <w:rFonts w:ascii="Calibri" w:eastAsia="Times New Roman" w:hAnsi="Calibri" w:cs="Calibri"/>
                <w:color w:val="000000"/>
                <w:sz w:val="20"/>
                <w:szCs w:val="20"/>
                <w:lang w:eastAsia="en-GB"/>
              </w:rPr>
              <w:t>463</w:t>
            </w:r>
          </w:p>
        </w:tc>
        <w:tc>
          <w:tcPr>
            <w:tcW w:w="1369" w:type="dxa"/>
            <w:noWrap/>
            <w:hideMark/>
          </w:tcPr>
          <w:p w14:paraId="7379A4FA" w14:textId="77777777" w:rsidR="00375BD2" w:rsidRPr="00C05886" w:rsidRDefault="00375BD2" w:rsidP="00375BD2">
            <w:pPr>
              <w:spacing w:line="240" w:lineRule="auto"/>
              <w:rPr>
                <w:rFonts w:ascii="Calibri" w:eastAsia="Times New Roman" w:hAnsi="Calibri" w:cs="Calibri"/>
                <w:color w:val="000000"/>
                <w:sz w:val="20"/>
                <w:szCs w:val="20"/>
                <w:lang w:eastAsia="en-GB"/>
              </w:rPr>
            </w:pPr>
            <w:r w:rsidRPr="00C05886">
              <w:rPr>
                <w:rFonts w:ascii="Calibri" w:eastAsia="Times New Roman" w:hAnsi="Calibri" w:cs="Calibri"/>
                <w:color w:val="000000"/>
                <w:sz w:val="20"/>
                <w:szCs w:val="20"/>
                <w:lang w:eastAsia="en-GB"/>
              </w:rPr>
              <w:t>100%</w:t>
            </w:r>
          </w:p>
        </w:tc>
      </w:tr>
      <w:tr w:rsidR="00375BD2" w:rsidRPr="00C05886" w14:paraId="7A2E4907" w14:textId="77777777" w:rsidTr="006266B5">
        <w:trPr>
          <w:trHeight w:val="279"/>
        </w:trPr>
        <w:tc>
          <w:tcPr>
            <w:tcW w:w="1555" w:type="dxa"/>
            <w:vMerge w:val="restart"/>
            <w:noWrap/>
            <w:vAlign w:val="center"/>
            <w:hideMark/>
          </w:tcPr>
          <w:p w14:paraId="4DA5C24E" w14:textId="77777777" w:rsidR="00375BD2" w:rsidRPr="00C05886" w:rsidRDefault="00375BD2" w:rsidP="00375BD2">
            <w:pPr>
              <w:spacing w:line="240" w:lineRule="auto"/>
              <w:jc w:val="center"/>
              <w:rPr>
                <w:rFonts w:ascii="Calibri" w:eastAsia="Times New Roman" w:hAnsi="Calibri" w:cs="Calibri"/>
                <w:color w:val="000000"/>
                <w:sz w:val="20"/>
                <w:szCs w:val="20"/>
                <w:lang w:eastAsia="en-GB"/>
              </w:rPr>
            </w:pPr>
            <w:r w:rsidRPr="00C05886">
              <w:rPr>
                <w:rFonts w:ascii="Calibri" w:eastAsia="Times New Roman" w:hAnsi="Calibri" w:cs="Calibri"/>
                <w:color w:val="000000"/>
                <w:sz w:val="20"/>
                <w:szCs w:val="20"/>
                <w:lang w:eastAsia="en-GB"/>
              </w:rPr>
              <w:t>Experiment 2</w:t>
            </w:r>
          </w:p>
        </w:tc>
        <w:tc>
          <w:tcPr>
            <w:tcW w:w="2268" w:type="dxa"/>
            <w:noWrap/>
            <w:hideMark/>
          </w:tcPr>
          <w:p w14:paraId="6B1C1C13" w14:textId="77777777" w:rsidR="00375BD2" w:rsidRPr="00C05886" w:rsidRDefault="00375BD2" w:rsidP="00375BD2">
            <w:pPr>
              <w:spacing w:line="240" w:lineRule="auto"/>
              <w:rPr>
                <w:rFonts w:ascii="Calibri" w:eastAsia="Times New Roman" w:hAnsi="Calibri" w:cs="Calibri"/>
                <w:color w:val="000000"/>
                <w:sz w:val="20"/>
                <w:szCs w:val="20"/>
                <w:lang w:eastAsia="en-GB"/>
              </w:rPr>
            </w:pPr>
            <w:r w:rsidRPr="00C05886">
              <w:rPr>
                <w:rFonts w:ascii="Calibri" w:eastAsia="Times New Roman" w:hAnsi="Calibri" w:cs="Calibri"/>
                <w:color w:val="000000"/>
                <w:sz w:val="20"/>
                <w:szCs w:val="20"/>
                <w:lang w:eastAsia="en-GB"/>
              </w:rPr>
              <w:t>Yes</w:t>
            </w:r>
          </w:p>
        </w:tc>
        <w:tc>
          <w:tcPr>
            <w:tcW w:w="1275" w:type="dxa"/>
            <w:noWrap/>
            <w:hideMark/>
          </w:tcPr>
          <w:p w14:paraId="306DFAC4" w14:textId="77777777" w:rsidR="00375BD2" w:rsidRPr="00C05886" w:rsidRDefault="00375BD2" w:rsidP="00375BD2">
            <w:pPr>
              <w:spacing w:line="240" w:lineRule="auto"/>
              <w:jc w:val="right"/>
              <w:rPr>
                <w:rFonts w:ascii="Calibri" w:eastAsia="Times New Roman" w:hAnsi="Calibri" w:cs="Calibri"/>
                <w:color w:val="000000"/>
                <w:sz w:val="20"/>
                <w:szCs w:val="20"/>
                <w:lang w:eastAsia="en-GB"/>
              </w:rPr>
            </w:pPr>
            <w:r w:rsidRPr="00C05886">
              <w:rPr>
                <w:rFonts w:ascii="Calibri" w:eastAsia="Times New Roman" w:hAnsi="Calibri" w:cs="Calibri"/>
                <w:color w:val="000000"/>
                <w:sz w:val="20"/>
                <w:szCs w:val="20"/>
                <w:lang w:eastAsia="en-GB"/>
              </w:rPr>
              <w:t>375</w:t>
            </w:r>
          </w:p>
        </w:tc>
        <w:tc>
          <w:tcPr>
            <w:tcW w:w="1369" w:type="dxa"/>
            <w:noWrap/>
            <w:hideMark/>
          </w:tcPr>
          <w:p w14:paraId="063A0068" w14:textId="77777777" w:rsidR="00375BD2" w:rsidRPr="00C05886" w:rsidRDefault="00375BD2" w:rsidP="00375BD2">
            <w:pPr>
              <w:spacing w:line="240" w:lineRule="auto"/>
              <w:rPr>
                <w:rFonts w:ascii="Calibri" w:eastAsia="Times New Roman" w:hAnsi="Calibri" w:cs="Calibri"/>
                <w:color w:val="000000"/>
                <w:sz w:val="20"/>
                <w:szCs w:val="20"/>
                <w:lang w:eastAsia="en-GB"/>
              </w:rPr>
            </w:pPr>
            <w:r w:rsidRPr="00C05886">
              <w:rPr>
                <w:rFonts w:ascii="Calibri" w:eastAsia="Times New Roman" w:hAnsi="Calibri" w:cs="Calibri"/>
                <w:color w:val="000000"/>
                <w:sz w:val="20"/>
                <w:szCs w:val="20"/>
                <w:lang w:eastAsia="en-GB"/>
              </w:rPr>
              <w:t>78.6%</w:t>
            </w:r>
          </w:p>
        </w:tc>
      </w:tr>
      <w:tr w:rsidR="00375BD2" w:rsidRPr="00C05886" w14:paraId="2EF7C697" w14:textId="77777777" w:rsidTr="006266B5">
        <w:trPr>
          <w:trHeight w:val="279"/>
        </w:trPr>
        <w:tc>
          <w:tcPr>
            <w:tcW w:w="1555" w:type="dxa"/>
            <w:vMerge/>
            <w:noWrap/>
            <w:vAlign w:val="center"/>
            <w:hideMark/>
          </w:tcPr>
          <w:p w14:paraId="5CB49B09" w14:textId="77777777" w:rsidR="00375BD2" w:rsidRPr="00C05886" w:rsidRDefault="00375BD2" w:rsidP="00375BD2">
            <w:pPr>
              <w:spacing w:line="240" w:lineRule="auto"/>
              <w:jc w:val="center"/>
              <w:rPr>
                <w:rFonts w:ascii="Calibri" w:eastAsia="Times New Roman" w:hAnsi="Calibri" w:cs="Calibri"/>
                <w:color w:val="000000"/>
                <w:sz w:val="20"/>
                <w:szCs w:val="20"/>
                <w:lang w:eastAsia="en-GB"/>
              </w:rPr>
            </w:pPr>
          </w:p>
        </w:tc>
        <w:tc>
          <w:tcPr>
            <w:tcW w:w="2268" w:type="dxa"/>
            <w:noWrap/>
            <w:hideMark/>
          </w:tcPr>
          <w:p w14:paraId="17AC8E1A" w14:textId="77777777" w:rsidR="00375BD2" w:rsidRPr="00C05886" w:rsidRDefault="00375BD2" w:rsidP="00375BD2">
            <w:pPr>
              <w:spacing w:line="240" w:lineRule="auto"/>
              <w:rPr>
                <w:rFonts w:ascii="Calibri" w:eastAsia="Times New Roman" w:hAnsi="Calibri" w:cs="Calibri"/>
                <w:color w:val="000000"/>
                <w:sz w:val="20"/>
                <w:szCs w:val="20"/>
                <w:lang w:eastAsia="en-GB"/>
              </w:rPr>
            </w:pPr>
            <w:r w:rsidRPr="00C05886">
              <w:rPr>
                <w:rFonts w:ascii="Calibri" w:eastAsia="Times New Roman" w:hAnsi="Calibri" w:cs="Calibri"/>
                <w:color w:val="000000"/>
                <w:sz w:val="20"/>
                <w:szCs w:val="20"/>
                <w:lang w:eastAsia="en-GB"/>
              </w:rPr>
              <w:t>No</w:t>
            </w:r>
          </w:p>
        </w:tc>
        <w:tc>
          <w:tcPr>
            <w:tcW w:w="1275" w:type="dxa"/>
            <w:noWrap/>
            <w:hideMark/>
          </w:tcPr>
          <w:p w14:paraId="51D42927" w14:textId="77777777" w:rsidR="00375BD2" w:rsidRPr="00C05886" w:rsidRDefault="00375BD2" w:rsidP="00375BD2">
            <w:pPr>
              <w:spacing w:line="240" w:lineRule="auto"/>
              <w:jc w:val="right"/>
              <w:rPr>
                <w:rFonts w:ascii="Calibri" w:eastAsia="Times New Roman" w:hAnsi="Calibri" w:cs="Calibri"/>
                <w:color w:val="000000"/>
                <w:sz w:val="20"/>
                <w:szCs w:val="20"/>
                <w:lang w:eastAsia="en-GB"/>
              </w:rPr>
            </w:pPr>
            <w:r w:rsidRPr="00C05886">
              <w:rPr>
                <w:rFonts w:ascii="Calibri" w:eastAsia="Times New Roman" w:hAnsi="Calibri" w:cs="Calibri"/>
                <w:color w:val="000000"/>
                <w:sz w:val="20"/>
                <w:szCs w:val="20"/>
                <w:lang w:eastAsia="en-GB"/>
              </w:rPr>
              <w:t>102</w:t>
            </w:r>
          </w:p>
        </w:tc>
        <w:tc>
          <w:tcPr>
            <w:tcW w:w="1369" w:type="dxa"/>
            <w:noWrap/>
            <w:hideMark/>
          </w:tcPr>
          <w:p w14:paraId="533B8F5D" w14:textId="77777777" w:rsidR="00375BD2" w:rsidRPr="00C05886" w:rsidRDefault="00375BD2" w:rsidP="00375BD2">
            <w:pPr>
              <w:spacing w:line="240" w:lineRule="auto"/>
              <w:rPr>
                <w:rFonts w:ascii="Calibri" w:eastAsia="Times New Roman" w:hAnsi="Calibri" w:cs="Calibri"/>
                <w:color w:val="000000"/>
                <w:sz w:val="20"/>
                <w:szCs w:val="20"/>
                <w:lang w:eastAsia="en-GB"/>
              </w:rPr>
            </w:pPr>
            <w:r w:rsidRPr="00C05886">
              <w:rPr>
                <w:rFonts w:ascii="Calibri" w:eastAsia="Times New Roman" w:hAnsi="Calibri" w:cs="Calibri"/>
                <w:color w:val="000000"/>
                <w:sz w:val="20"/>
                <w:szCs w:val="20"/>
                <w:lang w:eastAsia="en-GB"/>
              </w:rPr>
              <w:t>21.4%</w:t>
            </w:r>
          </w:p>
        </w:tc>
      </w:tr>
      <w:tr w:rsidR="00375BD2" w:rsidRPr="00C05886" w14:paraId="15A8AB9F" w14:textId="77777777" w:rsidTr="006266B5">
        <w:trPr>
          <w:trHeight w:val="279"/>
        </w:trPr>
        <w:tc>
          <w:tcPr>
            <w:tcW w:w="1555" w:type="dxa"/>
            <w:vMerge/>
            <w:noWrap/>
            <w:vAlign w:val="center"/>
            <w:hideMark/>
          </w:tcPr>
          <w:p w14:paraId="728A6698" w14:textId="77777777" w:rsidR="00375BD2" w:rsidRPr="00C05886" w:rsidRDefault="00375BD2" w:rsidP="00375BD2">
            <w:pPr>
              <w:spacing w:line="240" w:lineRule="auto"/>
              <w:jc w:val="center"/>
              <w:rPr>
                <w:rFonts w:ascii="Calibri" w:eastAsia="Times New Roman" w:hAnsi="Calibri" w:cs="Calibri"/>
                <w:color w:val="000000"/>
                <w:sz w:val="20"/>
                <w:szCs w:val="20"/>
                <w:lang w:eastAsia="en-GB"/>
              </w:rPr>
            </w:pPr>
          </w:p>
        </w:tc>
        <w:tc>
          <w:tcPr>
            <w:tcW w:w="2268" w:type="dxa"/>
            <w:noWrap/>
            <w:hideMark/>
          </w:tcPr>
          <w:p w14:paraId="428EC9F5" w14:textId="77777777" w:rsidR="00375BD2" w:rsidRPr="00C05886" w:rsidRDefault="00375BD2" w:rsidP="00375BD2">
            <w:pPr>
              <w:spacing w:line="240" w:lineRule="auto"/>
              <w:rPr>
                <w:rFonts w:ascii="Calibri" w:eastAsia="Times New Roman" w:hAnsi="Calibri" w:cs="Calibri"/>
                <w:color w:val="000000"/>
                <w:sz w:val="20"/>
                <w:szCs w:val="20"/>
                <w:lang w:eastAsia="en-GB"/>
              </w:rPr>
            </w:pPr>
            <w:r w:rsidRPr="00C05886">
              <w:rPr>
                <w:rFonts w:ascii="Calibri" w:eastAsia="Times New Roman" w:hAnsi="Calibri" w:cs="Calibri"/>
                <w:color w:val="000000"/>
                <w:sz w:val="20"/>
                <w:szCs w:val="20"/>
                <w:lang w:eastAsia="en-GB"/>
              </w:rPr>
              <w:t>Total</w:t>
            </w:r>
          </w:p>
        </w:tc>
        <w:tc>
          <w:tcPr>
            <w:tcW w:w="1275" w:type="dxa"/>
            <w:noWrap/>
            <w:hideMark/>
          </w:tcPr>
          <w:p w14:paraId="7AE695D7" w14:textId="77777777" w:rsidR="00375BD2" w:rsidRPr="00C05886" w:rsidRDefault="00375BD2" w:rsidP="00375BD2">
            <w:pPr>
              <w:spacing w:line="240" w:lineRule="auto"/>
              <w:jc w:val="right"/>
              <w:rPr>
                <w:rFonts w:ascii="Calibri" w:eastAsia="Times New Roman" w:hAnsi="Calibri" w:cs="Calibri"/>
                <w:color w:val="000000"/>
                <w:sz w:val="20"/>
                <w:szCs w:val="20"/>
                <w:lang w:eastAsia="en-GB"/>
              </w:rPr>
            </w:pPr>
            <w:r w:rsidRPr="00C05886">
              <w:rPr>
                <w:rFonts w:ascii="Calibri" w:eastAsia="Times New Roman" w:hAnsi="Calibri" w:cs="Calibri"/>
                <w:color w:val="000000"/>
                <w:sz w:val="20"/>
                <w:szCs w:val="20"/>
                <w:lang w:eastAsia="en-GB"/>
              </w:rPr>
              <w:t>477</w:t>
            </w:r>
          </w:p>
        </w:tc>
        <w:tc>
          <w:tcPr>
            <w:tcW w:w="1369" w:type="dxa"/>
            <w:noWrap/>
            <w:hideMark/>
          </w:tcPr>
          <w:p w14:paraId="7B0F5123" w14:textId="77777777" w:rsidR="00375BD2" w:rsidRPr="00C05886" w:rsidRDefault="00375BD2" w:rsidP="00375BD2">
            <w:pPr>
              <w:spacing w:line="240" w:lineRule="auto"/>
              <w:rPr>
                <w:rFonts w:ascii="Calibri" w:eastAsia="Times New Roman" w:hAnsi="Calibri" w:cs="Calibri"/>
                <w:color w:val="000000"/>
                <w:sz w:val="20"/>
                <w:szCs w:val="20"/>
                <w:lang w:eastAsia="en-GB"/>
              </w:rPr>
            </w:pPr>
            <w:r w:rsidRPr="00C05886">
              <w:rPr>
                <w:rFonts w:ascii="Calibri" w:eastAsia="Times New Roman" w:hAnsi="Calibri" w:cs="Calibri"/>
                <w:color w:val="000000"/>
                <w:sz w:val="20"/>
                <w:szCs w:val="20"/>
                <w:lang w:eastAsia="en-GB"/>
              </w:rPr>
              <w:t>100%</w:t>
            </w:r>
          </w:p>
        </w:tc>
      </w:tr>
      <w:tr w:rsidR="00375BD2" w:rsidRPr="00C05886" w14:paraId="35F7BC19" w14:textId="77777777" w:rsidTr="006266B5">
        <w:trPr>
          <w:trHeight w:val="279"/>
        </w:trPr>
        <w:tc>
          <w:tcPr>
            <w:tcW w:w="1555" w:type="dxa"/>
            <w:vMerge w:val="restart"/>
            <w:noWrap/>
            <w:vAlign w:val="center"/>
            <w:hideMark/>
          </w:tcPr>
          <w:p w14:paraId="02CCA8A4" w14:textId="77777777" w:rsidR="00375BD2" w:rsidRPr="00C05886" w:rsidRDefault="00375BD2" w:rsidP="00375BD2">
            <w:pPr>
              <w:spacing w:line="240" w:lineRule="auto"/>
              <w:jc w:val="center"/>
              <w:rPr>
                <w:rFonts w:ascii="Calibri" w:eastAsia="Times New Roman" w:hAnsi="Calibri" w:cs="Calibri"/>
                <w:color w:val="000000"/>
                <w:sz w:val="20"/>
                <w:szCs w:val="20"/>
                <w:lang w:eastAsia="en-GB"/>
              </w:rPr>
            </w:pPr>
            <w:r w:rsidRPr="00C05886">
              <w:rPr>
                <w:rFonts w:ascii="Calibri" w:eastAsia="Times New Roman" w:hAnsi="Calibri" w:cs="Calibri"/>
                <w:color w:val="000000"/>
                <w:sz w:val="20"/>
                <w:szCs w:val="20"/>
                <w:lang w:eastAsia="en-GB"/>
              </w:rPr>
              <w:t>Experiment 3</w:t>
            </w:r>
          </w:p>
        </w:tc>
        <w:tc>
          <w:tcPr>
            <w:tcW w:w="2268" w:type="dxa"/>
            <w:noWrap/>
            <w:hideMark/>
          </w:tcPr>
          <w:p w14:paraId="006E3FB3" w14:textId="77777777" w:rsidR="00375BD2" w:rsidRPr="00C05886" w:rsidRDefault="00375BD2" w:rsidP="00375BD2">
            <w:pPr>
              <w:spacing w:line="240" w:lineRule="auto"/>
              <w:rPr>
                <w:rFonts w:ascii="Calibri" w:eastAsia="Times New Roman" w:hAnsi="Calibri" w:cs="Calibri"/>
                <w:color w:val="000000"/>
                <w:sz w:val="20"/>
                <w:szCs w:val="20"/>
                <w:lang w:eastAsia="en-GB"/>
              </w:rPr>
            </w:pPr>
            <w:r w:rsidRPr="00C05886">
              <w:rPr>
                <w:rFonts w:ascii="Calibri" w:eastAsia="Times New Roman" w:hAnsi="Calibri" w:cs="Calibri"/>
                <w:color w:val="000000"/>
                <w:sz w:val="20"/>
                <w:szCs w:val="20"/>
                <w:lang w:eastAsia="en-GB"/>
              </w:rPr>
              <w:t>Yes</w:t>
            </w:r>
          </w:p>
        </w:tc>
        <w:tc>
          <w:tcPr>
            <w:tcW w:w="1275" w:type="dxa"/>
            <w:noWrap/>
            <w:hideMark/>
          </w:tcPr>
          <w:p w14:paraId="208E5846" w14:textId="77777777" w:rsidR="00375BD2" w:rsidRPr="00C05886" w:rsidRDefault="00375BD2" w:rsidP="00375BD2">
            <w:pPr>
              <w:spacing w:line="240" w:lineRule="auto"/>
              <w:jc w:val="right"/>
              <w:rPr>
                <w:rFonts w:ascii="Calibri" w:eastAsia="Times New Roman" w:hAnsi="Calibri" w:cs="Calibri"/>
                <w:color w:val="000000"/>
                <w:sz w:val="20"/>
                <w:szCs w:val="20"/>
                <w:lang w:eastAsia="en-GB"/>
              </w:rPr>
            </w:pPr>
            <w:r w:rsidRPr="00C05886">
              <w:rPr>
                <w:rFonts w:ascii="Calibri" w:eastAsia="Times New Roman" w:hAnsi="Calibri" w:cs="Calibri"/>
                <w:color w:val="000000"/>
                <w:sz w:val="20"/>
                <w:szCs w:val="20"/>
                <w:lang w:eastAsia="en-GB"/>
              </w:rPr>
              <w:t>197</w:t>
            </w:r>
          </w:p>
        </w:tc>
        <w:tc>
          <w:tcPr>
            <w:tcW w:w="1369" w:type="dxa"/>
            <w:noWrap/>
            <w:hideMark/>
          </w:tcPr>
          <w:p w14:paraId="0FDD4048" w14:textId="77777777" w:rsidR="00375BD2" w:rsidRPr="00C05886" w:rsidRDefault="00375BD2" w:rsidP="00375BD2">
            <w:pPr>
              <w:spacing w:line="240" w:lineRule="auto"/>
              <w:rPr>
                <w:rFonts w:ascii="Calibri" w:eastAsia="Times New Roman" w:hAnsi="Calibri" w:cs="Calibri"/>
                <w:color w:val="000000"/>
                <w:sz w:val="20"/>
                <w:szCs w:val="20"/>
                <w:lang w:eastAsia="en-GB"/>
              </w:rPr>
            </w:pPr>
            <w:r w:rsidRPr="00C05886">
              <w:rPr>
                <w:rFonts w:ascii="Calibri" w:eastAsia="Times New Roman" w:hAnsi="Calibri" w:cs="Calibri"/>
                <w:color w:val="000000"/>
                <w:sz w:val="20"/>
                <w:szCs w:val="20"/>
                <w:lang w:eastAsia="en-GB"/>
              </w:rPr>
              <w:t>52%</w:t>
            </w:r>
          </w:p>
        </w:tc>
      </w:tr>
      <w:tr w:rsidR="00375BD2" w:rsidRPr="00C05886" w14:paraId="3B41D82B" w14:textId="77777777" w:rsidTr="006266B5">
        <w:trPr>
          <w:trHeight w:val="279"/>
        </w:trPr>
        <w:tc>
          <w:tcPr>
            <w:tcW w:w="1555" w:type="dxa"/>
            <w:vMerge/>
            <w:noWrap/>
            <w:vAlign w:val="center"/>
            <w:hideMark/>
          </w:tcPr>
          <w:p w14:paraId="7BF7D42C" w14:textId="77777777" w:rsidR="00375BD2" w:rsidRPr="00C05886" w:rsidRDefault="00375BD2" w:rsidP="00375BD2">
            <w:pPr>
              <w:spacing w:line="240" w:lineRule="auto"/>
              <w:jc w:val="center"/>
              <w:rPr>
                <w:rFonts w:ascii="Calibri" w:eastAsia="Times New Roman" w:hAnsi="Calibri" w:cs="Calibri"/>
                <w:color w:val="000000"/>
                <w:sz w:val="20"/>
                <w:szCs w:val="20"/>
                <w:lang w:eastAsia="en-GB"/>
              </w:rPr>
            </w:pPr>
          </w:p>
        </w:tc>
        <w:tc>
          <w:tcPr>
            <w:tcW w:w="2268" w:type="dxa"/>
            <w:noWrap/>
            <w:hideMark/>
          </w:tcPr>
          <w:p w14:paraId="6D939045" w14:textId="77777777" w:rsidR="00375BD2" w:rsidRPr="00C05886" w:rsidRDefault="00375BD2" w:rsidP="00375BD2">
            <w:pPr>
              <w:spacing w:line="240" w:lineRule="auto"/>
              <w:rPr>
                <w:rFonts w:ascii="Calibri" w:eastAsia="Times New Roman" w:hAnsi="Calibri" w:cs="Calibri"/>
                <w:color w:val="000000"/>
                <w:sz w:val="20"/>
                <w:szCs w:val="20"/>
                <w:lang w:eastAsia="en-GB"/>
              </w:rPr>
            </w:pPr>
            <w:r w:rsidRPr="00C05886">
              <w:rPr>
                <w:rFonts w:ascii="Calibri" w:eastAsia="Times New Roman" w:hAnsi="Calibri" w:cs="Calibri"/>
                <w:color w:val="000000"/>
                <w:sz w:val="20"/>
                <w:szCs w:val="20"/>
                <w:lang w:eastAsia="en-GB"/>
              </w:rPr>
              <w:t>No</w:t>
            </w:r>
          </w:p>
        </w:tc>
        <w:tc>
          <w:tcPr>
            <w:tcW w:w="1275" w:type="dxa"/>
            <w:noWrap/>
            <w:hideMark/>
          </w:tcPr>
          <w:p w14:paraId="5112A3AC" w14:textId="77777777" w:rsidR="00375BD2" w:rsidRPr="00C05886" w:rsidRDefault="00375BD2" w:rsidP="00375BD2">
            <w:pPr>
              <w:spacing w:line="240" w:lineRule="auto"/>
              <w:jc w:val="right"/>
              <w:rPr>
                <w:rFonts w:ascii="Calibri" w:eastAsia="Times New Roman" w:hAnsi="Calibri" w:cs="Calibri"/>
                <w:color w:val="000000"/>
                <w:sz w:val="20"/>
                <w:szCs w:val="20"/>
                <w:lang w:eastAsia="en-GB"/>
              </w:rPr>
            </w:pPr>
            <w:r w:rsidRPr="00C05886">
              <w:rPr>
                <w:rFonts w:ascii="Calibri" w:eastAsia="Times New Roman" w:hAnsi="Calibri" w:cs="Calibri"/>
                <w:color w:val="000000"/>
                <w:sz w:val="20"/>
                <w:szCs w:val="20"/>
                <w:lang w:eastAsia="en-GB"/>
              </w:rPr>
              <w:t>182</w:t>
            </w:r>
          </w:p>
        </w:tc>
        <w:tc>
          <w:tcPr>
            <w:tcW w:w="1369" w:type="dxa"/>
            <w:noWrap/>
            <w:hideMark/>
          </w:tcPr>
          <w:p w14:paraId="531DDA05" w14:textId="77777777" w:rsidR="00375BD2" w:rsidRPr="00C05886" w:rsidRDefault="00375BD2" w:rsidP="00375BD2">
            <w:pPr>
              <w:spacing w:line="240" w:lineRule="auto"/>
              <w:rPr>
                <w:rFonts w:ascii="Calibri" w:eastAsia="Times New Roman" w:hAnsi="Calibri" w:cs="Calibri"/>
                <w:color w:val="000000"/>
                <w:sz w:val="20"/>
                <w:szCs w:val="20"/>
                <w:lang w:eastAsia="en-GB"/>
              </w:rPr>
            </w:pPr>
            <w:r w:rsidRPr="00C05886">
              <w:rPr>
                <w:rFonts w:ascii="Calibri" w:eastAsia="Times New Roman" w:hAnsi="Calibri" w:cs="Calibri"/>
                <w:color w:val="000000"/>
                <w:sz w:val="20"/>
                <w:szCs w:val="20"/>
                <w:lang w:eastAsia="en-GB"/>
              </w:rPr>
              <w:t>48%</w:t>
            </w:r>
          </w:p>
        </w:tc>
      </w:tr>
      <w:tr w:rsidR="00375BD2" w:rsidRPr="00C05886" w14:paraId="59BA84E9" w14:textId="77777777" w:rsidTr="006266B5">
        <w:trPr>
          <w:trHeight w:val="279"/>
        </w:trPr>
        <w:tc>
          <w:tcPr>
            <w:tcW w:w="1555" w:type="dxa"/>
            <w:vMerge/>
            <w:noWrap/>
            <w:vAlign w:val="center"/>
            <w:hideMark/>
          </w:tcPr>
          <w:p w14:paraId="680EC81B" w14:textId="77777777" w:rsidR="00375BD2" w:rsidRPr="00C05886" w:rsidRDefault="00375BD2" w:rsidP="00375BD2">
            <w:pPr>
              <w:spacing w:line="240" w:lineRule="auto"/>
              <w:jc w:val="center"/>
              <w:rPr>
                <w:rFonts w:ascii="Calibri" w:eastAsia="Times New Roman" w:hAnsi="Calibri" w:cs="Calibri"/>
                <w:color w:val="000000"/>
                <w:sz w:val="20"/>
                <w:szCs w:val="20"/>
                <w:lang w:eastAsia="en-GB"/>
              </w:rPr>
            </w:pPr>
          </w:p>
        </w:tc>
        <w:tc>
          <w:tcPr>
            <w:tcW w:w="2268" w:type="dxa"/>
            <w:noWrap/>
            <w:hideMark/>
          </w:tcPr>
          <w:p w14:paraId="1A1F8F86" w14:textId="77777777" w:rsidR="00375BD2" w:rsidRPr="00C05886" w:rsidRDefault="00375BD2" w:rsidP="00375BD2">
            <w:pPr>
              <w:spacing w:line="240" w:lineRule="auto"/>
              <w:rPr>
                <w:rFonts w:ascii="Calibri" w:eastAsia="Times New Roman" w:hAnsi="Calibri" w:cs="Calibri"/>
                <w:color w:val="000000"/>
                <w:sz w:val="20"/>
                <w:szCs w:val="20"/>
                <w:lang w:eastAsia="en-GB"/>
              </w:rPr>
            </w:pPr>
            <w:r w:rsidRPr="00C05886">
              <w:rPr>
                <w:rFonts w:ascii="Calibri" w:eastAsia="Times New Roman" w:hAnsi="Calibri" w:cs="Calibri"/>
                <w:color w:val="000000"/>
                <w:sz w:val="20"/>
                <w:szCs w:val="20"/>
                <w:lang w:eastAsia="en-GB"/>
              </w:rPr>
              <w:t>Total</w:t>
            </w:r>
          </w:p>
        </w:tc>
        <w:tc>
          <w:tcPr>
            <w:tcW w:w="1275" w:type="dxa"/>
            <w:noWrap/>
            <w:hideMark/>
          </w:tcPr>
          <w:p w14:paraId="47D1C7BE" w14:textId="77777777" w:rsidR="00375BD2" w:rsidRPr="00C05886" w:rsidRDefault="00375BD2" w:rsidP="00375BD2">
            <w:pPr>
              <w:spacing w:line="240" w:lineRule="auto"/>
              <w:jc w:val="right"/>
              <w:rPr>
                <w:rFonts w:ascii="Calibri" w:eastAsia="Times New Roman" w:hAnsi="Calibri" w:cs="Calibri"/>
                <w:color w:val="000000"/>
                <w:sz w:val="20"/>
                <w:szCs w:val="20"/>
                <w:lang w:eastAsia="en-GB"/>
              </w:rPr>
            </w:pPr>
            <w:r w:rsidRPr="00C05886">
              <w:rPr>
                <w:rFonts w:ascii="Calibri" w:eastAsia="Times New Roman" w:hAnsi="Calibri" w:cs="Calibri"/>
                <w:color w:val="000000"/>
                <w:sz w:val="20"/>
                <w:szCs w:val="20"/>
                <w:lang w:eastAsia="en-GB"/>
              </w:rPr>
              <w:t>379</w:t>
            </w:r>
          </w:p>
        </w:tc>
        <w:tc>
          <w:tcPr>
            <w:tcW w:w="1369" w:type="dxa"/>
            <w:noWrap/>
            <w:hideMark/>
          </w:tcPr>
          <w:p w14:paraId="55E8A97A" w14:textId="77777777" w:rsidR="00375BD2" w:rsidRPr="00C05886" w:rsidRDefault="00375BD2" w:rsidP="00375BD2">
            <w:pPr>
              <w:spacing w:line="240" w:lineRule="auto"/>
              <w:rPr>
                <w:rFonts w:ascii="Calibri" w:eastAsia="Times New Roman" w:hAnsi="Calibri" w:cs="Calibri"/>
                <w:color w:val="000000"/>
                <w:sz w:val="20"/>
                <w:szCs w:val="20"/>
                <w:lang w:eastAsia="en-GB"/>
              </w:rPr>
            </w:pPr>
            <w:r w:rsidRPr="00C05886">
              <w:rPr>
                <w:rFonts w:ascii="Calibri" w:eastAsia="Times New Roman" w:hAnsi="Calibri" w:cs="Calibri"/>
                <w:color w:val="000000"/>
                <w:sz w:val="20"/>
                <w:szCs w:val="20"/>
                <w:lang w:eastAsia="en-GB"/>
              </w:rPr>
              <w:t>100%</w:t>
            </w:r>
          </w:p>
        </w:tc>
      </w:tr>
      <w:tr w:rsidR="00375BD2" w:rsidRPr="00C05886" w14:paraId="352F5AC5" w14:textId="77777777" w:rsidTr="006266B5">
        <w:trPr>
          <w:trHeight w:val="279"/>
        </w:trPr>
        <w:tc>
          <w:tcPr>
            <w:tcW w:w="1555" w:type="dxa"/>
            <w:vMerge w:val="restart"/>
            <w:noWrap/>
            <w:vAlign w:val="center"/>
            <w:hideMark/>
          </w:tcPr>
          <w:p w14:paraId="6389C572" w14:textId="77777777" w:rsidR="00375BD2" w:rsidRPr="00C05886" w:rsidRDefault="00375BD2" w:rsidP="00375BD2">
            <w:pPr>
              <w:spacing w:line="240" w:lineRule="auto"/>
              <w:jc w:val="center"/>
              <w:rPr>
                <w:rFonts w:ascii="Calibri" w:eastAsia="Times New Roman" w:hAnsi="Calibri" w:cs="Calibri"/>
                <w:color w:val="000000"/>
                <w:sz w:val="20"/>
                <w:szCs w:val="20"/>
                <w:lang w:eastAsia="en-GB"/>
              </w:rPr>
            </w:pPr>
            <w:r w:rsidRPr="00C05886">
              <w:rPr>
                <w:rFonts w:ascii="Calibri" w:eastAsia="Times New Roman" w:hAnsi="Calibri" w:cs="Calibri"/>
                <w:color w:val="000000"/>
                <w:sz w:val="20"/>
                <w:szCs w:val="20"/>
                <w:lang w:eastAsia="en-GB"/>
              </w:rPr>
              <w:t>Experiment 4</w:t>
            </w:r>
          </w:p>
        </w:tc>
        <w:tc>
          <w:tcPr>
            <w:tcW w:w="2268" w:type="dxa"/>
            <w:noWrap/>
            <w:hideMark/>
          </w:tcPr>
          <w:p w14:paraId="37688859" w14:textId="77777777" w:rsidR="00375BD2" w:rsidRPr="00C05886" w:rsidRDefault="00375BD2" w:rsidP="00375BD2">
            <w:pPr>
              <w:spacing w:line="240" w:lineRule="auto"/>
              <w:rPr>
                <w:rFonts w:ascii="Calibri" w:eastAsia="Times New Roman" w:hAnsi="Calibri" w:cs="Calibri"/>
                <w:color w:val="000000"/>
                <w:sz w:val="20"/>
                <w:szCs w:val="20"/>
                <w:lang w:eastAsia="en-GB"/>
              </w:rPr>
            </w:pPr>
            <w:r w:rsidRPr="00C05886">
              <w:rPr>
                <w:rFonts w:ascii="Calibri" w:eastAsia="Times New Roman" w:hAnsi="Calibri" w:cs="Calibri"/>
                <w:color w:val="000000"/>
                <w:sz w:val="20"/>
                <w:szCs w:val="20"/>
                <w:lang w:eastAsia="en-GB"/>
              </w:rPr>
              <w:t>Yes</w:t>
            </w:r>
          </w:p>
        </w:tc>
        <w:tc>
          <w:tcPr>
            <w:tcW w:w="1275" w:type="dxa"/>
            <w:noWrap/>
            <w:hideMark/>
          </w:tcPr>
          <w:p w14:paraId="40438151" w14:textId="77777777" w:rsidR="00375BD2" w:rsidRPr="00C05886" w:rsidRDefault="00375BD2" w:rsidP="00375BD2">
            <w:pPr>
              <w:spacing w:line="240" w:lineRule="auto"/>
              <w:jc w:val="right"/>
              <w:rPr>
                <w:rFonts w:ascii="Calibri" w:eastAsia="Times New Roman" w:hAnsi="Calibri" w:cs="Calibri"/>
                <w:color w:val="000000"/>
                <w:sz w:val="20"/>
                <w:szCs w:val="20"/>
                <w:lang w:eastAsia="en-GB"/>
              </w:rPr>
            </w:pPr>
            <w:r w:rsidRPr="00C05886">
              <w:rPr>
                <w:rFonts w:ascii="Calibri" w:eastAsia="Times New Roman" w:hAnsi="Calibri" w:cs="Calibri"/>
                <w:color w:val="000000"/>
                <w:sz w:val="20"/>
                <w:szCs w:val="20"/>
                <w:lang w:eastAsia="en-GB"/>
              </w:rPr>
              <w:t>183</w:t>
            </w:r>
          </w:p>
        </w:tc>
        <w:tc>
          <w:tcPr>
            <w:tcW w:w="1369" w:type="dxa"/>
            <w:noWrap/>
            <w:hideMark/>
          </w:tcPr>
          <w:p w14:paraId="78C4E919" w14:textId="77777777" w:rsidR="00375BD2" w:rsidRPr="00C05886" w:rsidRDefault="00375BD2" w:rsidP="00375BD2">
            <w:pPr>
              <w:spacing w:line="240" w:lineRule="auto"/>
              <w:rPr>
                <w:rFonts w:ascii="Calibri" w:eastAsia="Times New Roman" w:hAnsi="Calibri" w:cs="Calibri"/>
                <w:color w:val="000000"/>
                <w:sz w:val="20"/>
                <w:szCs w:val="20"/>
                <w:lang w:eastAsia="en-GB"/>
              </w:rPr>
            </w:pPr>
            <w:r w:rsidRPr="00C05886">
              <w:rPr>
                <w:rFonts w:ascii="Calibri" w:eastAsia="Times New Roman" w:hAnsi="Calibri" w:cs="Calibri"/>
                <w:color w:val="000000"/>
                <w:sz w:val="20"/>
                <w:szCs w:val="20"/>
                <w:lang w:eastAsia="en-GB"/>
              </w:rPr>
              <w:t>46.3%</w:t>
            </w:r>
          </w:p>
        </w:tc>
      </w:tr>
      <w:tr w:rsidR="00375BD2" w:rsidRPr="00C05886" w14:paraId="0C510B41" w14:textId="77777777" w:rsidTr="0070406A">
        <w:trPr>
          <w:trHeight w:val="279"/>
        </w:trPr>
        <w:tc>
          <w:tcPr>
            <w:tcW w:w="1555" w:type="dxa"/>
            <w:vMerge/>
            <w:noWrap/>
            <w:hideMark/>
          </w:tcPr>
          <w:p w14:paraId="74BA069D" w14:textId="77777777" w:rsidR="00375BD2" w:rsidRPr="00C05886" w:rsidRDefault="00375BD2" w:rsidP="00375BD2">
            <w:pPr>
              <w:spacing w:line="240" w:lineRule="auto"/>
              <w:rPr>
                <w:rFonts w:ascii="Calibri" w:eastAsia="Times New Roman" w:hAnsi="Calibri" w:cs="Calibri"/>
                <w:color w:val="000000"/>
                <w:sz w:val="20"/>
                <w:szCs w:val="20"/>
                <w:lang w:eastAsia="en-GB"/>
              </w:rPr>
            </w:pPr>
          </w:p>
        </w:tc>
        <w:tc>
          <w:tcPr>
            <w:tcW w:w="2268" w:type="dxa"/>
            <w:noWrap/>
            <w:hideMark/>
          </w:tcPr>
          <w:p w14:paraId="1F9CA714" w14:textId="77777777" w:rsidR="00375BD2" w:rsidRPr="00C05886" w:rsidRDefault="00375BD2" w:rsidP="00375BD2">
            <w:pPr>
              <w:spacing w:line="240" w:lineRule="auto"/>
              <w:rPr>
                <w:rFonts w:ascii="Calibri" w:eastAsia="Times New Roman" w:hAnsi="Calibri" w:cs="Calibri"/>
                <w:color w:val="000000"/>
                <w:sz w:val="20"/>
                <w:szCs w:val="20"/>
                <w:lang w:eastAsia="en-GB"/>
              </w:rPr>
            </w:pPr>
            <w:r w:rsidRPr="00C05886">
              <w:rPr>
                <w:rFonts w:ascii="Calibri" w:eastAsia="Times New Roman" w:hAnsi="Calibri" w:cs="Calibri"/>
                <w:color w:val="000000"/>
                <w:sz w:val="20"/>
                <w:szCs w:val="20"/>
                <w:lang w:eastAsia="en-GB"/>
              </w:rPr>
              <w:t>No</w:t>
            </w:r>
          </w:p>
        </w:tc>
        <w:tc>
          <w:tcPr>
            <w:tcW w:w="1275" w:type="dxa"/>
            <w:noWrap/>
            <w:hideMark/>
          </w:tcPr>
          <w:p w14:paraId="57C26F6C" w14:textId="77777777" w:rsidR="00375BD2" w:rsidRPr="00C05886" w:rsidRDefault="00375BD2" w:rsidP="00375BD2">
            <w:pPr>
              <w:spacing w:line="240" w:lineRule="auto"/>
              <w:jc w:val="right"/>
              <w:rPr>
                <w:rFonts w:ascii="Calibri" w:eastAsia="Times New Roman" w:hAnsi="Calibri" w:cs="Calibri"/>
                <w:color w:val="000000"/>
                <w:sz w:val="20"/>
                <w:szCs w:val="20"/>
                <w:lang w:eastAsia="en-GB"/>
              </w:rPr>
            </w:pPr>
            <w:r w:rsidRPr="00C05886">
              <w:rPr>
                <w:rFonts w:ascii="Calibri" w:eastAsia="Times New Roman" w:hAnsi="Calibri" w:cs="Calibri"/>
                <w:color w:val="000000"/>
                <w:sz w:val="20"/>
                <w:szCs w:val="20"/>
                <w:lang w:eastAsia="en-GB"/>
              </w:rPr>
              <w:t>212</w:t>
            </w:r>
          </w:p>
        </w:tc>
        <w:tc>
          <w:tcPr>
            <w:tcW w:w="1369" w:type="dxa"/>
            <w:noWrap/>
            <w:hideMark/>
          </w:tcPr>
          <w:p w14:paraId="5939752C" w14:textId="77777777" w:rsidR="00375BD2" w:rsidRPr="00C05886" w:rsidRDefault="00375BD2" w:rsidP="00375BD2">
            <w:pPr>
              <w:spacing w:line="240" w:lineRule="auto"/>
              <w:rPr>
                <w:rFonts w:ascii="Calibri" w:eastAsia="Times New Roman" w:hAnsi="Calibri" w:cs="Calibri"/>
                <w:color w:val="000000"/>
                <w:sz w:val="20"/>
                <w:szCs w:val="20"/>
                <w:lang w:eastAsia="en-GB"/>
              </w:rPr>
            </w:pPr>
            <w:r w:rsidRPr="00C05886">
              <w:rPr>
                <w:rFonts w:ascii="Calibri" w:eastAsia="Times New Roman" w:hAnsi="Calibri" w:cs="Calibri"/>
                <w:color w:val="000000"/>
                <w:sz w:val="20"/>
                <w:szCs w:val="20"/>
                <w:lang w:eastAsia="en-GB"/>
              </w:rPr>
              <w:t>53.7%</w:t>
            </w:r>
          </w:p>
        </w:tc>
      </w:tr>
      <w:tr w:rsidR="00375BD2" w:rsidRPr="00C05886" w14:paraId="0748A997" w14:textId="77777777" w:rsidTr="0070406A">
        <w:trPr>
          <w:trHeight w:val="279"/>
        </w:trPr>
        <w:tc>
          <w:tcPr>
            <w:tcW w:w="1555" w:type="dxa"/>
            <w:vMerge/>
            <w:noWrap/>
            <w:hideMark/>
          </w:tcPr>
          <w:p w14:paraId="1C29702B" w14:textId="77777777" w:rsidR="00375BD2" w:rsidRPr="00C05886" w:rsidRDefault="00375BD2" w:rsidP="00375BD2">
            <w:pPr>
              <w:spacing w:line="240" w:lineRule="auto"/>
              <w:rPr>
                <w:rFonts w:ascii="Calibri" w:eastAsia="Times New Roman" w:hAnsi="Calibri" w:cs="Calibri"/>
                <w:color w:val="000000"/>
                <w:sz w:val="20"/>
                <w:szCs w:val="20"/>
                <w:lang w:eastAsia="en-GB"/>
              </w:rPr>
            </w:pPr>
          </w:p>
        </w:tc>
        <w:tc>
          <w:tcPr>
            <w:tcW w:w="2268" w:type="dxa"/>
            <w:noWrap/>
            <w:hideMark/>
          </w:tcPr>
          <w:p w14:paraId="7CC0D3E5" w14:textId="77777777" w:rsidR="00375BD2" w:rsidRPr="00C05886" w:rsidRDefault="00375BD2" w:rsidP="00375BD2">
            <w:pPr>
              <w:spacing w:line="240" w:lineRule="auto"/>
              <w:rPr>
                <w:rFonts w:ascii="Calibri" w:eastAsia="Times New Roman" w:hAnsi="Calibri" w:cs="Calibri"/>
                <w:color w:val="000000"/>
                <w:sz w:val="20"/>
                <w:szCs w:val="20"/>
                <w:lang w:eastAsia="en-GB"/>
              </w:rPr>
            </w:pPr>
            <w:r w:rsidRPr="00C05886">
              <w:rPr>
                <w:rFonts w:ascii="Calibri" w:eastAsia="Times New Roman" w:hAnsi="Calibri" w:cs="Calibri"/>
                <w:color w:val="000000"/>
                <w:sz w:val="20"/>
                <w:szCs w:val="20"/>
                <w:lang w:eastAsia="en-GB"/>
              </w:rPr>
              <w:t>Total</w:t>
            </w:r>
          </w:p>
        </w:tc>
        <w:tc>
          <w:tcPr>
            <w:tcW w:w="1275" w:type="dxa"/>
            <w:noWrap/>
            <w:hideMark/>
          </w:tcPr>
          <w:p w14:paraId="0C8DF3D4" w14:textId="77777777" w:rsidR="00375BD2" w:rsidRPr="00C05886" w:rsidRDefault="00375BD2" w:rsidP="00375BD2">
            <w:pPr>
              <w:spacing w:line="240" w:lineRule="auto"/>
              <w:jc w:val="right"/>
              <w:rPr>
                <w:rFonts w:ascii="Calibri" w:eastAsia="Times New Roman" w:hAnsi="Calibri" w:cs="Calibri"/>
                <w:color w:val="000000"/>
                <w:sz w:val="20"/>
                <w:szCs w:val="20"/>
                <w:lang w:eastAsia="en-GB"/>
              </w:rPr>
            </w:pPr>
            <w:r w:rsidRPr="00C05886">
              <w:rPr>
                <w:rFonts w:ascii="Calibri" w:eastAsia="Times New Roman" w:hAnsi="Calibri" w:cs="Calibri"/>
                <w:color w:val="000000"/>
                <w:sz w:val="20"/>
                <w:szCs w:val="20"/>
                <w:lang w:eastAsia="en-GB"/>
              </w:rPr>
              <w:t>395</w:t>
            </w:r>
          </w:p>
        </w:tc>
        <w:tc>
          <w:tcPr>
            <w:tcW w:w="1369" w:type="dxa"/>
            <w:noWrap/>
            <w:hideMark/>
          </w:tcPr>
          <w:p w14:paraId="3CCFB467" w14:textId="77777777" w:rsidR="00375BD2" w:rsidRPr="00C05886" w:rsidRDefault="00375BD2" w:rsidP="00375BD2">
            <w:pPr>
              <w:spacing w:line="240" w:lineRule="auto"/>
              <w:rPr>
                <w:rFonts w:ascii="Calibri" w:eastAsia="Times New Roman" w:hAnsi="Calibri" w:cs="Calibri"/>
                <w:color w:val="000000"/>
                <w:sz w:val="20"/>
                <w:szCs w:val="20"/>
                <w:lang w:eastAsia="en-GB"/>
              </w:rPr>
            </w:pPr>
            <w:r w:rsidRPr="00C05886">
              <w:rPr>
                <w:rFonts w:ascii="Calibri" w:eastAsia="Times New Roman" w:hAnsi="Calibri" w:cs="Calibri"/>
                <w:color w:val="000000"/>
                <w:sz w:val="20"/>
                <w:szCs w:val="20"/>
                <w:lang w:eastAsia="en-GB"/>
              </w:rPr>
              <w:t>100%</w:t>
            </w:r>
          </w:p>
        </w:tc>
      </w:tr>
    </w:tbl>
    <w:p w14:paraId="099EB4FD" w14:textId="77777777" w:rsidR="00375BD2" w:rsidRPr="00C05886" w:rsidRDefault="00375BD2" w:rsidP="00375BD2">
      <w:pPr>
        <w:spacing w:line="240" w:lineRule="auto"/>
      </w:pPr>
    </w:p>
    <w:p w14:paraId="28920B0E" w14:textId="32977C53" w:rsidR="00375BD2" w:rsidRPr="00C05886" w:rsidRDefault="00375BD2" w:rsidP="00375BD2">
      <w:pPr>
        <w:pStyle w:val="Caption"/>
        <w:keepNext/>
      </w:pPr>
      <w:r w:rsidRPr="00C05886">
        <w:t xml:space="preserve">Table </w:t>
      </w:r>
      <w:r w:rsidR="00B62F3A" w:rsidRPr="00C05886">
        <w:t>S3</w:t>
      </w:r>
      <w:r w:rsidRPr="00C05886">
        <w:t>. Responses to the question “Do you have any difficulty perceiving colours?”</w:t>
      </w:r>
    </w:p>
    <w:tbl>
      <w:tblPr>
        <w:tblStyle w:val="TableGrid"/>
        <w:tblW w:w="6440" w:type="dxa"/>
        <w:tblLook w:val="04A0" w:firstRow="1" w:lastRow="0" w:firstColumn="1" w:lastColumn="0" w:noHBand="0" w:noVBand="1"/>
      </w:tblPr>
      <w:tblGrid>
        <w:gridCol w:w="1634"/>
        <w:gridCol w:w="2036"/>
        <w:gridCol w:w="1512"/>
        <w:gridCol w:w="1258"/>
      </w:tblGrid>
      <w:tr w:rsidR="00375BD2" w:rsidRPr="00C05886" w14:paraId="355DA897" w14:textId="77777777" w:rsidTr="0070406A">
        <w:trPr>
          <w:trHeight w:val="4"/>
        </w:trPr>
        <w:tc>
          <w:tcPr>
            <w:tcW w:w="1634" w:type="dxa"/>
            <w:noWrap/>
            <w:hideMark/>
          </w:tcPr>
          <w:p w14:paraId="05BED3F5" w14:textId="77777777" w:rsidR="00375BD2" w:rsidRPr="00C05886" w:rsidRDefault="00375BD2" w:rsidP="00375BD2">
            <w:pPr>
              <w:spacing w:line="240" w:lineRule="auto"/>
              <w:rPr>
                <w:rFonts w:ascii="Times New Roman" w:eastAsia="Times New Roman" w:hAnsi="Times New Roman" w:cs="Times New Roman"/>
                <w:sz w:val="20"/>
                <w:szCs w:val="20"/>
                <w:lang w:eastAsia="en-GB"/>
              </w:rPr>
            </w:pPr>
          </w:p>
        </w:tc>
        <w:tc>
          <w:tcPr>
            <w:tcW w:w="2036" w:type="dxa"/>
            <w:noWrap/>
            <w:hideMark/>
          </w:tcPr>
          <w:p w14:paraId="04D61681" w14:textId="77777777" w:rsidR="00375BD2" w:rsidRPr="00C05886" w:rsidRDefault="00375BD2" w:rsidP="00375BD2">
            <w:pPr>
              <w:spacing w:line="240" w:lineRule="auto"/>
              <w:rPr>
                <w:rFonts w:ascii="Calibri" w:eastAsia="Times New Roman" w:hAnsi="Calibri" w:cs="Calibri"/>
                <w:color w:val="000000"/>
                <w:sz w:val="20"/>
                <w:szCs w:val="20"/>
                <w:lang w:eastAsia="en-GB"/>
              </w:rPr>
            </w:pPr>
            <w:r w:rsidRPr="00C05886">
              <w:rPr>
                <w:rFonts w:ascii="Calibri" w:eastAsia="Times New Roman" w:hAnsi="Calibri" w:cs="Calibri"/>
                <w:color w:val="000000"/>
                <w:sz w:val="20"/>
                <w:szCs w:val="20"/>
                <w:lang w:eastAsia="en-GB"/>
              </w:rPr>
              <w:t>Colour blindness</w:t>
            </w:r>
          </w:p>
        </w:tc>
        <w:tc>
          <w:tcPr>
            <w:tcW w:w="1512" w:type="dxa"/>
            <w:noWrap/>
            <w:hideMark/>
          </w:tcPr>
          <w:p w14:paraId="242A04B1" w14:textId="77777777" w:rsidR="00375BD2" w:rsidRPr="00C05886" w:rsidRDefault="00375BD2" w:rsidP="00375BD2">
            <w:pPr>
              <w:spacing w:line="240" w:lineRule="auto"/>
              <w:rPr>
                <w:rFonts w:ascii="Calibri" w:eastAsia="Times New Roman" w:hAnsi="Calibri" w:cs="Calibri"/>
                <w:color w:val="000000"/>
                <w:sz w:val="20"/>
                <w:szCs w:val="20"/>
                <w:lang w:eastAsia="en-GB"/>
              </w:rPr>
            </w:pPr>
            <w:r w:rsidRPr="00C05886">
              <w:rPr>
                <w:rFonts w:ascii="Calibri" w:eastAsia="Times New Roman" w:hAnsi="Calibri" w:cs="Calibri"/>
                <w:color w:val="000000"/>
                <w:sz w:val="20"/>
                <w:szCs w:val="20"/>
                <w:lang w:eastAsia="en-GB"/>
              </w:rPr>
              <w:t>Frequency</w:t>
            </w:r>
          </w:p>
        </w:tc>
        <w:tc>
          <w:tcPr>
            <w:tcW w:w="1258" w:type="dxa"/>
            <w:noWrap/>
            <w:hideMark/>
          </w:tcPr>
          <w:p w14:paraId="7B02CC1F" w14:textId="77777777" w:rsidR="00375BD2" w:rsidRPr="00C05886" w:rsidRDefault="00375BD2" w:rsidP="00375BD2">
            <w:pPr>
              <w:spacing w:line="240" w:lineRule="auto"/>
              <w:rPr>
                <w:rFonts w:ascii="Calibri" w:eastAsia="Times New Roman" w:hAnsi="Calibri" w:cs="Calibri"/>
                <w:color w:val="000000"/>
                <w:sz w:val="20"/>
                <w:szCs w:val="20"/>
                <w:lang w:eastAsia="en-GB"/>
              </w:rPr>
            </w:pPr>
            <w:r w:rsidRPr="00C05886">
              <w:rPr>
                <w:rFonts w:ascii="Calibri" w:eastAsia="Times New Roman" w:hAnsi="Calibri" w:cs="Calibri"/>
                <w:color w:val="000000"/>
                <w:sz w:val="20"/>
                <w:szCs w:val="20"/>
                <w:lang w:eastAsia="en-GB"/>
              </w:rPr>
              <w:t>Percent</w:t>
            </w:r>
          </w:p>
        </w:tc>
      </w:tr>
      <w:tr w:rsidR="00375BD2" w:rsidRPr="00C05886" w14:paraId="771F869A" w14:textId="77777777" w:rsidTr="006266B5">
        <w:trPr>
          <w:trHeight w:val="4"/>
        </w:trPr>
        <w:tc>
          <w:tcPr>
            <w:tcW w:w="1634" w:type="dxa"/>
            <w:vMerge w:val="restart"/>
            <w:noWrap/>
            <w:vAlign w:val="center"/>
            <w:hideMark/>
          </w:tcPr>
          <w:p w14:paraId="65196EE9" w14:textId="77777777" w:rsidR="00375BD2" w:rsidRPr="00C05886" w:rsidRDefault="00375BD2" w:rsidP="00375BD2">
            <w:pPr>
              <w:spacing w:line="240" w:lineRule="auto"/>
              <w:jc w:val="center"/>
              <w:rPr>
                <w:rFonts w:ascii="Calibri" w:eastAsia="Times New Roman" w:hAnsi="Calibri" w:cs="Calibri"/>
                <w:color w:val="000000"/>
                <w:sz w:val="20"/>
                <w:szCs w:val="20"/>
                <w:lang w:eastAsia="en-GB"/>
              </w:rPr>
            </w:pPr>
            <w:r w:rsidRPr="00C05886">
              <w:rPr>
                <w:rFonts w:ascii="Calibri" w:eastAsia="Times New Roman" w:hAnsi="Calibri" w:cs="Calibri"/>
                <w:color w:val="000000"/>
                <w:sz w:val="20"/>
                <w:szCs w:val="20"/>
                <w:lang w:eastAsia="en-GB"/>
              </w:rPr>
              <w:t>Experiment 1</w:t>
            </w:r>
          </w:p>
        </w:tc>
        <w:tc>
          <w:tcPr>
            <w:tcW w:w="2036" w:type="dxa"/>
            <w:noWrap/>
            <w:hideMark/>
          </w:tcPr>
          <w:p w14:paraId="1BC0DA7B" w14:textId="77777777" w:rsidR="00375BD2" w:rsidRPr="00C05886" w:rsidRDefault="00375BD2" w:rsidP="00375BD2">
            <w:pPr>
              <w:spacing w:line="240" w:lineRule="auto"/>
              <w:rPr>
                <w:rFonts w:ascii="Calibri" w:eastAsia="Times New Roman" w:hAnsi="Calibri" w:cs="Calibri"/>
                <w:color w:val="000000"/>
                <w:sz w:val="20"/>
                <w:szCs w:val="20"/>
                <w:lang w:eastAsia="en-GB"/>
              </w:rPr>
            </w:pPr>
            <w:r w:rsidRPr="00C05886">
              <w:rPr>
                <w:rFonts w:ascii="Calibri" w:eastAsia="Times New Roman" w:hAnsi="Calibri" w:cs="Calibri"/>
                <w:color w:val="000000"/>
                <w:sz w:val="20"/>
                <w:szCs w:val="20"/>
                <w:lang w:eastAsia="en-GB"/>
              </w:rPr>
              <w:t>Yes</w:t>
            </w:r>
          </w:p>
        </w:tc>
        <w:tc>
          <w:tcPr>
            <w:tcW w:w="1512" w:type="dxa"/>
            <w:noWrap/>
            <w:hideMark/>
          </w:tcPr>
          <w:p w14:paraId="508A617F" w14:textId="77777777" w:rsidR="00375BD2" w:rsidRPr="00C05886" w:rsidRDefault="00375BD2" w:rsidP="00375BD2">
            <w:pPr>
              <w:spacing w:line="240" w:lineRule="auto"/>
              <w:jc w:val="right"/>
              <w:rPr>
                <w:rFonts w:ascii="Calibri" w:eastAsia="Times New Roman" w:hAnsi="Calibri" w:cs="Calibri"/>
                <w:color w:val="000000"/>
                <w:sz w:val="20"/>
                <w:szCs w:val="20"/>
                <w:lang w:eastAsia="en-GB"/>
              </w:rPr>
            </w:pPr>
            <w:r w:rsidRPr="00C05886">
              <w:rPr>
                <w:rFonts w:ascii="Calibri" w:eastAsia="Times New Roman" w:hAnsi="Calibri" w:cs="Calibri"/>
                <w:color w:val="000000"/>
                <w:sz w:val="20"/>
                <w:szCs w:val="20"/>
                <w:lang w:eastAsia="en-GB"/>
              </w:rPr>
              <w:t>15</w:t>
            </w:r>
          </w:p>
        </w:tc>
        <w:tc>
          <w:tcPr>
            <w:tcW w:w="1258" w:type="dxa"/>
            <w:noWrap/>
            <w:hideMark/>
          </w:tcPr>
          <w:p w14:paraId="67CB238B" w14:textId="77777777" w:rsidR="00375BD2" w:rsidRPr="00C05886" w:rsidRDefault="00375BD2" w:rsidP="00375BD2">
            <w:pPr>
              <w:spacing w:line="240" w:lineRule="auto"/>
              <w:rPr>
                <w:rFonts w:ascii="Calibri" w:eastAsia="Times New Roman" w:hAnsi="Calibri" w:cs="Calibri"/>
                <w:color w:val="000000"/>
                <w:sz w:val="20"/>
                <w:szCs w:val="20"/>
                <w:lang w:eastAsia="en-GB"/>
              </w:rPr>
            </w:pPr>
            <w:r w:rsidRPr="00C05886">
              <w:rPr>
                <w:rFonts w:ascii="Calibri" w:eastAsia="Times New Roman" w:hAnsi="Calibri" w:cs="Calibri"/>
                <w:color w:val="000000"/>
                <w:sz w:val="20"/>
                <w:szCs w:val="20"/>
                <w:lang w:eastAsia="en-GB"/>
              </w:rPr>
              <w:t>3.2%</w:t>
            </w:r>
          </w:p>
        </w:tc>
      </w:tr>
      <w:tr w:rsidR="00375BD2" w:rsidRPr="00C05886" w14:paraId="02409891" w14:textId="77777777" w:rsidTr="006266B5">
        <w:trPr>
          <w:trHeight w:val="4"/>
        </w:trPr>
        <w:tc>
          <w:tcPr>
            <w:tcW w:w="1634" w:type="dxa"/>
            <w:vMerge/>
            <w:noWrap/>
            <w:vAlign w:val="center"/>
            <w:hideMark/>
          </w:tcPr>
          <w:p w14:paraId="0F7BAC7F" w14:textId="77777777" w:rsidR="00375BD2" w:rsidRPr="00C05886" w:rsidRDefault="00375BD2" w:rsidP="00375BD2">
            <w:pPr>
              <w:spacing w:line="240" w:lineRule="auto"/>
              <w:jc w:val="center"/>
              <w:rPr>
                <w:rFonts w:ascii="Calibri" w:eastAsia="Times New Roman" w:hAnsi="Calibri" w:cs="Calibri"/>
                <w:color w:val="000000"/>
                <w:sz w:val="20"/>
                <w:szCs w:val="20"/>
                <w:lang w:eastAsia="en-GB"/>
              </w:rPr>
            </w:pPr>
          </w:p>
        </w:tc>
        <w:tc>
          <w:tcPr>
            <w:tcW w:w="2036" w:type="dxa"/>
            <w:noWrap/>
            <w:hideMark/>
          </w:tcPr>
          <w:p w14:paraId="16954301" w14:textId="77777777" w:rsidR="00375BD2" w:rsidRPr="00C05886" w:rsidRDefault="00375BD2" w:rsidP="00375BD2">
            <w:pPr>
              <w:spacing w:line="240" w:lineRule="auto"/>
              <w:rPr>
                <w:rFonts w:ascii="Calibri" w:eastAsia="Times New Roman" w:hAnsi="Calibri" w:cs="Calibri"/>
                <w:color w:val="000000"/>
                <w:sz w:val="20"/>
                <w:szCs w:val="20"/>
                <w:lang w:eastAsia="en-GB"/>
              </w:rPr>
            </w:pPr>
            <w:r w:rsidRPr="00C05886">
              <w:rPr>
                <w:rFonts w:ascii="Calibri" w:eastAsia="Times New Roman" w:hAnsi="Calibri" w:cs="Calibri"/>
                <w:color w:val="000000"/>
                <w:sz w:val="20"/>
                <w:szCs w:val="20"/>
                <w:lang w:eastAsia="en-GB"/>
              </w:rPr>
              <w:t>No</w:t>
            </w:r>
          </w:p>
        </w:tc>
        <w:tc>
          <w:tcPr>
            <w:tcW w:w="1512" w:type="dxa"/>
            <w:noWrap/>
            <w:hideMark/>
          </w:tcPr>
          <w:p w14:paraId="7738400C" w14:textId="77777777" w:rsidR="00375BD2" w:rsidRPr="00C05886" w:rsidRDefault="00375BD2" w:rsidP="00375BD2">
            <w:pPr>
              <w:spacing w:line="240" w:lineRule="auto"/>
              <w:jc w:val="right"/>
              <w:rPr>
                <w:rFonts w:ascii="Calibri" w:eastAsia="Times New Roman" w:hAnsi="Calibri" w:cs="Calibri"/>
                <w:color w:val="000000"/>
                <w:sz w:val="20"/>
                <w:szCs w:val="20"/>
                <w:lang w:eastAsia="en-GB"/>
              </w:rPr>
            </w:pPr>
            <w:r w:rsidRPr="00C05886">
              <w:rPr>
                <w:rFonts w:ascii="Calibri" w:eastAsia="Times New Roman" w:hAnsi="Calibri" w:cs="Calibri"/>
                <w:color w:val="000000"/>
                <w:sz w:val="20"/>
                <w:szCs w:val="20"/>
                <w:lang w:eastAsia="en-GB"/>
              </w:rPr>
              <w:t>448</w:t>
            </w:r>
          </w:p>
        </w:tc>
        <w:tc>
          <w:tcPr>
            <w:tcW w:w="1258" w:type="dxa"/>
            <w:noWrap/>
            <w:hideMark/>
          </w:tcPr>
          <w:p w14:paraId="43FDFF86" w14:textId="77777777" w:rsidR="00375BD2" w:rsidRPr="00C05886" w:rsidRDefault="00375BD2" w:rsidP="00375BD2">
            <w:pPr>
              <w:spacing w:line="240" w:lineRule="auto"/>
              <w:rPr>
                <w:rFonts w:ascii="Calibri" w:eastAsia="Times New Roman" w:hAnsi="Calibri" w:cs="Calibri"/>
                <w:color w:val="000000"/>
                <w:sz w:val="20"/>
                <w:szCs w:val="20"/>
                <w:lang w:eastAsia="en-GB"/>
              </w:rPr>
            </w:pPr>
            <w:r w:rsidRPr="00C05886">
              <w:rPr>
                <w:rFonts w:ascii="Calibri" w:eastAsia="Times New Roman" w:hAnsi="Calibri" w:cs="Calibri"/>
                <w:color w:val="000000"/>
                <w:sz w:val="20"/>
                <w:szCs w:val="20"/>
                <w:lang w:eastAsia="en-GB"/>
              </w:rPr>
              <w:t>96.8%</w:t>
            </w:r>
          </w:p>
        </w:tc>
      </w:tr>
      <w:tr w:rsidR="00375BD2" w:rsidRPr="00C05886" w14:paraId="5881D60C" w14:textId="77777777" w:rsidTr="006266B5">
        <w:trPr>
          <w:trHeight w:val="4"/>
        </w:trPr>
        <w:tc>
          <w:tcPr>
            <w:tcW w:w="1634" w:type="dxa"/>
            <w:vMerge/>
            <w:noWrap/>
            <w:vAlign w:val="center"/>
            <w:hideMark/>
          </w:tcPr>
          <w:p w14:paraId="0329A0D6" w14:textId="77777777" w:rsidR="00375BD2" w:rsidRPr="00C05886" w:rsidRDefault="00375BD2" w:rsidP="00375BD2">
            <w:pPr>
              <w:spacing w:line="240" w:lineRule="auto"/>
              <w:jc w:val="center"/>
              <w:rPr>
                <w:rFonts w:ascii="Calibri" w:eastAsia="Times New Roman" w:hAnsi="Calibri" w:cs="Calibri"/>
                <w:color w:val="000000"/>
                <w:sz w:val="20"/>
                <w:szCs w:val="20"/>
                <w:lang w:eastAsia="en-GB"/>
              </w:rPr>
            </w:pPr>
          </w:p>
        </w:tc>
        <w:tc>
          <w:tcPr>
            <w:tcW w:w="2036" w:type="dxa"/>
            <w:noWrap/>
            <w:hideMark/>
          </w:tcPr>
          <w:p w14:paraId="6F0BE106" w14:textId="77777777" w:rsidR="00375BD2" w:rsidRPr="00C05886" w:rsidRDefault="00375BD2" w:rsidP="00375BD2">
            <w:pPr>
              <w:spacing w:line="240" w:lineRule="auto"/>
              <w:rPr>
                <w:rFonts w:ascii="Calibri" w:eastAsia="Times New Roman" w:hAnsi="Calibri" w:cs="Calibri"/>
                <w:color w:val="000000"/>
                <w:sz w:val="20"/>
                <w:szCs w:val="20"/>
                <w:lang w:eastAsia="en-GB"/>
              </w:rPr>
            </w:pPr>
            <w:r w:rsidRPr="00C05886">
              <w:rPr>
                <w:rFonts w:ascii="Calibri" w:eastAsia="Times New Roman" w:hAnsi="Calibri" w:cs="Calibri"/>
                <w:color w:val="000000"/>
                <w:sz w:val="20"/>
                <w:szCs w:val="20"/>
                <w:lang w:eastAsia="en-GB"/>
              </w:rPr>
              <w:t>Total</w:t>
            </w:r>
          </w:p>
        </w:tc>
        <w:tc>
          <w:tcPr>
            <w:tcW w:w="1512" w:type="dxa"/>
            <w:noWrap/>
            <w:hideMark/>
          </w:tcPr>
          <w:p w14:paraId="35C48542" w14:textId="77777777" w:rsidR="00375BD2" w:rsidRPr="00C05886" w:rsidRDefault="00375BD2" w:rsidP="00375BD2">
            <w:pPr>
              <w:spacing w:line="240" w:lineRule="auto"/>
              <w:jc w:val="right"/>
              <w:rPr>
                <w:rFonts w:ascii="Calibri" w:eastAsia="Times New Roman" w:hAnsi="Calibri" w:cs="Calibri"/>
                <w:color w:val="000000"/>
                <w:sz w:val="20"/>
                <w:szCs w:val="20"/>
                <w:lang w:eastAsia="en-GB"/>
              </w:rPr>
            </w:pPr>
            <w:r w:rsidRPr="00C05886">
              <w:rPr>
                <w:rFonts w:ascii="Calibri" w:eastAsia="Times New Roman" w:hAnsi="Calibri" w:cs="Calibri"/>
                <w:color w:val="000000"/>
                <w:sz w:val="20"/>
                <w:szCs w:val="20"/>
                <w:lang w:eastAsia="en-GB"/>
              </w:rPr>
              <w:t>463</w:t>
            </w:r>
          </w:p>
        </w:tc>
        <w:tc>
          <w:tcPr>
            <w:tcW w:w="1258" w:type="dxa"/>
            <w:noWrap/>
            <w:hideMark/>
          </w:tcPr>
          <w:p w14:paraId="4F38FE55" w14:textId="77777777" w:rsidR="00375BD2" w:rsidRPr="00C05886" w:rsidRDefault="00375BD2" w:rsidP="00375BD2">
            <w:pPr>
              <w:spacing w:line="240" w:lineRule="auto"/>
              <w:rPr>
                <w:rFonts w:ascii="Calibri" w:eastAsia="Times New Roman" w:hAnsi="Calibri" w:cs="Calibri"/>
                <w:color w:val="000000"/>
                <w:sz w:val="20"/>
                <w:szCs w:val="20"/>
                <w:lang w:eastAsia="en-GB"/>
              </w:rPr>
            </w:pPr>
            <w:r w:rsidRPr="00C05886">
              <w:rPr>
                <w:rFonts w:ascii="Calibri" w:eastAsia="Times New Roman" w:hAnsi="Calibri" w:cs="Calibri"/>
                <w:color w:val="000000"/>
                <w:sz w:val="20"/>
                <w:szCs w:val="20"/>
                <w:lang w:eastAsia="en-GB"/>
              </w:rPr>
              <w:t>100%</w:t>
            </w:r>
          </w:p>
        </w:tc>
      </w:tr>
      <w:tr w:rsidR="00375BD2" w:rsidRPr="00C05886" w14:paraId="3D2F28D3" w14:textId="77777777" w:rsidTr="006266B5">
        <w:trPr>
          <w:trHeight w:val="179"/>
        </w:trPr>
        <w:tc>
          <w:tcPr>
            <w:tcW w:w="1634" w:type="dxa"/>
            <w:vMerge w:val="restart"/>
            <w:noWrap/>
            <w:vAlign w:val="center"/>
            <w:hideMark/>
          </w:tcPr>
          <w:p w14:paraId="07FD7C08" w14:textId="77777777" w:rsidR="00375BD2" w:rsidRPr="00C05886" w:rsidRDefault="00375BD2" w:rsidP="00375BD2">
            <w:pPr>
              <w:spacing w:line="240" w:lineRule="auto"/>
              <w:jc w:val="center"/>
              <w:rPr>
                <w:rFonts w:ascii="Calibri" w:eastAsia="Times New Roman" w:hAnsi="Calibri" w:cs="Calibri"/>
                <w:color w:val="000000"/>
                <w:sz w:val="20"/>
                <w:szCs w:val="20"/>
                <w:lang w:eastAsia="en-GB"/>
              </w:rPr>
            </w:pPr>
            <w:r w:rsidRPr="00C05886">
              <w:rPr>
                <w:rFonts w:ascii="Calibri" w:eastAsia="Times New Roman" w:hAnsi="Calibri" w:cs="Calibri"/>
                <w:color w:val="000000"/>
                <w:sz w:val="20"/>
                <w:szCs w:val="20"/>
                <w:lang w:eastAsia="en-GB"/>
              </w:rPr>
              <w:t>Experiment 2</w:t>
            </w:r>
          </w:p>
        </w:tc>
        <w:tc>
          <w:tcPr>
            <w:tcW w:w="2036" w:type="dxa"/>
            <w:noWrap/>
            <w:hideMark/>
          </w:tcPr>
          <w:p w14:paraId="228BE113" w14:textId="77777777" w:rsidR="00375BD2" w:rsidRPr="00C05886" w:rsidRDefault="00375BD2" w:rsidP="00375BD2">
            <w:pPr>
              <w:spacing w:line="240" w:lineRule="auto"/>
              <w:rPr>
                <w:rFonts w:ascii="Calibri" w:eastAsia="Times New Roman" w:hAnsi="Calibri" w:cs="Calibri"/>
                <w:color w:val="000000"/>
                <w:sz w:val="20"/>
                <w:szCs w:val="20"/>
                <w:lang w:eastAsia="en-GB"/>
              </w:rPr>
            </w:pPr>
            <w:r w:rsidRPr="00C05886">
              <w:rPr>
                <w:rFonts w:ascii="Calibri" w:eastAsia="Times New Roman" w:hAnsi="Calibri" w:cs="Calibri"/>
                <w:color w:val="000000"/>
                <w:sz w:val="20"/>
                <w:szCs w:val="20"/>
                <w:lang w:eastAsia="en-GB"/>
              </w:rPr>
              <w:t>Yes</w:t>
            </w:r>
          </w:p>
        </w:tc>
        <w:tc>
          <w:tcPr>
            <w:tcW w:w="1512" w:type="dxa"/>
            <w:noWrap/>
            <w:hideMark/>
          </w:tcPr>
          <w:p w14:paraId="6B466925" w14:textId="77777777" w:rsidR="00375BD2" w:rsidRPr="00C05886" w:rsidRDefault="00375BD2" w:rsidP="00375BD2">
            <w:pPr>
              <w:spacing w:line="240" w:lineRule="auto"/>
              <w:jc w:val="right"/>
              <w:rPr>
                <w:rFonts w:ascii="Calibri" w:eastAsia="Times New Roman" w:hAnsi="Calibri" w:cs="Calibri"/>
                <w:color w:val="000000"/>
                <w:sz w:val="20"/>
                <w:szCs w:val="20"/>
                <w:lang w:eastAsia="en-GB"/>
              </w:rPr>
            </w:pPr>
            <w:r w:rsidRPr="00C05886">
              <w:rPr>
                <w:rFonts w:ascii="Calibri" w:eastAsia="Times New Roman" w:hAnsi="Calibri" w:cs="Calibri"/>
                <w:color w:val="000000"/>
                <w:sz w:val="20"/>
                <w:szCs w:val="20"/>
                <w:lang w:eastAsia="en-GB"/>
              </w:rPr>
              <w:t>27</w:t>
            </w:r>
          </w:p>
        </w:tc>
        <w:tc>
          <w:tcPr>
            <w:tcW w:w="1258" w:type="dxa"/>
            <w:noWrap/>
            <w:hideMark/>
          </w:tcPr>
          <w:p w14:paraId="073CA914" w14:textId="77777777" w:rsidR="00375BD2" w:rsidRPr="00C05886" w:rsidRDefault="00375BD2" w:rsidP="00375BD2">
            <w:pPr>
              <w:spacing w:line="240" w:lineRule="auto"/>
              <w:rPr>
                <w:rFonts w:ascii="Calibri" w:eastAsia="Times New Roman" w:hAnsi="Calibri" w:cs="Calibri"/>
                <w:color w:val="000000"/>
                <w:sz w:val="20"/>
                <w:szCs w:val="20"/>
                <w:lang w:eastAsia="en-GB"/>
              </w:rPr>
            </w:pPr>
            <w:r w:rsidRPr="00C05886">
              <w:rPr>
                <w:rFonts w:ascii="Calibri" w:eastAsia="Times New Roman" w:hAnsi="Calibri" w:cs="Calibri"/>
                <w:color w:val="000000"/>
                <w:sz w:val="20"/>
                <w:szCs w:val="20"/>
                <w:lang w:eastAsia="en-GB"/>
              </w:rPr>
              <w:t>5.7%</w:t>
            </w:r>
          </w:p>
        </w:tc>
      </w:tr>
      <w:tr w:rsidR="00375BD2" w:rsidRPr="00C05886" w14:paraId="739C0E92" w14:textId="77777777" w:rsidTr="006266B5">
        <w:trPr>
          <w:trHeight w:val="4"/>
        </w:trPr>
        <w:tc>
          <w:tcPr>
            <w:tcW w:w="1634" w:type="dxa"/>
            <w:vMerge/>
            <w:noWrap/>
            <w:vAlign w:val="center"/>
            <w:hideMark/>
          </w:tcPr>
          <w:p w14:paraId="553E0835" w14:textId="77777777" w:rsidR="00375BD2" w:rsidRPr="00C05886" w:rsidRDefault="00375BD2" w:rsidP="00375BD2">
            <w:pPr>
              <w:spacing w:line="240" w:lineRule="auto"/>
              <w:jc w:val="center"/>
              <w:rPr>
                <w:rFonts w:ascii="Calibri" w:eastAsia="Times New Roman" w:hAnsi="Calibri" w:cs="Calibri"/>
                <w:color w:val="000000"/>
                <w:sz w:val="20"/>
                <w:szCs w:val="20"/>
                <w:lang w:eastAsia="en-GB"/>
              </w:rPr>
            </w:pPr>
          </w:p>
        </w:tc>
        <w:tc>
          <w:tcPr>
            <w:tcW w:w="2036" w:type="dxa"/>
            <w:noWrap/>
            <w:hideMark/>
          </w:tcPr>
          <w:p w14:paraId="47CDC620" w14:textId="77777777" w:rsidR="00375BD2" w:rsidRPr="00C05886" w:rsidRDefault="00375BD2" w:rsidP="00375BD2">
            <w:pPr>
              <w:spacing w:line="240" w:lineRule="auto"/>
              <w:rPr>
                <w:rFonts w:ascii="Calibri" w:eastAsia="Times New Roman" w:hAnsi="Calibri" w:cs="Calibri"/>
                <w:color w:val="000000"/>
                <w:sz w:val="20"/>
                <w:szCs w:val="20"/>
                <w:lang w:eastAsia="en-GB"/>
              </w:rPr>
            </w:pPr>
            <w:r w:rsidRPr="00C05886">
              <w:rPr>
                <w:rFonts w:ascii="Calibri" w:eastAsia="Times New Roman" w:hAnsi="Calibri" w:cs="Calibri"/>
                <w:color w:val="000000"/>
                <w:sz w:val="20"/>
                <w:szCs w:val="20"/>
                <w:lang w:eastAsia="en-GB"/>
              </w:rPr>
              <w:t>No</w:t>
            </w:r>
          </w:p>
        </w:tc>
        <w:tc>
          <w:tcPr>
            <w:tcW w:w="1512" w:type="dxa"/>
            <w:noWrap/>
            <w:hideMark/>
          </w:tcPr>
          <w:p w14:paraId="3C36908B" w14:textId="77777777" w:rsidR="00375BD2" w:rsidRPr="00C05886" w:rsidRDefault="00375BD2" w:rsidP="00375BD2">
            <w:pPr>
              <w:spacing w:line="240" w:lineRule="auto"/>
              <w:jc w:val="right"/>
              <w:rPr>
                <w:rFonts w:ascii="Calibri" w:eastAsia="Times New Roman" w:hAnsi="Calibri" w:cs="Calibri"/>
                <w:color w:val="000000"/>
                <w:sz w:val="20"/>
                <w:szCs w:val="20"/>
                <w:lang w:eastAsia="en-GB"/>
              </w:rPr>
            </w:pPr>
            <w:r w:rsidRPr="00C05886">
              <w:rPr>
                <w:rFonts w:ascii="Calibri" w:eastAsia="Times New Roman" w:hAnsi="Calibri" w:cs="Calibri"/>
                <w:color w:val="000000"/>
                <w:sz w:val="20"/>
                <w:szCs w:val="20"/>
                <w:lang w:eastAsia="en-GB"/>
              </w:rPr>
              <w:t>450</w:t>
            </w:r>
          </w:p>
        </w:tc>
        <w:tc>
          <w:tcPr>
            <w:tcW w:w="1258" w:type="dxa"/>
            <w:noWrap/>
            <w:hideMark/>
          </w:tcPr>
          <w:p w14:paraId="1453F2F3" w14:textId="77777777" w:rsidR="00375BD2" w:rsidRPr="00C05886" w:rsidRDefault="00375BD2" w:rsidP="00375BD2">
            <w:pPr>
              <w:spacing w:line="240" w:lineRule="auto"/>
              <w:rPr>
                <w:rFonts w:ascii="Calibri" w:eastAsia="Times New Roman" w:hAnsi="Calibri" w:cs="Calibri"/>
                <w:color w:val="000000"/>
                <w:sz w:val="20"/>
                <w:szCs w:val="20"/>
                <w:lang w:eastAsia="en-GB"/>
              </w:rPr>
            </w:pPr>
            <w:r w:rsidRPr="00C05886">
              <w:rPr>
                <w:rFonts w:ascii="Calibri" w:eastAsia="Times New Roman" w:hAnsi="Calibri" w:cs="Calibri"/>
                <w:color w:val="000000"/>
                <w:sz w:val="20"/>
                <w:szCs w:val="20"/>
                <w:lang w:eastAsia="en-GB"/>
              </w:rPr>
              <w:t>94.3%</w:t>
            </w:r>
          </w:p>
        </w:tc>
      </w:tr>
      <w:tr w:rsidR="00375BD2" w:rsidRPr="00C05886" w14:paraId="0054F760" w14:textId="77777777" w:rsidTr="006266B5">
        <w:trPr>
          <w:trHeight w:val="4"/>
        </w:trPr>
        <w:tc>
          <w:tcPr>
            <w:tcW w:w="1634" w:type="dxa"/>
            <w:vMerge/>
            <w:noWrap/>
            <w:vAlign w:val="center"/>
            <w:hideMark/>
          </w:tcPr>
          <w:p w14:paraId="44E7DD04" w14:textId="77777777" w:rsidR="00375BD2" w:rsidRPr="00C05886" w:rsidRDefault="00375BD2" w:rsidP="00375BD2">
            <w:pPr>
              <w:spacing w:line="240" w:lineRule="auto"/>
              <w:jc w:val="center"/>
              <w:rPr>
                <w:rFonts w:ascii="Calibri" w:eastAsia="Times New Roman" w:hAnsi="Calibri" w:cs="Calibri"/>
                <w:color w:val="000000"/>
                <w:sz w:val="20"/>
                <w:szCs w:val="20"/>
                <w:lang w:eastAsia="en-GB"/>
              </w:rPr>
            </w:pPr>
          </w:p>
        </w:tc>
        <w:tc>
          <w:tcPr>
            <w:tcW w:w="2036" w:type="dxa"/>
            <w:noWrap/>
            <w:hideMark/>
          </w:tcPr>
          <w:p w14:paraId="0E16C48A" w14:textId="77777777" w:rsidR="00375BD2" w:rsidRPr="00C05886" w:rsidRDefault="00375BD2" w:rsidP="00375BD2">
            <w:pPr>
              <w:spacing w:line="240" w:lineRule="auto"/>
              <w:rPr>
                <w:rFonts w:ascii="Calibri" w:eastAsia="Times New Roman" w:hAnsi="Calibri" w:cs="Calibri"/>
                <w:color w:val="000000"/>
                <w:sz w:val="20"/>
                <w:szCs w:val="20"/>
                <w:lang w:eastAsia="en-GB"/>
              </w:rPr>
            </w:pPr>
            <w:r w:rsidRPr="00C05886">
              <w:rPr>
                <w:rFonts w:ascii="Calibri" w:eastAsia="Times New Roman" w:hAnsi="Calibri" w:cs="Calibri"/>
                <w:color w:val="000000"/>
                <w:sz w:val="20"/>
                <w:szCs w:val="20"/>
                <w:lang w:eastAsia="en-GB"/>
              </w:rPr>
              <w:t>Total</w:t>
            </w:r>
          </w:p>
        </w:tc>
        <w:tc>
          <w:tcPr>
            <w:tcW w:w="1512" w:type="dxa"/>
            <w:noWrap/>
            <w:hideMark/>
          </w:tcPr>
          <w:p w14:paraId="1A7E8CB2" w14:textId="77777777" w:rsidR="00375BD2" w:rsidRPr="00C05886" w:rsidRDefault="00375BD2" w:rsidP="00375BD2">
            <w:pPr>
              <w:spacing w:line="240" w:lineRule="auto"/>
              <w:jc w:val="right"/>
              <w:rPr>
                <w:rFonts w:ascii="Calibri" w:eastAsia="Times New Roman" w:hAnsi="Calibri" w:cs="Calibri"/>
                <w:color w:val="000000"/>
                <w:sz w:val="20"/>
                <w:szCs w:val="20"/>
                <w:lang w:eastAsia="en-GB"/>
              </w:rPr>
            </w:pPr>
            <w:r w:rsidRPr="00C05886">
              <w:rPr>
                <w:rFonts w:ascii="Calibri" w:eastAsia="Times New Roman" w:hAnsi="Calibri" w:cs="Calibri"/>
                <w:color w:val="000000"/>
                <w:sz w:val="20"/>
                <w:szCs w:val="20"/>
                <w:lang w:eastAsia="en-GB"/>
              </w:rPr>
              <w:t>477</w:t>
            </w:r>
          </w:p>
        </w:tc>
        <w:tc>
          <w:tcPr>
            <w:tcW w:w="1258" w:type="dxa"/>
            <w:noWrap/>
            <w:hideMark/>
          </w:tcPr>
          <w:p w14:paraId="03E842BD" w14:textId="77777777" w:rsidR="00375BD2" w:rsidRPr="00C05886" w:rsidRDefault="00375BD2" w:rsidP="00375BD2">
            <w:pPr>
              <w:spacing w:line="240" w:lineRule="auto"/>
              <w:rPr>
                <w:rFonts w:ascii="Calibri" w:eastAsia="Times New Roman" w:hAnsi="Calibri" w:cs="Calibri"/>
                <w:color w:val="000000"/>
                <w:sz w:val="20"/>
                <w:szCs w:val="20"/>
                <w:lang w:eastAsia="en-GB"/>
              </w:rPr>
            </w:pPr>
            <w:r w:rsidRPr="00C05886">
              <w:rPr>
                <w:rFonts w:ascii="Calibri" w:eastAsia="Times New Roman" w:hAnsi="Calibri" w:cs="Calibri"/>
                <w:color w:val="000000"/>
                <w:sz w:val="20"/>
                <w:szCs w:val="20"/>
                <w:lang w:eastAsia="en-GB"/>
              </w:rPr>
              <w:t>100%</w:t>
            </w:r>
          </w:p>
        </w:tc>
      </w:tr>
      <w:tr w:rsidR="00375BD2" w:rsidRPr="00C05886" w14:paraId="3103A083" w14:textId="77777777" w:rsidTr="006266B5">
        <w:trPr>
          <w:trHeight w:val="4"/>
        </w:trPr>
        <w:tc>
          <w:tcPr>
            <w:tcW w:w="1634" w:type="dxa"/>
            <w:vMerge w:val="restart"/>
            <w:noWrap/>
            <w:vAlign w:val="center"/>
            <w:hideMark/>
          </w:tcPr>
          <w:p w14:paraId="56A2BF84" w14:textId="77777777" w:rsidR="00375BD2" w:rsidRPr="00C05886" w:rsidRDefault="00375BD2" w:rsidP="00375BD2">
            <w:pPr>
              <w:spacing w:line="240" w:lineRule="auto"/>
              <w:jc w:val="center"/>
              <w:rPr>
                <w:rFonts w:ascii="Calibri" w:eastAsia="Times New Roman" w:hAnsi="Calibri" w:cs="Calibri"/>
                <w:color w:val="000000"/>
                <w:sz w:val="20"/>
                <w:szCs w:val="20"/>
                <w:lang w:eastAsia="en-GB"/>
              </w:rPr>
            </w:pPr>
            <w:r w:rsidRPr="00C05886">
              <w:rPr>
                <w:rFonts w:ascii="Calibri" w:eastAsia="Times New Roman" w:hAnsi="Calibri" w:cs="Calibri"/>
                <w:color w:val="000000"/>
                <w:sz w:val="20"/>
                <w:szCs w:val="20"/>
                <w:lang w:eastAsia="en-GB"/>
              </w:rPr>
              <w:t>Experiment 3</w:t>
            </w:r>
          </w:p>
        </w:tc>
        <w:tc>
          <w:tcPr>
            <w:tcW w:w="2036" w:type="dxa"/>
            <w:noWrap/>
            <w:hideMark/>
          </w:tcPr>
          <w:p w14:paraId="3C9A1A26" w14:textId="77777777" w:rsidR="00375BD2" w:rsidRPr="00C05886" w:rsidRDefault="00375BD2" w:rsidP="00375BD2">
            <w:pPr>
              <w:spacing w:line="240" w:lineRule="auto"/>
              <w:rPr>
                <w:rFonts w:ascii="Calibri" w:eastAsia="Times New Roman" w:hAnsi="Calibri" w:cs="Calibri"/>
                <w:color w:val="000000"/>
                <w:sz w:val="20"/>
                <w:szCs w:val="20"/>
                <w:lang w:eastAsia="en-GB"/>
              </w:rPr>
            </w:pPr>
            <w:r w:rsidRPr="00C05886">
              <w:rPr>
                <w:rFonts w:ascii="Calibri" w:eastAsia="Times New Roman" w:hAnsi="Calibri" w:cs="Calibri"/>
                <w:color w:val="000000"/>
                <w:sz w:val="20"/>
                <w:szCs w:val="20"/>
                <w:lang w:eastAsia="en-GB"/>
              </w:rPr>
              <w:t>Yes</w:t>
            </w:r>
          </w:p>
        </w:tc>
        <w:tc>
          <w:tcPr>
            <w:tcW w:w="1512" w:type="dxa"/>
            <w:noWrap/>
            <w:hideMark/>
          </w:tcPr>
          <w:p w14:paraId="7EE9FAF1" w14:textId="77777777" w:rsidR="00375BD2" w:rsidRPr="00C05886" w:rsidRDefault="00375BD2" w:rsidP="00375BD2">
            <w:pPr>
              <w:spacing w:line="240" w:lineRule="auto"/>
              <w:jc w:val="right"/>
              <w:rPr>
                <w:rFonts w:ascii="Calibri" w:eastAsia="Times New Roman" w:hAnsi="Calibri" w:cs="Calibri"/>
                <w:color w:val="000000"/>
                <w:sz w:val="20"/>
                <w:szCs w:val="20"/>
                <w:lang w:eastAsia="en-GB"/>
              </w:rPr>
            </w:pPr>
            <w:r w:rsidRPr="00C05886">
              <w:rPr>
                <w:rFonts w:ascii="Calibri" w:eastAsia="Times New Roman" w:hAnsi="Calibri" w:cs="Calibri"/>
                <w:color w:val="000000"/>
                <w:sz w:val="20"/>
                <w:szCs w:val="20"/>
                <w:lang w:eastAsia="en-GB"/>
              </w:rPr>
              <w:t>19</w:t>
            </w:r>
          </w:p>
        </w:tc>
        <w:tc>
          <w:tcPr>
            <w:tcW w:w="1258" w:type="dxa"/>
            <w:noWrap/>
            <w:hideMark/>
          </w:tcPr>
          <w:p w14:paraId="714CF944" w14:textId="77777777" w:rsidR="00375BD2" w:rsidRPr="00C05886" w:rsidRDefault="00375BD2" w:rsidP="00375BD2">
            <w:pPr>
              <w:spacing w:line="240" w:lineRule="auto"/>
              <w:rPr>
                <w:rFonts w:ascii="Calibri" w:eastAsia="Times New Roman" w:hAnsi="Calibri" w:cs="Calibri"/>
                <w:color w:val="000000"/>
                <w:sz w:val="20"/>
                <w:szCs w:val="20"/>
                <w:lang w:eastAsia="en-GB"/>
              </w:rPr>
            </w:pPr>
            <w:r w:rsidRPr="00C05886">
              <w:rPr>
                <w:rFonts w:ascii="Calibri" w:eastAsia="Times New Roman" w:hAnsi="Calibri" w:cs="Calibri"/>
                <w:color w:val="000000"/>
                <w:sz w:val="20"/>
                <w:szCs w:val="20"/>
                <w:lang w:eastAsia="en-GB"/>
              </w:rPr>
              <w:t>5%</w:t>
            </w:r>
          </w:p>
        </w:tc>
      </w:tr>
      <w:tr w:rsidR="00375BD2" w:rsidRPr="00C05886" w14:paraId="1DADC6AD" w14:textId="77777777" w:rsidTr="006266B5">
        <w:trPr>
          <w:trHeight w:val="4"/>
        </w:trPr>
        <w:tc>
          <w:tcPr>
            <w:tcW w:w="1634" w:type="dxa"/>
            <w:vMerge/>
            <w:noWrap/>
            <w:vAlign w:val="center"/>
            <w:hideMark/>
          </w:tcPr>
          <w:p w14:paraId="73319056" w14:textId="77777777" w:rsidR="00375BD2" w:rsidRPr="00C05886" w:rsidRDefault="00375BD2" w:rsidP="00375BD2">
            <w:pPr>
              <w:spacing w:line="240" w:lineRule="auto"/>
              <w:jc w:val="center"/>
              <w:rPr>
                <w:rFonts w:ascii="Calibri" w:eastAsia="Times New Roman" w:hAnsi="Calibri" w:cs="Calibri"/>
                <w:color w:val="000000"/>
                <w:sz w:val="20"/>
                <w:szCs w:val="20"/>
                <w:lang w:eastAsia="en-GB"/>
              </w:rPr>
            </w:pPr>
          </w:p>
        </w:tc>
        <w:tc>
          <w:tcPr>
            <w:tcW w:w="2036" w:type="dxa"/>
            <w:noWrap/>
            <w:hideMark/>
          </w:tcPr>
          <w:p w14:paraId="4F7B2FC6" w14:textId="77777777" w:rsidR="00375BD2" w:rsidRPr="00C05886" w:rsidRDefault="00375BD2" w:rsidP="00375BD2">
            <w:pPr>
              <w:spacing w:line="240" w:lineRule="auto"/>
              <w:rPr>
                <w:rFonts w:ascii="Calibri" w:eastAsia="Times New Roman" w:hAnsi="Calibri" w:cs="Calibri"/>
                <w:color w:val="000000"/>
                <w:sz w:val="20"/>
                <w:szCs w:val="20"/>
                <w:lang w:eastAsia="en-GB"/>
              </w:rPr>
            </w:pPr>
            <w:r w:rsidRPr="00C05886">
              <w:rPr>
                <w:rFonts w:ascii="Calibri" w:eastAsia="Times New Roman" w:hAnsi="Calibri" w:cs="Calibri"/>
                <w:color w:val="000000"/>
                <w:sz w:val="20"/>
                <w:szCs w:val="20"/>
                <w:lang w:eastAsia="en-GB"/>
              </w:rPr>
              <w:t>No</w:t>
            </w:r>
          </w:p>
        </w:tc>
        <w:tc>
          <w:tcPr>
            <w:tcW w:w="1512" w:type="dxa"/>
            <w:noWrap/>
            <w:hideMark/>
          </w:tcPr>
          <w:p w14:paraId="43E49493" w14:textId="77777777" w:rsidR="00375BD2" w:rsidRPr="00C05886" w:rsidRDefault="00375BD2" w:rsidP="00375BD2">
            <w:pPr>
              <w:spacing w:line="240" w:lineRule="auto"/>
              <w:jc w:val="right"/>
              <w:rPr>
                <w:rFonts w:ascii="Calibri" w:eastAsia="Times New Roman" w:hAnsi="Calibri" w:cs="Calibri"/>
                <w:color w:val="000000"/>
                <w:sz w:val="20"/>
                <w:szCs w:val="20"/>
                <w:lang w:eastAsia="en-GB"/>
              </w:rPr>
            </w:pPr>
            <w:r w:rsidRPr="00C05886">
              <w:rPr>
                <w:rFonts w:ascii="Calibri" w:eastAsia="Times New Roman" w:hAnsi="Calibri" w:cs="Calibri"/>
                <w:color w:val="000000"/>
                <w:sz w:val="20"/>
                <w:szCs w:val="20"/>
                <w:lang w:eastAsia="en-GB"/>
              </w:rPr>
              <w:t>360</w:t>
            </w:r>
          </w:p>
        </w:tc>
        <w:tc>
          <w:tcPr>
            <w:tcW w:w="1258" w:type="dxa"/>
            <w:noWrap/>
            <w:hideMark/>
          </w:tcPr>
          <w:p w14:paraId="3324967B" w14:textId="77777777" w:rsidR="00375BD2" w:rsidRPr="00C05886" w:rsidRDefault="00375BD2" w:rsidP="00375BD2">
            <w:pPr>
              <w:spacing w:line="240" w:lineRule="auto"/>
              <w:rPr>
                <w:rFonts w:ascii="Calibri" w:eastAsia="Times New Roman" w:hAnsi="Calibri" w:cs="Calibri"/>
                <w:color w:val="000000"/>
                <w:sz w:val="20"/>
                <w:szCs w:val="20"/>
                <w:lang w:eastAsia="en-GB"/>
              </w:rPr>
            </w:pPr>
            <w:r w:rsidRPr="00C05886">
              <w:rPr>
                <w:rFonts w:ascii="Calibri" w:eastAsia="Times New Roman" w:hAnsi="Calibri" w:cs="Calibri"/>
                <w:color w:val="000000"/>
                <w:sz w:val="20"/>
                <w:szCs w:val="20"/>
                <w:lang w:eastAsia="en-GB"/>
              </w:rPr>
              <w:t>95%</w:t>
            </w:r>
          </w:p>
        </w:tc>
      </w:tr>
      <w:tr w:rsidR="00375BD2" w:rsidRPr="00C05886" w14:paraId="7AE7ACDE" w14:textId="77777777" w:rsidTr="006266B5">
        <w:trPr>
          <w:trHeight w:val="4"/>
        </w:trPr>
        <w:tc>
          <w:tcPr>
            <w:tcW w:w="1634" w:type="dxa"/>
            <w:vMerge/>
            <w:noWrap/>
            <w:vAlign w:val="center"/>
            <w:hideMark/>
          </w:tcPr>
          <w:p w14:paraId="2EAB9418" w14:textId="77777777" w:rsidR="00375BD2" w:rsidRPr="00C05886" w:rsidRDefault="00375BD2" w:rsidP="00375BD2">
            <w:pPr>
              <w:spacing w:line="240" w:lineRule="auto"/>
              <w:jc w:val="center"/>
              <w:rPr>
                <w:rFonts w:ascii="Calibri" w:eastAsia="Times New Roman" w:hAnsi="Calibri" w:cs="Calibri"/>
                <w:color w:val="000000"/>
                <w:sz w:val="20"/>
                <w:szCs w:val="20"/>
                <w:lang w:eastAsia="en-GB"/>
              </w:rPr>
            </w:pPr>
          </w:p>
        </w:tc>
        <w:tc>
          <w:tcPr>
            <w:tcW w:w="2036" w:type="dxa"/>
            <w:noWrap/>
            <w:hideMark/>
          </w:tcPr>
          <w:p w14:paraId="075D2DDF" w14:textId="77777777" w:rsidR="00375BD2" w:rsidRPr="00C05886" w:rsidRDefault="00375BD2" w:rsidP="00375BD2">
            <w:pPr>
              <w:spacing w:line="240" w:lineRule="auto"/>
              <w:rPr>
                <w:rFonts w:ascii="Calibri" w:eastAsia="Times New Roman" w:hAnsi="Calibri" w:cs="Calibri"/>
                <w:color w:val="000000"/>
                <w:sz w:val="20"/>
                <w:szCs w:val="20"/>
                <w:lang w:eastAsia="en-GB"/>
              </w:rPr>
            </w:pPr>
            <w:r w:rsidRPr="00C05886">
              <w:rPr>
                <w:rFonts w:ascii="Calibri" w:eastAsia="Times New Roman" w:hAnsi="Calibri" w:cs="Calibri"/>
                <w:color w:val="000000"/>
                <w:sz w:val="20"/>
                <w:szCs w:val="20"/>
                <w:lang w:eastAsia="en-GB"/>
              </w:rPr>
              <w:t>Total</w:t>
            </w:r>
          </w:p>
        </w:tc>
        <w:tc>
          <w:tcPr>
            <w:tcW w:w="1512" w:type="dxa"/>
            <w:noWrap/>
            <w:hideMark/>
          </w:tcPr>
          <w:p w14:paraId="1CB56CA0" w14:textId="77777777" w:rsidR="00375BD2" w:rsidRPr="00C05886" w:rsidRDefault="00375BD2" w:rsidP="00375BD2">
            <w:pPr>
              <w:spacing w:line="240" w:lineRule="auto"/>
              <w:jc w:val="right"/>
              <w:rPr>
                <w:rFonts w:ascii="Calibri" w:eastAsia="Times New Roman" w:hAnsi="Calibri" w:cs="Calibri"/>
                <w:color w:val="000000"/>
                <w:sz w:val="20"/>
                <w:szCs w:val="20"/>
                <w:lang w:eastAsia="en-GB"/>
              </w:rPr>
            </w:pPr>
            <w:r w:rsidRPr="00C05886">
              <w:rPr>
                <w:rFonts w:ascii="Calibri" w:eastAsia="Times New Roman" w:hAnsi="Calibri" w:cs="Calibri"/>
                <w:color w:val="000000"/>
                <w:sz w:val="20"/>
                <w:szCs w:val="20"/>
                <w:lang w:eastAsia="en-GB"/>
              </w:rPr>
              <w:t>379</w:t>
            </w:r>
          </w:p>
        </w:tc>
        <w:tc>
          <w:tcPr>
            <w:tcW w:w="1258" w:type="dxa"/>
            <w:noWrap/>
            <w:hideMark/>
          </w:tcPr>
          <w:p w14:paraId="7714FAD5" w14:textId="77777777" w:rsidR="00375BD2" w:rsidRPr="00C05886" w:rsidRDefault="00375BD2" w:rsidP="00375BD2">
            <w:pPr>
              <w:spacing w:line="240" w:lineRule="auto"/>
              <w:rPr>
                <w:rFonts w:ascii="Calibri" w:eastAsia="Times New Roman" w:hAnsi="Calibri" w:cs="Calibri"/>
                <w:color w:val="000000"/>
                <w:sz w:val="20"/>
                <w:szCs w:val="20"/>
                <w:lang w:eastAsia="en-GB"/>
              </w:rPr>
            </w:pPr>
            <w:r w:rsidRPr="00C05886">
              <w:rPr>
                <w:rFonts w:ascii="Calibri" w:eastAsia="Times New Roman" w:hAnsi="Calibri" w:cs="Calibri"/>
                <w:color w:val="000000"/>
                <w:sz w:val="20"/>
                <w:szCs w:val="20"/>
                <w:lang w:eastAsia="en-GB"/>
              </w:rPr>
              <w:t>100%</w:t>
            </w:r>
          </w:p>
        </w:tc>
      </w:tr>
      <w:tr w:rsidR="00375BD2" w:rsidRPr="00C05886" w14:paraId="779DEC02" w14:textId="77777777" w:rsidTr="006266B5">
        <w:trPr>
          <w:trHeight w:val="4"/>
        </w:trPr>
        <w:tc>
          <w:tcPr>
            <w:tcW w:w="1634" w:type="dxa"/>
            <w:vMerge w:val="restart"/>
            <w:noWrap/>
            <w:vAlign w:val="center"/>
            <w:hideMark/>
          </w:tcPr>
          <w:p w14:paraId="24DFCBA4" w14:textId="77777777" w:rsidR="00375BD2" w:rsidRPr="00C05886" w:rsidRDefault="00375BD2" w:rsidP="00375BD2">
            <w:pPr>
              <w:spacing w:line="240" w:lineRule="auto"/>
              <w:jc w:val="center"/>
              <w:rPr>
                <w:rFonts w:ascii="Calibri" w:eastAsia="Times New Roman" w:hAnsi="Calibri" w:cs="Calibri"/>
                <w:color w:val="000000"/>
                <w:sz w:val="20"/>
                <w:szCs w:val="20"/>
                <w:lang w:eastAsia="en-GB"/>
              </w:rPr>
            </w:pPr>
            <w:r w:rsidRPr="00C05886">
              <w:rPr>
                <w:rFonts w:ascii="Calibri" w:eastAsia="Times New Roman" w:hAnsi="Calibri" w:cs="Calibri"/>
                <w:color w:val="000000"/>
                <w:sz w:val="20"/>
                <w:szCs w:val="20"/>
                <w:lang w:eastAsia="en-GB"/>
              </w:rPr>
              <w:t>Experiment 4</w:t>
            </w:r>
          </w:p>
        </w:tc>
        <w:tc>
          <w:tcPr>
            <w:tcW w:w="2036" w:type="dxa"/>
            <w:noWrap/>
            <w:hideMark/>
          </w:tcPr>
          <w:p w14:paraId="38942A52" w14:textId="77777777" w:rsidR="00375BD2" w:rsidRPr="00C05886" w:rsidRDefault="00375BD2" w:rsidP="00375BD2">
            <w:pPr>
              <w:spacing w:line="240" w:lineRule="auto"/>
              <w:rPr>
                <w:rFonts w:ascii="Calibri" w:eastAsia="Times New Roman" w:hAnsi="Calibri" w:cs="Calibri"/>
                <w:color w:val="000000"/>
                <w:sz w:val="20"/>
                <w:szCs w:val="20"/>
                <w:lang w:eastAsia="en-GB"/>
              </w:rPr>
            </w:pPr>
            <w:r w:rsidRPr="00C05886">
              <w:rPr>
                <w:rFonts w:ascii="Calibri" w:eastAsia="Times New Roman" w:hAnsi="Calibri" w:cs="Calibri"/>
                <w:color w:val="000000"/>
                <w:sz w:val="20"/>
                <w:szCs w:val="20"/>
                <w:lang w:eastAsia="en-GB"/>
              </w:rPr>
              <w:t>Yes</w:t>
            </w:r>
          </w:p>
        </w:tc>
        <w:tc>
          <w:tcPr>
            <w:tcW w:w="1512" w:type="dxa"/>
            <w:noWrap/>
            <w:hideMark/>
          </w:tcPr>
          <w:p w14:paraId="27285A2A" w14:textId="77777777" w:rsidR="00375BD2" w:rsidRPr="00C05886" w:rsidRDefault="00375BD2" w:rsidP="00375BD2">
            <w:pPr>
              <w:spacing w:line="240" w:lineRule="auto"/>
              <w:jc w:val="right"/>
              <w:rPr>
                <w:rFonts w:ascii="Calibri" w:eastAsia="Times New Roman" w:hAnsi="Calibri" w:cs="Calibri"/>
                <w:color w:val="000000"/>
                <w:sz w:val="20"/>
                <w:szCs w:val="20"/>
                <w:lang w:eastAsia="en-GB"/>
              </w:rPr>
            </w:pPr>
            <w:r w:rsidRPr="00C05886">
              <w:rPr>
                <w:rFonts w:ascii="Calibri" w:eastAsia="Times New Roman" w:hAnsi="Calibri" w:cs="Calibri"/>
                <w:color w:val="000000"/>
                <w:sz w:val="20"/>
                <w:szCs w:val="20"/>
                <w:lang w:eastAsia="en-GB"/>
              </w:rPr>
              <w:t>18</w:t>
            </w:r>
          </w:p>
        </w:tc>
        <w:tc>
          <w:tcPr>
            <w:tcW w:w="1258" w:type="dxa"/>
            <w:noWrap/>
            <w:hideMark/>
          </w:tcPr>
          <w:p w14:paraId="5217D6F2" w14:textId="77777777" w:rsidR="00375BD2" w:rsidRPr="00C05886" w:rsidRDefault="00375BD2" w:rsidP="00375BD2">
            <w:pPr>
              <w:spacing w:line="240" w:lineRule="auto"/>
              <w:rPr>
                <w:rFonts w:ascii="Calibri" w:eastAsia="Times New Roman" w:hAnsi="Calibri" w:cs="Calibri"/>
                <w:color w:val="000000"/>
                <w:sz w:val="20"/>
                <w:szCs w:val="20"/>
                <w:lang w:eastAsia="en-GB"/>
              </w:rPr>
            </w:pPr>
            <w:r w:rsidRPr="00C05886">
              <w:rPr>
                <w:rFonts w:ascii="Calibri" w:eastAsia="Times New Roman" w:hAnsi="Calibri" w:cs="Calibri"/>
                <w:color w:val="000000"/>
                <w:sz w:val="20"/>
                <w:szCs w:val="20"/>
                <w:lang w:eastAsia="en-GB"/>
              </w:rPr>
              <w:t>4.6%</w:t>
            </w:r>
          </w:p>
        </w:tc>
      </w:tr>
      <w:tr w:rsidR="00375BD2" w:rsidRPr="00C05886" w14:paraId="49C5D5BD" w14:textId="77777777" w:rsidTr="0070406A">
        <w:trPr>
          <w:trHeight w:val="4"/>
        </w:trPr>
        <w:tc>
          <w:tcPr>
            <w:tcW w:w="1634" w:type="dxa"/>
            <w:vMerge/>
            <w:noWrap/>
            <w:hideMark/>
          </w:tcPr>
          <w:p w14:paraId="007410BA" w14:textId="77777777" w:rsidR="00375BD2" w:rsidRPr="00C05886" w:rsidRDefault="00375BD2" w:rsidP="00375BD2">
            <w:pPr>
              <w:spacing w:line="240" w:lineRule="auto"/>
              <w:rPr>
                <w:rFonts w:ascii="Calibri" w:eastAsia="Times New Roman" w:hAnsi="Calibri" w:cs="Calibri"/>
                <w:color w:val="000000"/>
                <w:sz w:val="20"/>
                <w:szCs w:val="20"/>
                <w:lang w:eastAsia="en-GB"/>
              </w:rPr>
            </w:pPr>
          </w:p>
        </w:tc>
        <w:tc>
          <w:tcPr>
            <w:tcW w:w="2036" w:type="dxa"/>
            <w:noWrap/>
            <w:hideMark/>
          </w:tcPr>
          <w:p w14:paraId="7FB256C1" w14:textId="77777777" w:rsidR="00375BD2" w:rsidRPr="00C05886" w:rsidRDefault="00375BD2" w:rsidP="00375BD2">
            <w:pPr>
              <w:spacing w:line="240" w:lineRule="auto"/>
              <w:rPr>
                <w:rFonts w:ascii="Calibri" w:eastAsia="Times New Roman" w:hAnsi="Calibri" w:cs="Calibri"/>
                <w:color w:val="000000"/>
                <w:sz w:val="20"/>
                <w:szCs w:val="20"/>
                <w:lang w:eastAsia="en-GB"/>
              </w:rPr>
            </w:pPr>
            <w:r w:rsidRPr="00C05886">
              <w:rPr>
                <w:rFonts w:ascii="Calibri" w:eastAsia="Times New Roman" w:hAnsi="Calibri" w:cs="Calibri"/>
                <w:color w:val="000000"/>
                <w:sz w:val="20"/>
                <w:szCs w:val="20"/>
                <w:lang w:eastAsia="en-GB"/>
              </w:rPr>
              <w:t>No</w:t>
            </w:r>
          </w:p>
        </w:tc>
        <w:tc>
          <w:tcPr>
            <w:tcW w:w="1512" w:type="dxa"/>
            <w:noWrap/>
            <w:hideMark/>
          </w:tcPr>
          <w:p w14:paraId="77B72A3D" w14:textId="77777777" w:rsidR="00375BD2" w:rsidRPr="00C05886" w:rsidRDefault="00375BD2" w:rsidP="00375BD2">
            <w:pPr>
              <w:spacing w:line="240" w:lineRule="auto"/>
              <w:jc w:val="right"/>
              <w:rPr>
                <w:rFonts w:ascii="Calibri" w:eastAsia="Times New Roman" w:hAnsi="Calibri" w:cs="Calibri"/>
                <w:color w:val="000000"/>
                <w:sz w:val="20"/>
                <w:szCs w:val="20"/>
                <w:lang w:eastAsia="en-GB"/>
              </w:rPr>
            </w:pPr>
            <w:r w:rsidRPr="00C05886">
              <w:rPr>
                <w:rFonts w:ascii="Calibri" w:eastAsia="Times New Roman" w:hAnsi="Calibri" w:cs="Calibri"/>
                <w:color w:val="000000"/>
                <w:sz w:val="20"/>
                <w:szCs w:val="20"/>
                <w:lang w:eastAsia="en-GB"/>
              </w:rPr>
              <w:t>377</w:t>
            </w:r>
          </w:p>
        </w:tc>
        <w:tc>
          <w:tcPr>
            <w:tcW w:w="1258" w:type="dxa"/>
            <w:noWrap/>
            <w:hideMark/>
          </w:tcPr>
          <w:p w14:paraId="48DC62C4" w14:textId="77777777" w:rsidR="00375BD2" w:rsidRPr="00C05886" w:rsidRDefault="00375BD2" w:rsidP="00375BD2">
            <w:pPr>
              <w:spacing w:line="240" w:lineRule="auto"/>
              <w:rPr>
                <w:rFonts w:ascii="Calibri" w:eastAsia="Times New Roman" w:hAnsi="Calibri" w:cs="Calibri"/>
                <w:color w:val="000000"/>
                <w:sz w:val="20"/>
                <w:szCs w:val="20"/>
                <w:lang w:eastAsia="en-GB"/>
              </w:rPr>
            </w:pPr>
            <w:r w:rsidRPr="00C05886">
              <w:rPr>
                <w:rFonts w:ascii="Calibri" w:eastAsia="Times New Roman" w:hAnsi="Calibri" w:cs="Calibri"/>
                <w:color w:val="000000"/>
                <w:sz w:val="20"/>
                <w:szCs w:val="20"/>
                <w:lang w:eastAsia="en-GB"/>
              </w:rPr>
              <w:t>95.4%</w:t>
            </w:r>
          </w:p>
        </w:tc>
      </w:tr>
      <w:tr w:rsidR="00375BD2" w:rsidRPr="00C05886" w14:paraId="5B57D2D2" w14:textId="77777777" w:rsidTr="006266B5">
        <w:trPr>
          <w:trHeight w:val="70"/>
        </w:trPr>
        <w:tc>
          <w:tcPr>
            <w:tcW w:w="1634" w:type="dxa"/>
            <w:vMerge/>
            <w:noWrap/>
            <w:hideMark/>
          </w:tcPr>
          <w:p w14:paraId="45A59A03" w14:textId="77777777" w:rsidR="00375BD2" w:rsidRPr="00C05886" w:rsidRDefault="00375BD2" w:rsidP="00375BD2">
            <w:pPr>
              <w:spacing w:line="240" w:lineRule="auto"/>
              <w:rPr>
                <w:rFonts w:ascii="Calibri" w:eastAsia="Times New Roman" w:hAnsi="Calibri" w:cs="Calibri"/>
                <w:color w:val="000000"/>
                <w:sz w:val="20"/>
                <w:szCs w:val="20"/>
                <w:lang w:eastAsia="en-GB"/>
              </w:rPr>
            </w:pPr>
          </w:p>
        </w:tc>
        <w:tc>
          <w:tcPr>
            <w:tcW w:w="2036" w:type="dxa"/>
            <w:noWrap/>
            <w:hideMark/>
          </w:tcPr>
          <w:p w14:paraId="7D124392" w14:textId="77777777" w:rsidR="00375BD2" w:rsidRPr="00C05886" w:rsidRDefault="00375BD2" w:rsidP="00375BD2">
            <w:pPr>
              <w:spacing w:line="240" w:lineRule="auto"/>
              <w:rPr>
                <w:rFonts w:ascii="Calibri" w:eastAsia="Times New Roman" w:hAnsi="Calibri" w:cs="Calibri"/>
                <w:color w:val="000000"/>
                <w:sz w:val="20"/>
                <w:szCs w:val="20"/>
                <w:lang w:eastAsia="en-GB"/>
              </w:rPr>
            </w:pPr>
            <w:r w:rsidRPr="00C05886">
              <w:rPr>
                <w:rFonts w:ascii="Calibri" w:eastAsia="Times New Roman" w:hAnsi="Calibri" w:cs="Calibri"/>
                <w:color w:val="000000"/>
                <w:sz w:val="20"/>
                <w:szCs w:val="20"/>
                <w:lang w:eastAsia="en-GB"/>
              </w:rPr>
              <w:t>Total</w:t>
            </w:r>
          </w:p>
        </w:tc>
        <w:tc>
          <w:tcPr>
            <w:tcW w:w="1512" w:type="dxa"/>
            <w:noWrap/>
            <w:hideMark/>
          </w:tcPr>
          <w:p w14:paraId="40B73A1D" w14:textId="77777777" w:rsidR="00375BD2" w:rsidRPr="00C05886" w:rsidRDefault="00375BD2" w:rsidP="00375BD2">
            <w:pPr>
              <w:spacing w:line="240" w:lineRule="auto"/>
              <w:jc w:val="right"/>
              <w:rPr>
                <w:rFonts w:ascii="Calibri" w:eastAsia="Times New Roman" w:hAnsi="Calibri" w:cs="Calibri"/>
                <w:color w:val="000000"/>
                <w:sz w:val="20"/>
                <w:szCs w:val="20"/>
                <w:lang w:eastAsia="en-GB"/>
              </w:rPr>
            </w:pPr>
            <w:r w:rsidRPr="00C05886">
              <w:rPr>
                <w:rFonts w:ascii="Calibri" w:eastAsia="Times New Roman" w:hAnsi="Calibri" w:cs="Calibri"/>
                <w:color w:val="000000"/>
                <w:sz w:val="20"/>
                <w:szCs w:val="20"/>
                <w:lang w:eastAsia="en-GB"/>
              </w:rPr>
              <w:t>395</w:t>
            </w:r>
          </w:p>
        </w:tc>
        <w:tc>
          <w:tcPr>
            <w:tcW w:w="1258" w:type="dxa"/>
            <w:noWrap/>
            <w:hideMark/>
          </w:tcPr>
          <w:p w14:paraId="503D50F6" w14:textId="77777777" w:rsidR="00375BD2" w:rsidRPr="00C05886" w:rsidRDefault="00375BD2" w:rsidP="00375BD2">
            <w:pPr>
              <w:spacing w:line="240" w:lineRule="auto"/>
              <w:rPr>
                <w:rFonts w:ascii="Calibri" w:eastAsia="Times New Roman" w:hAnsi="Calibri" w:cs="Calibri"/>
                <w:color w:val="000000"/>
                <w:sz w:val="20"/>
                <w:szCs w:val="20"/>
                <w:lang w:eastAsia="en-GB"/>
              </w:rPr>
            </w:pPr>
            <w:r w:rsidRPr="00C05886">
              <w:rPr>
                <w:rFonts w:ascii="Calibri" w:eastAsia="Times New Roman" w:hAnsi="Calibri" w:cs="Calibri"/>
                <w:color w:val="000000"/>
                <w:sz w:val="20"/>
                <w:szCs w:val="20"/>
                <w:lang w:eastAsia="en-GB"/>
              </w:rPr>
              <w:t>100%</w:t>
            </w:r>
          </w:p>
        </w:tc>
      </w:tr>
    </w:tbl>
    <w:p w14:paraId="533F99E1" w14:textId="77777777" w:rsidR="00375BD2" w:rsidRPr="00C05886" w:rsidRDefault="00375BD2" w:rsidP="00375BD2">
      <w:pPr>
        <w:spacing w:line="240" w:lineRule="auto"/>
      </w:pPr>
    </w:p>
    <w:p w14:paraId="49FF338A" w14:textId="77777777" w:rsidR="00375BD2" w:rsidRPr="00C05886" w:rsidRDefault="00375BD2" w:rsidP="00375BD2">
      <w:pPr>
        <w:pStyle w:val="Heading4"/>
        <w:spacing w:line="240" w:lineRule="auto"/>
      </w:pPr>
      <w:r w:rsidRPr="00C05886">
        <w:lastRenderedPageBreak/>
        <w:t>Mean Joviality, Serenity and Negative Affect values</w:t>
      </w:r>
    </w:p>
    <w:p w14:paraId="5E691710" w14:textId="7D4328E9" w:rsidR="00375BD2" w:rsidRPr="00C05886" w:rsidRDefault="00375BD2" w:rsidP="00375BD2">
      <w:pPr>
        <w:pStyle w:val="Caption"/>
        <w:keepNext/>
      </w:pPr>
      <w:r w:rsidRPr="00C05886">
        <w:t xml:space="preserve">Table </w:t>
      </w:r>
      <w:r w:rsidR="00B62F3A" w:rsidRPr="00C05886">
        <w:t>S4</w:t>
      </w:r>
      <w:r w:rsidRPr="00C05886">
        <w:t>. Experiment 1, Unadjusted means</w:t>
      </w:r>
      <w:r w:rsidRPr="005D7515">
        <w:t xml:space="preserve"> of the three affective dimensions at baseline and after the park</w:t>
      </w:r>
    </w:p>
    <w:tbl>
      <w:tblPr>
        <w:tblW w:w="0" w:type="auto"/>
        <w:tblLook w:val="04A0" w:firstRow="1" w:lastRow="0" w:firstColumn="1" w:lastColumn="0" w:noHBand="0" w:noVBand="1"/>
      </w:tblPr>
      <w:tblGrid>
        <w:gridCol w:w="722"/>
        <w:gridCol w:w="730"/>
        <w:gridCol w:w="1587"/>
        <w:gridCol w:w="1274"/>
        <w:gridCol w:w="1606"/>
        <w:gridCol w:w="1292"/>
        <w:gridCol w:w="1182"/>
        <w:gridCol w:w="868"/>
      </w:tblGrid>
      <w:tr w:rsidR="00375BD2" w:rsidRPr="00C05886" w14:paraId="4615916C" w14:textId="77777777" w:rsidTr="00B637FE">
        <w:trPr>
          <w:trHeight w:val="525"/>
        </w:trPr>
        <w:tc>
          <w:tcPr>
            <w:tcW w:w="0" w:type="auto"/>
            <w:gridSpan w:val="2"/>
            <w:tcBorders>
              <w:top w:val="single" w:sz="4" w:space="0" w:color="auto"/>
              <w:left w:val="single" w:sz="4" w:space="0" w:color="auto"/>
              <w:bottom w:val="single" w:sz="4" w:space="0" w:color="auto"/>
              <w:right w:val="single" w:sz="4" w:space="0" w:color="000000"/>
            </w:tcBorders>
            <w:shd w:val="clear" w:color="auto" w:fill="auto"/>
            <w:vAlign w:val="center"/>
            <w:hideMark/>
          </w:tcPr>
          <w:p w14:paraId="00A6AA2A" w14:textId="77777777" w:rsidR="00375BD2" w:rsidRPr="00C05886" w:rsidRDefault="00375BD2" w:rsidP="00375BD2">
            <w:pPr>
              <w:spacing w:after="0" w:line="240" w:lineRule="auto"/>
              <w:rPr>
                <w:rFonts w:ascii="Calibri" w:eastAsia="Times New Roman" w:hAnsi="Calibri" w:cs="Calibri"/>
                <w:color w:val="000000"/>
                <w:sz w:val="20"/>
                <w:szCs w:val="20"/>
                <w:lang w:eastAsia="en-GB"/>
              </w:rPr>
            </w:pPr>
            <w:r w:rsidRPr="00C05886">
              <w:rPr>
                <w:rFonts w:ascii="Calibri" w:eastAsia="Times New Roman" w:hAnsi="Calibri" w:cs="Calibri"/>
                <w:color w:val="000000"/>
                <w:sz w:val="20"/>
                <w:szCs w:val="20"/>
                <w:lang w:eastAsia="en-GB"/>
              </w:rPr>
              <w:t>Park treatment</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14DACF93" w14:textId="77777777" w:rsidR="00375BD2" w:rsidRPr="00C05886" w:rsidRDefault="00375BD2" w:rsidP="00375BD2">
            <w:pPr>
              <w:spacing w:after="0" w:line="240" w:lineRule="auto"/>
              <w:jc w:val="center"/>
              <w:rPr>
                <w:rFonts w:ascii="Calibri" w:eastAsia="Times New Roman" w:hAnsi="Calibri" w:cs="Calibri"/>
                <w:color w:val="000000"/>
                <w:sz w:val="20"/>
                <w:szCs w:val="20"/>
                <w:lang w:eastAsia="en-GB"/>
              </w:rPr>
            </w:pPr>
            <w:r w:rsidRPr="00C05886">
              <w:rPr>
                <w:rFonts w:ascii="Calibri" w:eastAsia="Times New Roman" w:hAnsi="Calibri" w:cs="Calibri"/>
                <w:color w:val="000000"/>
                <w:sz w:val="20"/>
                <w:szCs w:val="20"/>
                <w:lang w:eastAsia="en-GB"/>
              </w:rPr>
              <w:t>Joviality baseline</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2959E45D" w14:textId="77777777" w:rsidR="00375BD2" w:rsidRPr="00C05886" w:rsidRDefault="00375BD2" w:rsidP="00375BD2">
            <w:pPr>
              <w:spacing w:after="0" w:line="240" w:lineRule="auto"/>
              <w:jc w:val="center"/>
              <w:rPr>
                <w:rFonts w:ascii="Calibri" w:eastAsia="Times New Roman" w:hAnsi="Calibri" w:cs="Calibri"/>
                <w:color w:val="000000"/>
                <w:sz w:val="20"/>
                <w:szCs w:val="20"/>
                <w:lang w:eastAsia="en-GB"/>
              </w:rPr>
            </w:pPr>
            <w:proofErr w:type="gramStart"/>
            <w:r w:rsidRPr="00C05886">
              <w:rPr>
                <w:rFonts w:ascii="Calibri" w:eastAsia="Times New Roman" w:hAnsi="Calibri" w:cs="Calibri"/>
                <w:color w:val="000000"/>
                <w:sz w:val="20"/>
                <w:szCs w:val="20"/>
                <w:lang w:eastAsia="en-GB"/>
              </w:rPr>
              <w:t>Joviality park</w:t>
            </w:r>
            <w:proofErr w:type="gramEnd"/>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789A9E55" w14:textId="77777777" w:rsidR="00375BD2" w:rsidRPr="00C05886" w:rsidRDefault="00375BD2" w:rsidP="00375BD2">
            <w:pPr>
              <w:spacing w:after="0" w:line="240" w:lineRule="auto"/>
              <w:jc w:val="center"/>
              <w:rPr>
                <w:rFonts w:ascii="Calibri" w:eastAsia="Times New Roman" w:hAnsi="Calibri" w:cs="Calibri"/>
                <w:color w:val="000000"/>
                <w:sz w:val="20"/>
                <w:szCs w:val="20"/>
                <w:lang w:eastAsia="en-GB"/>
              </w:rPr>
            </w:pPr>
            <w:r w:rsidRPr="00C05886">
              <w:rPr>
                <w:rFonts w:ascii="Calibri" w:eastAsia="Times New Roman" w:hAnsi="Calibri" w:cs="Calibri"/>
                <w:color w:val="000000"/>
                <w:sz w:val="20"/>
                <w:szCs w:val="20"/>
                <w:lang w:eastAsia="en-GB"/>
              </w:rPr>
              <w:t>Serenity baseline</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5EB92391" w14:textId="77777777" w:rsidR="00375BD2" w:rsidRPr="00C05886" w:rsidRDefault="00375BD2" w:rsidP="00375BD2">
            <w:pPr>
              <w:spacing w:after="0" w:line="240" w:lineRule="auto"/>
              <w:jc w:val="center"/>
              <w:rPr>
                <w:rFonts w:ascii="Calibri" w:eastAsia="Times New Roman" w:hAnsi="Calibri" w:cs="Calibri"/>
                <w:color w:val="000000"/>
                <w:sz w:val="20"/>
                <w:szCs w:val="20"/>
                <w:lang w:eastAsia="en-GB"/>
              </w:rPr>
            </w:pPr>
            <w:proofErr w:type="gramStart"/>
            <w:r w:rsidRPr="00C05886">
              <w:rPr>
                <w:rFonts w:ascii="Calibri" w:eastAsia="Times New Roman" w:hAnsi="Calibri" w:cs="Calibri"/>
                <w:color w:val="000000"/>
                <w:sz w:val="20"/>
                <w:szCs w:val="20"/>
                <w:lang w:eastAsia="en-GB"/>
              </w:rPr>
              <w:t>Serenity park</w:t>
            </w:r>
            <w:proofErr w:type="gramEnd"/>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7F965D7E" w14:textId="77777777" w:rsidR="00375BD2" w:rsidRPr="00C05886" w:rsidRDefault="00375BD2" w:rsidP="00375BD2">
            <w:pPr>
              <w:spacing w:after="0" w:line="240" w:lineRule="auto"/>
              <w:jc w:val="center"/>
              <w:rPr>
                <w:rFonts w:ascii="Calibri" w:eastAsia="Times New Roman" w:hAnsi="Calibri" w:cs="Calibri"/>
                <w:color w:val="000000"/>
                <w:sz w:val="20"/>
                <w:szCs w:val="20"/>
                <w:lang w:eastAsia="en-GB"/>
              </w:rPr>
            </w:pPr>
            <w:r w:rsidRPr="00C05886">
              <w:rPr>
                <w:rFonts w:ascii="Calibri" w:eastAsia="Times New Roman" w:hAnsi="Calibri" w:cs="Calibri"/>
                <w:color w:val="000000"/>
                <w:sz w:val="20"/>
                <w:szCs w:val="20"/>
                <w:lang w:eastAsia="en-GB"/>
              </w:rPr>
              <w:t>NA baseline</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468DB996" w14:textId="77777777" w:rsidR="00375BD2" w:rsidRPr="00C05886" w:rsidRDefault="00375BD2" w:rsidP="00375BD2">
            <w:pPr>
              <w:spacing w:after="0" w:line="240" w:lineRule="auto"/>
              <w:jc w:val="center"/>
              <w:rPr>
                <w:rFonts w:ascii="Calibri" w:eastAsia="Times New Roman" w:hAnsi="Calibri" w:cs="Calibri"/>
                <w:color w:val="000000"/>
                <w:sz w:val="20"/>
                <w:szCs w:val="20"/>
                <w:lang w:eastAsia="en-GB"/>
              </w:rPr>
            </w:pPr>
            <w:r w:rsidRPr="00C05886">
              <w:rPr>
                <w:rFonts w:ascii="Calibri" w:eastAsia="Times New Roman" w:hAnsi="Calibri" w:cs="Calibri"/>
                <w:color w:val="000000"/>
                <w:sz w:val="20"/>
                <w:szCs w:val="20"/>
                <w:lang w:eastAsia="en-GB"/>
              </w:rPr>
              <w:t>NA park</w:t>
            </w:r>
          </w:p>
        </w:tc>
      </w:tr>
      <w:tr w:rsidR="00375BD2" w:rsidRPr="00C05886" w14:paraId="244E1E87" w14:textId="77777777" w:rsidTr="00B637FE">
        <w:trPr>
          <w:trHeight w:val="315"/>
        </w:trPr>
        <w:tc>
          <w:tcPr>
            <w:tcW w:w="0" w:type="auto"/>
            <w:vMerge w:val="restart"/>
            <w:tcBorders>
              <w:top w:val="nil"/>
              <w:left w:val="single" w:sz="8" w:space="0" w:color="auto"/>
              <w:bottom w:val="single" w:sz="8" w:space="0" w:color="000000"/>
              <w:right w:val="single" w:sz="8" w:space="0" w:color="auto"/>
            </w:tcBorders>
            <w:shd w:val="clear" w:color="auto" w:fill="auto"/>
            <w:vAlign w:val="center"/>
            <w:hideMark/>
          </w:tcPr>
          <w:p w14:paraId="4478C595" w14:textId="77777777" w:rsidR="00375BD2" w:rsidRPr="00C05886" w:rsidRDefault="00375BD2" w:rsidP="00375BD2">
            <w:pPr>
              <w:spacing w:after="0" w:line="240" w:lineRule="auto"/>
              <w:rPr>
                <w:rFonts w:ascii="Calibri" w:eastAsia="Times New Roman" w:hAnsi="Calibri" w:cs="Calibri"/>
                <w:color w:val="000000"/>
                <w:sz w:val="20"/>
                <w:szCs w:val="20"/>
                <w:lang w:eastAsia="en-GB"/>
              </w:rPr>
            </w:pPr>
            <w:r w:rsidRPr="00C05886">
              <w:rPr>
                <w:rFonts w:ascii="Calibri" w:eastAsia="Times New Roman" w:hAnsi="Calibri" w:cs="Calibri"/>
                <w:color w:val="000000"/>
                <w:sz w:val="20"/>
                <w:szCs w:val="20"/>
                <w:lang w:eastAsia="en-GB"/>
              </w:rPr>
              <w:t>HBHC</w:t>
            </w:r>
          </w:p>
        </w:tc>
        <w:tc>
          <w:tcPr>
            <w:tcW w:w="0" w:type="auto"/>
            <w:tcBorders>
              <w:top w:val="nil"/>
              <w:left w:val="nil"/>
              <w:bottom w:val="single" w:sz="8" w:space="0" w:color="auto"/>
              <w:right w:val="single" w:sz="8" w:space="0" w:color="auto"/>
            </w:tcBorders>
            <w:shd w:val="clear" w:color="auto" w:fill="auto"/>
            <w:vAlign w:val="center"/>
            <w:hideMark/>
          </w:tcPr>
          <w:p w14:paraId="6840CDCD" w14:textId="77777777" w:rsidR="00375BD2" w:rsidRPr="00C05886" w:rsidRDefault="00375BD2" w:rsidP="00375BD2">
            <w:pPr>
              <w:spacing w:after="0" w:line="240" w:lineRule="auto"/>
              <w:rPr>
                <w:rFonts w:ascii="Calibri" w:eastAsia="Times New Roman" w:hAnsi="Calibri" w:cs="Calibri"/>
                <w:color w:val="000000"/>
                <w:sz w:val="20"/>
                <w:szCs w:val="20"/>
                <w:lang w:eastAsia="en-GB"/>
              </w:rPr>
            </w:pPr>
            <w:r w:rsidRPr="00C05886">
              <w:rPr>
                <w:rFonts w:ascii="Calibri" w:eastAsia="Times New Roman" w:hAnsi="Calibri" w:cs="Calibri"/>
                <w:color w:val="000000"/>
                <w:sz w:val="20"/>
                <w:szCs w:val="20"/>
                <w:lang w:eastAsia="en-GB"/>
              </w:rPr>
              <w:t>Mean</w:t>
            </w:r>
          </w:p>
        </w:tc>
        <w:tc>
          <w:tcPr>
            <w:tcW w:w="0" w:type="auto"/>
            <w:tcBorders>
              <w:top w:val="nil"/>
              <w:left w:val="nil"/>
              <w:bottom w:val="single" w:sz="8" w:space="0" w:color="auto"/>
              <w:right w:val="single" w:sz="8" w:space="0" w:color="auto"/>
            </w:tcBorders>
            <w:shd w:val="clear" w:color="auto" w:fill="auto"/>
            <w:vAlign w:val="center"/>
            <w:hideMark/>
          </w:tcPr>
          <w:p w14:paraId="19242829" w14:textId="77777777" w:rsidR="00375BD2" w:rsidRPr="00C05886" w:rsidRDefault="00375BD2" w:rsidP="00375BD2">
            <w:pPr>
              <w:spacing w:after="0" w:line="240" w:lineRule="auto"/>
              <w:jc w:val="right"/>
              <w:rPr>
                <w:rFonts w:ascii="Calibri" w:eastAsia="Times New Roman" w:hAnsi="Calibri" w:cs="Calibri"/>
                <w:color w:val="000000"/>
                <w:sz w:val="20"/>
                <w:szCs w:val="20"/>
                <w:lang w:eastAsia="en-GB"/>
              </w:rPr>
            </w:pPr>
            <w:r w:rsidRPr="00C05886">
              <w:rPr>
                <w:rFonts w:ascii="Calibri" w:eastAsia="Times New Roman" w:hAnsi="Calibri" w:cs="Calibri"/>
                <w:color w:val="000000"/>
                <w:sz w:val="20"/>
                <w:szCs w:val="20"/>
                <w:lang w:eastAsia="en-GB"/>
              </w:rPr>
              <w:t>2.45</w:t>
            </w:r>
          </w:p>
        </w:tc>
        <w:tc>
          <w:tcPr>
            <w:tcW w:w="0" w:type="auto"/>
            <w:tcBorders>
              <w:top w:val="nil"/>
              <w:left w:val="nil"/>
              <w:bottom w:val="single" w:sz="8" w:space="0" w:color="auto"/>
              <w:right w:val="single" w:sz="8" w:space="0" w:color="auto"/>
            </w:tcBorders>
            <w:shd w:val="clear" w:color="auto" w:fill="auto"/>
            <w:vAlign w:val="center"/>
            <w:hideMark/>
          </w:tcPr>
          <w:p w14:paraId="1B257BF2" w14:textId="77777777" w:rsidR="00375BD2" w:rsidRPr="00C05886" w:rsidRDefault="00375BD2" w:rsidP="00375BD2">
            <w:pPr>
              <w:spacing w:after="0" w:line="240" w:lineRule="auto"/>
              <w:jc w:val="right"/>
              <w:rPr>
                <w:rFonts w:ascii="Calibri" w:eastAsia="Times New Roman" w:hAnsi="Calibri" w:cs="Calibri"/>
                <w:color w:val="000000"/>
                <w:sz w:val="20"/>
                <w:szCs w:val="20"/>
                <w:lang w:eastAsia="en-GB"/>
              </w:rPr>
            </w:pPr>
            <w:r w:rsidRPr="00C05886">
              <w:rPr>
                <w:rFonts w:ascii="Calibri" w:eastAsia="Times New Roman" w:hAnsi="Calibri" w:cs="Calibri"/>
                <w:color w:val="000000"/>
                <w:sz w:val="20"/>
                <w:szCs w:val="20"/>
                <w:lang w:eastAsia="en-GB"/>
              </w:rPr>
              <w:t>2.54</w:t>
            </w:r>
          </w:p>
        </w:tc>
        <w:tc>
          <w:tcPr>
            <w:tcW w:w="0" w:type="auto"/>
            <w:tcBorders>
              <w:top w:val="nil"/>
              <w:left w:val="nil"/>
              <w:bottom w:val="single" w:sz="8" w:space="0" w:color="auto"/>
              <w:right w:val="single" w:sz="8" w:space="0" w:color="auto"/>
            </w:tcBorders>
            <w:shd w:val="clear" w:color="auto" w:fill="auto"/>
            <w:vAlign w:val="center"/>
            <w:hideMark/>
          </w:tcPr>
          <w:p w14:paraId="0810BE98" w14:textId="77777777" w:rsidR="00375BD2" w:rsidRPr="00C05886" w:rsidRDefault="00375BD2" w:rsidP="00375BD2">
            <w:pPr>
              <w:spacing w:after="0" w:line="240" w:lineRule="auto"/>
              <w:jc w:val="right"/>
              <w:rPr>
                <w:rFonts w:ascii="Calibri" w:eastAsia="Times New Roman" w:hAnsi="Calibri" w:cs="Calibri"/>
                <w:color w:val="000000"/>
                <w:sz w:val="20"/>
                <w:szCs w:val="20"/>
                <w:lang w:eastAsia="en-GB"/>
              </w:rPr>
            </w:pPr>
            <w:r w:rsidRPr="00C05886">
              <w:rPr>
                <w:rFonts w:ascii="Calibri" w:eastAsia="Times New Roman" w:hAnsi="Calibri" w:cs="Calibri"/>
                <w:color w:val="000000"/>
                <w:sz w:val="20"/>
                <w:szCs w:val="20"/>
                <w:lang w:eastAsia="en-GB"/>
              </w:rPr>
              <w:t>3.32</w:t>
            </w:r>
          </w:p>
        </w:tc>
        <w:tc>
          <w:tcPr>
            <w:tcW w:w="0" w:type="auto"/>
            <w:tcBorders>
              <w:top w:val="nil"/>
              <w:left w:val="nil"/>
              <w:bottom w:val="single" w:sz="8" w:space="0" w:color="auto"/>
              <w:right w:val="single" w:sz="8" w:space="0" w:color="auto"/>
            </w:tcBorders>
            <w:shd w:val="clear" w:color="auto" w:fill="auto"/>
            <w:vAlign w:val="center"/>
            <w:hideMark/>
          </w:tcPr>
          <w:p w14:paraId="056C923B" w14:textId="77777777" w:rsidR="00375BD2" w:rsidRPr="00C05886" w:rsidRDefault="00375BD2" w:rsidP="00375BD2">
            <w:pPr>
              <w:spacing w:after="0" w:line="240" w:lineRule="auto"/>
              <w:jc w:val="right"/>
              <w:rPr>
                <w:rFonts w:ascii="Calibri" w:eastAsia="Times New Roman" w:hAnsi="Calibri" w:cs="Calibri"/>
                <w:color w:val="000000"/>
                <w:sz w:val="20"/>
                <w:szCs w:val="20"/>
                <w:lang w:eastAsia="en-GB"/>
              </w:rPr>
            </w:pPr>
            <w:r w:rsidRPr="00C05886">
              <w:rPr>
                <w:rFonts w:ascii="Calibri" w:eastAsia="Times New Roman" w:hAnsi="Calibri" w:cs="Calibri"/>
                <w:color w:val="000000"/>
                <w:sz w:val="20"/>
                <w:szCs w:val="20"/>
                <w:lang w:eastAsia="en-GB"/>
              </w:rPr>
              <w:t>3.40</w:t>
            </w:r>
          </w:p>
        </w:tc>
        <w:tc>
          <w:tcPr>
            <w:tcW w:w="0" w:type="auto"/>
            <w:tcBorders>
              <w:top w:val="nil"/>
              <w:left w:val="nil"/>
              <w:bottom w:val="single" w:sz="8" w:space="0" w:color="auto"/>
              <w:right w:val="single" w:sz="8" w:space="0" w:color="auto"/>
            </w:tcBorders>
            <w:shd w:val="clear" w:color="auto" w:fill="auto"/>
            <w:vAlign w:val="center"/>
            <w:hideMark/>
          </w:tcPr>
          <w:p w14:paraId="3132A013" w14:textId="77777777" w:rsidR="00375BD2" w:rsidRPr="00C05886" w:rsidRDefault="00375BD2" w:rsidP="00375BD2">
            <w:pPr>
              <w:spacing w:after="0" w:line="240" w:lineRule="auto"/>
              <w:jc w:val="right"/>
              <w:rPr>
                <w:rFonts w:ascii="Calibri" w:eastAsia="Times New Roman" w:hAnsi="Calibri" w:cs="Calibri"/>
                <w:color w:val="000000"/>
                <w:sz w:val="20"/>
                <w:szCs w:val="20"/>
                <w:lang w:eastAsia="en-GB"/>
              </w:rPr>
            </w:pPr>
            <w:r w:rsidRPr="00C05886">
              <w:rPr>
                <w:rFonts w:ascii="Calibri" w:eastAsia="Times New Roman" w:hAnsi="Calibri" w:cs="Calibri"/>
                <w:color w:val="000000"/>
                <w:sz w:val="20"/>
                <w:szCs w:val="20"/>
                <w:lang w:eastAsia="en-GB"/>
              </w:rPr>
              <w:t>1.56</w:t>
            </w:r>
          </w:p>
        </w:tc>
        <w:tc>
          <w:tcPr>
            <w:tcW w:w="0" w:type="auto"/>
            <w:tcBorders>
              <w:top w:val="nil"/>
              <w:left w:val="nil"/>
              <w:bottom w:val="single" w:sz="8" w:space="0" w:color="auto"/>
              <w:right w:val="single" w:sz="8" w:space="0" w:color="auto"/>
            </w:tcBorders>
            <w:shd w:val="clear" w:color="auto" w:fill="auto"/>
            <w:vAlign w:val="center"/>
            <w:hideMark/>
          </w:tcPr>
          <w:p w14:paraId="7E33CD0B" w14:textId="77777777" w:rsidR="00375BD2" w:rsidRPr="00C05886" w:rsidRDefault="00375BD2" w:rsidP="00375BD2">
            <w:pPr>
              <w:spacing w:after="0" w:line="240" w:lineRule="auto"/>
              <w:jc w:val="right"/>
              <w:rPr>
                <w:rFonts w:ascii="Calibri" w:eastAsia="Times New Roman" w:hAnsi="Calibri" w:cs="Calibri"/>
                <w:color w:val="000000"/>
                <w:sz w:val="20"/>
                <w:szCs w:val="20"/>
                <w:lang w:eastAsia="en-GB"/>
              </w:rPr>
            </w:pPr>
            <w:r w:rsidRPr="00C05886">
              <w:rPr>
                <w:rFonts w:ascii="Calibri" w:eastAsia="Times New Roman" w:hAnsi="Calibri" w:cs="Calibri"/>
                <w:color w:val="000000"/>
                <w:sz w:val="20"/>
                <w:szCs w:val="20"/>
                <w:lang w:eastAsia="en-GB"/>
              </w:rPr>
              <w:t>1.33</w:t>
            </w:r>
          </w:p>
        </w:tc>
      </w:tr>
      <w:tr w:rsidR="00375BD2" w:rsidRPr="00C05886" w14:paraId="54ACEC31" w14:textId="77777777" w:rsidTr="00B637FE">
        <w:trPr>
          <w:trHeight w:val="315"/>
        </w:trPr>
        <w:tc>
          <w:tcPr>
            <w:tcW w:w="0" w:type="auto"/>
            <w:vMerge/>
            <w:tcBorders>
              <w:top w:val="nil"/>
              <w:left w:val="single" w:sz="8" w:space="0" w:color="auto"/>
              <w:bottom w:val="single" w:sz="8" w:space="0" w:color="000000"/>
              <w:right w:val="single" w:sz="8" w:space="0" w:color="auto"/>
            </w:tcBorders>
            <w:vAlign w:val="center"/>
            <w:hideMark/>
          </w:tcPr>
          <w:p w14:paraId="63F5DA83" w14:textId="77777777" w:rsidR="00375BD2" w:rsidRPr="00C05886" w:rsidRDefault="00375BD2" w:rsidP="00375BD2">
            <w:pPr>
              <w:spacing w:after="0" w:line="240" w:lineRule="auto"/>
              <w:rPr>
                <w:rFonts w:ascii="Calibri" w:eastAsia="Times New Roman" w:hAnsi="Calibri" w:cs="Calibri"/>
                <w:color w:val="000000"/>
                <w:sz w:val="20"/>
                <w:szCs w:val="20"/>
                <w:lang w:eastAsia="en-GB"/>
              </w:rPr>
            </w:pPr>
          </w:p>
        </w:tc>
        <w:tc>
          <w:tcPr>
            <w:tcW w:w="0" w:type="auto"/>
            <w:tcBorders>
              <w:top w:val="nil"/>
              <w:left w:val="nil"/>
              <w:bottom w:val="single" w:sz="8" w:space="0" w:color="auto"/>
              <w:right w:val="single" w:sz="8" w:space="0" w:color="auto"/>
            </w:tcBorders>
            <w:shd w:val="clear" w:color="auto" w:fill="auto"/>
            <w:vAlign w:val="center"/>
            <w:hideMark/>
          </w:tcPr>
          <w:p w14:paraId="69CCB9A4" w14:textId="77777777" w:rsidR="00375BD2" w:rsidRPr="00C05886" w:rsidRDefault="00375BD2" w:rsidP="00375BD2">
            <w:pPr>
              <w:spacing w:after="0" w:line="240" w:lineRule="auto"/>
              <w:rPr>
                <w:rFonts w:ascii="Calibri" w:eastAsia="Times New Roman" w:hAnsi="Calibri" w:cs="Calibri"/>
                <w:color w:val="000000"/>
                <w:sz w:val="20"/>
                <w:szCs w:val="20"/>
                <w:lang w:eastAsia="en-GB"/>
              </w:rPr>
            </w:pPr>
            <w:r w:rsidRPr="00C05886">
              <w:rPr>
                <w:rFonts w:ascii="Calibri" w:eastAsia="Times New Roman" w:hAnsi="Calibri" w:cs="Calibri"/>
                <w:color w:val="000000"/>
                <w:sz w:val="20"/>
                <w:szCs w:val="20"/>
                <w:lang w:eastAsia="en-GB"/>
              </w:rPr>
              <w:t>SD</w:t>
            </w:r>
          </w:p>
        </w:tc>
        <w:tc>
          <w:tcPr>
            <w:tcW w:w="0" w:type="auto"/>
            <w:tcBorders>
              <w:top w:val="nil"/>
              <w:left w:val="nil"/>
              <w:bottom w:val="single" w:sz="8" w:space="0" w:color="auto"/>
              <w:right w:val="single" w:sz="8" w:space="0" w:color="auto"/>
            </w:tcBorders>
            <w:shd w:val="clear" w:color="auto" w:fill="auto"/>
            <w:vAlign w:val="center"/>
            <w:hideMark/>
          </w:tcPr>
          <w:p w14:paraId="6DFAB18D" w14:textId="77777777" w:rsidR="00375BD2" w:rsidRPr="00C05886" w:rsidRDefault="00375BD2" w:rsidP="00375BD2">
            <w:pPr>
              <w:spacing w:after="0" w:line="240" w:lineRule="auto"/>
              <w:jc w:val="right"/>
              <w:rPr>
                <w:rFonts w:ascii="Calibri" w:eastAsia="Times New Roman" w:hAnsi="Calibri" w:cs="Calibri"/>
                <w:color w:val="000000"/>
                <w:sz w:val="20"/>
                <w:szCs w:val="20"/>
                <w:lang w:eastAsia="en-GB"/>
              </w:rPr>
            </w:pPr>
            <w:r w:rsidRPr="00C05886">
              <w:rPr>
                <w:rFonts w:ascii="Calibri" w:eastAsia="Times New Roman" w:hAnsi="Calibri" w:cs="Calibri"/>
                <w:color w:val="000000"/>
                <w:sz w:val="20"/>
                <w:szCs w:val="20"/>
                <w:lang w:eastAsia="en-GB"/>
              </w:rPr>
              <w:t>0.84</w:t>
            </w:r>
          </w:p>
        </w:tc>
        <w:tc>
          <w:tcPr>
            <w:tcW w:w="0" w:type="auto"/>
            <w:tcBorders>
              <w:top w:val="nil"/>
              <w:left w:val="nil"/>
              <w:bottom w:val="single" w:sz="8" w:space="0" w:color="auto"/>
              <w:right w:val="single" w:sz="8" w:space="0" w:color="auto"/>
            </w:tcBorders>
            <w:shd w:val="clear" w:color="auto" w:fill="auto"/>
            <w:vAlign w:val="center"/>
            <w:hideMark/>
          </w:tcPr>
          <w:p w14:paraId="457A5A6B" w14:textId="77777777" w:rsidR="00375BD2" w:rsidRPr="00C05886" w:rsidRDefault="00375BD2" w:rsidP="00375BD2">
            <w:pPr>
              <w:spacing w:after="0" w:line="240" w:lineRule="auto"/>
              <w:jc w:val="right"/>
              <w:rPr>
                <w:rFonts w:ascii="Calibri" w:eastAsia="Times New Roman" w:hAnsi="Calibri" w:cs="Calibri"/>
                <w:color w:val="000000"/>
                <w:sz w:val="20"/>
                <w:szCs w:val="20"/>
                <w:lang w:eastAsia="en-GB"/>
              </w:rPr>
            </w:pPr>
            <w:r w:rsidRPr="00C05886">
              <w:rPr>
                <w:rFonts w:ascii="Calibri" w:eastAsia="Times New Roman" w:hAnsi="Calibri" w:cs="Calibri"/>
                <w:color w:val="000000"/>
                <w:sz w:val="20"/>
                <w:szCs w:val="20"/>
                <w:lang w:eastAsia="en-GB"/>
              </w:rPr>
              <w:t>0.93</w:t>
            </w:r>
          </w:p>
        </w:tc>
        <w:tc>
          <w:tcPr>
            <w:tcW w:w="0" w:type="auto"/>
            <w:tcBorders>
              <w:top w:val="nil"/>
              <w:left w:val="nil"/>
              <w:bottom w:val="single" w:sz="8" w:space="0" w:color="auto"/>
              <w:right w:val="single" w:sz="8" w:space="0" w:color="auto"/>
            </w:tcBorders>
            <w:shd w:val="clear" w:color="auto" w:fill="auto"/>
            <w:vAlign w:val="center"/>
            <w:hideMark/>
          </w:tcPr>
          <w:p w14:paraId="01EB9FCE" w14:textId="77777777" w:rsidR="00375BD2" w:rsidRPr="00C05886" w:rsidRDefault="00375BD2" w:rsidP="00375BD2">
            <w:pPr>
              <w:spacing w:after="0" w:line="240" w:lineRule="auto"/>
              <w:jc w:val="right"/>
              <w:rPr>
                <w:rFonts w:ascii="Calibri" w:eastAsia="Times New Roman" w:hAnsi="Calibri" w:cs="Calibri"/>
                <w:color w:val="000000"/>
                <w:sz w:val="20"/>
                <w:szCs w:val="20"/>
                <w:lang w:eastAsia="en-GB"/>
              </w:rPr>
            </w:pPr>
            <w:r w:rsidRPr="00C05886">
              <w:rPr>
                <w:rFonts w:ascii="Calibri" w:eastAsia="Times New Roman" w:hAnsi="Calibri" w:cs="Calibri"/>
                <w:color w:val="000000"/>
                <w:sz w:val="20"/>
                <w:szCs w:val="20"/>
                <w:lang w:eastAsia="en-GB"/>
              </w:rPr>
              <w:t>0.90</w:t>
            </w:r>
          </w:p>
        </w:tc>
        <w:tc>
          <w:tcPr>
            <w:tcW w:w="0" w:type="auto"/>
            <w:tcBorders>
              <w:top w:val="nil"/>
              <w:left w:val="nil"/>
              <w:bottom w:val="single" w:sz="8" w:space="0" w:color="auto"/>
              <w:right w:val="single" w:sz="8" w:space="0" w:color="auto"/>
            </w:tcBorders>
            <w:shd w:val="clear" w:color="auto" w:fill="auto"/>
            <w:vAlign w:val="center"/>
            <w:hideMark/>
          </w:tcPr>
          <w:p w14:paraId="475E48A6" w14:textId="77777777" w:rsidR="00375BD2" w:rsidRPr="00C05886" w:rsidRDefault="00375BD2" w:rsidP="00375BD2">
            <w:pPr>
              <w:spacing w:after="0" w:line="240" w:lineRule="auto"/>
              <w:jc w:val="right"/>
              <w:rPr>
                <w:rFonts w:ascii="Calibri" w:eastAsia="Times New Roman" w:hAnsi="Calibri" w:cs="Calibri"/>
                <w:color w:val="000000"/>
                <w:sz w:val="20"/>
                <w:szCs w:val="20"/>
                <w:lang w:eastAsia="en-GB"/>
              </w:rPr>
            </w:pPr>
            <w:r w:rsidRPr="00C05886">
              <w:rPr>
                <w:rFonts w:ascii="Calibri" w:eastAsia="Times New Roman" w:hAnsi="Calibri" w:cs="Calibri"/>
                <w:color w:val="000000"/>
                <w:sz w:val="20"/>
                <w:szCs w:val="20"/>
                <w:lang w:eastAsia="en-GB"/>
              </w:rPr>
              <w:t>0.94</w:t>
            </w:r>
          </w:p>
        </w:tc>
        <w:tc>
          <w:tcPr>
            <w:tcW w:w="0" w:type="auto"/>
            <w:tcBorders>
              <w:top w:val="nil"/>
              <w:left w:val="nil"/>
              <w:bottom w:val="single" w:sz="8" w:space="0" w:color="auto"/>
              <w:right w:val="single" w:sz="8" w:space="0" w:color="auto"/>
            </w:tcBorders>
            <w:shd w:val="clear" w:color="auto" w:fill="auto"/>
            <w:vAlign w:val="center"/>
            <w:hideMark/>
          </w:tcPr>
          <w:p w14:paraId="0715E599" w14:textId="77777777" w:rsidR="00375BD2" w:rsidRPr="00C05886" w:rsidRDefault="00375BD2" w:rsidP="00375BD2">
            <w:pPr>
              <w:spacing w:after="0" w:line="240" w:lineRule="auto"/>
              <w:jc w:val="right"/>
              <w:rPr>
                <w:rFonts w:ascii="Calibri" w:eastAsia="Times New Roman" w:hAnsi="Calibri" w:cs="Calibri"/>
                <w:color w:val="000000"/>
                <w:sz w:val="20"/>
                <w:szCs w:val="20"/>
                <w:lang w:eastAsia="en-GB"/>
              </w:rPr>
            </w:pPr>
            <w:r w:rsidRPr="00C05886">
              <w:rPr>
                <w:rFonts w:ascii="Calibri" w:eastAsia="Times New Roman" w:hAnsi="Calibri" w:cs="Calibri"/>
                <w:color w:val="000000"/>
                <w:sz w:val="20"/>
                <w:szCs w:val="20"/>
                <w:lang w:eastAsia="en-GB"/>
              </w:rPr>
              <w:t>0.74</w:t>
            </w:r>
          </w:p>
        </w:tc>
        <w:tc>
          <w:tcPr>
            <w:tcW w:w="0" w:type="auto"/>
            <w:tcBorders>
              <w:top w:val="nil"/>
              <w:left w:val="nil"/>
              <w:bottom w:val="single" w:sz="8" w:space="0" w:color="auto"/>
              <w:right w:val="single" w:sz="8" w:space="0" w:color="auto"/>
            </w:tcBorders>
            <w:shd w:val="clear" w:color="auto" w:fill="auto"/>
            <w:vAlign w:val="center"/>
            <w:hideMark/>
          </w:tcPr>
          <w:p w14:paraId="6E15C82A" w14:textId="77777777" w:rsidR="00375BD2" w:rsidRPr="00C05886" w:rsidRDefault="00375BD2" w:rsidP="00375BD2">
            <w:pPr>
              <w:spacing w:after="0" w:line="240" w:lineRule="auto"/>
              <w:jc w:val="right"/>
              <w:rPr>
                <w:rFonts w:ascii="Calibri" w:eastAsia="Times New Roman" w:hAnsi="Calibri" w:cs="Calibri"/>
                <w:color w:val="000000"/>
                <w:sz w:val="20"/>
                <w:szCs w:val="20"/>
                <w:lang w:eastAsia="en-GB"/>
              </w:rPr>
            </w:pPr>
            <w:r w:rsidRPr="00C05886">
              <w:rPr>
                <w:rFonts w:ascii="Calibri" w:eastAsia="Times New Roman" w:hAnsi="Calibri" w:cs="Calibri"/>
                <w:color w:val="000000"/>
                <w:sz w:val="20"/>
                <w:szCs w:val="20"/>
                <w:lang w:eastAsia="en-GB"/>
              </w:rPr>
              <w:t>0.62</w:t>
            </w:r>
          </w:p>
        </w:tc>
      </w:tr>
      <w:tr w:rsidR="00375BD2" w:rsidRPr="00C05886" w14:paraId="262296C7" w14:textId="77777777" w:rsidTr="00B637FE">
        <w:trPr>
          <w:trHeight w:val="315"/>
        </w:trPr>
        <w:tc>
          <w:tcPr>
            <w:tcW w:w="0" w:type="auto"/>
            <w:vMerge/>
            <w:tcBorders>
              <w:top w:val="nil"/>
              <w:left w:val="single" w:sz="8" w:space="0" w:color="auto"/>
              <w:bottom w:val="single" w:sz="8" w:space="0" w:color="000000"/>
              <w:right w:val="single" w:sz="8" w:space="0" w:color="auto"/>
            </w:tcBorders>
            <w:vAlign w:val="center"/>
            <w:hideMark/>
          </w:tcPr>
          <w:p w14:paraId="08EDF43D" w14:textId="77777777" w:rsidR="00375BD2" w:rsidRPr="00C05886" w:rsidRDefault="00375BD2" w:rsidP="00375BD2">
            <w:pPr>
              <w:spacing w:after="0" w:line="240" w:lineRule="auto"/>
              <w:rPr>
                <w:rFonts w:ascii="Calibri" w:eastAsia="Times New Roman" w:hAnsi="Calibri" w:cs="Calibri"/>
                <w:color w:val="000000"/>
                <w:sz w:val="20"/>
                <w:szCs w:val="20"/>
                <w:lang w:eastAsia="en-GB"/>
              </w:rPr>
            </w:pPr>
          </w:p>
        </w:tc>
        <w:tc>
          <w:tcPr>
            <w:tcW w:w="0" w:type="auto"/>
            <w:tcBorders>
              <w:top w:val="nil"/>
              <w:left w:val="nil"/>
              <w:bottom w:val="single" w:sz="8" w:space="0" w:color="auto"/>
              <w:right w:val="single" w:sz="8" w:space="0" w:color="auto"/>
            </w:tcBorders>
            <w:shd w:val="clear" w:color="auto" w:fill="auto"/>
            <w:vAlign w:val="center"/>
            <w:hideMark/>
          </w:tcPr>
          <w:p w14:paraId="2BBF72DF" w14:textId="77777777" w:rsidR="00375BD2" w:rsidRPr="00C05886" w:rsidRDefault="00375BD2" w:rsidP="00375BD2">
            <w:pPr>
              <w:spacing w:after="0" w:line="240" w:lineRule="auto"/>
              <w:rPr>
                <w:rFonts w:ascii="Calibri" w:eastAsia="Times New Roman" w:hAnsi="Calibri" w:cs="Calibri"/>
                <w:color w:val="000000"/>
                <w:sz w:val="20"/>
                <w:szCs w:val="20"/>
                <w:lang w:eastAsia="en-GB"/>
              </w:rPr>
            </w:pPr>
            <w:r w:rsidRPr="00C05886">
              <w:rPr>
                <w:rFonts w:ascii="Calibri" w:eastAsia="Times New Roman" w:hAnsi="Calibri" w:cs="Calibri"/>
                <w:color w:val="000000"/>
                <w:sz w:val="20"/>
                <w:szCs w:val="20"/>
                <w:lang w:eastAsia="en-GB"/>
              </w:rPr>
              <w:t>N</w:t>
            </w:r>
          </w:p>
        </w:tc>
        <w:tc>
          <w:tcPr>
            <w:tcW w:w="0" w:type="auto"/>
            <w:tcBorders>
              <w:top w:val="nil"/>
              <w:left w:val="nil"/>
              <w:bottom w:val="single" w:sz="8" w:space="0" w:color="auto"/>
              <w:right w:val="single" w:sz="8" w:space="0" w:color="auto"/>
            </w:tcBorders>
            <w:shd w:val="clear" w:color="auto" w:fill="auto"/>
            <w:vAlign w:val="center"/>
            <w:hideMark/>
          </w:tcPr>
          <w:p w14:paraId="6AA69D04" w14:textId="77777777" w:rsidR="00375BD2" w:rsidRPr="00C05886" w:rsidRDefault="00375BD2" w:rsidP="00375BD2">
            <w:pPr>
              <w:spacing w:after="0" w:line="240" w:lineRule="auto"/>
              <w:jc w:val="right"/>
              <w:rPr>
                <w:rFonts w:ascii="Calibri" w:eastAsia="Times New Roman" w:hAnsi="Calibri" w:cs="Calibri"/>
                <w:color w:val="000000"/>
                <w:sz w:val="20"/>
                <w:szCs w:val="20"/>
                <w:lang w:eastAsia="en-GB"/>
              </w:rPr>
            </w:pPr>
            <w:r w:rsidRPr="00C05886">
              <w:rPr>
                <w:rFonts w:ascii="Calibri" w:eastAsia="Times New Roman" w:hAnsi="Calibri" w:cs="Calibri"/>
                <w:color w:val="000000"/>
                <w:sz w:val="20"/>
                <w:szCs w:val="20"/>
                <w:lang w:eastAsia="en-GB"/>
              </w:rPr>
              <w:t>116</w:t>
            </w:r>
          </w:p>
        </w:tc>
        <w:tc>
          <w:tcPr>
            <w:tcW w:w="0" w:type="auto"/>
            <w:tcBorders>
              <w:top w:val="nil"/>
              <w:left w:val="nil"/>
              <w:bottom w:val="single" w:sz="8" w:space="0" w:color="auto"/>
              <w:right w:val="single" w:sz="8" w:space="0" w:color="auto"/>
            </w:tcBorders>
            <w:shd w:val="clear" w:color="auto" w:fill="auto"/>
            <w:vAlign w:val="center"/>
            <w:hideMark/>
          </w:tcPr>
          <w:p w14:paraId="14E291A6" w14:textId="77777777" w:rsidR="00375BD2" w:rsidRPr="00C05886" w:rsidRDefault="00375BD2" w:rsidP="00375BD2">
            <w:pPr>
              <w:spacing w:after="0" w:line="240" w:lineRule="auto"/>
              <w:jc w:val="right"/>
              <w:rPr>
                <w:rFonts w:ascii="Calibri" w:eastAsia="Times New Roman" w:hAnsi="Calibri" w:cs="Calibri"/>
                <w:color w:val="000000"/>
                <w:sz w:val="20"/>
                <w:szCs w:val="20"/>
                <w:lang w:eastAsia="en-GB"/>
              </w:rPr>
            </w:pPr>
            <w:r w:rsidRPr="00C05886">
              <w:rPr>
                <w:rFonts w:ascii="Calibri" w:eastAsia="Times New Roman" w:hAnsi="Calibri" w:cs="Calibri"/>
                <w:color w:val="000000"/>
                <w:sz w:val="20"/>
                <w:szCs w:val="20"/>
                <w:lang w:eastAsia="en-GB"/>
              </w:rPr>
              <w:t>116</w:t>
            </w:r>
          </w:p>
        </w:tc>
        <w:tc>
          <w:tcPr>
            <w:tcW w:w="0" w:type="auto"/>
            <w:tcBorders>
              <w:top w:val="nil"/>
              <w:left w:val="nil"/>
              <w:bottom w:val="single" w:sz="8" w:space="0" w:color="auto"/>
              <w:right w:val="single" w:sz="8" w:space="0" w:color="auto"/>
            </w:tcBorders>
            <w:shd w:val="clear" w:color="auto" w:fill="auto"/>
            <w:vAlign w:val="center"/>
            <w:hideMark/>
          </w:tcPr>
          <w:p w14:paraId="52FA560F" w14:textId="77777777" w:rsidR="00375BD2" w:rsidRPr="00C05886" w:rsidRDefault="00375BD2" w:rsidP="00375BD2">
            <w:pPr>
              <w:spacing w:after="0" w:line="240" w:lineRule="auto"/>
              <w:jc w:val="right"/>
              <w:rPr>
                <w:rFonts w:ascii="Calibri" w:eastAsia="Times New Roman" w:hAnsi="Calibri" w:cs="Calibri"/>
                <w:color w:val="000000"/>
                <w:sz w:val="20"/>
                <w:szCs w:val="20"/>
                <w:lang w:eastAsia="en-GB"/>
              </w:rPr>
            </w:pPr>
            <w:r w:rsidRPr="00C05886">
              <w:rPr>
                <w:rFonts w:ascii="Calibri" w:eastAsia="Times New Roman" w:hAnsi="Calibri" w:cs="Calibri"/>
                <w:color w:val="000000"/>
                <w:sz w:val="20"/>
                <w:szCs w:val="20"/>
                <w:lang w:eastAsia="en-GB"/>
              </w:rPr>
              <w:t>116</w:t>
            </w:r>
          </w:p>
        </w:tc>
        <w:tc>
          <w:tcPr>
            <w:tcW w:w="0" w:type="auto"/>
            <w:tcBorders>
              <w:top w:val="nil"/>
              <w:left w:val="nil"/>
              <w:bottom w:val="single" w:sz="8" w:space="0" w:color="auto"/>
              <w:right w:val="single" w:sz="8" w:space="0" w:color="auto"/>
            </w:tcBorders>
            <w:shd w:val="clear" w:color="auto" w:fill="auto"/>
            <w:vAlign w:val="center"/>
            <w:hideMark/>
          </w:tcPr>
          <w:p w14:paraId="68C46599" w14:textId="77777777" w:rsidR="00375BD2" w:rsidRPr="00C05886" w:rsidRDefault="00375BD2" w:rsidP="00375BD2">
            <w:pPr>
              <w:spacing w:after="0" w:line="240" w:lineRule="auto"/>
              <w:jc w:val="right"/>
              <w:rPr>
                <w:rFonts w:ascii="Calibri" w:eastAsia="Times New Roman" w:hAnsi="Calibri" w:cs="Calibri"/>
                <w:color w:val="000000"/>
                <w:sz w:val="20"/>
                <w:szCs w:val="20"/>
                <w:lang w:eastAsia="en-GB"/>
              </w:rPr>
            </w:pPr>
            <w:r w:rsidRPr="00C05886">
              <w:rPr>
                <w:rFonts w:ascii="Calibri" w:eastAsia="Times New Roman" w:hAnsi="Calibri" w:cs="Calibri"/>
                <w:color w:val="000000"/>
                <w:sz w:val="20"/>
                <w:szCs w:val="20"/>
                <w:lang w:eastAsia="en-GB"/>
              </w:rPr>
              <w:t>116</w:t>
            </w:r>
          </w:p>
        </w:tc>
        <w:tc>
          <w:tcPr>
            <w:tcW w:w="0" w:type="auto"/>
            <w:tcBorders>
              <w:top w:val="nil"/>
              <w:left w:val="nil"/>
              <w:bottom w:val="single" w:sz="8" w:space="0" w:color="auto"/>
              <w:right w:val="single" w:sz="8" w:space="0" w:color="auto"/>
            </w:tcBorders>
            <w:shd w:val="clear" w:color="auto" w:fill="auto"/>
            <w:vAlign w:val="center"/>
            <w:hideMark/>
          </w:tcPr>
          <w:p w14:paraId="517A8ADA" w14:textId="77777777" w:rsidR="00375BD2" w:rsidRPr="00C05886" w:rsidRDefault="00375BD2" w:rsidP="00375BD2">
            <w:pPr>
              <w:spacing w:after="0" w:line="240" w:lineRule="auto"/>
              <w:jc w:val="right"/>
              <w:rPr>
                <w:rFonts w:ascii="Calibri" w:eastAsia="Times New Roman" w:hAnsi="Calibri" w:cs="Calibri"/>
                <w:color w:val="000000"/>
                <w:sz w:val="20"/>
                <w:szCs w:val="20"/>
                <w:lang w:eastAsia="en-GB"/>
              </w:rPr>
            </w:pPr>
            <w:r w:rsidRPr="00C05886">
              <w:rPr>
                <w:rFonts w:ascii="Calibri" w:eastAsia="Times New Roman" w:hAnsi="Calibri" w:cs="Calibri"/>
                <w:color w:val="000000"/>
                <w:sz w:val="20"/>
                <w:szCs w:val="20"/>
                <w:lang w:eastAsia="en-GB"/>
              </w:rPr>
              <w:t>116</w:t>
            </w:r>
          </w:p>
        </w:tc>
        <w:tc>
          <w:tcPr>
            <w:tcW w:w="0" w:type="auto"/>
            <w:tcBorders>
              <w:top w:val="nil"/>
              <w:left w:val="nil"/>
              <w:bottom w:val="single" w:sz="8" w:space="0" w:color="auto"/>
              <w:right w:val="single" w:sz="8" w:space="0" w:color="auto"/>
            </w:tcBorders>
            <w:shd w:val="clear" w:color="auto" w:fill="auto"/>
            <w:vAlign w:val="center"/>
            <w:hideMark/>
          </w:tcPr>
          <w:p w14:paraId="652DB917" w14:textId="77777777" w:rsidR="00375BD2" w:rsidRPr="00C05886" w:rsidRDefault="00375BD2" w:rsidP="00375BD2">
            <w:pPr>
              <w:spacing w:after="0" w:line="240" w:lineRule="auto"/>
              <w:jc w:val="right"/>
              <w:rPr>
                <w:rFonts w:ascii="Calibri" w:eastAsia="Times New Roman" w:hAnsi="Calibri" w:cs="Calibri"/>
                <w:color w:val="000000"/>
                <w:sz w:val="20"/>
                <w:szCs w:val="20"/>
                <w:lang w:eastAsia="en-GB"/>
              </w:rPr>
            </w:pPr>
            <w:r w:rsidRPr="00C05886">
              <w:rPr>
                <w:rFonts w:ascii="Calibri" w:eastAsia="Times New Roman" w:hAnsi="Calibri" w:cs="Calibri"/>
                <w:color w:val="000000"/>
                <w:sz w:val="20"/>
                <w:szCs w:val="20"/>
                <w:lang w:eastAsia="en-GB"/>
              </w:rPr>
              <w:t>116</w:t>
            </w:r>
          </w:p>
        </w:tc>
      </w:tr>
      <w:tr w:rsidR="00375BD2" w:rsidRPr="00C05886" w14:paraId="23DF8CE7" w14:textId="77777777" w:rsidTr="00B637FE">
        <w:trPr>
          <w:trHeight w:val="315"/>
        </w:trPr>
        <w:tc>
          <w:tcPr>
            <w:tcW w:w="0" w:type="auto"/>
            <w:vMerge w:val="restart"/>
            <w:tcBorders>
              <w:top w:val="nil"/>
              <w:left w:val="single" w:sz="8" w:space="0" w:color="auto"/>
              <w:bottom w:val="single" w:sz="8" w:space="0" w:color="000000"/>
              <w:right w:val="single" w:sz="8" w:space="0" w:color="auto"/>
            </w:tcBorders>
            <w:shd w:val="clear" w:color="auto" w:fill="auto"/>
            <w:vAlign w:val="center"/>
            <w:hideMark/>
          </w:tcPr>
          <w:p w14:paraId="17FF0798" w14:textId="77777777" w:rsidR="00375BD2" w:rsidRPr="00C05886" w:rsidRDefault="00375BD2" w:rsidP="00375BD2">
            <w:pPr>
              <w:spacing w:after="0" w:line="240" w:lineRule="auto"/>
              <w:rPr>
                <w:rFonts w:ascii="Calibri" w:eastAsia="Times New Roman" w:hAnsi="Calibri" w:cs="Calibri"/>
                <w:color w:val="000000"/>
                <w:sz w:val="20"/>
                <w:szCs w:val="20"/>
                <w:lang w:eastAsia="en-GB"/>
              </w:rPr>
            </w:pPr>
            <w:r w:rsidRPr="00C05886">
              <w:rPr>
                <w:rFonts w:ascii="Calibri" w:eastAsia="Times New Roman" w:hAnsi="Calibri" w:cs="Calibri"/>
                <w:color w:val="000000"/>
                <w:sz w:val="20"/>
                <w:szCs w:val="20"/>
                <w:lang w:eastAsia="en-GB"/>
              </w:rPr>
              <w:t>HBLC</w:t>
            </w:r>
          </w:p>
        </w:tc>
        <w:tc>
          <w:tcPr>
            <w:tcW w:w="0" w:type="auto"/>
            <w:tcBorders>
              <w:top w:val="nil"/>
              <w:left w:val="nil"/>
              <w:bottom w:val="single" w:sz="8" w:space="0" w:color="auto"/>
              <w:right w:val="single" w:sz="8" w:space="0" w:color="auto"/>
            </w:tcBorders>
            <w:shd w:val="clear" w:color="auto" w:fill="auto"/>
            <w:vAlign w:val="center"/>
            <w:hideMark/>
          </w:tcPr>
          <w:p w14:paraId="2DD307A5" w14:textId="77777777" w:rsidR="00375BD2" w:rsidRPr="00C05886" w:rsidRDefault="00375BD2" w:rsidP="00375BD2">
            <w:pPr>
              <w:spacing w:after="0" w:line="240" w:lineRule="auto"/>
              <w:rPr>
                <w:rFonts w:ascii="Calibri" w:eastAsia="Times New Roman" w:hAnsi="Calibri" w:cs="Calibri"/>
                <w:color w:val="000000"/>
                <w:sz w:val="20"/>
                <w:szCs w:val="20"/>
                <w:lang w:eastAsia="en-GB"/>
              </w:rPr>
            </w:pPr>
            <w:r w:rsidRPr="00C05886">
              <w:rPr>
                <w:rFonts w:ascii="Calibri" w:eastAsia="Times New Roman" w:hAnsi="Calibri" w:cs="Calibri"/>
                <w:color w:val="000000"/>
                <w:sz w:val="20"/>
                <w:szCs w:val="20"/>
                <w:lang w:eastAsia="en-GB"/>
              </w:rPr>
              <w:t>Mean</w:t>
            </w:r>
          </w:p>
        </w:tc>
        <w:tc>
          <w:tcPr>
            <w:tcW w:w="0" w:type="auto"/>
            <w:tcBorders>
              <w:top w:val="nil"/>
              <w:left w:val="nil"/>
              <w:bottom w:val="single" w:sz="8" w:space="0" w:color="auto"/>
              <w:right w:val="single" w:sz="8" w:space="0" w:color="auto"/>
            </w:tcBorders>
            <w:shd w:val="clear" w:color="auto" w:fill="auto"/>
            <w:vAlign w:val="center"/>
            <w:hideMark/>
          </w:tcPr>
          <w:p w14:paraId="13D90BFA" w14:textId="77777777" w:rsidR="00375BD2" w:rsidRPr="00C05886" w:rsidRDefault="00375BD2" w:rsidP="00375BD2">
            <w:pPr>
              <w:spacing w:after="0" w:line="240" w:lineRule="auto"/>
              <w:jc w:val="right"/>
              <w:rPr>
                <w:rFonts w:ascii="Calibri" w:eastAsia="Times New Roman" w:hAnsi="Calibri" w:cs="Calibri"/>
                <w:color w:val="000000"/>
                <w:sz w:val="20"/>
                <w:szCs w:val="20"/>
                <w:lang w:eastAsia="en-GB"/>
              </w:rPr>
            </w:pPr>
            <w:r w:rsidRPr="00C05886">
              <w:rPr>
                <w:rFonts w:ascii="Calibri" w:eastAsia="Times New Roman" w:hAnsi="Calibri" w:cs="Calibri"/>
                <w:color w:val="000000"/>
                <w:sz w:val="20"/>
                <w:szCs w:val="20"/>
                <w:lang w:eastAsia="en-GB"/>
              </w:rPr>
              <w:t>2.57</w:t>
            </w:r>
          </w:p>
        </w:tc>
        <w:tc>
          <w:tcPr>
            <w:tcW w:w="0" w:type="auto"/>
            <w:tcBorders>
              <w:top w:val="nil"/>
              <w:left w:val="nil"/>
              <w:bottom w:val="single" w:sz="8" w:space="0" w:color="auto"/>
              <w:right w:val="single" w:sz="8" w:space="0" w:color="auto"/>
            </w:tcBorders>
            <w:shd w:val="clear" w:color="auto" w:fill="auto"/>
            <w:vAlign w:val="center"/>
            <w:hideMark/>
          </w:tcPr>
          <w:p w14:paraId="08AD30CB" w14:textId="77777777" w:rsidR="00375BD2" w:rsidRPr="00C05886" w:rsidRDefault="00375BD2" w:rsidP="00375BD2">
            <w:pPr>
              <w:spacing w:after="0" w:line="240" w:lineRule="auto"/>
              <w:jc w:val="right"/>
              <w:rPr>
                <w:rFonts w:ascii="Calibri" w:eastAsia="Times New Roman" w:hAnsi="Calibri" w:cs="Calibri"/>
                <w:color w:val="000000"/>
                <w:sz w:val="20"/>
                <w:szCs w:val="20"/>
                <w:lang w:eastAsia="en-GB"/>
              </w:rPr>
            </w:pPr>
            <w:r w:rsidRPr="00C05886">
              <w:rPr>
                <w:rFonts w:ascii="Calibri" w:eastAsia="Times New Roman" w:hAnsi="Calibri" w:cs="Calibri"/>
                <w:color w:val="000000"/>
                <w:sz w:val="20"/>
                <w:szCs w:val="20"/>
                <w:lang w:eastAsia="en-GB"/>
              </w:rPr>
              <w:t>2.69</w:t>
            </w:r>
          </w:p>
        </w:tc>
        <w:tc>
          <w:tcPr>
            <w:tcW w:w="0" w:type="auto"/>
            <w:tcBorders>
              <w:top w:val="nil"/>
              <w:left w:val="nil"/>
              <w:bottom w:val="single" w:sz="8" w:space="0" w:color="auto"/>
              <w:right w:val="single" w:sz="8" w:space="0" w:color="auto"/>
            </w:tcBorders>
            <w:shd w:val="clear" w:color="auto" w:fill="auto"/>
            <w:vAlign w:val="center"/>
            <w:hideMark/>
          </w:tcPr>
          <w:p w14:paraId="77358D58" w14:textId="77777777" w:rsidR="00375BD2" w:rsidRPr="00C05886" w:rsidRDefault="00375BD2" w:rsidP="00375BD2">
            <w:pPr>
              <w:spacing w:after="0" w:line="240" w:lineRule="auto"/>
              <w:jc w:val="right"/>
              <w:rPr>
                <w:rFonts w:ascii="Calibri" w:eastAsia="Times New Roman" w:hAnsi="Calibri" w:cs="Calibri"/>
                <w:color w:val="000000"/>
                <w:sz w:val="20"/>
                <w:szCs w:val="20"/>
                <w:lang w:eastAsia="en-GB"/>
              </w:rPr>
            </w:pPr>
            <w:r w:rsidRPr="00C05886">
              <w:rPr>
                <w:rFonts w:ascii="Calibri" w:eastAsia="Times New Roman" w:hAnsi="Calibri" w:cs="Calibri"/>
                <w:color w:val="000000"/>
                <w:sz w:val="20"/>
                <w:szCs w:val="20"/>
                <w:lang w:eastAsia="en-GB"/>
              </w:rPr>
              <w:t>3.16</w:t>
            </w:r>
          </w:p>
        </w:tc>
        <w:tc>
          <w:tcPr>
            <w:tcW w:w="0" w:type="auto"/>
            <w:tcBorders>
              <w:top w:val="nil"/>
              <w:left w:val="nil"/>
              <w:bottom w:val="single" w:sz="8" w:space="0" w:color="auto"/>
              <w:right w:val="single" w:sz="8" w:space="0" w:color="auto"/>
            </w:tcBorders>
            <w:shd w:val="clear" w:color="auto" w:fill="auto"/>
            <w:vAlign w:val="center"/>
            <w:hideMark/>
          </w:tcPr>
          <w:p w14:paraId="5C7C729C" w14:textId="77777777" w:rsidR="00375BD2" w:rsidRPr="00C05886" w:rsidRDefault="00375BD2" w:rsidP="00375BD2">
            <w:pPr>
              <w:spacing w:after="0" w:line="240" w:lineRule="auto"/>
              <w:jc w:val="right"/>
              <w:rPr>
                <w:rFonts w:ascii="Calibri" w:eastAsia="Times New Roman" w:hAnsi="Calibri" w:cs="Calibri"/>
                <w:color w:val="000000"/>
                <w:sz w:val="20"/>
                <w:szCs w:val="20"/>
                <w:lang w:eastAsia="en-GB"/>
              </w:rPr>
            </w:pPr>
            <w:r w:rsidRPr="00C05886">
              <w:rPr>
                <w:rFonts w:ascii="Calibri" w:eastAsia="Times New Roman" w:hAnsi="Calibri" w:cs="Calibri"/>
                <w:color w:val="000000"/>
                <w:sz w:val="20"/>
                <w:szCs w:val="20"/>
                <w:lang w:eastAsia="en-GB"/>
              </w:rPr>
              <w:t>3.39</w:t>
            </w:r>
          </w:p>
        </w:tc>
        <w:tc>
          <w:tcPr>
            <w:tcW w:w="0" w:type="auto"/>
            <w:tcBorders>
              <w:top w:val="nil"/>
              <w:left w:val="nil"/>
              <w:bottom w:val="single" w:sz="8" w:space="0" w:color="auto"/>
              <w:right w:val="single" w:sz="8" w:space="0" w:color="auto"/>
            </w:tcBorders>
            <w:shd w:val="clear" w:color="auto" w:fill="auto"/>
            <w:vAlign w:val="center"/>
            <w:hideMark/>
          </w:tcPr>
          <w:p w14:paraId="2D45BE70" w14:textId="77777777" w:rsidR="00375BD2" w:rsidRPr="00C05886" w:rsidRDefault="00375BD2" w:rsidP="00375BD2">
            <w:pPr>
              <w:spacing w:after="0" w:line="240" w:lineRule="auto"/>
              <w:jc w:val="right"/>
              <w:rPr>
                <w:rFonts w:ascii="Calibri" w:eastAsia="Times New Roman" w:hAnsi="Calibri" w:cs="Calibri"/>
                <w:color w:val="000000"/>
                <w:sz w:val="20"/>
                <w:szCs w:val="20"/>
                <w:lang w:eastAsia="en-GB"/>
              </w:rPr>
            </w:pPr>
            <w:r w:rsidRPr="00C05886">
              <w:rPr>
                <w:rFonts w:ascii="Calibri" w:eastAsia="Times New Roman" w:hAnsi="Calibri" w:cs="Calibri"/>
                <w:color w:val="000000"/>
                <w:sz w:val="20"/>
                <w:szCs w:val="20"/>
                <w:lang w:eastAsia="en-GB"/>
              </w:rPr>
              <w:t>1.60</w:t>
            </w:r>
          </w:p>
        </w:tc>
        <w:tc>
          <w:tcPr>
            <w:tcW w:w="0" w:type="auto"/>
            <w:tcBorders>
              <w:top w:val="nil"/>
              <w:left w:val="nil"/>
              <w:bottom w:val="single" w:sz="8" w:space="0" w:color="auto"/>
              <w:right w:val="single" w:sz="8" w:space="0" w:color="auto"/>
            </w:tcBorders>
            <w:shd w:val="clear" w:color="auto" w:fill="auto"/>
            <w:vAlign w:val="center"/>
            <w:hideMark/>
          </w:tcPr>
          <w:p w14:paraId="67A79A83" w14:textId="77777777" w:rsidR="00375BD2" w:rsidRPr="00C05886" w:rsidRDefault="00375BD2" w:rsidP="00375BD2">
            <w:pPr>
              <w:spacing w:after="0" w:line="240" w:lineRule="auto"/>
              <w:jc w:val="right"/>
              <w:rPr>
                <w:rFonts w:ascii="Calibri" w:eastAsia="Times New Roman" w:hAnsi="Calibri" w:cs="Calibri"/>
                <w:color w:val="000000"/>
                <w:sz w:val="20"/>
                <w:szCs w:val="20"/>
                <w:lang w:eastAsia="en-GB"/>
              </w:rPr>
            </w:pPr>
            <w:r w:rsidRPr="00C05886">
              <w:rPr>
                <w:rFonts w:ascii="Calibri" w:eastAsia="Times New Roman" w:hAnsi="Calibri" w:cs="Calibri"/>
                <w:color w:val="000000"/>
                <w:sz w:val="20"/>
                <w:szCs w:val="20"/>
                <w:lang w:eastAsia="en-GB"/>
              </w:rPr>
              <w:t>1.38</w:t>
            </w:r>
          </w:p>
        </w:tc>
      </w:tr>
      <w:tr w:rsidR="00375BD2" w:rsidRPr="00C05886" w14:paraId="74058B0E" w14:textId="77777777" w:rsidTr="00B637FE">
        <w:trPr>
          <w:trHeight w:val="315"/>
        </w:trPr>
        <w:tc>
          <w:tcPr>
            <w:tcW w:w="0" w:type="auto"/>
            <w:vMerge/>
            <w:tcBorders>
              <w:top w:val="nil"/>
              <w:left w:val="single" w:sz="8" w:space="0" w:color="auto"/>
              <w:bottom w:val="single" w:sz="8" w:space="0" w:color="000000"/>
              <w:right w:val="single" w:sz="8" w:space="0" w:color="auto"/>
            </w:tcBorders>
            <w:vAlign w:val="center"/>
            <w:hideMark/>
          </w:tcPr>
          <w:p w14:paraId="522D3051" w14:textId="77777777" w:rsidR="00375BD2" w:rsidRPr="00C05886" w:rsidRDefault="00375BD2" w:rsidP="00375BD2">
            <w:pPr>
              <w:spacing w:after="0" w:line="240" w:lineRule="auto"/>
              <w:rPr>
                <w:rFonts w:ascii="Calibri" w:eastAsia="Times New Roman" w:hAnsi="Calibri" w:cs="Calibri"/>
                <w:color w:val="000000"/>
                <w:sz w:val="20"/>
                <w:szCs w:val="20"/>
                <w:lang w:eastAsia="en-GB"/>
              </w:rPr>
            </w:pPr>
          </w:p>
        </w:tc>
        <w:tc>
          <w:tcPr>
            <w:tcW w:w="0" w:type="auto"/>
            <w:tcBorders>
              <w:top w:val="nil"/>
              <w:left w:val="nil"/>
              <w:bottom w:val="single" w:sz="8" w:space="0" w:color="auto"/>
              <w:right w:val="single" w:sz="8" w:space="0" w:color="auto"/>
            </w:tcBorders>
            <w:shd w:val="clear" w:color="auto" w:fill="auto"/>
            <w:vAlign w:val="center"/>
            <w:hideMark/>
          </w:tcPr>
          <w:p w14:paraId="2AA36852" w14:textId="77777777" w:rsidR="00375BD2" w:rsidRPr="00C05886" w:rsidRDefault="00375BD2" w:rsidP="00375BD2">
            <w:pPr>
              <w:spacing w:after="0" w:line="240" w:lineRule="auto"/>
              <w:rPr>
                <w:rFonts w:ascii="Calibri" w:eastAsia="Times New Roman" w:hAnsi="Calibri" w:cs="Calibri"/>
                <w:color w:val="000000"/>
                <w:sz w:val="20"/>
                <w:szCs w:val="20"/>
                <w:lang w:eastAsia="en-GB"/>
              </w:rPr>
            </w:pPr>
            <w:r w:rsidRPr="00C05886">
              <w:rPr>
                <w:rFonts w:ascii="Calibri" w:eastAsia="Times New Roman" w:hAnsi="Calibri" w:cs="Calibri"/>
                <w:color w:val="000000"/>
                <w:sz w:val="20"/>
                <w:szCs w:val="20"/>
                <w:lang w:eastAsia="en-GB"/>
              </w:rPr>
              <w:t>SD</w:t>
            </w:r>
          </w:p>
        </w:tc>
        <w:tc>
          <w:tcPr>
            <w:tcW w:w="0" w:type="auto"/>
            <w:tcBorders>
              <w:top w:val="nil"/>
              <w:left w:val="nil"/>
              <w:bottom w:val="single" w:sz="8" w:space="0" w:color="auto"/>
              <w:right w:val="single" w:sz="8" w:space="0" w:color="auto"/>
            </w:tcBorders>
            <w:shd w:val="clear" w:color="auto" w:fill="auto"/>
            <w:vAlign w:val="center"/>
            <w:hideMark/>
          </w:tcPr>
          <w:p w14:paraId="59E5E3E9" w14:textId="77777777" w:rsidR="00375BD2" w:rsidRPr="00C05886" w:rsidRDefault="00375BD2" w:rsidP="00375BD2">
            <w:pPr>
              <w:spacing w:after="0" w:line="240" w:lineRule="auto"/>
              <w:jc w:val="right"/>
              <w:rPr>
                <w:rFonts w:ascii="Calibri" w:eastAsia="Times New Roman" w:hAnsi="Calibri" w:cs="Calibri"/>
                <w:color w:val="000000"/>
                <w:sz w:val="20"/>
                <w:szCs w:val="20"/>
                <w:lang w:eastAsia="en-GB"/>
              </w:rPr>
            </w:pPr>
            <w:r w:rsidRPr="00C05886">
              <w:rPr>
                <w:rFonts w:ascii="Calibri" w:eastAsia="Times New Roman" w:hAnsi="Calibri" w:cs="Calibri"/>
                <w:color w:val="000000"/>
                <w:sz w:val="20"/>
                <w:szCs w:val="20"/>
                <w:lang w:eastAsia="en-GB"/>
              </w:rPr>
              <w:t>0.82</w:t>
            </w:r>
          </w:p>
        </w:tc>
        <w:tc>
          <w:tcPr>
            <w:tcW w:w="0" w:type="auto"/>
            <w:tcBorders>
              <w:top w:val="nil"/>
              <w:left w:val="nil"/>
              <w:bottom w:val="single" w:sz="8" w:space="0" w:color="auto"/>
              <w:right w:val="single" w:sz="8" w:space="0" w:color="auto"/>
            </w:tcBorders>
            <w:shd w:val="clear" w:color="auto" w:fill="auto"/>
            <w:vAlign w:val="center"/>
            <w:hideMark/>
          </w:tcPr>
          <w:p w14:paraId="63653E7B" w14:textId="77777777" w:rsidR="00375BD2" w:rsidRPr="00C05886" w:rsidRDefault="00375BD2" w:rsidP="00375BD2">
            <w:pPr>
              <w:spacing w:after="0" w:line="240" w:lineRule="auto"/>
              <w:jc w:val="right"/>
              <w:rPr>
                <w:rFonts w:ascii="Calibri" w:eastAsia="Times New Roman" w:hAnsi="Calibri" w:cs="Calibri"/>
                <w:color w:val="000000"/>
                <w:sz w:val="20"/>
                <w:szCs w:val="20"/>
                <w:lang w:eastAsia="en-GB"/>
              </w:rPr>
            </w:pPr>
            <w:r w:rsidRPr="00C05886">
              <w:rPr>
                <w:rFonts w:ascii="Calibri" w:eastAsia="Times New Roman" w:hAnsi="Calibri" w:cs="Calibri"/>
                <w:color w:val="000000"/>
                <w:sz w:val="20"/>
                <w:szCs w:val="20"/>
                <w:lang w:eastAsia="en-GB"/>
              </w:rPr>
              <w:t>0.95</w:t>
            </w:r>
          </w:p>
        </w:tc>
        <w:tc>
          <w:tcPr>
            <w:tcW w:w="0" w:type="auto"/>
            <w:tcBorders>
              <w:top w:val="nil"/>
              <w:left w:val="nil"/>
              <w:bottom w:val="single" w:sz="8" w:space="0" w:color="auto"/>
              <w:right w:val="single" w:sz="8" w:space="0" w:color="auto"/>
            </w:tcBorders>
            <w:shd w:val="clear" w:color="auto" w:fill="auto"/>
            <w:vAlign w:val="center"/>
            <w:hideMark/>
          </w:tcPr>
          <w:p w14:paraId="3E1AD08C" w14:textId="77777777" w:rsidR="00375BD2" w:rsidRPr="00C05886" w:rsidRDefault="00375BD2" w:rsidP="00375BD2">
            <w:pPr>
              <w:spacing w:after="0" w:line="240" w:lineRule="auto"/>
              <w:jc w:val="right"/>
              <w:rPr>
                <w:rFonts w:ascii="Calibri" w:eastAsia="Times New Roman" w:hAnsi="Calibri" w:cs="Calibri"/>
                <w:color w:val="000000"/>
                <w:sz w:val="20"/>
                <w:szCs w:val="20"/>
                <w:lang w:eastAsia="en-GB"/>
              </w:rPr>
            </w:pPr>
            <w:r w:rsidRPr="00C05886">
              <w:rPr>
                <w:rFonts w:ascii="Calibri" w:eastAsia="Times New Roman" w:hAnsi="Calibri" w:cs="Calibri"/>
                <w:color w:val="000000"/>
                <w:sz w:val="20"/>
                <w:szCs w:val="20"/>
                <w:lang w:eastAsia="en-GB"/>
              </w:rPr>
              <w:t>0.98</w:t>
            </w:r>
          </w:p>
        </w:tc>
        <w:tc>
          <w:tcPr>
            <w:tcW w:w="0" w:type="auto"/>
            <w:tcBorders>
              <w:top w:val="nil"/>
              <w:left w:val="nil"/>
              <w:bottom w:val="single" w:sz="8" w:space="0" w:color="auto"/>
              <w:right w:val="single" w:sz="8" w:space="0" w:color="auto"/>
            </w:tcBorders>
            <w:shd w:val="clear" w:color="auto" w:fill="auto"/>
            <w:vAlign w:val="center"/>
            <w:hideMark/>
          </w:tcPr>
          <w:p w14:paraId="25BF58DD" w14:textId="77777777" w:rsidR="00375BD2" w:rsidRPr="00C05886" w:rsidRDefault="00375BD2" w:rsidP="00375BD2">
            <w:pPr>
              <w:spacing w:after="0" w:line="240" w:lineRule="auto"/>
              <w:jc w:val="right"/>
              <w:rPr>
                <w:rFonts w:ascii="Calibri" w:eastAsia="Times New Roman" w:hAnsi="Calibri" w:cs="Calibri"/>
                <w:color w:val="000000"/>
                <w:sz w:val="20"/>
                <w:szCs w:val="20"/>
                <w:lang w:eastAsia="en-GB"/>
              </w:rPr>
            </w:pPr>
            <w:r w:rsidRPr="00C05886">
              <w:rPr>
                <w:rFonts w:ascii="Calibri" w:eastAsia="Times New Roman" w:hAnsi="Calibri" w:cs="Calibri"/>
                <w:color w:val="000000"/>
                <w:sz w:val="20"/>
                <w:szCs w:val="20"/>
                <w:lang w:eastAsia="en-GB"/>
              </w:rPr>
              <w:t>0.91</w:t>
            </w:r>
          </w:p>
        </w:tc>
        <w:tc>
          <w:tcPr>
            <w:tcW w:w="0" w:type="auto"/>
            <w:tcBorders>
              <w:top w:val="nil"/>
              <w:left w:val="nil"/>
              <w:bottom w:val="single" w:sz="8" w:space="0" w:color="auto"/>
              <w:right w:val="single" w:sz="8" w:space="0" w:color="auto"/>
            </w:tcBorders>
            <w:shd w:val="clear" w:color="auto" w:fill="auto"/>
            <w:vAlign w:val="center"/>
            <w:hideMark/>
          </w:tcPr>
          <w:p w14:paraId="38C0CD22" w14:textId="77777777" w:rsidR="00375BD2" w:rsidRPr="00C05886" w:rsidRDefault="00375BD2" w:rsidP="00375BD2">
            <w:pPr>
              <w:spacing w:after="0" w:line="240" w:lineRule="auto"/>
              <w:jc w:val="right"/>
              <w:rPr>
                <w:rFonts w:ascii="Calibri" w:eastAsia="Times New Roman" w:hAnsi="Calibri" w:cs="Calibri"/>
                <w:color w:val="000000"/>
                <w:sz w:val="20"/>
                <w:szCs w:val="20"/>
                <w:lang w:eastAsia="en-GB"/>
              </w:rPr>
            </w:pPr>
            <w:r w:rsidRPr="00C05886">
              <w:rPr>
                <w:rFonts w:ascii="Calibri" w:eastAsia="Times New Roman" w:hAnsi="Calibri" w:cs="Calibri"/>
                <w:color w:val="000000"/>
                <w:sz w:val="20"/>
                <w:szCs w:val="20"/>
                <w:lang w:eastAsia="en-GB"/>
              </w:rPr>
              <w:t>0.72</w:t>
            </w:r>
          </w:p>
        </w:tc>
        <w:tc>
          <w:tcPr>
            <w:tcW w:w="0" w:type="auto"/>
            <w:tcBorders>
              <w:top w:val="nil"/>
              <w:left w:val="nil"/>
              <w:bottom w:val="single" w:sz="8" w:space="0" w:color="auto"/>
              <w:right w:val="single" w:sz="8" w:space="0" w:color="auto"/>
            </w:tcBorders>
            <w:shd w:val="clear" w:color="auto" w:fill="auto"/>
            <w:vAlign w:val="center"/>
            <w:hideMark/>
          </w:tcPr>
          <w:p w14:paraId="578A69B1" w14:textId="77777777" w:rsidR="00375BD2" w:rsidRPr="00C05886" w:rsidRDefault="00375BD2" w:rsidP="00375BD2">
            <w:pPr>
              <w:spacing w:after="0" w:line="240" w:lineRule="auto"/>
              <w:jc w:val="right"/>
              <w:rPr>
                <w:rFonts w:ascii="Calibri" w:eastAsia="Times New Roman" w:hAnsi="Calibri" w:cs="Calibri"/>
                <w:color w:val="000000"/>
                <w:sz w:val="20"/>
                <w:szCs w:val="20"/>
                <w:lang w:eastAsia="en-GB"/>
              </w:rPr>
            </w:pPr>
            <w:r w:rsidRPr="00C05886">
              <w:rPr>
                <w:rFonts w:ascii="Calibri" w:eastAsia="Times New Roman" w:hAnsi="Calibri" w:cs="Calibri"/>
                <w:color w:val="000000"/>
                <w:sz w:val="20"/>
                <w:szCs w:val="20"/>
                <w:lang w:eastAsia="en-GB"/>
              </w:rPr>
              <w:t>0.71</w:t>
            </w:r>
          </w:p>
        </w:tc>
      </w:tr>
      <w:tr w:rsidR="00375BD2" w:rsidRPr="00C05886" w14:paraId="0F4D7DBD" w14:textId="77777777" w:rsidTr="00B637FE">
        <w:trPr>
          <w:trHeight w:val="315"/>
        </w:trPr>
        <w:tc>
          <w:tcPr>
            <w:tcW w:w="0" w:type="auto"/>
            <w:vMerge/>
            <w:tcBorders>
              <w:top w:val="nil"/>
              <w:left w:val="single" w:sz="8" w:space="0" w:color="auto"/>
              <w:bottom w:val="single" w:sz="8" w:space="0" w:color="000000"/>
              <w:right w:val="single" w:sz="8" w:space="0" w:color="auto"/>
            </w:tcBorders>
            <w:vAlign w:val="center"/>
            <w:hideMark/>
          </w:tcPr>
          <w:p w14:paraId="13B49D89" w14:textId="77777777" w:rsidR="00375BD2" w:rsidRPr="00C05886" w:rsidRDefault="00375BD2" w:rsidP="00375BD2">
            <w:pPr>
              <w:spacing w:after="0" w:line="240" w:lineRule="auto"/>
              <w:rPr>
                <w:rFonts w:ascii="Calibri" w:eastAsia="Times New Roman" w:hAnsi="Calibri" w:cs="Calibri"/>
                <w:color w:val="000000"/>
                <w:sz w:val="20"/>
                <w:szCs w:val="20"/>
                <w:lang w:eastAsia="en-GB"/>
              </w:rPr>
            </w:pPr>
          </w:p>
        </w:tc>
        <w:tc>
          <w:tcPr>
            <w:tcW w:w="0" w:type="auto"/>
            <w:tcBorders>
              <w:top w:val="nil"/>
              <w:left w:val="nil"/>
              <w:bottom w:val="single" w:sz="8" w:space="0" w:color="auto"/>
              <w:right w:val="single" w:sz="8" w:space="0" w:color="auto"/>
            </w:tcBorders>
            <w:shd w:val="clear" w:color="auto" w:fill="auto"/>
            <w:vAlign w:val="center"/>
            <w:hideMark/>
          </w:tcPr>
          <w:p w14:paraId="130C5794" w14:textId="77777777" w:rsidR="00375BD2" w:rsidRPr="00C05886" w:rsidRDefault="00375BD2" w:rsidP="00375BD2">
            <w:pPr>
              <w:spacing w:after="0" w:line="240" w:lineRule="auto"/>
              <w:rPr>
                <w:rFonts w:ascii="Calibri" w:eastAsia="Times New Roman" w:hAnsi="Calibri" w:cs="Calibri"/>
                <w:color w:val="000000"/>
                <w:sz w:val="20"/>
                <w:szCs w:val="20"/>
                <w:lang w:eastAsia="en-GB"/>
              </w:rPr>
            </w:pPr>
            <w:r w:rsidRPr="00C05886">
              <w:rPr>
                <w:rFonts w:ascii="Calibri" w:eastAsia="Times New Roman" w:hAnsi="Calibri" w:cs="Calibri"/>
                <w:color w:val="000000"/>
                <w:sz w:val="20"/>
                <w:szCs w:val="20"/>
                <w:lang w:eastAsia="en-GB"/>
              </w:rPr>
              <w:t>N</w:t>
            </w:r>
          </w:p>
        </w:tc>
        <w:tc>
          <w:tcPr>
            <w:tcW w:w="0" w:type="auto"/>
            <w:tcBorders>
              <w:top w:val="nil"/>
              <w:left w:val="nil"/>
              <w:bottom w:val="single" w:sz="8" w:space="0" w:color="auto"/>
              <w:right w:val="single" w:sz="8" w:space="0" w:color="auto"/>
            </w:tcBorders>
            <w:shd w:val="clear" w:color="auto" w:fill="auto"/>
            <w:vAlign w:val="center"/>
            <w:hideMark/>
          </w:tcPr>
          <w:p w14:paraId="5B889531" w14:textId="77777777" w:rsidR="00375BD2" w:rsidRPr="00C05886" w:rsidRDefault="00375BD2" w:rsidP="00375BD2">
            <w:pPr>
              <w:spacing w:after="0" w:line="240" w:lineRule="auto"/>
              <w:jc w:val="right"/>
              <w:rPr>
                <w:rFonts w:ascii="Calibri" w:eastAsia="Times New Roman" w:hAnsi="Calibri" w:cs="Calibri"/>
                <w:color w:val="000000"/>
                <w:sz w:val="20"/>
                <w:szCs w:val="20"/>
                <w:lang w:eastAsia="en-GB"/>
              </w:rPr>
            </w:pPr>
            <w:r w:rsidRPr="00C05886">
              <w:rPr>
                <w:rFonts w:ascii="Calibri" w:eastAsia="Times New Roman" w:hAnsi="Calibri" w:cs="Calibri"/>
                <w:color w:val="000000"/>
                <w:sz w:val="20"/>
                <w:szCs w:val="20"/>
                <w:lang w:eastAsia="en-GB"/>
              </w:rPr>
              <w:t>116</w:t>
            </w:r>
          </w:p>
        </w:tc>
        <w:tc>
          <w:tcPr>
            <w:tcW w:w="0" w:type="auto"/>
            <w:tcBorders>
              <w:top w:val="nil"/>
              <w:left w:val="nil"/>
              <w:bottom w:val="single" w:sz="8" w:space="0" w:color="auto"/>
              <w:right w:val="single" w:sz="8" w:space="0" w:color="auto"/>
            </w:tcBorders>
            <w:shd w:val="clear" w:color="auto" w:fill="auto"/>
            <w:vAlign w:val="center"/>
            <w:hideMark/>
          </w:tcPr>
          <w:p w14:paraId="21D05D22" w14:textId="77777777" w:rsidR="00375BD2" w:rsidRPr="00C05886" w:rsidRDefault="00375BD2" w:rsidP="00375BD2">
            <w:pPr>
              <w:spacing w:after="0" w:line="240" w:lineRule="auto"/>
              <w:jc w:val="right"/>
              <w:rPr>
                <w:rFonts w:ascii="Calibri" w:eastAsia="Times New Roman" w:hAnsi="Calibri" w:cs="Calibri"/>
                <w:color w:val="000000"/>
                <w:sz w:val="20"/>
                <w:szCs w:val="20"/>
                <w:lang w:eastAsia="en-GB"/>
              </w:rPr>
            </w:pPr>
            <w:r w:rsidRPr="00C05886">
              <w:rPr>
                <w:rFonts w:ascii="Calibri" w:eastAsia="Times New Roman" w:hAnsi="Calibri" w:cs="Calibri"/>
                <w:color w:val="000000"/>
                <w:sz w:val="20"/>
                <w:szCs w:val="20"/>
                <w:lang w:eastAsia="en-GB"/>
              </w:rPr>
              <w:t>116</w:t>
            </w:r>
          </w:p>
        </w:tc>
        <w:tc>
          <w:tcPr>
            <w:tcW w:w="0" w:type="auto"/>
            <w:tcBorders>
              <w:top w:val="nil"/>
              <w:left w:val="nil"/>
              <w:bottom w:val="single" w:sz="8" w:space="0" w:color="auto"/>
              <w:right w:val="single" w:sz="8" w:space="0" w:color="auto"/>
            </w:tcBorders>
            <w:shd w:val="clear" w:color="auto" w:fill="auto"/>
            <w:vAlign w:val="center"/>
            <w:hideMark/>
          </w:tcPr>
          <w:p w14:paraId="51919D25" w14:textId="77777777" w:rsidR="00375BD2" w:rsidRPr="00C05886" w:rsidRDefault="00375BD2" w:rsidP="00375BD2">
            <w:pPr>
              <w:spacing w:after="0" w:line="240" w:lineRule="auto"/>
              <w:jc w:val="right"/>
              <w:rPr>
                <w:rFonts w:ascii="Calibri" w:eastAsia="Times New Roman" w:hAnsi="Calibri" w:cs="Calibri"/>
                <w:color w:val="000000"/>
                <w:sz w:val="20"/>
                <w:szCs w:val="20"/>
                <w:lang w:eastAsia="en-GB"/>
              </w:rPr>
            </w:pPr>
            <w:r w:rsidRPr="00C05886">
              <w:rPr>
                <w:rFonts w:ascii="Calibri" w:eastAsia="Times New Roman" w:hAnsi="Calibri" w:cs="Calibri"/>
                <w:color w:val="000000"/>
                <w:sz w:val="20"/>
                <w:szCs w:val="20"/>
                <w:lang w:eastAsia="en-GB"/>
              </w:rPr>
              <w:t>116</w:t>
            </w:r>
          </w:p>
        </w:tc>
        <w:tc>
          <w:tcPr>
            <w:tcW w:w="0" w:type="auto"/>
            <w:tcBorders>
              <w:top w:val="nil"/>
              <w:left w:val="nil"/>
              <w:bottom w:val="single" w:sz="8" w:space="0" w:color="auto"/>
              <w:right w:val="single" w:sz="8" w:space="0" w:color="auto"/>
            </w:tcBorders>
            <w:shd w:val="clear" w:color="auto" w:fill="auto"/>
            <w:vAlign w:val="center"/>
            <w:hideMark/>
          </w:tcPr>
          <w:p w14:paraId="5A466C55" w14:textId="77777777" w:rsidR="00375BD2" w:rsidRPr="00C05886" w:rsidRDefault="00375BD2" w:rsidP="00375BD2">
            <w:pPr>
              <w:spacing w:after="0" w:line="240" w:lineRule="auto"/>
              <w:jc w:val="right"/>
              <w:rPr>
                <w:rFonts w:ascii="Calibri" w:eastAsia="Times New Roman" w:hAnsi="Calibri" w:cs="Calibri"/>
                <w:color w:val="000000"/>
                <w:sz w:val="20"/>
                <w:szCs w:val="20"/>
                <w:lang w:eastAsia="en-GB"/>
              </w:rPr>
            </w:pPr>
            <w:r w:rsidRPr="00C05886">
              <w:rPr>
                <w:rFonts w:ascii="Calibri" w:eastAsia="Times New Roman" w:hAnsi="Calibri" w:cs="Calibri"/>
                <w:color w:val="000000"/>
                <w:sz w:val="20"/>
                <w:szCs w:val="20"/>
                <w:lang w:eastAsia="en-GB"/>
              </w:rPr>
              <w:t>116</w:t>
            </w:r>
          </w:p>
        </w:tc>
        <w:tc>
          <w:tcPr>
            <w:tcW w:w="0" w:type="auto"/>
            <w:tcBorders>
              <w:top w:val="nil"/>
              <w:left w:val="nil"/>
              <w:bottom w:val="single" w:sz="8" w:space="0" w:color="auto"/>
              <w:right w:val="single" w:sz="8" w:space="0" w:color="auto"/>
            </w:tcBorders>
            <w:shd w:val="clear" w:color="auto" w:fill="auto"/>
            <w:vAlign w:val="center"/>
            <w:hideMark/>
          </w:tcPr>
          <w:p w14:paraId="5AB6D530" w14:textId="77777777" w:rsidR="00375BD2" w:rsidRPr="00C05886" w:rsidRDefault="00375BD2" w:rsidP="00375BD2">
            <w:pPr>
              <w:spacing w:after="0" w:line="240" w:lineRule="auto"/>
              <w:jc w:val="right"/>
              <w:rPr>
                <w:rFonts w:ascii="Calibri" w:eastAsia="Times New Roman" w:hAnsi="Calibri" w:cs="Calibri"/>
                <w:color w:val="000000"/>
                <w:sz w:val="20"/>
                <w:szCs w:val="20"/>
                <w:lang w:eastAsia="en-GB"/>
              </w:rPr>
            </w:pPr>
            <w:r w:rsidRPr="00C05886">
              <w:rPr>
                <w:rFonts w:ascii="Calibri" w:eastAsia="Times New Roman" w:hAnsi="Calibri" w:cs="Calibri"/>
                <w:color w:val="000000"/>
                <w:sz w:val="20"/>
                <w:szCs w:val="20"/>
                <w:lang w:eastAsia="en-GB"/>
              </w:rPr>
              <w:t>116</w:t>
            </w:r>
          </w:p>
        </w:tc>
        <w:tc>
          <w:tcPr>
            <w:tcW w:w="0" w:type="auto"/>
            <w:tcBorders>
              <w:top w:val="nil"/>
              <w:left w:val="nil"/>
              <w:bottom w:val="single" w:sz="8" w:space="0" w:color="auto"/>
              <w:right w:val="single" w:sz="8" w:space="0" w:color="auto"/>
            </w:tcBorders>
            <w:shd w:val="clear" w:color="auto" w:fill="auto"/>
            <w:vAlign w:val="center"/>
            <w:hideMark/>
          </w:tcPr>
          <w:p w14:paraId="331D8A40" w14:textId="77777777" w:rsidR="00375BD2" w:rsidRPr="00C05886" w:rsidRDefault="00375BD2" w:rsidP="00375BD2">
            <w:pPr>
              <w:spacing w:after="0" w:line="240" w:lineRule="auto"/>
              <w:jc w:val="right"/>
              <w:rPr>
                <w:rFonts w:ascii="Calibri" w:eastAsia="Times New Roman" w:hAnsi="Calibri" w:cs="Calibri"/>
                <w:color w:val="000000"/>
                <w:sz w:val="20"/>
                <w:szCs w:val="20"/>
                <w:lang w:eastAsia="en-GB"/>
              </w:rPr>
            </w:pPr>
            <w:r w:rsidRPr="00C05886">
              <w:rPr>
                <w:rFonts w:ascii="Calibri" w:eastAsia="Times New Roman" w:hAnsi="Calibri" w:cs="Calibri"/>
                <w:color w:val="000000"/>
                <w:sz w:val="20"/>
                <w:szCs w:val="20"/>
                <w:lang w:eastAsia="en-GB"/>
              </w:rPr>
              <w:t>116</w:t>
            </w:r>
          </w:p>
        </w:tc>
      </w:tr>
      <w:tr w:rsidR="00375BD2" w:rsidRPr="00C05886" w14:paraId="0CDF2B6B" w14:textId="77777777" w:rsidTr="00B637FE">
        <w:trPr>
          <w:trHeight w:val="315"/>
        </w:trPr>
        <w:tc>
          <w:tcPr>
            <w:tcW w:w="0" w:type="auto"/>
            <w:vMerge w:val="restart"/>
            <w:tcBorders>
              <w:top w:val="nil"/>
              <w:left w:val="single" w:sz="8" w:space="0" w:color="auto"/>
              <w:bottom w:val="single" w:sz="8" w:space="0" w:color="000000"/>
              <w:right w:val="single" w:sz="8" w:space="0" w:color="auto"/>
            </w:tcBorders>
            <w:shd w:val="clear" w:color="auto" w:fill="auto"/>
            <w:vAlign w:val="center"/>
            <w:hideMark/>
          </w:tcPr>
          <w:p w14:paraId="2ADD6FE3" w14:textId="77777777" w:rsidR="00375BD2" w:rsidRPr="00C05886" w:rsidRDefault="00375BD2" w:rsidP="00375BD2">
            <w:pPr>
              <w:spacing w:after="0" w:line="240" w:lineRule="auto"/>
              <w:rPr>
                <w:rFonts w:ascii="Calibri" w:eastAsia="Times New Roman" w:hAnsi="Calibri" w:cs="Calibri"/>
                <w:color w:val="000000"/>
                <w:sz w:val="20"/>
                <w:szCs w:val="20"/>
                <w:lang w:eastAsia="en-GB"/>
              </w:rPr>
            </w:pPr>
            <w:r w:rsidRPr="00C05886">
              <w:rPr>
                <w:rFonts w:ascii="Calibri" w:eastAsia="Times New Roman" w:hAnsi="Calibri" w:cs="Calibri"/>
                <w:color w:val="000000"/>
                <w:sz w:val="20"/>
                <w:szCs w:val="20"/>
                <w:lang w:eastAsia="en-GB"/>
              </w:rPr>
              <w:t>LBHC</w:t>
            </w:r>
          </w:p>
        </w:tc>
        <w:tc>
          <w:tcPr>
            <w:tcW w:w="0" w:type="auto"/>
            <w:tcBorders>
              <w:top w:val="nil"/>
              <w:left w:val="nil"/>
              <w:bottom w:val="single" w:sz="8" w:space="0" w:color="auto"/>
              <w:right w:val="single" w:sz="8" w:space="0" w:color="auto"/>
            </w:tcBorders>
            <w:shd w:val="clear" w:color="auto" w:fill="auto"/>
            <w:vAlign w:val="center"/>
            <w:hideMark/>
          </w:tcPr>
          <w:p w14:paraId="0C1A2219" w14:textId="77777777" w:rsidR="00375BD2" w:rsidRPr="00C05886" w:rsidRDefault="00375BD2" w:rsidP="00375BD2">
            <w:pPr>
              <w:spacing w:after="0" w:line="240" w:lineRule="auto"/>
              <w:rPr>
                <w:rFonts w:ascii="Calibri" w:eastAsia="Times New Roman" w:hAnsi="Calibri" w:cs="Calibri"/>
                <w:color w:val="000000"/>
                <w:sz w:val="20"/>
                <w:szCs w:val="20"/>
                <w:lang w:eastAsia="en-GB"/>
              </w:rPr>
            </w:pPr>
            <w:r w:rsidRPr="00C05886">
              <w:rPr>
                <w:rFonts w:ascii="Calibri" w:eastAsia="Times New Roman" w:hAnsi="Calibri" w:cs="Calibri"/>
                <w:color w:val="000000"/>
                <w:sz w:val="20"/>
                <w:szCs w:val="20"/>
                <w:lang w:eastAsia="en-GB"/>
              </w:rPr>
              <w:t>Mean</w:t>
            </w:r>
          </w:p>
        </w:tc>
        <w:tc>
          <w:tcPr>
            <w:tcW w:w="0" w:type="auto"/>
            <w:tcBorders>
              <w:top w:val="nil"/>
              <w:left w:val="nil"/>
              <w:bottom w:val="single" w:sz="8" w:space="0" w:color="auto"/>
              <w:right w:val="single" w:sz="8" w:space="0" w:color="auto"/>
            </w:tcBorders>
            <w:shd w:val="clear" w:color="auto" w:fill="auto"/>
            <w:vAlign w:val="center"/>
            <w:hideMark/>
          </w:tcPr>
          <w:p w14:paraId="619AC942" w14:textId="77777777" w:rsidR="00375BD2" w:rsidRPr="00C05886" w:rsidRDefault="00375BD2" w:rsidP="00375BD2">
            <w:pPr>
              <w:spacing w:after="0" w:line="240" w:lineRule="auto"/>
              <w:jc w:val="right"/>
              <w:rPr>
                <w:rFonts w:ascii="Calibri" w:eastAsia="Times New Roman" w:hAnsi="Calibri" w:cs="Calibri"/>
                <w:color w:val="000000"/>
                <w:sz w:val="20"/>
                <w:szCs w:val="20"/>
                <w:lang w:eastAsia="en-GB"/>
              </w:rPr>
            </w:pPr>
            <w:r w:rsidRPr="00C05886">
              <w:rPr>
                <w:rFonts w:ascii="Calibri" w:eastAsia="Times New Roman" w:hAnsi="Calibri" w:cs="Calibri"/>
                <w:color w:val="000000"/>
                <w:sz w:val="20"/>
                <w:szCs w:val="20"/>
                <w:lang w:eastAsia="en-GB"/>
              </w:rPr>
              <w:t>2.43</w:t>
            </w:r>
          </w:p>
        </w:tc>
        <w:tc>
          <w:tcPr>
            <w:tcW w:w="0" w:type="auto"/>
            <w:tcBorders>
              <w:top w:val="nil"/>
              <w:left w:val="nil"/>
              <w:bottom w:val="single" w:sz="8" w:space="0" w:color="auto"/>
              <w:right w:val="single" w:sz="8" w:space="0" w:color="auto"/>
            </w:tcBorders>
            <w:shd w:val="clear" w:color="auto" w:fill="auto"/>
            <w:vAlign w:val="center"/>
            <w:hideMark/>
          </w:tcPr>
          <w:p w14:paraId="0A27E151" w14:textId="77777777" w:rsidR="00375BD2" w:rsidRPr="00C05886" w:rsidRDefault="00375BD2" w:rsidP="00375BD2">
            <w:pPr>
              <w:spacing w:after="0" w:line="240" w:lineRule="auto"/>
              <w:jc w:val="right"/>
              <w:rPr>
                <w:rFonts w:ascii="Calibri" w:eastAsia="Times New Roman" w:hAnsi="Calibri" w:cs="Calibri"/>
                <w:color w:val="000000"/>
                <w:sz w:val="20"/>
                <w:szCs w:val="20"/>
                <w:lang w:eastAsia="en-GB"/>
              </w:rPr>
            </w:pPr>
            <w:r w:rsidRPr="00C05886">
              <w:rPr>
                <w:rFonts w:ascii="Calibri" w:eastAsia="Times New Roman" w:hAnsi="Calibri" w:cs="Calibri"/>
                <w:color w:val="000000"/>
                <w:sz w:val="20"/>
                <w:szCs w:val="20"/>
                <w:lang w:eastAsia="en-GB"/>
              </w:rPr>
              <w:t>2.57</w:t>
            </w:r>
          </w:p>
        </w:tc>
        <w:tc>
          <w:tcPr>
            <w:tcW w:w="0" w:type="auto"/>
            <w:tcBorders>
              <w:top w:val="nil"/>
              <w:left w:val="nil"/>
              <w:bottom w:val="single" w:sz="8" w:space="0" w:color="auto"/>
              <w:right w:val="single" w:sz="8" w:space="0" w:color="auto"/>
            </w:tcBorders>
            <w:shd w:val="clear" w:color="auto" w:fill="auto"/>
            <w:vAlign w:val="center"/>
            <w:hideMark/>
          </w:tcPr>
          <w:p w14:paraId="36FB88F6" w14:textId="77777777" w:rsidR="00375BD2" w:rsidRPr="00C05886" w:rsidRDefault="00375BD2" w:rsidP="00375BD2">
            <w:pPr>
              <w:spacing w:after="0" w:line="240" w:lineRule="auto"/>
              <w:jc w:val="right"/>
              <w:rPr>
                <w:rFonts w:ascii="Calibri" w:eastAsia="Times New Roman" w:hAnsi="Calibri" w:cs="Calibri"/>
                <w:color w:val="000000"/>
                <w:sz w:val="20"/>
                <w:szCs w:val="20"/>
                <w:lang w:eastAsia="en-GB"/>
              </w:rPr>
            </w:pPr>
            <w:r w:rsidRPr="00C05886">
              <w:rPr>
                <w:rFonts w:ascii="Calibri" w:eastAsia="Times New Roman" w:hAnsi="Calibri" w:cs="Calibri"/>
                <w:color w:val="000000"/>
                <w:sz w:val="20"/>
                <w:szCs w:val="20"/>
                <w:lang w:eastAsia="en-GB"/>
              </w:rPr>
              <w:t>3.35</w:t>
            </w:r>
          </w:p>
        </w:tc>
        <w:tc>
          <w:tcPr>
            <w:tcW w:w="0" w:type="auto"/>
            <w:tcBorders>
              <w:top w:val="nil"/>
              <w:left w:val="nil"/>
              <w:bottom w:val="single" w:sz="8" w:space="0" w:color="auto"/>
              <w:right w:val="single" w:sz="8" w:space="0" w:color="auto"/>
            </w:tcBorders>
            <w:shd w:val="clear" w:color="auto" w:fill="auto"/>
            <w:vAlign w:val="center"/>
            <w:hideMark/>
          </w:tcPr>
          <w:p w14:paraId="6AC22978" w14:textId="77777777" w:rsidR="00375BD2" w:rsidRPr="00C05886" w:rsidRDefault="00375BD2" w:rsidP="00375BD2">
            <w:pPr>
              <w:spacing w:after="0" w:line="240" w:lineRule="auto"/>
              <w:jc w:val="right"/>
              <w:rPr>
                <w:rFonts w:ascii="Calibri" w:eastAsia="Times New Roman" w:hAnsi="Calibri" w:cs="Calibri"/>
                <w:color w:val="000000"/>
                <w:sz w:val="20"/>
                <w:szCs w:val="20"/>
                <w:lang w:eastAsia="en-GB"/>
              </w:rPr>
            </w:pPr>
            <w:r w:rsidRPr="00C05886">
              <w:rPr>
                <w:rFonts w:ascii="Calibri" w:eastAsia="Times New Roman" w:hAnsi="Calibri" w:cs="Calibri"/>
                <w:color w:val="000000"/>
                <w:sz w:val="20"/>
                <w:szCs w:val="20"/>
                <w:lang w:eastAsia="en-GB"/>
              </w:rPr>
              <w:t>3.53</w:t>
            </w:r>
          </w:p>
        </w:tc>
        <w:tc>
          <w:tcPr>
            <w:tcW w:w="0" w:type="auto"/>
            <w:tcBorders>
              <w:top w:val="nil"/>
              <w:left w:val="nil"/>
              <w:bottom w:val="single" w:sz="8" w:space="0" w:color="auto"/>
              <w:right w:val="single" w:sz="8" w:space="0" w:color="auto"/>
            </w:tcBorders>
            <w:shd w:val="clear" w:color="auto" w:fill="auto"/>
            <w:vAlign w:val="center"/>
            <w:hideMark/>
          </w:tcPr>
          <w:p w14:paraId="35BDD436" w14:textId="77777777" w:rsidR="00375BD2" w:rsidRPr="00C05886" w:rsidRDefault="00375BD2" w:rsidP="00375BD2">
            <w:pPr>
              <w:spacing w:after="0" w:line="240" w:lineRule="auto"/>
              <w:jc w:val="right"/>
              <w:rPr>
                <w:rFonts w:ascii="Calibri" w:eastAsia="Times New Roman" w:hAnsi="Calibri" w:cs="Calibri"/>
                <w:color w:val="000000"/>
                <w:sz w:val="20"/>
                <w:szCs w:val="20"/>
                <w:lang w:eastAsia="en-GB"/>
              </w:rPr>
            </w:pPr>
            <w:r w:rsidRPr="00C05886">
              <w:rPr>
                <w:rFonts w:ascii="Calibri" w:eastAsia="Times New Roman" w:hAnsi="Calibri" w:cs="Calibri"/>
                <w:color w:val="000000"/>
                <w:sz w:val="20"/>
                <w:szCs w:val="20"/>
                <w:lang w:eastAsia="en-GB"/>
              </w:rPr>
              <w:t>1.51</w:t>
            </w:r>
          </w:p>
        </w:tc>
        <w:tc>
          <w:tcPr>
            <w:tcW w:w="0" w:type="auto"/>
            <w:tcBorders>
              <w:top w:val="nil"/>
              <w:left w:val="nil"/>
              <w:bottom w:val="single" w:sz="8" w:space="0" w:color="auto"/>
              <w:right w:val="single" w:sz="8" w:space="0" w:color="auto"/>
            </w:tcBorders>
            <w:shd w:val="clear" w:color="auto" w:fill="auto"/>
            <w:vAlign w:val="center"/>
            <w:hideMark/>
          </w:tcPr>
          <w:p w14:paraId="4E82D982" w14:textId="77777777" w:rsidR="00375BD2" w:rsidRPr="00C05886" w:rsidRDefault="00375BD2" w:rsidP="00375BD2">
            <w:pPr>
              <w:spacing w:after="0" w:line="240" w:lineRule="auto"/>
              <w:jc w:val="right"/>
              <w:rPr>
                <w:rFonts w:ascii="Calibri" w:eastAsia="Times New Roman" w:hAnsi="Calibri" w:cs="Calibri"/>
                <w:color w:val="000000"/>
                <w:sz w:val="20"/>
                <w:szCs w:val="20"/>
                <w:lang w:eastAsia="en-GB"/>
              </w:rPr>
            </w:pPr>
            <w:r w:rsidRPr="00C05886">
              <w:rPr>
                <w:rFonts w:ascii="Calibri" w:eastAsia="Times New Roman" w:hAnsi="Calibri" w:cs="Calibri"/>
                <w:color w:val="000000"/>
                <w:sz w:val="20"/>
                <w:szCs w:val="20"/>
                <w:lang w:eastAsia="en-GB"/>
              </w:rPr>
              <w:t>1.28</w:t>
            </w:r>
          </w:p>
        </w:tc>
      </w:tr>
      <w:tr w:rsidR="00375BD2" w:rsidRPr="00C05886" w14:paraId="21FF5789" w14:textId="77777777" w:rsidTr="00B637FE">
        <w:trPr>
          <w:trHeight w:val="315"/>
        </w:trPr>
        <w:tc>
          <w:tcPr>
            <w:tcW w:w="0" w:type="auto"/>
            <w:vMerge/>
            <w:tcBorders>
              <w:top w:val="nil"/>
              <w:left w:val="single" w:sz="8" w:space="0" w:color="auto"/>
              <w:bottom w:val="single" w:sz="8" w:space="0" w:color="000000"/>
              <w:right w:val="single" w:sz="8" w:space="0" w:color="auto"/>
            </w:tcBorders>
            <w:vAlign w:val="center"/>
            <w:hideMark/>
          </w:tcPr>
          <w:p w14:paraId="68915D85" w14:textId="77777777" w:rsidR="00375BD2" w:rsidRPr="00C05886" w:rsidRDefault="00375BD2" w:rsidP="00375BD2">
            <w:pPr>
              <w:spacing w:after="0" w:line="240" w:lineRule="auto"/>
              <w:rPr>
                <w:rFonts w:ascii="Calibri" w:eastAsia="Times New Roman" w:hAnsi="Calibri" w:cs="Calibri"/>
                <w:color w:val="000000"/>
                <w:sz w:val="20"/>
                <w:szCs w:val="20"/>
                <w:lang w:eastAsia="en-GB"/>
              </w:rPr>
            </w:pPr>
          </w:p>
        </w:tc>
        <w:tc>
          <w:tcPr>
            <w:tcW w:w="0" w:type="auto"/>
            <w:tcBorders>
              <w:top w:val="nil"/>
              <w:left w:val="nil"/>
              <w:bottom w:val="single" w:sz="8" w:space="0" w:color="auto"/>
              <w:right w:val="single" w:sz="8" w:space="0" w:color="auto"/>
            </w:tcBorders>
            <w:shd w:val="clear" w:color="auto" w:fill="auto"/>
            <w:vAlign w:val="center"/>
            <w:hideMark/>
          </w:tcPr>
          <w:p w14:paraId="2BBD9341" w14:textId="77777777" w:rsidR="00375BD2" w:rsidRPr="00C05886" w:rsidRDefault="00375BD2" w:rsidP="00375BD2">
            <w:pPr>
              <w:spacing w:after="0" w:line="240" w:lineRule="auto"/>
              <w:rPr>
                <w:rFonts w:ascii="Calibri" w:eastAsia="Times New Roman" w:hAnsi="Calibri" w:cs="Calibri"/>
                <w:color w:val="000000"/>
                <w:sz w:val="20"/>
                <w:szCs w:val="20"/>
                <w:lang w:eastAsia="en-GB"/>
              </w:rPr>
            </w:pPr>
            <w:r w:rsidRPr="00C05886">
              <w:rPr>
                <w:rFonts w:ascii="Calibri" w:eastAsia="Times New Roman" w:hAnsi="Calibri" w:cs="Calibri"/>
                <w:color w:val="000000"/>
                <w:sz w:val="20"/>
                <w:szCs w:val="20"/>
                <w:lang w:eastAsia="en-GB"/>
              </w:rPr>
              <w:t>SD</w:t>
            </w:r>
          </w:p>
        </w:tc>
        <w:tc>
          <w:tcPr>
            <w:tcW w:w="0" w:type="auto"/>
            <w:tcBorders>
              <w:top w:val="nil"/>
              <w:left w:val="nil"/>
              <w:bottom w:val="single" w:sz="8" w:space="0" w:color="auto"/>
              <w:right w:val="single" w:sz="8" w:space="0" w:color="auto"/>
            </w:tcBorders>
            <w:shd w:val="clear" w:color="auto" w:fill="auto"/>
            <w:vAlign w:val="center"/>
            <w:hideMark/>
          </w:tcPr>
          <w:p w14:paraId="22C6F996" w14:textId="77777777" w:rsidR="00375BD2" w:rsidRPr="00C05886" w:rsidRDefault="00375BD2" w:rsidP="00375BD2">
            <w:pPr>
              <w:spacing w:after="0" w:line="240" w:lineRule="auto"/>
              <w:jc w:val="right"/>
              <w:rPr>
                <w:rFonts w:ascii="Calibri" w:eastAsia="Times New Roman" w:hAnsi="Calibri" w:cs="Calibri"/>
                <w:color w:val="000000"/>
                <w:sz w:val="20"/>
                <w:szCs w:val="20"/>
                <w:lang w:eastAsia="en-GB"/>
              </w:rPr>
            </w:pPr>
            <w:r w:rsidRPr="00C05886">
              <w:rPr>
                <w:rFonts w:ascii="Calibri" w:eastAsia="Times New Roman" w:hAnsi="Calibri" w:cs="Calibri"/>
                <w:color w:val="000000"/>
                <w:sz w:val="20"/>
                <w:szCs w:val="20"/>
                <w:lang w:eastAsia="en-GB"/>
              </w:rPr>
              <w:t>0.95</w:t>
            </w:r>
          </w:p>
        </w:tc>
        <w:tc>
          <w:tcPr>
            <w:tcW w:w="0" w:type="auto"/>
            <w:tcBorders>
              <w:top w:val="nil"/>
              <w:left w:val="nil"/>
              <w:bottom w:val="single" w:sz="8" w:space="0" w:color="auto"/>
              <w:right w:val="single" w:sz="8" w:space="0" w:color="auto"/>
            </w:tcBorders>
            <w:shd w:val="clear" w:color="auto" w:fill="auto"/>
            <w:vAlign w:val="center"/>
            <w:hideMark/>
          </w:tcPr>
          <w:p w14:paraId="4661A238" w14:textId="77777777" w:rsidR="00375BD2" w:rsidRPr="00C05886" w:rsidRDefault="00375BD2" w:rsidP="00375BD2">
            <w:pPr>
              <w:spacing w:after="0" w:line="240" w:lineRule="auto"/>
              <w:jc w:val="right"/>
              <w:rPr>
                <w:rFonts w:ascii="Calibri" w:eastAsia="Times New Roman" w:hAnsi="Calibri" w:cs="Calibri"/>
                <w:color w:val="000000"/>
                <w:sz w:val="20"/>
                <w:szCs w:val="20"/>
                <w:lang w:eastAsia="en-GB"/>
              </w:rPr>
            </w:pPr>
            <w:r w:rsidRPr="00C05886">
              <w:rPr>
                <w:rFonts w:ascii="Calibri" w:eastAsia="Times New Roman" w:hAnsi="Calibri" w:cs="Calibri"/>
                <w:color w:val="000000"/>
                <w:sz w:val="20"/>
                <w:szCs w:val="20"/>
                <w:lang w:eastAsia="en-GB"/>
              </w:rPr>
              <w:t>1.02</w:t>
            </w:r>
          </w:p>
        </w:tc>
        <w:tc>
          <w:tcPr>
            <w:tcW w:w="0" w:type="auto"/>
            <w:tcBorders>
              <w:top w:val="nil"/>
              <w:left w:val="nil"/>
              <w:bottom w:val="single" w:sz="8" w:space="0" w:color="auto"/>
              <w:right w:val="single" w:sz="8" w:space="0" w:color="auto"/>
            </w:tcBorders>
            <w:shd w:val="clear" w:color="auto" w:fill="auto"/>
            <w:vAlign w:val="center"/>
            <w:hideMark/>
          </w:tcPr>
          <w:p w14:paraId="2A99170F" w14:textId="77777777" w:rsidR="00375BD2" w:rsidRPr="00C05886" w:rsidRDefault="00375BD2" w:rsidP="00375BD2">
            <w:pPr>
              <w:spacing w:after="0" w:line="240" w:lineRule="auto"/>
              <w:jc w:val="right"/>
              <w:rPr>
                <w:rFonts w:ascii="Calibri" w:eastAsia="Times New Roman" w:hAnsi="Calibri" w:cs="Calibri"/>
                <w:color w:val="000000"/>
                <w:sz w:val="20"/>
                <w:szCs w:val="20"/>
                <w:lang w:eastAsia="en-GB"/>
              </w:rPr>
            </w:pPr>
            <w:r w:rsidRPr="00C05886">
              <w:rPr>
                <w:rFonts w:ascii="Calibri" w:eastAsia="Times New Roman" w:hAnsi="Calibri" w:cs="Calibri"/>
                <w:color w:val="000000"/>
                <w:sz w:val="20"/>
                <w:szCs w:val="20"/>
                <w:lang w:eastAsia="en-GB"/>
              </w:rPr>
              <w:t>0.99</w:t>
            </w:r>
          </w:p>
        </w:tc>
        <w:tc>
          <w:tcPr>
            <w:tcW w:w="0" w:type="auto"/>
            <w:tcBorders>
              <w:top w:val="nil"/>
              <w:left w:val="nil"/>
              <w:bottom w:val="single" w:sz="8" w:space="0" w:color="auto"/>
              <w:right w:val="single" w:sz="8" w:space="0" w:color="auto"/>
            </w:tcBorders>
            <w:shd w:val="clear" w:color="auto" w:fill="auto"/>
            <w:vAlign w:val="center"/>
            <w:hideMark/>
          </w:tcPr>
          <w:p w14:paraId="4E1676AF" w14:textId="77777777" w:rsidR="00375BD2" w:rsidRPr="00C05886" w:rsidRDefault="00375BD2" w:rsidP="00375BD2">
            <w:pPr>
              <w:spacing w:after="0" w:line="240" w:lineRule="auto"/>
              <w:jc w:val="right"/>
              <w:rPr>
                <w:rFonts w:ascii="Calibri" w:eastAsia="Times New Roman" w:hAnsi="Calibri" w:cs="Calibri"/>
                <w:color w:val="000000"/>
                <w:sz w:val="20"/>
                <w:szCs w:val="20"/>
                <w:lang w:eastAsia="en-GB"/>
              </w:rPr>
            </w:pPr>
            <w:r w:rsidRPr="00C05886">
              <w:rPr>
                <w:rFonts w:ascii="Calibri" w:eastAsia="Times New Roman" w:hAnsi="Calibri" w:cs="Calibri"/>
                <w:color w:val="000000"/>
                <w:sz w:val="20"/>
                <w:szCs w:val="20"/>
                <w:lang w:eastAsia="en-GB"/>
              </w:rPr>
              <w:t>0.90</w:t>
            </w:r>
          </w:p>
        </w:tc>
        <w:tc>
          <w:tcPr>
            <w:tcW w:w="0" w:type="auto"/>
            <w:tcBorders>
              <w:top w:val="nil"/>
              <w:left w:val="nil"/>
              <w:bottom w:val="single" w:sz="8" w:space="0" w:color="auto"/>
              <w:right w:val="single" w:sz="8" w:space="0" w:color="auto"/>
            </w:tcBorders>
            <w:shd w:val="clear" w:color="auto" w:fill="auto"/>
            <w:vAlign w:val="center"/>
            <w:hideMark/>
          </w:tcPr>
          <w:p w14:paraId="4ED4086A" w14:textId="77777777" w:rsidR="00375BD2" w:rsidRPr="00C05886" w:rsidRDefault="00375BD2" w:rsidP="00375BD2">
            <w:pPr>
              <w:spacing w:after="0" w:line="240" w:lineRule="auto"/>
              <w:jc w:val="right"/>
              <w:rPr>
                <w:rFonts w:ascii="Calibri" w:eastAsia="Times New Roman" w:hAnsi="Calibri" w:cs="Calibri"/>
                <w:color w:val="000000"/>
                <w:sz w:val="20"/>
                <w:szCs w:val="20"/>
                <w:lang w:eastAsia="en-GB"/>
              </w:rPr>
            </w:pPr>
            <w:r w:rsidRPr="00C05886">
              <w:rPr>
                <w:rFonts w:ascii="Calibri" w:eastAsia="Times New Roman" w:hAnsi="Calibri" w:cs="Calibri"/>
                <w:color w:val="000000"/>
                <w:sz w:val="20"/>
                <w:szCs w:val="20"/>
                <w:lang w:eastAsia="en-GB"/>
              </w:rPr>
              <w:t>0.62</w:t>
            </w:r>
          </w:p>
        </w:tc>
        <w:tc>
          <w:tcPr>
            <w:tcW w:w="0" w:type="auto"/>
            <w:tcBorders>
              <w:top w:val="nil"/>
              <w:left w:val="nil"/>
              <w:bottom w:val="single" w:sz="8" w:space="0" w:color="auto"/>
              <w:right w:val="single" w:sz="8" w:space="0" w:color="auto"/>
            </w:tcBorders>
            <w:shd w:val="clear" w:color="auto" w:fill="auto"/>
            <w:vAlign w:val="center"/>
            <w:hideMark/>
          </w:tcPr>
          <w:p w14:paraId="3753B97A" w14:textId="77777777" w:rsidR="00375BD2" w:rsidRPr="00C05886" w:rsidRDefault="00375BD2" w:rsidP="00375BD2">
            <w:pPr>
              <w:spacing w:after="0" w:line="240" w:lineRule="auto"/>
              <w:jc w:val="right"/>
              <w:rPr>
                <w:rFonts w:ascii="Calibri" w:eastAsia="Times New Roman" w:hAnsi="Calibri" w:cs="Calibri"/>
                <w:color w:val="000000"/>
                <w:sz w:val="20"/>
                <w:szCs w:val="20"/>
                <w:lang w:eastAsia="en-GB"/>
              </w:rPr>
            </w:pPr>
            <w:r w:rsidRPr="00C05886">
              <w:rPr>
                <w:rFonts w:ascii="Calibri" w:eastAsia="Times New Roman" w:hAnsi="Calibri" w:cs="Calibri"/>
                <w:color w:val="000000"/>
                <w:sz w:val="20"/>
                <w:szCs w:val="20"/>
                <w:lang w:eastAsia="en-GB"/>
              </w:rPr>
              <w:t>0.50</w:t>
            </w:r>
          </w:p>
        </w:tc>
      </w:tr>
      <w:tr w:rsidR="00375BD2" w:rsidRPr="00C05886" w14:paraId="31E70DDB" w14:textId="77777777" w:rsidTr="00B637FE">
        <w:trPr>
          <w:trHeight w:val="315"/>
        </w:trPr>
        <w:tc>
          <w:tcPr>
            <w:tcW w:w="0" w:type="auto"/>
            <w:vMerge/>
            <w:tcBorders>
              <w:top w:val="nil"/>
              <w:left w:val="single" w:sz="8" w:space="0" w:color="auto"/>
              <w:bottom w:val="single" w:sz="8" w:space="0" w:color="000000"/>
              <w:right w:val="single" w:sz="8" w:space="0" w:color="auto"/>
            </w:tcBorders>
            <w:vAlign w:val="center"/>
            <w:hideMark/>
          </w:tcPr>
          <w:p w14:paraId="5BCDF0EB" w14:textId="77777777" w:rsidR="00375BD2" w:rsidRPr="00C05886" w:rsidRDefault="00375BD2" w:rsidP="00375BD2">
            <w:pPr>
              <w:spacing w:after="0" w:line="240" w:lineRule="auto"/>
              <w:rPr>
                <w:rFonts w:ascii="Calibri" w:eastAsia="Times New Roman" w:hAnsi="Calibri" w:cs="Calibri"/>
                <w:color w:val="000000"/>
                <w:sz w:val="20"/>
                <w:szCs w:val="20"/>
                <w:lang w:eastAsia="en-GB"/>
              </w:rPr>
            </w:pPr>
          </w:p>
        </w:tc>
        <w:tc>
          <w:tcPr>
            <w:tcW w:w="0" w:type="auto"/>
            <w:tcBorders>
              <w:top w:val="nil"/>
              <w:left w:val="nil"/>
              <w:bottom w:val="single" w:sz="8" w:space="0" w:color="auto"/>
              <w:right w:val="single" w:sz="8" w:space="0" w:color="auto"/>
            </w:tcBorders>
            <w:shd w:val="clear" w:color="auto" w:fill="auto"/>
            <w:vAlign w:val="center"/>
            <w:hideMark/>
          </w:tcPr>
          <w:p w14:paraId="06A05286" w14:textId="77777777" w:rsidR="00375BD2" w:rsidRPr="00C05886" w:rsidRDefault="00375BD2" w:rsidP="00375BD2">
            <w:pPr>
              <w:spacing w:after="0" w:line="240" w:lineRule="auto"/>
              <w:rPr>
                <w:rFonts w:ascii="Calibri" w:eastAsia="Times New Roman" w:hAnsi="Calibri" w:cs="Calibri"/>
                <w:color w:val="000000"/>
                <w:sz w:val="20"/>
                <w:szCs w:val="20"/>
                <w:lang w:eastAsia="en-GB"/>
              </w:rPr>
            </w:pPr>
            <w:r w:rsidRPr="00C05886">
              <w:rPr>
                <w:rFonts w:ascii="Calibri" w:eastAsia="Times New Roman" w:hAnsi="Calibri" w:cs="Calibri"/>
                <w:color w:val="000000"/>
                <w:sz w:val="20"/>
                <w:szCs w:val="20"/>
                <w:lang w:eastAsia="en-GB"/>
              </w:rPr>
              <w:t>N</w:t>
            </w:r>
          </w:p>
        </w:tc>
        <w:tc>
          <w:tcPr>
            <w:tcW w:w="0" w:type="auto"/>
            <w:tcBorders>
              <w:top w:val="nil"/>
              <w:left w:val="nil"/>
              <w:bottom w:val="single" w:sz="8" w:space="0" w:color="auto"/>
              <w:right w:val="single" w:sz="8" w:space="0" w:color="auto"/>
            </w:tcBorders>
            <w:shd w:val="clear" w:color="auto" w:fill="auto"/>
            <w:vAlign w:val="center"/>
            <w:hideMark/>
          </w:tcPr>
          <w:p w14:paraId="4F8A886A" w14:textId="77777777" w:rsidR="00375BD2" w:rsidRPr="00C05886" w:rsidRDefault="00375BD2" w:rsidP="00375BD2">
            <w:pPr>
              <w:spacing w:after="0" w:line="240" w:lineRule="auto"/>
              <w:jc w:val="right"/>
              <w:rPr>
                <w:rFonts w:ascii="Calibri" w:eastAsia="Times New Roman" w:hAnsi="Calibri" w:cs="Calibri"/>
                <w:color w:val="000000"/>
                <w:sz w:val="20"/>
                <w:szCs w:val="20"/>
                <w:lang w:eastAsia="en-GB"/>
              </w:rPr>
            </w:pPr>
            <w:r w:rsidRPr="00C05886">
              <w:rPr>
                <w:rFonts w:ascii="Calibri" w:eastAsia="Times New Roman" w:hAnsi="Calibri" w:cs="Calibri"/>
                <w:color w:val="000000"/>
                <w:sz w:val="20"/>
                <w:szCs w:val="20"/>
                <w:lang w:eastAsia="en-GB"/>
              </w:rPr>
              <w:t>114</w:t>
            </w:r>
          </w:p>
        </w:tc>
        <w:tc>
          <w:tcPr>
            <w:tcW w:w="0" w:type="auto"/>
            <w:tcBorders>
              <w:top w:val="nil"/>
              <w:left w:val="nil"/>
              <w:bottom w:val="single" w:sz="8" w:space="0" w:color="auto"/>
              <w:right w:val="single" w:sz="8" w:space="0" w:color="auto"/>
            </w:tcBorders>
            <w:shd w:val="clear" w:color="auto" w:fill="auto"/>
            <w:vAlign w:val="center"/>
            <w:hideMark/>
          </w:tcPr>
          <w:p w14:paraId="10A02B05" w14:textId="77777777" w:rsidR="00375BD2" w:rsidRPr="00C05886" w:rsidRDefault="00375BD2" w:rsidP="00375BD2">
            <w:pPr>
              <w:spacing w:after="0" w:line="240" w:lineRule="auto"/>
              <w:jc w:val="right"/>
              <w:rPr>
                <w:rFonts w:ascii="Calibri" w:eastAsia="Times New Roman" w:hAnsi="Calibri" w:cs="Calibri"/>
                <w:color w:val="000000"/>
                <w:sz w:val="20"/>
                <w:szCs w:val="20"/>
                <w:lang w:eastAsia="en-GB"/>
              </w:rPr>
            </w:pPr>
            <w:r w:rsidRPr="00C05886">
              <w:rPr>
                <w:rFonts w:ascii="Calibri" w:eastAsia="Times New Roman" w:hAnsi="Calibri" w:cs="Calibri"/>
                <w:color w:val="000000"/>
                <w:sz w:val="20"/>
                <w:szCs w:val="20"/>
                <w:lang w:eastAsia="en-GB"/>
              </w:rPr>
              <w:t>114</w:t>
            </w:r>
          </w:p>
        </w:tc>
        <w:tc>
          <w:tcPr>
            <w:tcW w:w="0" w:type="auto"/>
            <w:tcBorders>
              <w:top w:val="nil"/>
              <w:left w:val="nil"/>
              <w:bottom w:val="single" w:sz="8" w:space="0" w:color="auto"/>
              <w:right w:val="single" w:sz="8" w:space="0" w:color="auto"/>
            </w:tcBorders>
            <w:shd w:val="clear" w:color="auto" w:fill="auto"/>
            <w:vAlign w:val="center"/>
            <w:hideMark/>
          </w:tcPr>
          <w:p w14:paraId="6B9F107E" w14:textId="77777777" w:rsidR="00375BD2" w:rsidRPr="00C05886" w:rsidRDefault="00375BD2" w:rsidP="00375BD2">
            <w:pPr>
              <w:spacing w:after="0" w:line="240" w:lineRule="auto"/>
              <w:jc w:val="right"/>
              <w:rPr>
                <w:rFonts w:ascii="Calibri" w:eastAsia="Times New Roman" w:hAnsi="Calibri" w:cs="Calibri"/>
                <w:color w:val="000000"/>
                <w:sz w:val="20"/>
                <w:szCs w:val="20"/>
                <w:lang w:eastAsia="en-GB"/>
              </w:rPr>
            </w:pPr>
            <w:r w:rsidRPr="00C05886">
              <w:rPr>
                <w:rFonts w:ascii="Calibri" w:eastAsia="Times New Roman" w:hAnsi="Calibri" w:cs="Calibri"/>
                <w:color w:val="000000"/>
                <w:sz w:val="20"/>
                <w:szCs w:val="20"/>
                <w:lang w:eastAsia="en-GB"/>
              </w:rPr>
              <w:t>114</w:t>
            </w:r>
          </w:p>
        </w:tc>
        <w:tc>
          <w:tcPr>
            <w:tcW w:w="0" w:type="auto"/>
            <w:tcBorders>
              <w:top w:val="nil"/>
              <w:left w:val="nil"/>
              <w:bottom w:val="single" w:sz="8" w:space="0" w:color="auto"/>
              <w:right w:val="single" w:sz="8" w:space="0" w:color="auto"/>
            </w:tcBorders>
            <w:shd w:val="clear" w:color="auto" w:fill="auto"/>
            <w:vAlign w:val="center"/>
            <w:hideMark/>
          </w:tcPr>
          <w:p w14:paraId="50489C05" w14:textId="77777777" w:rsidR="00375BD2" w:rsidRPr="00C05886" w:rsidRDefault="00375BD2" w:rsidP="00375BD2">
            <w:pPr>
              <w:spacing w:after="0" w:line="240" w:lineRule="auto"/>
              <w:jc w:val="right"/>
              <w:rPr>
                <w:rFonts w:ascii="Calibri" w:eastAsia="Times New Roman" w:hAnsi="Calibri" w:cs="Calibri"/>
                <w:color w:val="000000"/>
                <w:sz w:val="20"/>
                <w:szCs w:val="20"/>
                <w:lang w:eastAsia="en-GB"/>
              </w:rPr>
            </w:pPr>
            <w:r w:rsidRPr="00C05886">
              <w:rPr>
                <w:rFonts w:ascii="Calibri" w:eastAsia="Times New Roman" w:hAnsi="Calibri" w:cs="Calibri"/>
                <w:color w:val="000000"/>
                <w:sz w:val="20"/>
                <w:szCs w:val="20"/>
                <w:lang w:eastAsia="en-GB"/>
              </w:rPr>
              <w:t>114</w:t>
            </w:r>
          </w:p>
        </w:tc>
        <w:tc>
          <w:tcPr>
            <w:tcW w:w="0" w:type="auto"/>
            <w:tcBorders>
              <w:top w:val="nil"/>
              <w:left w:val="nil"/>
              <w:bottom w:val="single" w:sz="8" w:space="0" w:color="auto"/>
              <w:right w:val="single" w:sz="8" w:space="0" w:color="auto"/>
            </w:tcBorders>
            <w:shd w:val="clear" w:color="auto" w:fill="auto"/>
            <w:vAlign w:val="center"/>
            <w:hideMark/>
          </w:tcPr>
          <w:p w14:paraId="0C965B8A" w14:textId="77777777" w:rsidR="00375BD2" w:rsidRPr="00C05886" w:rsidRDefault="00375BD2" w:rsidP="00375BD2">
            <w:pPr>
              <w:spacing w:after="0" w:line="240" w:lineRule="auto"/>
              <w:jc w:val="right"/>
              <w:rPr>
                <w:rFonts w:ascii="Calibri" w:eastAsia="Times New Roman" w:hAnsi="Calibri" w:cs="Calibri"/>
                <w:color w:val="000000"/>
                <w:sz w:val="20"/>
                <w:szCs w:val="20"/>
                <w:lang w:eastAsia="en-GB"/>
              </w:rPr>
            </w:pPr>
            <w:r w:rsidRPr="00C05886">
              <w:rPr>
                <w:rFonts w:ascii="Calibri" w:eastAsia="Times New Roman" w:hAnsi="Calibri" w:cs="Calibri"/>
                <w:color w:val="000000"/>
                <w:sz w:val="20"/>
                <w:szCs w:val="20"/>
                <w:lang w:eastAsia="en-GB"/>
              </w:rPr>
              <w:t>114</w:t>
            </w:r>
          </w:p>
        </w:tc>
        <w:tc>
          <w:tcPr>
            <w:tcW w:w="0" w:type="auto"/>
            <w:tcBorders>
              <w:top w:val="nil"/>
              <w:left w:val="nil"/>
              <w:bottom w:val="single" w:sz="8" w:space="0" w:color="auto"/>
              <w:right w:val="single" w:sz="8" w:space="0" w:color="auto"/>
            </w:tcBorders>
            <w:shd w:val="clear" w:color="auto" w:fill="auto"/>
            <w:vAlign w:val="center"/>
            <w:hideMark/>
          </w:tcPr>
          <w:p w14:paraId="7F4269F0" w14:textId="77777777" w:rsidR="00375BD2" w:rsidRPr="00C05886" w:rsidRDefault="00375BD2" w:rsidP="00375BD2">
            <w:pPr>
              <w:spacing w:after="0" w:line="240" w:lineRule="auto"/>
              <w:jc w:val="right"/>
              <w:rPr>
                <w:rFonts w:ascii="Calibri" w:eastAsia="Times New Roman" w:hAnsi="Calibri" w:cs="Calibri"/>
                <w:color w:val="000000"/>
                <w:sz w:val="20"/>
                <w:szCs w:val="20"/>
                <w:lang w:eastAsia="en-GB"/>
              </w:rPr>
            </w:pPr>
            <w:r w:rsidRPr="00C05886">
              <w:rPr>
                <w:rFonts w:ascii="Calibri" w:eastAsia="Times New Roman" w:hAnsi="Calibri" w:cs="Calibri"/>
                <w:color w:val="000000"/>
                <w:sz w:val="20"/>
                <w:szCs w:val="20"/>
                <w:lang w:eastAsia="en-GB"/>
              </w:rPr>
              <w:t>114</w:t>
            </w:r>
          </w:p>
        </w:tc>
      </w:tr>
      <w:tr w:rsidR="00375BD2" w:rsidRPr="00C05886" w14:paraId="7B36D346" w14:textId="77777777" w:rsidTr="00B637FE">
        <w:trPr>
          <w:trHeight w:val="315"/>
        </w:trPr>
        <w:tc>
          <w:tcPr>
            <w:tcW w:w="0" w:type="auto"/>
            <w:vMerge w:val="restart"/>
            <w:tcBorders>
              <w:top w:val="nil"/>
              <w:left w:val="single" w:sz="8" w:space="0" w:color="auto"/>
              <w:bottom w:val="single" w:sz="8" w:space="0" w:color="000000"/>
              <w:right w:val="single" w:sz="8" w:space="0" w:color="auto"/>
            </w:tcBorders>
            <w:shd w:val="clear" w:color="auto" w:fill="auto"/>
            <w:vAlign w:val="center"/>
            <w:hideMark/>
          </w:tcPr>
          <w:p w14:paraId="080B532B" w14:textId="77777777" w:rsidR="00375BD2" w:rsidRPr="00C05886" w:rsidRDefault="00375BD2" w:rsidP="00375BD2">
            <w:pPr>
              <w:spacing w:after="0" w:line="240" w:lineRule="auto"/>
              <w:rPr>
                <w:rFonts w:ascii="Calibri" w:eastAsia="Times New Roman" w:hAnsi="Calibri" w:cs="Calibri"/>
                <w:color w:val="000000"/>
                <w:sz w:val="20"/>
                <w:szCs w:val="20"/>
                <w:lang w:eastAsia="en-GB"/>
              </w:rPr>
            </w:pPr>
            <w:r w:rsidRPr="00C05886">
              <w:rPr>
                <w:rFonts w:ascii="Calibri" w:eastAsia="Times New Roman" w:hAnsi="Calibri" w:cs="Calibri"/>
                <w:color w:val="000000"/>
                <w:sz w:val="20"/>
                <w:szCs w:val="20"/>
                <w:lang w:eastAsia="en-GB"/>
              </w:rPr>
              <w:t>LBLC</w:t>
            </w:r>
          </w:p>
        </w:tc>
        <w:tc>
          <w:tcPr>
            <w:tcW w:w="0" w:type="auto"/>
            <w:tcBorders>
              <w:top w:val="nil"/>
              <w:left w:val="nil"/>
              <w:bottom w:val="single" w:sz="8" w:space="0" w:color="auto"/>
              <w:right w:val="single" w:sz="8" w:space="0" w:color="auto"/>
            </w:tcBorders>
            <w:shd w:val="clear" w:color="auto" w:fill="auto"/>
            <w:vAlign w:val="center"/>
            <w:hideMark/>
          </w:tcPr>
          <w:p w14:paraId="35824C79" w14:textId="77777777" w:rsidR="00375BD2" w:rsidRPr="00C05886" w:rsidRDefault="00375BD2" w:rsidP="00375BD2">
            <w:pPr>
              <w:spacing w:after="0" w:line="240" w:lineRule="auto"/>
              <w:rPr>
                <w:rFonts w:ascii="Calibri" w:eastAsia="Times New Roman" w:hAnsi="Calibri" w:cs="Calibri"/>
                <w:color w:val="000000"/>
                <w:sz w:val="20"/>
                <w:szCs w:val="20"/>
                <w:lang w:eastAsia="en-GB"/>
              </w:rPr>
            </w:pPr>
            <w:r w:rsidRPr="00C05886">
              <w:rPr>
                <w:rFonts w:ascii="Calibri" w:eastAsia="Times New Roman" w:hAnsi="Calibri" w:cs="Calibri"/>
                <w:color w:val="000000"/>
                <w:sz w:val="20"/>
                <w:szCs w:val="20"/>
                <w:lang w:eastAsia="en-GB"/>
              </w:rPr>
              <w:t>Mean</w:t>
            </w:r>
          </w:p>
        </w:tc>
        <w:tc>
          <w:tcPr>
            <w:tcW w:w="0" w:type="auto"/>
            <w:tcBorders>
              <w:top w:val="nil"/>
              <w:left w:val="nil"/>
              <w:bottom w:val="single" w:sz="8" w:space="0" w:color="auto"/>
              <w:right w:val="single" w:sz="8" w:space="0" w:color="auto"/>
            </w:tcBorders>
            <w:shd w:val="clear" w:color="auto" w:fill="auto"/>
            <w:vAlign w:val="center"/>
            <w:hideMark/>
          </w:tcPr>
          <w:p w14:paraId="62BC8C1B" w14:textId="77777777" w:rsidR="00375BD2" w:rsidRPr="00C05886" w:rsidRDefault="00375BD2" w:rsidP="00375BD2">
            <w:pPr>
              <w:spacing w:after="0" w:line="240" w:lineRule="auto"/>
              <w:jc w:val="right"/>
              <w:rPr>
                <w:rFonts w:ascii="Calibri" w:eastAsia="Times New Roman" w:hAnsi="Calibri" w:cs="Calibri"/>
                <w:color w:val="000000"/>
                <w:sz w:val="20"/>
                <w:szCs w:val="20"/>
                <w:lang w:eastAsia="en-GB"/>
              </w:rPr>
            </w:pPr>
            <w:r w:rsidRPr="00C05886">
              <w:rPr>
                <w:rFonts w:ascii="Calibri" w:eastAsia="Times New Roman" w:hAnsi="Calibri" w:cs="Calibri"/>
                <w:color w:val="000000"/>
                <w:sz w:val="20"/>
                <w:szCs w:val="20"/>
                <w:lang w:eastAsia="en-GB"/>
              </w:rPr>
              <w:t>2.64</w:t>
            </w:r>
          </w:p>
        </w:tc>
        <w:tc>
          <w:tcPr>
            <w:tcW w:w="0" w:type="auto"/>
            <w:tcBorders>
              <w:top w:val="nil"/>
              <w:left w:val="nil"/>
              <w:bottom w:val="single" w:sz="8" w:space="0" w:color="auto"/>
              <w:right w:val="single" w:sz="8" w:space="0" w:color="auto"/>
            </w:tcBorders>
            <w:shd w:val="clear" w:color="auto" w:fill="auto"/>
            <w:vAlign w:val="center"/>
            <w:hideMark/>
          </w:tcPr>
          <w:p w14:paraId="7657D2F4" w14:textId="77777777" w:rsidR="00375BD2" w:rsidRPr="00C05886" w:rsidRDefault="00375BD2" w:rsidP="00375BD2">
            <w:pPr>
              <w:spacing w:after="0" w:line="240" w:lineRule="auto"/>
              <w:jc w:val="right"/>
              <w:rPr>
                <w:rFonts w:ascii="Calibri" w:eastAsia="Times New Roman" w:hAnsi="Calibri" w:cs="Calibri"/>
                <w:color w:val="000000"/>
                <w:sz w:val="20"/>
                <w:szCs w:val="20"/>
                <w:lang w:eastAsia="en-GB"/>
              </w:rPr>
            </w:pPr>
            <w:r w:rsidRPr="00C05886">
              <w:rPr>
                <w:rFonts w:ascii="Calibri" w:eastAsia="Times New Roman" w:hAnsi="Calibri" w:cs="Calibri"/>
                <w:color w:val="000000"/>
                <w:sz w:val="20"/>
                <w:szCs w:val="20"/>
                <w:lang w:eastAsia="en-GB"/>
              </w:rPr>
              <w:t>2.73</w:t>
            </w:r>
          </w:p>
        </w:tc>
        <w:tc>
          <w:tcPr>
            <w:tcW w:w="0" w:type="auto"/>
            <w:tcBorders>
              <w:top w:val="nil"/>
              <w:left w:val="nil"/>
              <w:bottom w:val="single" w:sz="8" w:space="0" w:color="auto"/>
              <w:right w:val="single" w:sz="8" w:space="0" w:color="auto"/>
            </w:tcBorders>
            <w:shd w:val="clear" w:color="auto" w:fill="auto"/>
            <w:vAlign w:val="center"/>
            <w:hideMark/>
          </w:tcPr>
          <w:p w14:paraId="2244D11B" w14:textId="77777777" w:rsidR="00375BD2" w:rsidRPr="00C05886" w:rsidRDefault="00375BD2" w:rsidP="00375BD2">
            <w:pPr>
              <w:spacing w:after="0" w:line="240" w:lineRule="auto"/>
              <w:jc w:val="right"/>
              <w:rPr>
                <w:rFonts w:ascii="Calibri" w:eastAsia="Times New Roman" w:hAnsi="Calibri" w:cs="Calibri"/>
                <w:color w:val="000000"/>
                <w:sz w:val="20"/>
                <w:szCs w:val="20"/>
                <w:lang w:eastAsia="en-GB"/>
              </w:rPr>
            </w:pPr>
            <w:r w:rsidRPr="00C05886">
              <w:rPr>
                <w:rFonts w:ascii="Calibri" w:eastAsia="Times New Roman" w:hAnsi="Calibri" w:cs="Calibri"/>
                <w:color w:val="000000"/>
                <w:sz w:val="20"/>
                <w:szCs w:val="20"/>
                <w:lang w:eastAsia="en-GB"/>
              </w:rPr>
              <w:t>3.40</w:t>
            </w:r>
          </w:p>
        </w:tc>
        <w:tc>
          <w:tcPr>
            <w:tcW w:w="0" w:type="auto"/>
            <w:tcBorders>
              <w:top w:val="nil"/>
              <w:left w:val="nil"/>
              <w:bottom w:val="single" w:sz="8" w:space="0" w:color="auto"/>
              <w:right w:val="single" w:sz="8" w:space="0" w:color="auto"/>
            </w:tcBorders>
            <w:shd w:val="clear" w:color="auto" w:fill="auto"/>
            <w:vAlign w:val="center"/>
            <w:hideMark/>
          </w:tcPr>
          <w:p w14:paraId="4516B307" w14:textId="77777777" w:rsidR="00375BD2" w:rsidRPr="00C05886" w:rsidRDefault="00375BD2" w:rsidP="00375BD2">
            <w:pPr>
              <w:spacing w:after="0" w:line="240" w:lineRule="auto"/>
              <w:jc w:val="right"/>
              <w:rPr>
                <w:rFonts w:ascii="Calibri" w:eastAsia="Times New Roman" w:hAnsi="Calibri" w:cs="Calibri"/>
                <w:color w:val="000000"/>
                <w:sz w:val="20"/>
                <w:szCs w:val="20"/>
                <w:lang w:eastAsia="en-GB"/>
              </w:rPr>
            </w:pPr>
            <w:r w:rsidRPr="00C05886">
              <w:rPr>
                <w:rFonts w:ascii="Calibri" w:eastAsia="Times New Roman" w:hAnsi="Calibri" w:cs="Calibri"/>
                <w:color w:val="000000"/>
                <w:sz w:val="20"/>
                <w:szCs w:val="20"/>
                <w:lang w:eastAsia="en-GB"/>
              </w:rPr>
              <w:t>3.38</w:t>
            </w:r>
          </w:p>
        </w:tc>
        <w:tc>
          <w:tcPr>
            <w:tcW w:w="0" w:type="auto"/>
            <w:tcBorders>
              <w:top w:val="nil"/>
              <w:left w:val="nil"/>
              <w:bottom w:val="single" w:sz="8" w:space="0" w:color="auto"/>
              <w:right w:val="single" w:sz="8" w:space="0" w:color="auto"/>
            </w:tcBorders>
            <w:shd w:val="clear" w:color="auto" w:fill="auto"/>
            <w:vAlign w:val="center"/>
            <w:hideMark/>
          </w:tcPr>
          <w:p w14:paraId="12DEF28E" w14:textId="77777777" w:rsidR="00375BD2" w:rsidRPr="00C05886" w:rsidRDefault="00375BD2" w:rsidP="00375BD2">
            <w:pPr>
              <w:spacing w:after="0" w:line="240" w:lineRule="auto"/>
              <w:jc w:val="right"/>
              <w:rPr>
                <w:rFonts w:ascii="Calibri" w:eastAsia="Times New Roman" w:hAnsi="Calibri" w:cs="Calibri"/>
                <w:color w:val="000000"/>
                <w:sz w:val="20"/>
                <w:szCs w:val="20"/>
                <w:lang w:eastAsia="en-GB"/>
              </w:rPr>
            </w:pPr>
            <w:r w:rsidRPr="00C05886">
              <w:rPr>
                <w:rFonts w:ascii="Calibri" w:eastAsia="Times New Roman" w:hAnsi="Calibri" w:cs="Calibri"/>
                <w:color w:val="000000"/>
                <w:sz w:val="20"/>
                <w:szCs w:val="20"/>
                <w:lang w:eastAsia="en-GB"/>
              </w:rPr>
              <w:t>1.49</w:t>
            </w:r>
          </w:p>
        </w:tc>
        <w:tc>
          <w:tcPr>
            <w:tcW w:w="0" w:type="auto"/>
            <w:tcBorders>
              <w:top w:val="nil"/>
              <w:left w:val="nil"/>
              <w:bottom w:val="single" w:sz="8" w:space="0" w:color="auto"/>
              <w:right w:val="single" w:sz="8" w:space="0" w:color="auto"/>
            </w:tcBorders>
            <w:shd w:val="clear" w:color="auto" w:fill="auto"/>
            <w:vAlign w:val="center"/>
            <w:hideMark/>
          </w:tcPr>
          <w:p w14:paraId="0E0BF15A" w14:textId="77777777" w:rsidR="00375BD2" w:rsidRPr="00C05886" w:rsidRDefault="00375BD2" w:rsidP="00375BD2">
            <w:pPr>
              <w:spacing w:after="0" w:line="240" w:lineRule="auto"/>
              <w:jc w:val="right"/>
              <w:rPr>
                <w:rFonts w:ascii="Calibri" w:eastAsia="Times New Roman" w:hAnsi="Calibri" w:cs="Calibri"/>
                <w:color w:val="000000"/>
                <w:sz w:val="20"/>
                <w:szCs w:val="20"/>
                <w:lang w:eastAsia="en-GB"/>
              </w:rPr>
            </w:pPr>
            <w:r w:rsidRPr="00C05886">
              <w:rPr>
                <w:rFonts w:ascii="Calibri" w:eastAsia="Times New Roman" w:hAnsi="Calibri" w:cs="Calibri"/>
                <w:color w:val="000000"/>
                <w:sz w:val="20"/>
                <w:szCs w:val="20"/>
                <w:lang w:eastAsia="en-GB"/>
              </w:rPr>
              <w:t>1.36</w:t>
            </w:r>
          </w:p>
        </w:tc>
      </w:tr>
      <w:tr w:rsidR="00375BD2" w:rsidRPr="00C05886" w14:paraId="3008B5A8" w14:textId="77777777" w:rsidTr="00B637FE">
        <w:trPr>
          <w:trHeight w:val="315"/>
        </w:trPr>
        <w:tc>
          <w:tcPr>
            <w:tcW w:w="0" w:type="auto"/>
            <w:vMerge/>
            <w:tcBorders>
              <w:top w:val="nil"/>
              <w:left w:val="single" w:sz="8" w:space="0" w:color="auto"/>
              <w:bottom w:val="single" w:sz="8" w:space="0" w:color="000000"/>
              <w:right w:val="single" w:sz="8" w:space="0" w:color="auto"/>
            </w:tcBorders>
            <w:vAlign w:val="center"/>
            <w:hideMark/>
          </w:tcPr>
          <w:p w14:paraId="01540C82" w14:textId="77777777" w:rsidR="00375BD2" w:rsidRPr="00C05886" w:rsidRDefault="00375BD2" w:rsidP="00375BD2">
            <w:pPr>
              <w:spacing w:after="0" w:line="240" w:lineRule="auto"/>
              <w:rPr>
                <w:rFonts w:ascii="Calibri" w:eastAsia="Times New Roman" w:hAnsi="Calibri" w:cs="Calibri"/>
                <w:color w:val="000000"/>
                <w:sz w:val="20"/>
                <w:szCs w:val="20"/>
                <w:lang w:eastAsia="en-GB"/>
              </w:rPr>
            </w:pPr>
          </w:p>
        </w:tc>
        <w:tc>
          <w:tcPr>
            <w:tcW w:w="0" w:type="auto"/>
            <w:tcBorders>
              <w:top w:val="nil"/>
              <w:left w:val="nil"/>
              <w:bottom w:val="single" w:sz="8" w:space="0" w:color="auto"/>
              <w:right w:val="single" w:sz="8" w:space="0" w:color="auto"/>
            </w:tcBorders>
            <w:shd w:val="clear" w:color="auto" w:fill="auto"/>
            <w:vAlign w:val="center"/>
            <w:hideMark/>
          </w:tcPr>
          <w:p w14:paraId="1070963F" w14:textId="77777777" w:rsidR="00375BD2" w:rsidRPr="00C05886" w:rsidRDefault="00375BD2" w:rsidP="00375BD2">
            <w:pPr>
              <w:spacing w:after="0" w:line="240" w:lineRule="auto"/>
              <w:rPr>
                <w:rFonts w:ascii="Calibri" w:eastAsia="Times New Roman" w:hAnsi="Calibri" w:cs="Calibri"/>
                <w:color w:val="000000"/>
                <w:sz w:val="20"/>
                <w:szCs w:val="20"/>
                <w:lang w:eastAsia="en-GB"/>
              </w:rPr>
            </w:pPr>
            <w:r w:rsidRPr="00C05886">
              <w:rPr>
                <w:rFonts w:ascii="Calibri" w:eastAsia="Times New Roman" w:hAnsi="Calibri" w:cs="Calibri"/>
                <w:color w:val="000000"/>
                <w:sz w:val="20"/>
                <w:szCs w:val="20"/>
                <w:lang w:eastAsia="en-GB"/>
              </w:rPr>
              <w:t>SD</w:t>
            </w:r>
          </w:p>
        </w:tc>
        <w:tc>
          <w:tcPr>
            <w:tcW w:w="0" w:type="auto"/>
            <w:tcBorders>
              <w:top w:val="nil"/>
              <w:left w:val="nil"/>
              <w:bottom w:val="single" w:sz="8" w:space="0" w:color="auto"/>
              <w:right w:val="single" w:sz="8" w:space="0" w:color="auto"/>
            </w:tcBorders>
            <w:shd w:val="clear" w:color="auto" w:fill="auto"/>
            <w:vAlign w:val="center"/>
            <w:hideMark/>
          </w:tcPr>
          <w:p w14:paraId="4A409926" w14:textId="77777777" w:rsidR="00375BD2" w:rsidRPr="00C05886" w:rsidRDefault="00375BD2" w:rsidP="00375BD2">
            <w:pPr>
              <w:spacing w:after="0" w:line="240" w:lineRule="auto"/>
              <w:jc w:val="right"/>
              <w:rPr>
                <w:rFonts w:ascii="Calibri" w:eastAsia="Times New Roman" w:hAnsi="Calibri" w:cs="Calibri"/>
                <w:color w:val="000000"/>
                <w:sz w:val="20"/>
                <w:szCs w:val="20"/>
                <w:lang w:eastAsia="en-GB"/>
              </w:rPr>
            </w:pPr>
            <w:r w:rsidRPr="00C05886">
              <w:rPr>
                <w:rFonts w:ascii="Calibri" w:eastAsia="Times New Roman" w:hAnsi="Calibri" w:cs="Calibri"/>
                <w:color w:val="000000"/>
                <w:sz w:val="20"/>
                <w:szCs w:val="20"/>
                <w:lang w:eastAsia="en-GB"/>
              </w:rPr>
              <w:t>0.91</w:t>
            </w:r>
          </w:p>
        </w:tc>
        <w:tc>
          <w:tcPr>
            <w:tcW w:w="0" w:type="auto"/>
            <w:tcBorders>
              <w:top w:val="nil"/>
              <w:left w:val="nil"/>
              <w:bottom w:val="single" w:sz="8" w:space="0" w:color="auto"/>
              <w:right w:val="single" w:sz="8" w:space="0" w:color="auto"/>
            </w:tcBorders>
            <w:shd w:val="clear" w:color="auto" w:fill="auto"/>
            <w:vAlign w:val="center"/>
            <w:hideMark/>
          </w:tcPr>
          <w:p w14:paraId="2B4016DE" w14:textId="77777777" w:rsidR="00375BD2" w:rsidRPr="00C05886" w:rsidRDefault="00375BD2" w:rsidP="00375BD2">
            <w:pPr>
              <w:spacing w:after="0" w:line="240" w:lineRule="auto"/>
              <w:jc w:val="right"/>
              <w:rPr>
                <w:rFonts w:ascii="Calibri" w:eastAsia="Times New Roman" w:hAnsi="Calibri" w:cs="Calibri"/>
                <w:color w:val="000000"/>
                <w:sz w:val="20"/>
                <w:szCs w:val="20"/>
                <w:lang w:eastAsia="en-GB"/>
              </w:rPr>
            </w:pPr>
            <w:r w:rsidRPr="00C05886">
              <w:rPr>
                <w:rFonts w:ascii="Calibri" w:eastAsia="Times New Roman" w:hAnsi="Calibri" w:cs="Calibri"/>
                <w:color w:val="000000"/>
                <w:sz w:val="20"/>
                <w:szCs w:val="20"/>
                <w:lang w:eastAsia="en-GB"/>
              </w:rPr>
              <w:t>1.04</w:t>
            </w:r>
          </w:p>
        </w:tc>
        <w:tc>
          <w:tcPr>
            <w:tcW w:w="0" w:type="auto"/>
            <w:tcBorders>
              <w:top w:val="nil"/>
              <w:left w:val="nil"/>
              <w:bottom w:val="single" w:sz="8" w:space="0" w:color="auto"/>
              <w:right w:val="single" w:sz="8" w:space="0" w:color="auto"/>
            </w:tcBorders>
            <w:shd w:val="clear" w:color="auto" w:fill="auto"/>
            <w:vAlign w:val="center"/>
            <w:hideMark/>
          </w:tcPr>
          <w:p w14:paraId="54BA0C87" w14:textId="77777777" w:rsidR="00375BD2" w:rsidRPr="00C05886" w:rsidRDefault="00375BD2" w:rsidP="00375BD2">
            <w:pPr>
              <w:spacing w:after="0" w:line="240" w:lineRule="auto"/>
              <w:jc w:val="right"/>
              <w:rPr>
                <w:rFonts w:ascii="Calibri" w:eastAsia="Times New Roman" w:hAnsi="Calibri" w:cs="Calibri"/>
                <w:color w:val="000000"/>
                <w:sz w:val="20"/>
                <w:szCs w:val="20"/>
                <w:lang w:eastAsia="en-GB"/>
              </w:rPr>
            </w:pPr>
            <w:r w:rsidRPr="00C05886">
              <w:rPr>
                <w:rFonts w:ascii="Calibri" w:eastAsia="Times New Roman" w:hAnsi="Calibri" w:cs="Calibri"/>
                <w:color w:val="000000"/>
                <w:sz w:val="20"/>
                <w:szCs w:val="20"/>
                <w:lang w:eastAsia="en-GB"/>
              </w:rPr>
              <w:t>0.92</w:t>
            </w:r>
          </w:p>
        </w:tc>
        <w:tc>
          <w:tcPr>
            <w:tcW w:w="0" w:type="auto"/>
            <w:tcBorders>
              <w:top w:val="nil"/>
              <w:left w:val="nil"/>
              <w:bottom w:val="single" w:sz="8" w:space="0" w:color="auto"/>
              <w:right w:val="single" w:sz="8" w:space="0" w:color="auto"/>
            </w:tcBorders>
            <w:shd w:val="clear" w:color="auto" w:fill="auto"/>
            <w:vAlign w:val="center"/>
            <w:hideMark/>
          </w:tcPr>
          <w:p w14:paraId="007F74A2" w14:textId="77777777" w:rsidR="00375BD2" w:rsidRPr="00C05886" w:rsidRDefault="00375BD2" w:rsidP="00375BD2">
            <w:pPr>
              <w:spacing w:after="0" w:line="240" w:lineRule="auto"/>
              <w:jc w:val="right"/>
              <w:rPr>
                <w:rFonts w:ascii="Calibri" w:eastAsia="Times New Roman" w:hAnsi="Calibri" w:cs="Calibri"/>
                <w:color w:val="000000"/>
                <w:sz w:val="20"/>
                <w:szCs w:val="20"/>
                <w:lang w:eastAsia="en-GB"/>
              </w:rPr>
            </w:pPr>
            <w:r w:rsidRPr="00C05886">
              <w:rPr>
                <w:rFonts w:ascii="Calibri" w:eastAsia="Times New Roman" w:hAnsi="Calibri" w:cs="Calibri"/>
                <w:color w:val="000000"/>
                <w:sz w:val="20"/>
                <w:szCs w:val="20"/>
                <w:lang w:eastAsia="en-GB"/>
              </w:rPr>
              <w:t>1.05</w:t>
            </w:r>
          </w:p>
        </w:tc>
        <w:tc>
          <w:tcPr>
            <w:tcW w:w="0" w:type="auto"/>
            <w:tcBorders>
              <w:top w:val="nil"/>
              <w:left w:val="nil"/>
              <w:bottom w:val="single" w:sz="8" w:space="0" w:color="auto"/>
              <w:right w:val="single" w:sz="8" w:space="0" w:color="auto"/>
            </w:tcBorders>
            <w:shd w:val="clear" w:color="auto" w:fill="auto"/>
            <w:vAlign w:val="center"/>
            <w:hideMark/>
          </w:tcPr>
          <w:p w14:paraId="34AA194F" w14:textId="77777777" w:rsidR="00375BD2" w:rsidRPr="00C05886" w:rsidRDefault="00375BD2" w:rsidP="00375BD2">
            <w:pPr>
              <w:spacing w:after="0" w:line="240" w:lineRule="auto"/>
              <w:jc w:val="right"/>
              <w:rPr>
                <w:rFonts w:ascii="Calibri" w:eastAsia="Times New Roman" w:hAnsi="Calibri" w:cs="Calibri"/>
                <w:color w:val="000000"/>
                <w:sz w:val="20"/>
                <w:szCs w:val="20"/>
                <w:lang w:eastAsia="en-GB"/>
              </w:rPr>
            </w:pPr>
            <w:r w:rsidRPr="00C05886">
              <w:rPr>
                <w:rFonts w:ascii="Calibri" w:eastAsia="Times New Roman" w:hAnsi="Calibri" w:cs="Calibri"/>
                <w:color w:val="000000"/>
                <w:sz w:val="20"/>
                <w:szCs w:val="20"/>
                <w:lang w:eastAsia="en-GB"/>
              </w:rPr>
              <w:t>0.65</w:t>
            </w:r>
          </w:p>
        </w:tc>
        <w:tc>
          <w:tcPr>
            <w:tcW w:w="0" w:type="auto"/>
            <w:tcBorders>
              <w:top w:val="nil"/>
              <w:left w:val="nil"/>
              <w:bottom w:val="single" w:sz="8" w:space="0" w:color="auto"/>
              <w:right w:val="single" w:sz="8" w:space="0" w:color="auto"/>
            </w:tcBorders>
            <w:shd w:val="clear" w:color="auto" w:fill="auto"/>
            <w:vAlign w:val="center"/>
            <w:hideMark/>
          </w:tcPr>
          <w:p w14:paraId="7C99B6DA" w14:textId="77777777" w:rsidR="00375BD2" w:rsidRPr="00C05886" w:rsidRDefault="00375BD2" w:rsidP="00375BD2">
            <w:pPr>
              <w:spacing w:after="0" w:line="240" w:lineRule="auto"/>
              <w:jc w:val="right"/>
              <w:rPr>
                <w:rFonts w:ascii="Calibri" w:eastAsia="Times New Roman" w:hAnsi="Calibri" w:cs="Calibri"/>
                <w:color w:val="000000"/>
                <w:sz w:val="20"/>
                <w:szCs w:val="20"/>
                <w:lang w:eastAsia="en-GB"/>
              </w:rPr>
            </w:pPr>
            <w:r w:rsidRPr="00C05886">
              <w:rPr>
                <w:rFonts w:ascii="Calibri" w:eastAsia="Times New Roman" w:hAnsi="Calibri" w:cs="Calibri"/>
                <w:color w:val="000000"/>
                <w:sz w:val="20"/>
                <w:szCs w:val="20"/>
                <w:lang w:eastAsia="en-GB"/>
              </w:rPr>
              <w:t>0.59</w:t>
            </w:r>
          </w:p>
        </w:tc>
      </w:tr>
      <w:tr w:rsidR="00375BD2" w:rsidRPr="00C05886" w14:paraId="349265D9" w14:textId="77777777" w:rsidTr="00B637FE">
        <w:trPr>
          <w:trHeight w:val="315"/>
        </w:trPr>
        <w:tc>
          <w:tcPr>
            <w:tcW w:w="0" w:type="auto"/>
            <w:vMerge/>
            <w:tcBorders>
              <w:top w:val="nil"/>
              <w:left w:val="single" w:sz="8" w:space="0" w:color="auto"/>
              <w:bottom w:val="single" w:sz="8" w:space="0" w:color="000000"/>
              <w:right w:val="single" w:sz="8" w:space="0" w:color="auto"/>
            </w:tcBorders>
            <w:vAlign w:val="center"/>
            <w:hideMark/>
          </w:tcPr>
          <w:p w14:paraId="592DB1D7" w14:textId="77777777" w:rsidR="00375BD2" w:rsidRPr="00C05886" w:rsidRDefault="00375BD2" w:rsidP="00375BD2">
            <w:pPr>
              <w:spacing w:after="0" w:line="240" w:lineRule="auto"/>
              <w:rPr>
                <w:rFonts w:ascii="Calibri" w:eastAsia="Times New Roman" w:hAnsi="Calibri" w:cs="Calibri"/>
                <w:color w:val="000000"/>
                <w:sz w:val="20"/>
                <w:szCs w:val="20"/>
                <w:lang w:eastAsia="en-GB"/>
              </w:rPr>
            </w:pPr>
          </w:p>
        </w:tc>
        <w:tc>
          <w:tcPr>
            <w:tcW w:w="0" w:type="auto"/>
            <w:tcBorders>
              <w:top w:val="nil"/>
              <w:left w:val="nil"/>
              <w:bottom w:val="single" w:sz="8" w:space="0" w:color="auto"/>
              <w:right w:val="single" w:sz="8" w:space="0" w:color="auto"/>
            </w:tcBorders>
            <w:shd w:val="clear" w:color="auto" w:fill="auto"/>
            <w:vAlign w:val="center"/>
            <w:hideMark/>
          </w:tcPr>
          <w:p w14:paraId="490C6DB5" w14:textId="77777777" w:rsidR="00375BD2" w:rsidRPr="00C05886" w:rsidRDefault="00375BD2" w:rsidP="00375BD2">
            <w:pPr>
              <w:spacing w:after="0" w:line="240" w:lineRule="auto"/>
              <w:rPr>
                <w:rFonts w:ascii="Calibri" w:eastAsia="Times New Roman" w:hAnsi="Calibri" w:cs="Calibri"/>
                <w:color w:val="000000"/>
                <w:sz w:val="20"/>
                <w:szCs w:val="20"/>
                <w:lang w:eastAsia="en-GB"/>
              </w:rPr>
            </w:pPr>
            <w:r w:rsidRPr="00C05886">
              <w:rPr>
                <w:rFonts w:ascii="Calibri" w:eastAsia="Times New Roman" w:hAnsi="Calibri" w:cs="Calibri"/>
                <w:color w:val="000000"/>
                <w:sz w:val="20"/>
                <w:szCs w:val="20"/>
                <w:lang w:eastAsia="en-GB"/>
              </w:rPr>
              <w:t>N</w:t>
            </w:r>
          </w:p>
        </w:tc>
        <w:tc>
          <w:tcPr>
            <w:tcW w:w="0" w:type="auto"/>
            <w:tcBorders>
              <w:top w:val="nil"/>
              <w:left w:val="nil"/>
              <w:bottom w:val="single" w:sz="8" w:space="0" w:color="auto"/>
              <w:right w:val="single" w:sz="8" w:space="0" w:color="auto"/>
            </w:tcBorders>
            <w:shd w:val="clear" w:color="auto" w:fill="auto"/>
            <w:vAlign w:val="center"/>
            <w:hideMark/>
          </w:tcPr>
          <w:p w14:paraId="7CD9821B" w14:textId="77777777" w:rsidR="00375BD2" w:rsidRPr="00C05886" w:rsidRDefault="00375BD2" w:rsidP="00375BD2">
            <w:pPr>
              <w:spacing w:after="0" w:line="240" w:lineRule="auto"/>
              <w:jc w:val="right"/>
              <w:rPr>
                <w:rFonts w:ascii="Calibri" w:eastAsia="Times New Roman" w:hAnsi="Calibri" w:cs="Calibri"/>
                <w:color w:val="000000"/>
                <w:sz w:val="20"/>
                <w:szCs w:val="20"/>
                <w:lang w:eastAsia="en-GB"/>
              </w:rPr>
            </w:pPr>
            <w:r w:rsidRPr="00C05886">
              <w:rPr>
                <w:rFonts w:ascii="Calibri" w:eastAsia="Times New Roman" w:hAnsi="Calibri" w:cs="Calibri"/>
                <w:color w:val="000000"/>
                <w:sz w:val="20"/>
                <w:szCs w:val="20"/>
                <w:lang w:eastAsia="en-GB"/>
              </w:rPr>
              <w:t>117</w:t>
            </w:r>
          </w:p>
        </w:tc>
        <w:tc>
          <w:tcPr>
            <w:tcW w:w="0" w:type="auto"/>
            <w:tcBorders>
              <w:top w:val="nil"/>
              <w:left w:val="nil"/>
              <w:bottom w:val="single" w:sz="8" w:space="0" w:color="auto"/>
              <w:right w:val="single" w:sz="8" w:space="0" w:color="auto"/>
            </w:tcBorders>
            <w:shd w:val="clear" w:color="auto" w:fill="auto"/>
            <w:vAlign w:val="center"/>
            <w:hideMark/>
          </w:tcPr>
          <w:p w14:paraId="3F613F58" w14:textId="77777777" w:rsidR="00375BD2" w:rsidRPr="00C05886" w:rsidRDefault="00375BD2" w:rsidP="00375BD2">
            <w:pPr>
              <w:spacing w:after="0" w:line="240" w:lineRule="auto"/>
              <w:jc w:val="right"/>
              <w:rPr>
                <w:rFonts w:ascii="Calibri" w:eastAsia="Times New Roman" w:hAnsi="Calibri" w:cs="Calibri"/>
                <w:color w:val="000000"/>
                <w:sz w:val="20"/>
                <w:szCs w:val="20"/>
                <w:lang w:eastAsia="en-GB"/>
              </w:rPr>
            </w:pPr>
            <w:r w:rsidRPr="00C05886">
              <w:rPr>
                <w:rFonts w:ascii="Calibri" w:eastAsia="Times New Roman" w:hAnsi="Calibri" w:cs="Calibri"/>
                <w:color w:val="000000"/>
                <w:sz w:val="20"/>
                <w:szCs w:val="20"/>
                <w:lang w:eastAsia="en-GB"/>
              </w:rPr>
              <w:t>117</w:t>
            </w:r>
          </w:p>
        </w:tc>
        <w:tc>
          <w:tcPr>
            <w:tcW w:w="0" w:type="auto"/>
            <w:tcBorders>
              <w:top w:val="nil"/>
              <w:left w:val="nil"/>
              <w:bottom w:val="single" w:sz="8" w:space="0" w:color="auto"/>
              <w:right w:val="single" w:sz="8" w:space="0" w:color="auto"/>
            </w:tcBorders>
            <w:shd w:val="clear" w:color="auto" w:fill="auto"/>
            <w:vAlign w:val="center"/>
            <w:hideMark/>
          </w:tcPr>
          <w:p w14:paraId="10C7DE6D" w14:textId="77777777" w:rsidR="00375BD2" w:rsidRPr="00C05886" w:rsidRDefault="00375BD2" w:rsidP="00375BD2">
            <w:pPr>
              <w:spacing w:after="0" w:line="240" w:lineRule="auto"/>
              <w:jc w:val="right"/>
              <w:rPr>
                <w:rFonts w:ascii="Calibri" w:eastAsia="Times New Roman" w:hAnsi="Calibri" w:cs="Calibri"/>
                <w:color w:val="000000"/>
                <w:sz w:val="20"/>
                <w:szCs w:val="20"/>
                <w:lang w:eastAsia="en-GB"/>
              </w:rPr>
            </w:pPr>
            <w:r w:rsidRPr="00C05886">
              <w:rPr>
                <w:rFonts w:ascii="Calibri" w:eastAsia="Times New Roman" w:hAnsi="Calibri" w:cs="Calibri"/>
                <w:color w:val="000000"/>
                <w:sz w:val="20"/>
                <w:szCs w:val="20"/>
                <w:lang w:eastAsia="en-GB"/>
              </w:rPr>
              <w:t>117</w:t>
            </w:r>
          </w:p>
        </w:tc>
        <w:tc>
          <w:tcPr>
            <w:tcW w:w="0" w:type="auto"/>
            <w:tcBorders>
              <w:top w:val="nil"/>
              <w:left w:val="nil"/>
              <w:bottom w:val="single" w:sz="8" w:space="0" w:color="auto"/>
              <w:right w:val="single" w:sz="8" w:space="0" w:color="auto"/>
            </w:tcBorders>
            <w:shd w:val="clear" w:color="auto" w:fill="auto"/>
            <w:vAlign w:val="center"/>
            <w:hideMark/>
          </w:tcPr>
          <w:p w14:paraId="5EACABB3" w14:textId="77777777" w:rsidR="00375BD2" w:rsidRPr="00C05886" w:rsidRDefault="00375BD2" w:rsidP="00375BD2">
            <w:pPr>
              <w:spacing w:after="0" w:line="240" w:lineRule="auto"/>
              <w:jc w:val="right"/>
              <w:rPr>
                <w:rFonts w:ascii="Calibri" w:eastAsia="Times New Roman" w:hAnsi="Calibri" w:cs="Calibri"/>
                <w:color w:val="000000"/>
                <w:sz w:val="20"/>
                <w:szCs w:val="20"/>
                <w:lang w:eastAsia="en-GB"/>
              </w:rPr>
            </w:pPr>
            <w:r w:rsidRPr="00C05886">
              <w:rPr>
                <w:rFonts w:ascii="Calibri" w:eastAsia="Times New Roman" w:hAnsi="Calibri" w:cs="Calibri"/>
                <w:color w:val="000000"/>
                <w:sz w:val="20"/>
                <w:szCs w:val="20"/>
                <w:lang w:eastAsia="en-GB"/>
              </w:rPr>
              <w:t>117</w:t>
            </w:r>
          </w:p>
        </w:tc>
        <w:tc>
          <w:tcPr>
            <w:tcW w:w="0" w:type="auto"/>
            <w:tcBorders>
              <w:top w:val="nil"/>
              <w:left w:val="nil"/>
              <w:bottom w:val="single" w:sz="8" w:space="0" w:color="auto"/>
              <w:right w:val="single" w:sz="8" w:space="0" w:color="auto"/>
            </w:tcBorders>
            <w:shd w:val="clear" w:color="auto" w:fill="auto"/>
            <w:vAlign w:val="center"/>
            <w:hideMark/>
          </w:tcPr>
          <w:p w14:paraId="2143E365" w14:textId="77777777" w:rsidR="00375BD2" w:rsidRPr="00C05886" w:rsidRDefault="00375BD2" w:rsidP="00375BD2">
            <w:pPr>
              <w:spacing w:after="0" w:line="240" w:lineRule="auto"/>
              <w:jc w:val="right"/>
              <w:rPr>
                <w:rFonts w:ascii="Calibri" w:eastAsia="Times New Roman" w:hAnsi="Calibri" w:cs="Calibri"/>
                <w:color w:val="000000"/>
                <w:sz w:val="20"/>
                <w:szCs w:val="20"/>
                <w:lang w:eastAsia="en-GB"/>
              </w:rPr>
            </w:pPr>
            <w:r w:rsidRPr="00C05886">
              <w:rPr>
                <w:rFonts w:ascii="Calibri" w:eastAsia="Times New Roman" w:hAnsi="Calibri" w:cs="Calibri"/>
                <w:color w:val="000000"/>
                <w:sz w:val="20"/>
                <w:szCs w:val="20"/>
                <w:lang w:eastAsia="en-GB"/>
              </w:rPr>
              <w:t>117</w:t>
            </w:r>
          </w:p>
        </w:tc>
        <w:tc>
          <w:tcPr>
            <w:tcW w:w="0" w:type="auto"/>
            <w:tcBorders>
              <w:top w:val="nil"/>
              <w:left w:val="nil"/>
              <w:bottom w:val="single" w:sz="8" w:space="0" w:color="auto"/>
              <w:right w:val="single" w:sz="8" w:space="0" w:color="auto"/>
            </w:tcBorders>
            <w:shd w:val="clear" w:color="auto" w:fill="auto"/>
            <w:vAlign w:val="center"/>
            <w:hideMark/>
          </w:tcPr>
          <w:p w14:paraId="44776CB6" w14:textId="77777777" w:rsidR="00375BD2" w:rsidRPr="00C05886" w:rsidRDefault="00375BD2" w:rsidP="00375BD2">
            <w:pPr>
              <w:spacing w:after="0" w:line="240" w:lineRule="auto"/>
              <w:jc w:val="right"/>
              <w:rPr>
                <w:rFonts w:ascii="Calibri" w:eastAsia="Times New Roman" w:hAnsi="Calibri" w:cs="Calibri"/>
                <w:color w:val="000000"/>
                <w:sz w:val="20"/>
                <w:szCs w:val="20"/>
                <w:lang w:eastAsia="en-GB"/>
              </w:rPr>
            </w:pPr>
            <w:r w:rsidRPr="00C05886">
              <w:rPr>
                <w:rFonts w:ascii="Calibri" w:eastAsia="Times New Roman" w:hAnsi="Calibri" w:cs="Calibri"/>
                <w:color w:val="000000"/>
                <w:sz w:val="20"/>
                <w:szCs w:val="20"/>
                <w:lang w:eastAsia="en-GB"/>
              </w:rPr>
              <w:t>117</w:t>
            </w:r>
          </w:p>
        </w:tc>
      </w:tr>
      <w:tr w:rsidR="00375BD2" w:rsidRPr="00C05886" w14:paraId="678C8F02" w14:textId="77777777" w:rsidTr="00B637FE">
        <w:trPr>
          <w:trHeight w:val="315"/>
        </w:trPr>
        <w:tc>
          <w:tcPr>
            <w:tcW w:w="0" w:type="auto"/>
            <w:vMerge w:val="restart"/>
            <w:tcBorders>
              <w:top w:val="nil"/>
              <w:left w:val="single" w:sz="8" w:space="0" w:color="auto"/>
              <w:bottom w:val="single" w:sz="8" w:space="0" w:color="000000"/>
              <w:right w:val="single" w:sz="8" w:space="0" w:color="auto"/>
            </w:tcBorders>
            <w:shd w:val="clear" w:color="auto" w:fill="auto"/>
            <w:vAlign w:val="center"/>
            <w:hideMark/>
          </w:tcPr>
          <w:p w14:paraId="6F5A069A" w14:textId="77777777" w:rsidR="00375BD2" w:rsidRPr="00C05886" w:rsidRDefault="00375BD2" w:rsidP="00375BD2">
            <w:pPr>
              <w:spacing w:after="0" w:line="240" w:lineRule="auto"/>
              <w:rPr>
                <w:rFonts w:ascii="Calibri" w:eastAsia="Times New Roman" w:hAnsi="Calibri" w:cs="Calibri"/>
                <w:color w:val="000000"/>
                <w:sz w:val="20"/>
                <w:szCs w:val="20"/>
                <w:lang w:eastAsia="en-GB"/>
              </w:rPr>
            </w:pPr>
            <w:r w:rsidRPr="00C05886">
              <w:rPr>
                <w:rFonts w:ascii="Calibri" w:eastAsia="Times New Roman" w:hAnsi="Calibri" w:cs="Calibri"/>
                <w:color w:val="000000"/>
                <w:sz w:val="20"/>
                <w:szCs w:val="20"/>
                <w:lang w:eastAsia="en-GB"/>
              </w:rPr>
              <w:t>Total</w:t>
            </w:r>
          </w:p>
        </w:tc>
        <w:tc>
          <w:tcPr>
            <w:tcW w:w="0" w:type="auto"/>
            <w:tcBorders>
              <w:top w:val="nil"/>
              <w:left w:val="nil"/>
              <w:bottom w:val="single" w:sz="8" w:space="0" w:color="auto"/>
              <w:right w:val="single" w:sz="8" w:space="0" w:color="auto"/>
            </w:tcBorders>
            <w:shd w:val="clear" w:color="auto" w:fill="auto"/>
            <w:vAlign w:val="center"/>
            <w:hideMark/>
          </w:tcPr>
          <w:p w14:paraId="6BBC3ACD" w14:textId="77777777" w:rsidR="00375BD2" w:rsidRPr="00C05886" w:rsidRDefault="00375BD2" w:rsidP="00375BD2">
            <w:pPr>
              <w:spacing w:after="0" w:line="240" w:lineRule="auto"/>
              <w:rPr>
                <w:rFonts w:ascii="Calibri" w:eastAsia="Times New Roman" w:hAnsi="Calibri" w:cs="Calibri"/>
                <w:color w:val="000000"/>
                <w:sz w:val="20"/>
                <w:szCs w:val="20"/>
                <w:lang w:eastAsia="en-GB"/>
              </w:rPr>
            </w:pPr>
            <w:r w:rsidRPr="00C05886">
              <w:rPr>
                <w:rFonts w:ascii="Calibri" w:eastAsia="Times New Roman" w:hAnsi="Calibri" w:cs="Calibri"/>
                <w:color w:val="000000"/>
                <w:sz w:val="20"/>
                <w:szCs w:val="20"/>
                <w:lang w:eastAsia="en-GB"/>
              </w:rPr>
              <w:t>Mean</w:t>
            </w:r>
          </w:p>
        </w:tc>
        <w:tc>
          <w:tcPr>
            <w:tcW w:w="0" w:type="auto"/>
            <w:tcBorders>
              <w:top w:val="nil"/>
              <w:left w:val="nil"/>
              <w:bottom w:val="single" w:sz="8" w:space="0" w:color="auto"/>
              <w:right w:val="single" w:sz="8" w:space="0" w:color="auto"/>
            </w:tcBorders>
            <w:shd w:val="clear" w:color="auto" w:fill="auto"/>
            <w:vAlign w:val="center"/>
            <w:hideMark/>
          </w:tcPr>
          <w:p w14:paraId="2F28CA3A" w14:textId="77777777" w:rsidR="00375BD2" w:rsidRPr="00C05886" w:rsidRDefault="00375BD2" w:rsidP="00375BD2">
            <w:pPr>
              <w:spacing w:after="0" w:line="240" w:lineRule="auto"/>
              <w:jc w:val="right"/>
              <w:rPr>
                <w:rFonts w:ascii="Calibri" w:eastAsia="Times New Roman" w:hAnsi="Calibri" w:cs="Calibri"/>
                <w:color w:val="000000"/>
                <w:sz w:val="20"/>
                <w:szCs w:val="20"/>
                <w:lang w:eastAsia="en-GB"/>
              </w:rPr>
            </w:pPr>
            <w:r w:rsidRPr="00C05886">
              <w:rPr>
                <w:rFonts w:ascii="Calibri" w:eastAsia="Times New Roman" w:hAnsi="Calibri" w:cs="Calibri"/>
                <w:color w:val="000000"/>
                <w:sz w:val="20"/>
                <w:szCs w:val="20"/>
                <w:lang w:eastAsia="en-GB"/>
              </w:rPr>
              <w:t>2.52</w:t>
            </w:r>
          </w:p>
        </w:tc>
        <w:tc>
          <w:tcPr>
            <w:tcW w:w="0" w:type="auto"/>
            <w:tcBorders>
              <w:top w:val="nil"/>
              <w:left w:val="nil"/>
              <w:bottom w:val="single" w:sz="8" w:space="0" w:color="auto"/>
              <w:right w:val="single" w:sz="8" w:space="0" w:color="auto"/>
            </w:tcBorders>
            <w:shd w:val="clear" w:color="auto" w:fill="auto"/>
            <w:vAlign w:val="center"/>
            <w:hideMark/>
          </w:tcPr>
          <w:p w14:paraId="4AE2E15F" w14:textId="77777777" w:rsidR="00375BD2" w:rsidRPr="00C05886" w:rsidRDefault="00375BD2" w:rsidP="00375BD2">
            <w:pPr>
              <w:spacing w:after="0" w:line="240" w:lineRule="auto"/>
              <w:jc w:val="right"/>
              <w:rPr>
                <w:rFonts w:ascii="Calibri" w:eastAsia="Times New Roman" w:hAnsi="Calibri" w:cs="Calibri"/>
                <w:color w:val="000000"/>
                <w:sz w:val="20"/>
                <w:szCs w:val="20"/>
                <w:lang w:eastAsia="en-GB"/>
              </w:rPr>
            </w:pPr>
            <w:r w:rsidRPr="00C05886">
              <w:rPr>
                <w:rFonts w:ascii="Calibri" w:eastAsia="Times New Roman" w:hAnsi="Calibri" w:cs="Calibri"/>
                <w:color w:val="000000"/>
                <w:sz w:val="20"/>
                <w:szCs w:val="20"/>
                <w:lang w:eastAsia="en-GB"/>
              </w:rPr>
              <w:t>2.63</w:t>
            </w:r>
          </w:p>
        </w:tc>
        <w:tc>
          <w:tcPr>
            <w:tcW w:w="0" w:type="auto"/>
            <w:tcBorders>
              <w:top w:val="nil"/>
              <w:left w:val="nil"/>
              <w:bottom w:val="single" w:sz="8" w:space="0" w:color="auto"/>
              <w:right w:val="single" w:sz="8" w:space="0" w:color="auto"/>
            </w:tcBorders>
            <w:shd w:val="clear" w:color="auto" w:fill="auto"/>
            <w:vAlign w:val="center"/>
            <w:hideMark/>
          </w:tcPr>
          <w:p w14:paraId="7CECCC3B" w14:textId="77777777" w:rsidR="00375BD2" w:rsidRPr="00C05886" w:rsidRDefault="00375BD2" w:rsidP="00375BD2">
            <w:pPr>
              <w:spacing w:after="0" w:line="240" w:lineRule="auto"/>
              <w:jc w:val="right"/>
              <w:rPr>
                <w:rFonts w:ascii="Calibri" w:eastAsia="Times New Roman" w:hAnsi="Calibri" w:cs="Calibri"/>
                <w:color w:val="000000"/>
                <w:sz w:val="20"/>
                <w:szCs w:val="20"/>
                <w:lang w:eastAsia="en-GB"/>
              </w:rPr>
            </w:pPr>
            <w:r w:rsidRPr="00C05886">
              <w:rPr>
                <w:rFonts w:ascii="Calibri" w:eastAsia="Times New Roman" w:hAnsi="Calibri" w:cs="Calibri"/>
                <w:color w:val="000000"/>
                <w:sz w:val="20"/>
                <w:szCs w:val="20"/>
                <w:lang w:eastAsia="en-GB"/>
              </w:rPr>
              <w:t>3.31</w:t>
            </w:r>
          </w:p>
        </w:tc>
        <w:tc>
          <w:tcPr>
            <w:tcW w:w="0" w:type="auto"/>
            <w:tcBorders>
              <w:top w:val="nil"/>
              <w:left w:val="nil"/>
              <w:bottom w:val="single" w:sz="8" w:space="0" w:color="auto"/>
              <w:right w:val="single" w:sz="8" w:space="0" w:color="auto"/>
            </w:tcBorders>
            <w:shd w:val="clear" w:color="auto" w:fill="auto"/>
            <w:vAlign w:val="center"/>
            <w:hideMark/>
          </w:tcPr>
          <w:p w14:paraId="2363E1A8" w14:textId="77777777" w:rsidR="00375BD2" w:rsidRPr="00C05886" w:rsidRDefault="00375BD2" w:rsidP="00375BD2">
            <w:pPr>
              <w:spacing w:after="0" w:line="240" w:lineRule="auto"/>
              <w:jc w:val="right"/>
              <w:rPr>
                <w:rFonts w:ascii="Calibri" w:eastAsia="Times New Roman" w:hAnsi="Calibri" w:cs="Calibri"/>
                <w:color w:val="000000"/>
                <w:sz w:val="20"/>
                <w:szCs w:val="20"/>
                <w:lang w:eastAsia="en-GB"/>
              </w:rPr>
            </w:pPr>
            <w:r w:rsidRPr="00C05886">
              <w:rPr>
                <w:rFonts w:ascii="Calibri" w:eastAsia="Times New Roman" w:hAnsi="Calibri" w:cs="Calibri"/>
                <w:color w:val="000000"/>
                <w:sz w:val="20"/>
                <w:szCs w:val="20"/>
                <w:lang w:eastAsia="en-GB"/>
              </w:rPr>
              <w:t>3.42</w:t>
            </w:r>
          </w:p>
        </w:tc>
        <w:tc>
          <w:tcPr>
            <w:tcW w:w="0" w:type="auto"/>
            <w:tcBorders>
              <w:top w:val="nil"/>
              <w:left w:val="nil"/>
              <w:bottom w:val="single" w:sz="8" w:space="0" w:color="auto"/>
              <w:right w:val="single" w:sz="8" w:space="0" w:color="auto"/>
            </w:tcBorders>
            <w:shd w:val="clear" w:color="auto" w:fill="auto"/>
            <w:vAlign w:val="center"/>
            <w:hideMark/>
          </w:tcPr>
          <w:p w14:paraId="49D4A500" w14:textId="77777777" w:rsidR="00375BD2" w:rsidRPr="00C05886" w:rsidRDefault="00375BD2" w:rsidP="00375BD2">
            <w:pPr>
              <w:spacing w:after="0" w:line="240" w:lineRule="auto"/>
              <w:jc w:val="right"/>
              <w:rPr>
                <w:rFonts w:ascii="Calibri" w:eastAsia="Times New Roman" w:hAnsi="Calibri" w:cs="Calibri"/>
                <w:color w:val="000000"/>
                <w:sz w:val="20"/>
                <w:szCs w:val="20"/>
                <w:lang w:eastAsia="en-GB"/>
              </w:rPr>
            </w:pPr>
            <w:r w:rsidRPr="00C05886">
              <w:rPr>
                <w:rFonts w:ascii="Calibri" w:eastAsia="Times New Roman" w:hAnsi="Calibri" w:cs="Calibri"/>
                <w:color w:val="000000"/>
                <w:sz w:val="20"/>
                <w:szCs w:val="20"/>
                <w:lang w:eastAsia="en-GB"/>
              </w:rPr>
              <w:t>1.54</w:t>
            </w:r>
          </w:p>
        </w:tc>
        <w:tc>
          <w:tcPr>
            <w:tcW w:w="0" w:type="auto"/>
            <w:tcBorders>
              <w:top w:val="nil"/>
              <w:left w:val="nil"/>
              <w:bottom w:val="single" w:sz="8" w:space="0" w:color="auto"/>
              <w:right w:val="single" w:sz="8" w:space="0" w:color="auto"/>
            </w:tcBorders>
            <w:shd w:val="clear" w:color="auto" w:fill="auto"/>
            <w:vAlign w:val="center"/>
            <w:hideMark/>
          </w:tcPr>
          <w:p w14:paraId="7DCAC8F6" w14:textId="77777777" w:rsidR="00375BD2" w:rsidRPr="00C05886" w:rsidRDefault="00375BD2" w:rsidP="00375BD2">
            <w:pPr>
              <w:spacing w:after="0" w:line="240" w:lineRule="auto"/>
              <w:jc w:val="right"/>
              <w:rPr>
                <w:rFonts w:ascii="Calibri" w:eastAsia="Times New Roman" w:hAnsi="Calibri" w:cs="Calibri"/>
                <w:color w:val="000000"/>
                <w:sz w:val="20"/>
                <w:szCs w:val="20"/>
                <w:lang w:eastAsia="en-GB"/>
              </w:rPr>
            </w:pPr>
            <w:r w:rsidRPr="00C05886">
              <w:rPr>
                <w:rFonts w:ascii="Calibri" w:eastAsia="Times New Roman" w:hAnsi="Calibri" w:cs="Calibri"/>
                <w:color w:val="000000"/>
                <w:sz w:val="20"/>
                <w:szCs w:val="20"/>
                <w:lang w:eastAsia="en-GB"/>
              </w:rPr>
              <w:t>1.34</w:t>
            </w:r>
          </w:p>
        </w:tc>
      </w:tr>
      <w:tr w:rsidR="00375BD2" w:rsidRPr="00C05886" w14:paraId="585BC6AA" w14:textId="77777777" w:rsidTr="00B637FE">
        <w:trPr>
          <w:trHeight w:val="315"/>
        </w:trPr>
        <w:tc>
          <w:tcPr>
            <w:tcW w:w="0" w:type="auto"/>
            <w:vMerge/>
            <w:tcBorders>
              <w:top w:val="nil"/>
              <w:left w:val="single" w:sz="8" w:space="0" w:color="auto"/>
              <w:bottom w:val="single" w:sz="8" w:space="0" w:color="000000"/>
              <w:right w:val="single" w:sz="8" w:space="0" w:color="auto"/>
            </w:tcBorders>
            <w:vAlign w:val="center"/>
            <w:hideMark/>
          </w:tcPr>
          <w:p w14:paraId="1657337E" w14:textId="77777777" w:rsidR="00375BD2" w:rsidRPr="00C05886" w:rsidRDefault="00375BD2" w:rsidP="00375BD2">
            <w:pPr>
              <w:spacing w:after="0" w:line="240" w:lineRule="auto"/>
              <w:rPr>
                <w:rFonts w:ascii="Calibri" w:eastAsia="Times New Roman" w:hAnsi="Calibri" w:cs="Calibri"/>
                <w:color w:val="000000"/>
                <w:sz w:val="20"/>
                <w:szCs w:val="20"/>
                <w:lang w:eastAsia="en-GB"/>
              </w:rPr>
            </w:pPr>
          </w:p>
        </w:tc>
        <w:tc>
          <w:tcPr>
            <w:tcW w:w="0" w:type="auto"/>
            <w:tcBorders>
              <w:top w:val="nil"/>
              <w:left w:val="nil"/>
              <w:bottom w:val="single" w:sz="8" w:space="0" w:color="auto"/>
              <w:right w:val="single" w:sz="8" w:space="0" w:color="auto"/>
            </w:tcBorders>
            <w:shd w:val="clear" w:color="auto" w:fill="auto"/>
            <w:vAlign w:val="center"/>
            <w:hideMark/>
          </w:tcPr>
          <w:p w14:paraId="2A5F349A" w14:textId="77777777" w:rsidR="00375BD2" w:rsidRPr="00C05886" w:rsidRDefault="00375BD2" w:rsidP="00375BD2">
            <w:pPr>
              <w:spacing w:after="0" w:line="240" w:lineRule="auto"/>
              <w:rPr>
                <w:rFonts w:ascii="Calibri" w:eastAsia="Times New Roman" w:hAnsi="Calibri" w:cs="Calibri"/>
                <w:color w:val="000000"/>
                <w:sz w:val="20"/>
                <w:szCs w:val="20"/>
                <w:lang w:eastAsia="en-GB"/>
              </w:rPr>
            </w:pPr>
            <w:r w:rsidRPr="00C05886">
              <w:rPr>
                <w:rFonts w:ascii="Calibri" w:eastAsia="Times New Roman" w:hAnsi="Calibri" w:cs="Calibri"/>
                <w:color w:val="000000"/>
                <w:sz w:val="20"/>
                <w:szCs w:val="20"/>
                <w:lang w:eastAsia="en-GB"/>
              </w:rPr>
              <w:t>SD</w:t>
            </w:r>
          </w:p>
        </w:tc>
        <w:tc>
          <w:tcPr>
            <w:tcW w:w="0" w:type="auto"/>
            <w:tcBorders>
              <w:top w:val="nil"/>
              <w:left w:val="nil"/>
              <w:bottom w:val="single" w:sz="8" w:space="0" w:color="auto"/>
              <w:right w:val="single" w:sz="8" w:space="0" w:color="auto"/>
            </w:tcBorders>
            <w:shd w:val="clear" w:color="auto" w:fill="auto"/>
            <w:vAlign w:val="center"/>
            <w:hideMark/>
          </w:tcPr>
          <w:p w14:paraId="2171CAE5" w14:textId="77777777" w:rsidR="00375BD2" w:rsidRPr="00C05886" w:rsidRDefault="00375BD2" w:rsidP="00375BD2">
            <w:pPr>
              <w:spacing w:after="0" w:line="240" w:lineRule="auto"/>
              <w:jc w:val="right"/>
              <w:rPr>
                <w:rFonts w:ascii="Calibri" w:eastAsia="Times New Roman" w:hAnsi="Calibri" w:cs="Calibri"/>
                <w:color w:val="000000"/>
                <w:sz w:val="20"/>
                <w:szCs w:val="20"/>
                <w:lang w:eastAsia="en-GB"/>
              </w:rPr>
            </w:pPr>
            <w:r w:rsidRPr="00C05886">
              <w:rPr>
                <w:rFonts w:ascii="Calibri" w:eastAsia="Times New Roman" w:hAnsi="Calibri" w:cs="Calibri"/>
                <w:color w:val="000000"/>
                <w:sz w:val="20"/>
                <w:szCs w:val="20"/>
                <w:lang w:eastAsia="en-GB"/>
              </w:rPr>
              <w:t>0.89</w:t>
            </w:r>
          </w:p>
        </w:tc>
        <w:tc>
          <w:tcPr>
            <w:tcW w:w="0" w:type="auto"/>
            <w:tcBorders>
              <w:top w:val="nil"/>
              <w:left w:val="nil"/>
              <w:bottom w:val="single" w:sz="8" w:space="0" w:color="auto"/>
              <w:right w:val="single" w:sz="8" w:space="0" w:color="auto"/>
            </w:tcBorders>
            <w:shd w:val="clear" w:color="auto" w:fill="auto"/>
            <w:vAlign w:val="center"/>
            <w:hideMark/>
          </w:tcPr>
          <w:p w14:paraId="25816997" w14:textId="77777777" w:rsidR="00375BD2" w:rsidRPr="00C05886" w:rsidRDefault="00375BD2" w:rsidP="00375BD2">
            <w:pPr>
              <w:spacing w:after="0" w:line="240" w:lineRule="auto"/>
              <w:jc w:val="right"/>
              <w:rPr>
                <w:rFonts w:ascii="Calibri" w:eastAsia="Times New Roman" w:hAnsi="Calibri" w:cs="Calibri"/>
                <w:color w:val="000000"/>
                <w:sz w:val="20"/>
                <w:szCs w:val="20"/>
                <w:lang w:eastAsia="en-GB"/>
              </w:rPr>
            </w:pPr>
            <w:r w:rsidRPr="00C05886">
              <w:rPr>
                <w:rFonts w:ascii="Calibri" w:eastAsia="Times New Roman" w:hAnsi="Calibri" w:cs="Calibri"/>
                <w:color w:val="000000"/>
                <w:sz w:val="20"/>
                <w:szCs w:val="20"/>
                <w:lang w:eastAsia="en-GB"/>
              </w:rPr>
              <w:t>0.98</w:t>
            </w:r>
          </w:p>
        </w:tc>
        <w:tc>
          <w:tcPr>
            <w:tcW w:w="0" w:type="auto"/>
            <w:tcBorders>
              <w:top w:val="nil"/>
              <w:left w:val="nil"/>
              <w:bottom w:val="single" w:sz="8" w:space="0" w:color="auto"/>
              <w:right w:val="single" w:sz="8" w:space="0" w:color="auto"/>
            </w:tcBorders>
            <w:shd w:val="clear" w:color="auto" w:fill="auto"/>
            <w:vAlign w:val="center"/>
            <w:hideMark/>
          </w:tcPr>
          <w:p w14:paraId="70BC9ABF" w14:textId="77777777" w:rsidR="00375BD2" w:rsidRPr="00C05886" w:rsidRDefault="00375BD2" w:rsidP="00375BD2">
            <w:pPr>
              <w:spacing w:after="0" w:line="240" w:lineRule="auto"/>
              <w:jc w:val="right"/>
              <w:rPr>
                <w:rFonts w:ascii="Calibri" w:eastAsia="Times New Roman" w:hAnsi="Calibri" w:cs="Calibri"/>
                <w:color w:val="000000"/>
                <w:sz w:val="20"/>
                <w:szCs w:val="20"/>
                <w:lang w:eastAsia="en-GB"/>
              </w:rPr>
            </w:pPr>
            <w:r w:rsidRPr="00C05886">
              <w:rPr>
                <w:rFonts w:ascii="Calibri" w:eastAsia="Times New Roman" w:hAnsi="Calibri" w:cs="Calibri"/>
                <w:color w:val="000000"/>
                <w:sz w:val="20"/>
                <w:szCs w:val="20"/>
                <w:lang w:eastAsia="en-GB"/>
              </w:rPr>
              <w:t>0.95</w:t>
            </w:r>
          </w:p>
        </w:tc>
        <w:tc>
          <w:tcPr>
            <w:tcW w:w="0" w:type="auto"/>
            <w:tcBorders>
              <w:top w:val="nil"/>
              <w:left w:val="nil"/>
              <w:bottom w:val="single" w:sz="8" w:space="0" w:color="auto"/>
              <w:right w:val="single" w:sz="8" w:space="0" w:color="auto"/>
            </w:tcBorders>
            <w:shd w:val="clear" w:color="auto" w:fill="auto"/>
            <w:vAlign w:val="center"/>
            <w:hideMark/>
          </w:tcPr>
          <w:p w14:paraId="0E8989E0" w14:textId="77777777" w:rsidR="00375BD2" w:rsidRPr="00C05886" w:rsidRDefault="00375BD2" w:rsidP="00375BD2">
            <w:pPr>
              <w:spacing w:after="0" w:line="240" w:lineRule="auto"/>
              <w:jc w:val="right"/>
              <w:rPr>
                <w:rFonts w:ascii="Calibri" w:eastAsia="Times New Roman" w:hAnsi="Calibri" w:cs="Calibri"/>
                <w:color w:val="000000"/>
                <w:sz w:val="20"/>
                <w:szCs w:val="20"/>
                <w:lang w:eastAsia="en-GB"/>
              </w:rPr>
            </w:pPr>
            <w:r w:rsidRPr="00C05886">
              <w:rPr>
                <w:rFonts w:ascii="Calibri" w:eastAsia="Times New Roman" w:hAnsi="Calibri" w:cs="Calibri"/>
                <w:color w:val="000000"/>
                <w:sz w:val="20"/>
                <w:szCs w:val="20"/>
                <w:lang w:eastAsia="en-GB"/>
              </w:rPr>
              <w:t>0.95</w:t>
            </w:r>
          </w:p>
        </w:tc>
        <w:tc>
          <w:tcPr>
            <w:tcW w:w="0" w:type="auto"/>
            <w:tcBorders>
              <w:top w:val="nil"/>
              <w:left w:val="nil"/>
              <w:bottom w:val="single" w:sz="8" w:space="0" w:color="auto"/>
              <w:right w:val="single" w:sz="8" w:space="0" w:color="auto"/>
            </w:tcBorders>
            <w:shd w:val="clear" w:color="auto" w:fill="auto"/>
            <w:vAlign w:val="center"/>
            <w:hideMark/>
          </w:tcPr>
          <w:p w14:paraId="4D7B0CD9" w14:textId="77777777" w:rsidR="00375BD2" w:rsidRPr="00C05886" w:rsidRDefault="00375BD2" w:rsidP="00375BD2">
            <w:pPr>
              <w:spacing w:after="0" w:line="240" w:lineRule="auto"/>
              <w:jc w:val="right"/>
              <w:rPr>
                <w:rFonts w:ascii="Calibri" w:eastAsia="Times New Roman" w:hAnsi="Calibri" w:cs="Calibri"/>
                <w:color w:val="000000"/>
                <w:sz w:val="20"/>
                <w:szCs w:val="20"/>
                <w:lang w:eastAsia="en-GB"/>
              </w:rPr>
            </w:pPr>
            <w:r w:rsidRPr="00C05886">
              <w:rPr>
                <w:rFonts w:ascii="Calibri" w:eastAsia="Times New Roman" w:hAnsi="Calibri" w:cs="Calibri"/>
                <w:color w:val="000000"/>
                <w:sz w:val="20"/>
                <w:szCs w:val="20"/>
                <w:lang w:eastAsia="en-GB"/>
              </w:rPr>
              <w:t>0.68</w:t>
            </w:r>
          </w:p>
        </w:tc>
        <w:tc>
          <w:tcPr>
            <w:tcW w:w="0" w:type="auto"/>
            <w:tcBorders>
              <w:top w:val="nil"/>
              <w:left w:val="nil"/>
              <w:bottom w:val="single" w:sz="8" w:space="0" w:color="auto"/>
              <w:right w:val="single" w:sz="8" w:space="0" w:color="auto"/>
            </w:tcBorders>
            <w:shd w:val="clear" w:color="auto" w:fill="auto"/>
            <w:vAlign w:val="center"/>
            <w:hideMark/>
          </w:tcPr>
          <w:p w14:paraId="04A8BCB3" w14:textId="77777777" w:rsidR="00375BD2" w:rsidRPr="00C05886" w:rsidRDefault="00375BD2" w:rsidP="00375BD2">
            <w:pPr>
              <w:spacing w:after="0" w:line="240" w:lineRule="auto"/>
              <w:jc w:val="right"/>
              <w:rPr>
                <w:rFonts w:ascii="Calibri" w:eastAsia="Times New Roman" w:hAnsi="Calibri" w:cs="Calibri"/>
                <w:color w:val="000000"/>
                <w:sz w:val="20"/>
                <w:szCs w:val="20"/>
                <w:lang w:eastAsia="en-GB"/>
              </w:rPr>
            </w:pPr>
            <w:r w:rsidRPr="00C05886">
              <w:rPr>
                <w:rFonts w:ascii="Calibri" w:eastAsia="Times New Roman" w:hAnsi="Calibri" w:cs="Calibri"/>
                <w:color w:val="000000"/>
                <w:sz w:val="20"/>
                <w:szCs w:val="20"/>
                <w:lang w:eastAsia="en-GB"/>
              </w:rPr>
              <w:t>0.61</w:t>
            </w:r>
          </w:p>
        </w:tc>
      </w:tr>
      <w:tr w:rsidR="00375BD2" w:rsidRPr="00C05886" w14:paraId="5B93828C" w14:textId="77777777" w:rsidTr="00B637FE">
        <w:trPr>
          <w:trHeight w:val="315"/>
        </w:trPr>
        <w:tc>
          <w:tcPr>
            <w:tcW w:w="0" w:type="auto"/>
            <w:vMerge/>
            <w:tcBorders>
              <w:top w:val="nil"/>
              <w:left w:val="single" w:sz="8" w:space="0" w:color="auto"/>
              <w:bottom w:val="single" w:sz="8" w:space="0" w:color="000000"/>
              <w:right w:val="single" w:sz="8" w:space="0" w:color="auto"/>
            </w:tcBorders>
            <w:vAlign w:val="center"/>
            <w:hideMark/>
          </w:tcPr>
          <w:p w14:paraId="53E144F8" w14:textId="77777777" w:rsidR="00375BD2" w:rsidRPr="00C05886" w:rsidRDefault="00375BD2" w:rsidP="00375BD2">
            <w:pPr>
              <w:spacing w:after="0" w:line="240" w:lineRule="auto"/>
              <w:rPr>
                <w:rFonts w:ascii="Calibri" w:eastAsia="Times New Roman" w:hAnsi="Calibri" w:cs="Calibri"/>
                <w:color w:val="000000"/>
                <w:sz w:val="20"/>
                <w:szCs w:val="20"/>
                <w:lang w:eastAsia="en-GB"/>
              </w:rPr>
            </w:pPr>
          </w:p>
        </w:tc>
        <w:tc>
          <w:tcPr>
            <w:tcW w:w="0" w:type="auto"/>
            <w:tcBorders>
              <w:top w:val="nil"/>
              <w:left w:val="nil"/>
              <w:bottom w:val="single" w:sz="8" w:space="0" w:color="auto"/>
              <w:right w:val="single" w:sz="8" w:space="0" w:color="auto"/>
            </w:tcBorders>
            <w:shd w:val="clear" w:color="auto" w:fill="auto"/>
            <w:vAlign w:val="center"/>
            <w:hideMark/>
          </w:tcPr>
          <w:p w14:paraId="041FB670" w14:textId="77777777" w:rsidR="00375BD2" w:rsidRPr="00C05886" w:rsidRDefault="00375BD2" w:rsidP="00375BD2">
            <w:pPr>
              <w:spacing w:after="0" w:line="240" w:lineRule="auto"/>
              <w:rPr>
                <w:rFonts w:ascii="Calibri" w:eastAsia="Times New Roman" w:hAnsi="Calibri" w:cs="Calibri"/>
                <w:color w:val="000000"/>
                <w:sz w:val="20"/>
                <w:szCs w:val="20"/>
                <w:lang w:eastAsia="en-GB"/>
              </w:rPr>
            </w:pPr>
            <w:r w:rsidRPr="00C05886">
              <w:rPr>
                <w:rFonts w:ascii="Calibri" w:eastAsia="Times New Roman" w:hAnsi="Calibri" w:cs="Calibri"/>
                <w:color w:val="000000"/>
                <w:sz w:val="20"/>
                <w:szCs w:val="20"/>
                <w:lang w:eastAsia="en-GB"/>
              </w:rPr>
              <w:t>N</w:t>
            </w:r>
          </w:p>
        </w:tc>
        <w:tc>
          <w:tcPr>
            <w:tcW w:w="0" w:type="auto"/>
            <w:tcBorders>
              <w:top w:val="nil"/>
              <w:left w:val="nil"/>
              <w:bottom w:val="single" w:sz="8" w:space="0" w:color="auto"/>
              <w:right w:val="single" w:sz="8" w:space="0" w:color="auto"/>
            </w:tcBorders>
            <w:shd w:val="clear" w:color="auto" w:fill="auto"/>
            <w:vAlign w:val="center"/>
            <w:hideMark/>
          </w:tcPr>
          <w:p w14:paraId="4FA6A015" w14:textId="77777777" w:rsidR="00375BD2" w:rsidRPr="00C05886" w:rsidRDefault="00375BD2" w:rsidP="00375BD2">
            <w:pPr>
              <w:spacing w:after="0" w:line="240" w:lineRule="auto"/>
              <w:jc w:val="right"/>
              <w:rPr>
                <w:rFonts w:ascii="Calibri" w:eastAsia="Times New Roman" w:hAnsi="Calibri" w:cs="Calibri"/>
                <w:color w:val="000000"/>
                <w:sz w:val="20"/>
                <w:szCs w:val="20"/>
                <w:lang w:eastAsia="en-GB"/>
              </w:rPr>
            </w:pPr>
            <w:r w:rsidRPr="00C05886">
              <w:rPr>
                <w:rFonts w:ascii="Calibri" w:eastAsia="Times New Roman" w:hAnsi="Calibri" w:cs="Calibri"/>
                <w:color w:val="000000"/>
                <w:sz w:val="20"/>
                <w:szCs w:val="20"/>
                <w:lang w:eastAsia="en-GB"/>
              </w:rPr>
              <w:t>463</w:t>
            </w:r>
          </w:p>
        </w:tc>
        <w:tc>
          <w:tcPr>
            <w:tcW w:w="0" w:type="auto"/>
            <w:tcBorders>
              <w:top w:val="nil"/>
              <w:left w:val="nil"/>
              <w:bottom w:val="single" w:sz="8" w:space="0" w:color="auto"/>
              <w:right w:val="single" w:sz="8" w:space="0" w:color="auto"/>
            </w:tcBorders>
            <w:shd w:val="clear" w:color="auto" w:fill="auto"/>
            <w:vAlign w:val="center"/>
            <w:hideMark/>
          </w:tcPr>
          <w:p w14:paraId="465824B6" w14:textId="77777777" w:rsidR="00375BD2" w:rsidRPr="00C05886" w:rsidRDefault="00375BD2" w:rsidP="00375BD2">
            <w:pPr>
              <w:spacing w:after="0" w:line="240" w:lineRule="auto"/>
              <w:jc w:val="right"/>
              <w:rPr>
                <w:rFonts w:ascii="Calibri" w:eastAsia="Times New Roman" w:hAnsi="Calibri" w:cs="Calibri"/>
                <w:color w:val="000000"/>
                <w:sz w:val="20"/>
                <w:szCs w:val="20"/>
                <w:lang w:eastAsia="en-GB"/>
              </w:rPr>
            </w:pPr>
            <w:r w:rsidRPr="00C05886">
              <w:rPr>
                <w:rFonts w:ascii="Calibri" w:eastAsia="Times New Roman" w:hAnsi="Calibri" w:cs="Calibri"/>
                <w:color w:val="000000"/>
                <w:sz w:val="20"/>
                <w:szCs w:val="20"/>
                <w:lang w:eastAsia="en-GB"/>
              </w:rPr>
              <w:t>463</w:t>
            </w:r>
          </w:p>
        </w:tc>
        <w:tc>
          <w:tcPr>
            <w:tcW w:w="0" w:type="auto"/>
            <w:tcBorders>
              <w:top w:val="nil"/>
              <w:left w:val="nil"/>
              <w:bottom w:val="single" w:sz="8" w:space="0" w:color="auto"/>
              <w:right w:val="single" w:sz="8" w:space="0" w:color="auto"/>
            </w:tcBorders>
            <w:shd w:val="clear" w:color="auto" w:fill="auto"/>
            <w:vAlign w:val="center"/>
            <w:hideMark/>
          </w:tcPr>
          <w:p w14:paraId="3E854737" w14:textId="77777777" w:rsidR="00375BD2" w:rsidRPr="00C05886" w:rsidRDefault="00375BD2" w:rsidP="00375BD2">
            <w:pPr>
              <w:spacing w:after="0" w:line="240" w:lineRule="auto"/>
              <w:jc w:val="right"/>
              <w:rPr>
                <w:rFonts w:ascii="Calibri" w:eastAsia="Times New Roman" w:hAnsi="Calibri" w:cs="Calibri"/>
                <w:color w:val="000000"/>
                <w:sz w:val="20"/>
                <w:szCs w:val="20"/>
                <w:lang w:eastAsia="en-GB"/>
              </w:rPr>
            </w:pPr>
            <w:r w:rsidRPr="00C05886">
              <w:rPr>
                <w:rFonts w:ascii="Calibri" w:eastAsia="Times New Roman" w:hAnsi="Calibri" w:cs="Calibri"/>
                <w:color w:val="000000"/>
                <w:sz w:val="20"/>
                <w:szCs w:val="20"/>
                <w:lang w:eastAsia="en-GB"/>
              </w:rPr>
              <w:t>463</w:t>
            </w:r>
          </w:p>
        </w:tc>
        <w:tc>
          <w:tcPr>
            <w:tcW w:w="0" w:type="auto"/>
            <w:tcBorders>
              <w:top w:val="nil"/>
              <w:left w:val="nil"/>
              <w:bottom w:val="single" w:sz="8" w:space="0" w:color="auto"/>
              <w:right w:val="single" w:sz="8" w:space="0" w:color="auto"/>
            </w:tcBorders>
            <w:shd w:val="clear" w:color="auto" w:fill="auto"/>
            <w:vAlign w:val="center"/>
            <w:hideMark/>
          </w:tcPr>
          <w:p w14:paraId="1A09CE71" w14:textId="77777777" w:rsidR="00375BD2" w:rsidRPr="00C05886" w:rsidRDefault="00375BD2" w:rsidP="00375BD2">
            <w:pPr>
              <w:spacing w:after="0" w:line="240" w:lineRule="auto"/>
              <w:jc w:val="right"/>
              <w:rPr>
                <w:rFonts w:ascii="Calibri" w:eastAsia="Times New Roman" w:hAnsi="Calibri" w:cs="Calibri"/>
                <w:color w:val="000000"/>
                <w:sz w:val="20"/>
                <w:szCs w:val="20"/>
                <w:lang w:eastAsia="en-GB"/>
              </w:rPr>
            </w:pPr>
            <w:r w:rsidRPr="00C05886">
              <w:rPr>
                <w:rFonts w:ascii="Calibri" w:eastAsia="Times New Roman" w:hAnsi="Calibri" w:cs="Calibri"/>
                <w:color w:val="000000"/>
                <w:sz w:val="20"/>
                <w:szCs w:val="20"/>
                <w:lang w:eastAsia="en-GB"/>
              </w:rPr>
              <w:t>463</w:t>
            </w:r>
          </w:p>
        </w:tc>
        <w:tc>
          <w:tcPr>
            <w:tcW w:w="0" w:type="auto"/>
            <w:tcBorders>
              <w:top w:val="nil"/>
              <w:left w:val="nil"/>
              <w:bottom w:val="single" w:sz="8" w:space="0" w:color="auto"/>
              <w:right w:val="single" w:sz="8" w:space="0" w:color="auto"/>
            </w:tcBorders>
            <w:shd w:val="clear" w:color="auto" w:fill="auto"/>
            <w:vAlign w:val="center"/>
            <w:hideMark/>
          </w:tcPr>
          <w:p w14:paraId="05418724" w14:textId="77777777" w:rsidR="00375BD2" w:rsidRPr="00C05886" w:rsidRDefault="00375BD2" w:rsidP="00375BD2">
            <w:pPr>
              <w:spacing w:after="0" w:line="240" w:lineRule="auto"/>
              <w:jc w:val="right"/>
              <w:rPr>
                <w:rFonts w:ascii="Calibri" w:eastAsia="Times New Roman" w:hAnsi="Calibri" w:cs="Calibri"/>
                <w:color w:val="000000"/>
                <w:sz w:val="20"/>
                <w:szCs w:val="20"/>
                <w:lang w:eastAsia="en-GB"/>
              </w:rPr>
            </w:pPr>
            <w:r w:rsidRPr="00C05886">
              <w:rPr>
                <w:rFonts w:ascii="Calibri" w:eastAsia="Times New Roman" w:hAnsi="Calibri" w:cs="Calibri"/>
                <w:color w:val="000000"/>
                <w:sz w:val="20"/>
                <w:szCs w:val="20"/>
                <w:lang w:eastAsia="en-GB"/>
              </w:rPr>
              <w:t>463</w:t>
            </w:r>
          </w:p>
        </w:tc>
        <w:tc>
          <w:tcPr>
            <w:tcW w:w="0" w:type="auto"/>
            <w:tcBorders>
              <w:top w:val="nil"/>
              <w:left w:val="nil"/>
              <w:bottom w:val="single" w:sz="8" w:space="0" w:color="auto"/>
              <w:right w:val="single" w:sz="8" w:space="0" w:color="auto"/>
            </w:tcBorders>
            <w:shd w:val="clear" w:color="auto" w:fill="auto"/>
            <w:vAlign w:val="center"/>
            <w:hideMark/>
          </w:tcPr>
          <w:p w14:paraId="3DEA2B7F" w14:textId="77777777" w:rsidR="00375BD2" w:rsidRPr="00C05886" w:rsidRDefault="00375BD2" w:rsidP="00375BD2">
            <w:pPr>
              <w:spacing w:after="0" w:line="240" w:lineRule="auto"/>
              <w:jc w:val="right"/>
              <w:rPr>
                <w:rFonts w:ascii="Calibri" w:eastAsia="Times New Roman" w:hAnsi="Calibri" w:cs="Calibri"/>
                <w:color w:val="000000"/>
                <w:sz w:val="20"/>
                <w:szCs w:val="20"/>
                <w:lang w:eastAsia="en-GB"/>
              </w:rPr>
            </w:pPr>
            <w:r w:rsidRPr="00C05886">
              <w:rPr>
                <w:rFonts w:ascii="Calibri" w:eastAsia="Times New Roman" w:hAnsi="Calibri" w:cs="Calibri"/>
                <w:color w:val="000000"/>
                <w:sz w:val="20"/>
                <w:szCs w:val="20"/>
                <w:lang w:eastAsia="en-GB"/>
              </w:rPr>
              <w:t>463</w:t>
            </w:r>
          </w:p>
        </w:tc>
      </w:tr>
    </w:tbl>
    <w:p w14:paraId="450425C7" w14:textId="77777777" w:rsidR="00375BD2" w:rsidRPr="00C05886" w:rsidRDefault="00375BD2" w:rsidP="00375BD2">
      <w:pPr>
        <w:spacing w:line="240" w:lineRule="auto"/>
      </w:pPr>
    </w:p>
    <w:p w14:paraId="4B2A12DE" w14:textId="59C478C3" w:rsidR="00375BD2" w:rsidRPr="00C05886" w:rsidRDefault="00375BD2" w:rsidP="00375BD2">
      <w:pPr>
        <w:pStyle w:val="Caption"/>
        <w:keepNext/>
      </w:pPr>
      <w:r w:rsidRPr="00C05886">
        <w:t xml:space="preserve">Table </w:t>
      </w:r>
      <w:r w:rsidR="00B62F3A" w:rsidRPr="00C05886">
        <w:t>S5</w:t>
      </w:r>
      <w:r w:rsidRPr="00C05886">
        <w:t>. Experiment 2, Unadjusted means of the three affective dimensions at baseline, after the stressor and after the park</w:t>
      </w:r>
    </w:p>
    <w:tbl>
      <w:tblPr>
        <w:tblStyle w:val="TableGrid"/>
        <w:tblW w:w="0" w:type="auto"/>
        <w:tblLayout w:type="fixed"/>
        <w:tblLook w:val="04A0" w:firstRow="1" w:lastRow="0" w:firstColumn="1" w:lastColumn="0" w:noHBand="0" w:noVBand="1"/>
      </w:tblPr>
      <w:tblGrid>
        <w:gridCol w:w="704"/>
        <w:gridCol w:w="709"/>
        <w:gridCol w:w="850"/>
        <w:gridCol w:w="1021"/>
        <w:gridCol w:w="903"/>
        <w:gridCol w:w="1119"/>
        <w:gridCol w:w="1100"/>
        <w:gridCol w:w="915"/>
        <w:gridCol w:w="843"/>
        <w:gridCol w:w="824"/>
        <w:gridCol w:w="640"/>
      </w:tblGrid>
      <w:tr w:rsidR="00375BD2" w:rsidRPr="00C05886" w14:paraId="75FC8AAB" w14:textId="77777777" w:rsidTr="00313151">
        <w:trPr>
          <w:trHeight w:val="300"/>
        </w:trPr>
        <w:tc>
          <w:tcPr>
            <w:tcW w:w="1413" w:type="dxa"/>
            <w:gridSpan w:val="2"/>
            <w:noWrap/>
            <w:hideMark/>
          </w:tcPr>
          <w:p w14:paraId="2822A4BE" w14:textId="77777777" w:rsidR="00375BD2" w:rsidRPr="00C05886" w:rsidRDefault="00375BD2" w:rsidP="00375BD2">
            <w:pPr>
              <w:spacing w:line="240" w:lineRule="auto"/>
              <w:rPr>
                <w:rFonts w:eastAsia="Times New Roman" w:cstheme="minorHAnsi"/>
                <w:color w:val="000000"/>
                <w:sz w:val="20"/>
                <w:szCs w:val="20"/>
                <w:lang w:eastAsia="en-GB"/>
              </w:rPr>
            </w:pPr>
            <w:r w:rsidRPr="00C05886">
              <w:rPr>
                <w:rFonts w:eastAsia="Times New Roman" w:cstheme="minorHAnsi"/>
                <w:color w:val="000000"/>
                <w:sz w:val="20"/>
                <w:szCs w:val="20"/>
                <w:lang w:eastAsia="en-GB"/>
              </w:rPr>
              <w:t>Park treatment</w:t>
            </w:r>
          </w:p>
        </w:tc>
        <w:tc>
          <w:tcPr>
            <w:tcW w:w="850" w:type="dxa"/>
            <w:noWrap/>
            <w:hideMark/>
          </w:tcPr>
          <w:p w14:paraId="5416DB8C" w14:textId="77777777" w:rsidR="00375BD2" w:rsidRPr="00C05886" w:rsidRDefault="00375BD2" w:rsidP="00375BD2">
            <w:pPr>
              <w:spacing w:line="240" w:lineRule="auto"/>
              <w:rPr>
                <w:rFonts w:eastAsia="Times New Roman" w:cstheme="minorHAnsi"/>
                <w:color w:val="000000"/>
                <w:sz w:val="18"/>
                <w:szCs w:val="18"/>
                <w:lang w:eastAsia="en-GB"/>
              </w:rPr>
            </w:pPr>
            <w:r w:rsidRPr="00C05886">
              <w:rPr>
                <w:rFonts w:eastAsia="Times New Roman" w:cstheme="minorHAnsi"/>
                <w:color w:val="000000"/>
                <w:sz w:val="18"/>
                <w:szCs w:val="18"/>
                <w:lang w:eastAsia="en-GB"/>
              </w:rPr>
              <w:t>Joviality baseline</w:t>
            </w:r>
          </w:p>
        </w:tc>
        <w:tc>
          <w:tcPr>
            <w:tcW w:w="1021" w:type="dxa"/>
            <w:noWrap/>
            <w:hideMark/>
          </w:tcPr>
          <w:p w14:paraId="0BF1717D" w14:textId="77777777" w:rsidR="00375BD2" w:rsidRPr="00C05886" w:rsidRDefault="00375BD2" w:rsidP="00375BD2">
            <w:pPr>
              <w:spacing w:line="240" w:lineRule="auto"/>
              <w:rPr>
                <w:rFonts w:eastAsia="Times New Roman" w:cstheme="minorHAnsi"/>
                <w:color w:val="000000"/>
                <w:sz w:val="18"/>
                <w:szCs w:val="18"/>
                <w:lang w:eastAsia="en-GB"/>
              </w:rPr>
            </w:pPr>
            <w:r w:rsidRPr="00C05886">
              <w:rPr>
                <w:rFonts w:eastAsia="Times New Roman" w:cstheme="minorHAnsi"/>
                <w:color w:val="000000"/>
                <w:sz w:val="18"/>
                <w:szCs w:val="18"/>
                <w:lang w:eastAsia="en-GB"/>
              </w:rPr>
              <w:t>Joviality stressor</w:t>
            </w:r>
          </w:p>
        </w:tc>
        <w:tc>
          <w:tcPr>
            <w:tcW w:w="903" w:type="dxa"/>
            <w:noWrap/>
            <w:hideMark/>
          </w:tcPr>
          <w:p w14:paraId="489B83E7" w14:textId="77777777" w:rsidR="00375BD2" w:rsidRPr="00C05886" w:rsidRDefault="00375BD2" w:rsidP="00375BD2">
            <w:pPr>
              <w:spacing w:line="240" w:lineRule="auto"/>
              <w:rPr>
                <w:rFonts w:eastAsia="Times New Roman" w:cstheme="minorHAnsi"/>
                <w:color w:val="000000"/>
                <w:sz w:val="18"/>
                <w:szCs w:val="18"/>
                <w:lang w:eastAsia="en-GB"/>
              </w:rPr>
            </w:pPr>
            <w:proofErr w:type="gramStart"/>
            <w:r w:rsidRPr="00C05886">
              <w:rPr>
                <w:rFonts w:eastAsia="Times New Roman" w:cstheme="minorHAnsi"/>
                <w:color w:val="000000"/>
                <w:sz w:val="18"/>
                <w:szCs w:val="18"/>
                <w:lang w:eastAsia="en-GB"/>
              </w:rPr>
              <w:t>Joviality park</w:t>
            </w:r>
            <w:proofErr w:type="gramEnd"/>
          </w:p>
        </w:tc>
        <w:tc>
          <w:tcPr>
            <w:tcW w:w="1119" w:type="dxa"/>
            <w:noWrap/>
            <w:hideMark/>
          </w:tcPr>
          <w:p w14:paraId="1120174D" w14:textId="77777777" w:rsidR="00375BD2" w:rsidRPr="00C05886" w:rsidRDefault="00375BD2" w:rsidP="00375BD2">
            <w:pPr>
              <w:spacing w:line="240" w:lineRule="auto"/>
              <w:rPr>
                <w:rFonts w:eastAsia="Times New Roman" w:cstheme="minorHAnsi"/>
                <w:color w:val="000000"/>
                <w:sz w:val="18"/>
                <w:szCs w:val="18"/>
                <w:lang w:eastAsia="en-GB"/>
              </w:rPr>
            </w:pPr>
            <w:r w:rsidRPr="00C05886">
              <w:rPr>
                <w:rFonts w:eastAsia="Times New Roman" w:cstheme="minorHAnsi"/>
                <w:color w:val="000000"/>
                <w:sz w:val="18"/>
                <w:szCs w:val="18"/>
                <w:lang w:eastAsia="en-GB"/>
              </w:rPr>
              <w:t>Serenity baseline</w:t>
            </w:r>
          </w:p>
        </w:tc>
        <w:tc>
          <w:tcPr>
            <w:tcW w:w="1100" w:type="dxa"/>
            <w:noWrap/>
            <w:hideMark/>
          </w:tcPr>
          <w:p w14:paraId="172AAB68" w14:textId="77777777" w:rsidR="00375BD2" w:rsidRPr="00C05886" w:rsidRDefault="00375BD2" w:rsidP="00375BD2">
            <w:pPr>
              <w:spacing w:line="240" w:lineRule="auto"/>
              <w:rPr>
                <w:rFonts w:eastAsia="Times New Roman" w:cstheme="minorHAnsi"/>
                <w:color w:val="000000"/>
                <w:sz w:val="18"/>
                <w:szCs w:val="18"/>
                <w:lang w:eastAsia="en-GB"/>
              </w:rPr>
            </w:pPr>
            <w:r w:rsidRPr="00C05886">
              <w:rPr>
                <w:rFonts w:eastAsia="Times New Roman" w:cstheme="minorHAnsi"/>
                <w:color w:val="000000"/>
                <w:sz w:val="18"/>
                <w:szCs w:val="18"/>
                <w:lang w:eastAsia="en-GB"/>
              </w:rPr>
              <w:t>Serenity stressor</w:t>
            </w:r>
          </w:p>
        </w:tc>
        <w:tc>
          <w:tcPr>
            <w:tcW w:w="915" w:type="dxa"/>
            <w:noWrap/>
            <w:hideMark/>
          </w:tcPr>
          <w:p w14:paraId="5AFE84BA" w14:textId="77777777" w:rsidR="00375BD2" w:rsidRPr="00C05886" w:rsidRDefault="00375BD2" w:rsidP="00375BD2">
            <w:pPr>
              <w:spacing w:line="240" w:lineRule="auto"/>
              <w:rPr>
                <w:rFonts w:eastAsia="Times New Roman" w:cstheme="minorHAnsi"/>
                <w:color w:val="000000"/>
                <w:sz w:val="18"/>
                <w:szCs w:val="18"/>
                <w:lang w:eastAsia="en-GB"/>
              </w:rPr>
            </w:pPr>
            <w:proofErr w:type="gramStart"/>
            <w:r w:rsidRPr="00C05886">
              <w:rPr>
                <w:rFonts w:eastAsia="Times New Roman" w:cstheme="minorHAnsi"/>
                <w:color w:val="000000"/>
                <w:sz w:val="18"/>
                <w:szCs w:val="18"/>
                <w:lang w:eastAsia="en-GB"/>
              </w:rPr>
              <w:t>Serenity park</w:t>
            </w:r>
            <w:proofErr w:type="gramEnd"/>
          </w:p>
        </w:tc>
        <w:tc>
          <w:tcPr>
            <w:tcW w:w="843" w:type="dxa"/>
            <w:noWrap/>
            <w:hideMark/>
          </w:tcPr>
          <w:p w14:paraId="7136CC80" w14:textId="77777777" w:rsidR="00375BD2" w:rsidRPr="00C05886" w:rsidRDefault="00375BD2" w:rsidP="00375BD2">
            <w:pPr>
              <w:spacing w:line="240" w:lineRule="auto"/>
              <w:rPr>
                <w:rFonts w:eastAsia="Times New Roman" w:cstheme="minorHAnsi"/>
                <w:color w:val="000000"/>
                <w:sz w:val="18"/>
                <w:szCs w:val="18"/>
                <w:lang w:eastAsia="en-GB"/>
              </w:rPr>
            </w:pPr>
            <w:r w:rsidRPr="00C05886">
              <w:rPr>
                <w:rFonts w:eastAsia="Times New Roman" w:cstheme="minorHAnsi"/>
                <w:color w:val="000000"/>
                <w:sz w:val="18"/>
                <w:szCs w:val="18"/>
                <w:lang w:eastAsia="en-GB"/>
              </w:rPr>
              <w:t>NA baseline</w:t>
            </w:r>
          </w:p>
        </w:tc>
        <w:tc>
          <w:tcPr>
            <w:tcW w:w="824" w:type="dxa"/>
            <w:noWrap/>
            <w:hideMark/>
          </w:tcPr>
          <w:p w14:paraId="5E505125" w14:textId="77777777" w:rsidR="00375BD2" w:rsidRPr="00C05886" w:rsidRDefault="00375BD2" w:rsidP="00375BD2">
            <w:pPr>
              <w:spacing w:line="240" w:lineRule="auto"/>
              <w:rPr>
                <w:rFonts w:eastAsia="Times New Roman" w:cstheme="minorHAnsi"/>
                <w:color w:val="000000"/>
                <w:sz w:val="18"/>
                <w:szCs w:val="18"/>
                <w:lang w:eastAsia="en-GB"/>
              </w:rPr>
            </w:pPr>
            <w:r w:rsidRPr="00C05886">
              <w:rPr>
                <w:rFonts w:eastAsia="Times New Roman" w:cstheme="minorHAnsi"/>
                <w:color w:val="000000"/>
                <w:sz w:val="18"/>
                <w:szCs w:val="18"/>
                <w:lang w:eastAsia="en-GB"/>
              </w:rPr>
              <w:t>NA stressor</w:t>
            </w:r>
          </w:p>
        </w:tc>
        <w:tc>
          <w:tcPr>
            <w:tcW w:w="640" w:type="dxa"/>
            <w:noWrap/>
            <w:hideMark/>
          </w:tcPr>
          <w:p w14:paraId="4A45E204" w14:textId="77777777" w:rsidR="00375BD2" w:rsidRPr="00C05886" w:rsidRDefault="00375BD2" w:rsidP="00375BD2">
            <w:pPr>
              <w:spacing w:line="240" w:lineRule="auto"/>
              <w:rPr>
                <w:rFonts w:eastAsia="Times New Roman" w:cstheme="minorHAnsi"/>
                <w:color w:val="000000"/>
                <w:sz w:val="18"/>
                <w:szCs w:val="18"/>
                <w:lang w:eastAsia="en-GB"/>
              </w:rPr>
            </w:pPr>
            <w:r w:rsidRPr="00C05886">
              <w:rPr>
                <w:rFonts w:eastAsia="Times New Roman" w:cstheme="minorHAnsi"/>
                <w:color w:val="000000"/>
                <w:sz w:val="18"/>
                <w:szCs w:val="18"/>
                <w:lang w:eastAsia="en-GB"/>
              </w:rPr>
              <w:t>NA park</w:t>
            </w:r>
          </w:p>
        </w:tc>
      </w:tr>
      <w:tr w:rsidR="00375BD2" w:rsidRPr="00C05886" w14:paraId="1300410F" w14:textId="77777777" w:rsidTr="0070406A">
        <w:trPr>
          <w:trHeight w:val="300"/>
        </w:trPr>
        <w:tc>
          <w:tcPr>
            <w:tcW w:w="704" w:type="dxa"/>
            <w:vMerge w:val="restart"/>
            <w:noWrap/>
            <w:vAlign w:val="center"/>
            <w:hideMark/>
          </w:tcPr>
          <w:p w14:paraId="7460AC71" w14:textId="77777777" w:rsidR="00375BD2" w:rsidRPr="00C05886" w:rsidRDefault="00375BD2" w:rsidP="00375BD2">
            <w:pPr>
              <w:spacing w:line="240" w:lineRule="auto"/>
              <w:jc w:val="center"/>
              <w:rPr>
                <w:rFonts w:eastAsia="Times New Roman" w:cstheme="minorHAnsi"/>
                <w:color w:val="000000"/>
                <w:sz w:val="18"/>
                <w:szCs w:val="18"/>
                <w:lang w:eastAsia="en-GB"/>
              </w:rPr>
            </w:pPr>
            <w:r w:rsidRPr="00C05886">
              <w:rPr>
                <w:rFonts w:eastAsia="Times New Roman" w:cstheme="minorHAnsi"/>
                <w:color w:val="000000"/>
                <w:sz w:val="18"/>
                <w:szCs w:val="18"/>
                <w:lang w:eastAsia="en-GB"/>
              </w:rPr>
              <w:t>HBHC</w:t>
            </w:r>
          </w:p>
        </w:tc>
        <w:tc>
          <w:tcPr>
            <w:tcW w:w="709" w:type="dxa"/>
            <w:noWrap/>
            <w:hideMark/>
          </w:tcPr>
          <w:p w14:paraId="3BC461AA" w14:textId="77777777" w:rsidR="00375BD2" w:rsidRPr="00C05886" w:rsidRDefault="00375BD2" w:rsidP="00375BD2">
            <w:pPr>
              <w:spacing w:line="240" w:lineRule="auto"/>
              <w:rPr>
                <w:rFonts w:eastAsia="Times New Roman" w:cstheme="minorHAnsi"/>
                <w:color w:val="000000"/>
                <w:sz w:val="18"/>
                <w:szCs w:val="18"/>
                <w:lang w:eastAsia="en-GB"/>
              </w:rPr>
            </w:pPr>
            <w:r w:rsidRPr="00C05886">
              <w:rPr>
                <w:rFonts w:eastAsia="Times New Roman" w:cstheme="minorHAnsi"/>
                <w:color w:val="000000"/>
                <w:sz w:val="18"/>
                <w:szCs w:val="18"/>
                <w:lang w:eastAsia="en-GB"/>
              </w:rPr>
              <w:t>Mean</w:t>
            </w:r>
          </w:p>
        </w:tc>
        <w:tc>
          <w:tcPr>
            <w:tcW w:w="850" w:type="dxa"/>
            <w:noWrap/>
            <w:hideMark/>
          </w:tcPr>
          <w:p w14:paraId="77E37EE9"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2.44</w:t>
            </w:r>
          </w:p>
        </w:tc>
        <w:tc>
          <w:tcPr>
            <w:tcW w:w="1021" w:type="dxa"/>
            <w:noWrap/>
            <w:hideMark/>
          </w:tcPr>
          <w:p w14:paraId="6D88ADC6"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2.08</w:t>
            </w:r>
          </w:p>
        </w:tc>
        <w:tc>
          <w:tcPr>
            <w:tcW w:w="903" w:type="dxa"/>
            <w:noWrap/>
            <w:hideMark/>
          </w:tcPr>
          <w:p w14:paraId="2F7F6BF5"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2.53</w:t>
            </w:r>
          </w:p>
        </w:tc>
        <w:tc>
          <w:tcPr>
            <w:tcW w:w="1119" w:type="dxa"/>
            <w:noWrap/>
            <w:hideMark/>
          </w:tcPr>
          <w:p w14:paraId="465D668D"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3.34</w:t>
            </w:r>
          </w:p>
        </w:tc>
        <w:tc>
          <w:tcPr>
            <w:tcW w:w="1100" w:type="dxa"/>
            <w:noWrap/>
            <w:hideMark/>
          </w:tcPr>
          <w:p w14:paraId="0834132E"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2.62</w:t>
            </w:r>
          </w:p>
        </w:tc>
        <w:tc>
          <w:tcPr>
            <w:tcW w:w="915" w:type="dxa"/>
            <w:noWrap/>
            <w:hideMark/>
          </w:tcPr>
          <w:p w14:paraId="50D08B06"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3.43</w:t>
            </w:r>
          </w:p>
        </w:tc>
        <w:tc>
          <w:tcPr>
            <w:tcW w:w="843" w:type="dxa"/>
            <w:noWrap/>
            <w:hideMark/>
          </w:tcPr>
          <w:p w14:paraId="6B7251AC"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1.56</w:t>
            </w:r>
          </w:p>
        </w:tc>
        <w:tc>
          <w:tcPr>
            <w:tcW w:w="824" w:type="dxa"/>
            <w:noWrap/>
            <w:hideMark/>
          </w:tcPr>
          <w:p w14:paraId="1BB4344A"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1.84</w:t>
            </w:r>
          </w:p>
        </w:tc>
        <w:tc>
          <w:tcPr>
            <w:tcW w:w="640" w:type="dxa"/>
            <w:noWrap/>
            <w:hideMark/>
          </w:tcPr>
          <w:p w14:paraId="6B46B7A6"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1.38</w:t>
            </w:r>
          </w:p>
        </w:tc>
      </w:tr>
      <w:tr w:rsidR="00375BD2" w:rsidRPr="00C05886" w14:paraId="64466C8F" w14:textId="77777777" w:rsidTr="0070406A">
        <w:trPr>
          <w:trHeight w:val="300"/>
        </w:trPr>
        <w:tc>
          <w:tcPr>
            <w:tcW w:w="704" w:type="dxa"/>
            <w:vMerge/>
            <w:noWrap/>
            <w:vAlign w:val="center"/>
            <w:hideMark/>
          </w:tcPr>
          <w:p w14:paraId="0BCCA9B4" w14:textId="77777777" w:rsidR="00375BD2" w:rsidRPr="00C05886" w:rsidRDefault="00375BD2" w:rsidP="00375BD2">
            <w:pPr>
              <w:spacing w:line="240" w:lineRule="auto"/>
              <w:jc w:val="center"/>
              <w:rPr>
                <w:rFonts w:eastAsia="Times New Roman" w:cstheme="minorHAnsi"/>
                <w:color w:val="000000"/>
                <w:sz w:val="18"/>
                <w:szCs w:val="18"/>
                <w:lang w:eastAsia="en-GB"/>
              </w:rPr>
            </w:pPr>
          </w:p>
        </w:tc>
        <w:tc>
          <w:tcPr>
            <w:tcW w:w="709" w:type="dxa"/>
            <w:noWrap/>
            <w:hideMark/>
          </w:tcPr>
          <w:p w14:paraId="45971C48" w14:textId="77777777" w:rsidR="00375BD2" w:rsidRPr="00C05886" w:rsidRDefault="00375BD2" w:rsidP="00375BD2">
            <w:pPr>
              <w:spacing w:line="240" w:lineRule="auto"/>
              <w:rPr>
                <w:rFonts w:eastAsia="Times New Roman" w:cstheme="minorHAnsi"/>
                <w:color w:val="000000"/>
                <w:sz w:val="18"/>
                <w:szCs w:val="18"/>
                <w:lang w:eastAsia="en-GB"/>
              </w:rPr>
            </w:pPr>
            <w:r w:rsidRPr="00C05886">
              <w:rPr>
                <w:rFonts w:eastAsia="Times New Roman" w:cstheme="minorHAnsi"/>
                <w:color w:val="000000"/>
                <w:sz w:val="18"/>
                <w:szCs w:val="18"/>
                <w:lang w:eastAsia="en-GB"/>
              </w:rPr>
              <w:t>SD</w:t>
            </w:r>
          </w:p>
        </w:tc>
        <w:tc>
          <w:tcPr>
            <w:tcW w:w="850" w:type="dxa"/>
            <w:noWrap/>
            <w:hideMark/>
          </w:tcPr>
          <w:p w14:paraId="5124D158"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0.84</w:t>
            </w:r>
          </w:p>
        </w:tc>
        <w:tc>
          <w:tcPr>
            <w:tcW w:w="1021" w:type="dxa"/>
            <w:noWrap/>
            <w:hideMark/>
          </w:tcPr>
          <w:p w14:paraId="0C7FF8FC"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0.87</w:t>
            </w:r>
          </w:p>
        </w:tc>
        <w:tc>
          <w:tcPr>
            <w:tcW w:w="903" w:type="dxa"/>
            <w:noWrap/>
            <w:hideMark/>
          </w:tcPr>
          <w:p w14:paraId="247F911F"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0.95</w:t>
            </w:r>
          </w:p>
        </w:tc>
        <w:tc>
          <w:tcPr>
            <w:tcW w:w="1119" w:type="dxa"/>
            <w:noWrap/>
            <w:hideMark/>
          </w:tcPr>
          <w:p w14:paraId="4CEF273B"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0.89</w:t>
            </w:r>
          </w:p>
        </w:tc>
        <w:tc>
          <w:tcPr>
            <w:tcW w:w="1100" w:type="dxa"/>
            <w:noWrap/>
            <w:hideMark/>
          </w:tcPr>
          <w:p w14:paraId="0DC0DB87"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1.08</w:t>
            </w:r>
          </w:p>
        </w:tc>
        <w:tc>
          <w:tcPr>
            <w:tcW w:w="915" w:type="dxa"/>
            <w:noWrap/>
            <w:hideMark/>
          </w:tcPr>
          <w:p w14:paraId="3AB27C65"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1.00</w:t>
            </w:r>
          </w:p>
        </w:tc>
        <w:tc>
          <w:tcPr>
            <w:tcW w:w="843" w:type="dxa"/>
            <w:noWrap/>
            <w:hideMark/>
          </w:tcPr>
          <w:p w14:paraId="6C5B0AED"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0.75</w:t>
            </w:r>
          </w:p>
        </w:tc>
        <w:tc>
          <w:tcPr>
            <w:tcW w:w="824" w:type="dxa"/>
            <w:noWrap/>
            <w:hideMark/>
          </w:tcPr>
          <w:p w14:paraId="7BBF16F0"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0.89</w:t>
            </w:r>
          </w:p>
        </w:tc>
        <w:tc>
          <w:tcPr>
            <w:tcW w:w="640" w:type="dxa"/>
            <w:noWrap/>
            <w:hideMark/>
          </w:tcPr>
          <w:p w14:paraId="6CDFE44E"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0.69</w:t>
            </w:r>
          </w:p>
        </w:tc>
      </w:tr>
      <w:tr w:rsidR="00375BD2" w:rsidRPr="00C05886" w14:paraId="0224D672" w14:textId="77777777" w:rsidTr="0070406A">
        <w:trPr>
          <w:trHeight w:val="300"/>
        </w:trPr>
        <w:tc>
          <w:tcPr>
            <w:tcW w:w="704" w:type="dxa"/>
            <w:vMerge/>
            <w:noWrap/>
            <w:vAlign w:val="center"/>
            <w:hideMark/>
          </w:tcPr>
          <w:p w14:paraId="7CBF9D43" w14:textId="77777777" w:rsidR="00375BD2" w:rsidRPr="00C05886" w:rsidRDefault="00375BD2" w:rsidP="00375BD2">
            <w:pPr>
              <w:spacing w:line="240" w:lineRule="auto"/>
              <w:jc w:val="center"/>
              <w:rPr>
                <w:rFonts w:eastAsia="Times New Roman" w:cstheme="minorHAnsi"/>
                <w:color w:val="000000"/>
                <w:sz w:val="18"/>
                <w:szCs w:val="18"/>
                <w:lang w:eastAsia="en-GB"/>
              </w:rPr>
            </w:pPr>
          </w:p>
        </w:tc>
        <w:tc>
          <w:tcPr>
            <w:tcW w:w="709" w:type="dxa"/>
            <w:noWrap/>
            <w:hideMark/>
          </w:tcPr>
          <w:p w14:paraId="5E010215" w14:textId="77777777" w:rsidR="00375BD2" w:rsidRPr="00C05886" w:rsidRDefault="00375BD2" w:rsidP="00375BD2">
            <w:pPr>
              <w:spacing w:line="240" w:lineRule="auto"/>
              <w:rPr>
                <w:rFonts w:eastAsia="Times New Roman" w:cstheme="minorHAnsi"/>
                <w:color w:val="000000"/>
                <w:sz w:val="18"/>
                <w:szCs w:val="18"/>
                <w:lang w:eastAsia="en-GB"/>
              </w:rPr>
            </w:pPr>
            <w:r w:rsidRPr="00C05886">
              <w:rPr>
                <w:rFonts w:eastAsia="Times New Roman" w:cstheme="minorHAnsi"/>
                <w:color w:val="000000"/>
                <w:sz w:val="18"/>
                <w:szCs w:val="18"/>
                <w:lang w:eastAsia="en-GB"/>
              </w:rPr>
              <w:t>N</w:t>
            </w:r>
          </w:p>
        </w:tc>
        <w:tc>
          <w:tcPr>
            <w:tcW w:w="850" w:type="dxa"/>
            <w:noWrap/>
            <w:hideMark/>
          </w:tcPr>
          <w:p w14:paraId="67B9CB73"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120</w:t>
            </w:r>
          </w:p>
        </w:tc>
        <w:tc>
          <w:tcPr>
            <w:tcW w:w="1021" w:type="dxa"/>
            <w:noWrap/>
            <w:hideMark/>
          </w:tcPr>
          <w:p w14:paraId="5DBEE33A"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120</w:t>
            </w:r>
          </w:p>
        </w:tc>
        <w:tc>
          <w:tcPr>
            <w:tcW w:w="903" w:type="dxa"/>
            <w:noWrap/>
            <w:hideMark/>
          </w:tcPr>
          <w:p w14:paraId="7F2009D9"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120</w:t>
            </w:r>
          </w:p>
        </w:tc>
        <w:tc>
          <w:tcPr>
            <w:tcW w:w="1119" w:type="dxa"/>
            <w:noWrap/>
            <w:hideMark/>
          </w:tcPr>
          <w:p w14:paraId="0B26CB9D"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120</w:t>
            </w:r>
          </w:p>
        </w:tc>
        <w:tc>
          <w:tcPr>
            <w:tcW w:w="1100" w:type="dxa"/>
            <w:noWrap/>
            <w:hideMark/>
          </w:tcPr>
          <w:p w14:paraId="6A5DEA39"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120</w:t>
            </w:r>
          </w:p>
        </w:tc>
        <w:tc>
          <w:tcPr>
            <w:tcW w:w="915" w:type="dxa"/>
            <w:noWrap/>
            <w:hideMark/>
          </w:tcPr>
          <w:p w14:paraId="2FEF82A5"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120</w:t>
            </w:r>
          </w:p>
        </w:tc>
        <w:tc>
          <w:tcPr>
            <w:tcW w:w="843" w:type="dxa"/>
            <w:noWrap/>
            <w:hideMark/>
          </w:tcPr>
          <w:p w14:paraId="1273CA0A"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120</w:t>
            </w:r>
          </w:p>
        </w:tc>
        <w:tc>
          <w:tcPr>
            <w:tcW w:w="824" w:type="dxa"/>
            <w:noWrap/>
            <w:hideMark/>
          </w:tcPr>
          <w:p w14:paraId="7F1A89CA"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120</w:t>
            </w:r>
          </w:p>
        </w:tc>
        <w:tc>
          <w:tcPr>
            <w:tcW w:w="640" w:type="dxa"/>
            <w:noWrap/>
            <w:hideMark/>
          </w:tcPr>
          <w:p w14:paraId="3825185F"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120</w:t>
            </w:r>
          </w:p>
        </w:tc>
      </w:tr>
      <w:tr w:rsidR="00375BD2" w:rsidRPr="00C05886" w14:paraId="28759ABB" w14:textId="77777777" w:rsidTr="0070406A">
        <w:trPr>
          <w:trHeight w:val="300"/>
        </w:trPr>
        <w:tc>
          <w:tcPr>
            <w:tcW w:w="704" w:type="dxa"/>
            <w:vMerge w:val="restart"/>
            <w:noWrap/>
            <w:vAlign w:val="center"/>
            <w:hideMark/>
          </w:tcPr>
          <w:p w14:paraId="5A439666" w14:textId="77777777" w:rsidR="00375BD2" w:rsidRPr="00C05886" w:rsidRDefault="00375BD2" w:rsidP="00375BD2">
            <w:pPr>
              <w:spacing w:line="240" w:lineRule="auto"/>
              <w:jc w:val="center"/>
              <w:rPr>
                <w:rFonts w:eastAsia="Times New Roman" w:cstheme="minorHAnsi"/>
                <w:color w:val="000000"/>
                <w:sz w:val="18"/>
                <w:szCs w:val="18"/>
                <w:lang w:eastAsia="en-GB"/>
              </w:rPr>
            </w:pPr>
            <w:r w:rsidRPr="00C05886">
              <w:rPr>
                <w:rFonts w:eastAsia="Times New Roman" w:cstheme="minorHAnsi"/>
                <w:color w:val="000000"/>
                <w:sz w:val="18"/>
                <w:szCs w:val="18"/>
                <w:lang w:eastAsia="en-GB"/>
              </w:rPr>
              <w:t>HBLC</w:t>
            </w:r>
          </w:p>
        </w:tc>
        <w:tc>
          <w:tcPr>
            <w:tcW w:w="709" w:type="dxa"/>
            <w:noWrap/>
            <w:hideMark/>
          </w:tcPr>
          <w:p w14:paraId="6DEDAFBB" w14:textId="77777777" w:rsidR="00375BD2" w:rsidRPr="00C05886" w:rsidRDefault="00375BD2" w:rsidP="00375BD2">
            <w:pPr>
              <w:spacing w:line="240" w:lineRule="auto"/>
              <w:rPr>
                <w:rFonts w:eastAsia="Times New Roman" w:cstheme="minorHAnsi"/>
                <w:color w:val="000000"/>
                <w:sz w:val="18"/>
                <w:szCs w:val="18"/>
                <w:lang w:eastAsia="en-GB"/>
              </w:rPr>
            </w:pPr>
            <w:r w:rsidRPr="00C05886">
              <w:rPr>
                <w:rFonts w:eastAsia="Times New Roman" w:cstheme="minorHAnsi"/>
                <w:color w:val="000000"/>
                <w:sz w:val="18"/>
                <w:szCs w:val="18"/>
                <w:lang w:eastAsia="en-GB"/>
              </w:rPr>
              <w:t>Mean</w:t>
            </w:r>
          </w:p>
        </w:tc>
        <w:tc>
          <w:tcPr>
            <w:tcW w:w="850" w:type="dxa"/>
            <w:noWrap/>
            <w:hideMark/>
          </w:tcPr>
          <w:p w14:paraId="527B8042"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2.66</w:t>
            </w:r>
          </w:p>
        </w:tc>
        <w:tc>
          <w:tcPr>
            <w:tcW w:w="1021" w:type="dxa"/>
            <w:noWrap/>
            <w:hideMark/>
          </w:tcPr>
          <w:p w14:paraId="66F45065"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2.37</w:t>
            </w:r>
          </w:p>
        </w:tc>
        <w:tc>
          <w:tcPr>
            <w:tcW w:w="903" w:type="dxa"/>
            <w:noWrap/>
            <w:hideMark/>
          </w:tcPr>
          <w:p w14:paraId="45BD2C86"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2.77</w:t>
            </w:r>
          </w:p>
        </w:tc>
        <w:tc>
          <w:tcPr>
            <w:tcW w:w="1119" w:type="dxa"/>
            <w:noWrap/>
            <w:hideMark/>
          </w:tcPr>
          <w:p w14:paraId="0561F7DC"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3.42</w:t>
            </w:r>
          </w:p>
        </w:tc>
        <w:tc>
          <w:tcPr>
            <w:tcW w:w="1100" w:type="dxa"/>
            <w:noWrap/>
            <w:hideMark/>
          </w:tcPr>
          <w:p w14:paraId="1A6E6AF9"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2.73</w:t>
            </w:r>
          </w:p>
        </w:tc>
        <w:tc>
          <w:tcPr>
            <w:tcW w:w="915" w:type="dxa"/>
            <w:noWrap/>
            <w:hideMark/>
          </w:tcPr>
          <w:p w14:paraId="190A80D7"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3.48</w:t>
            </w:r>
          </w:p>
        </w:tc>
        <w:tc>
          <w:tcPr>
            <w:tcW w:w="843" w:type="dxa"/>
            <w:noWrap/>
            <w:hideMark/>
          </w:tcPr>
          <w:p w14:paraId="42FD7C4A"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1.58</w:t>
            </w:r>
          </w:p>
        </w:tc>
        <w:tc>
          <w:tcPr>
            <w:tcW w:w="824" w:type="dxa"/>
            <w:noWrap/>
            <w:hideMark/>
          </w:tcPr>
          <w:p w14:paraId="119607F7"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1.81</w:t>
            </w:r>
          </w:p>
        </w:tc>
        <w:tc>
          <w:tcPr>
            <w:tcW w:w="640" w:type="dxa"/>
            <w:noWrap/>
            <w:hideMark/>
          </w:tcPr>
          <w:p w14:paraId="43BC437B"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1.32</w:t>
            </w:r>
          </w:p>
        </w:tc>
      </w:tr>
      <w:tr w:rsidR="00375BD2" w:rsidRPr="00C05886" w14:paraId="028B5142" w14:textId="77777777" w:rsidTr="0070406A">
        <w:trPr>
          <w:trHeight w:val="300"/>
        </w:trPr>
        <w:tc>
          <w:tcPr>
            <w:tcW w:w="704" w:type="dxa"/>
            <w:vMerge/>
            <w:noWrap/>
            <w:vAlign w:val="center"/>
            <w:hideMark/>
          </w:tcPr>
          <w:p w14:paraId="42BDB1A1" w14:textId="77777777" w:rsidR="00375BD2" w:rsidRPr="00C05886" w:rsidRDefault="00375BD2" w:rsidP="00375BD2">
            <w:pPr>
              <w:spacing w:line="240" w:lineRule="auto"/>
              <w:jc w:val="center"/>
              <w:rPr>
                <w:rFonts w:eastAsia="Times New Roman" w:cstheme="minorHAnsi"/>
                <w:color w:val="000000"/>
                <w:sz w:val="18"/>
                <w:szCs w:val="18"/>
                <w:lang w:eastAsia="en-GB"/>
              </w:rPr>
            </w:pPr>
          </w:p>
        </w:tc>
        <w:tc>
          <w:tcPr>
            <w:tcW w:w="709" w:type="dxa"/>
            <w:noWrap/>
            <w:hideMark/>
          </w:tcPr>
          <w:p w14:paraId="02544216" w14:textId="77777777" w:rsidR="00375BD2" w:rsidRPr="00C05886" w:rsidRDefault="00375BD2" w:rsidP="00375BD2">
            <w:pPr>
              <w:spacing w:line="240" w:lineRule="auto"/>
              <w:rPr>
                <w:rFonts w:eastAsia="Times New Roman" w:cstheme="minorHAnsi"/>
                <w:color w:val="000000"/>
                <w:sz w:val="18"/>
                <w:szCs w:val="18"/>
                <w:lang w:eastAsia="en-GB"/>
              </w:rPr>
            </w:pPr>
            <w:r w:rsidRPr="00C05886">
              <w:rPr>
                <w:rFonts w:eastAsia="Times New Roman" w:cstheme="minorHAnsi"/>
                <w:color w:val="000000"/>
                <w:sz w:val="18"/>
                <w:szCs w:val="18"/>
                <w:lang w:eastAsia="en-GB"/>
              </w:rPr>
              <w:t>SD</w:t>
            </w:r>
          </w:p>
        </w:tc>
        <w:tc>
          <w:tcPr>
            <w:tcW w:w="850" w:type="dxa"/>
            <w:noWrap/>
            <w:hideMark/>
          </w:tcPr>
          <w:p w14:paraId="7577FC3D"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1.00</w:t>
            </w:r>
          </w:p>
        </w:tc>
        <w:tc>
          <w:tcPr>
            <w:tcW w:w="1021" w:type="dxa"/>
            <w:noWrap/>
            <w:hideMark/>
          </w:tcPr>
          <w:p w14:paraId="17149D7C"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1.04</w:t>
            </w:r>
          </w:p>
        </w:tc>
        <w:tc>
          <w:tcPr>
            <w:tcW w:w="903" w:type="dxa"/>
            <w:noWrap/>
            <w:hideMark/>
          </w:tcPr>
          <w:p w14:paraId="0CEA690E"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1.12</w:t>
            </w:r>
          </w:p>
        </w:tc>
        <w:tc>
          <w:tcPr>
            <w:tcW w:w="1119" w:type="dxa"/>
            <w:noWrap/>
            <w:hideMark/>
          </w:tcPr>
          <w:p w14:paraId="17CCEABF"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0.96</w:t>
            </w:r>
          </w:p>
        </w:tc>
        <w:tc>
          <w:tcPr>
            <w:tcW w:w="1100" w:type="dxa"/>
            <w:noWrap/>
            <w:hideMark/>
          </w:tcPr>
          <w:p w14:paraId="2B565EC1"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1.15</w:t>
            </w:r>
          </w:p>
        </w:tc>
        <w:tc>
          <w:tcPr>
            <w:tcW w:w="915" w:type="dxa"/>
            <w:noWrap/>
            <w:hideMark/>
          </w:tcPr>
          <w:p w14:paraId="2B7DE2E3"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1.00</w:t>
            </w:r>
          </w:p>
        </w:tc>
        <w:tc>
          <w:tcPr>
            <w:tcW w:w="843" w:type="dxa"/>
            <w:noWrap/>
            <w:hideMark/>
          </w:tcPr>
          <w:p w14:paraId="1775F0F7"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0.88</w:t>
            </w:r>
          </w:p>
        </w:tc>
        <w:tc>
          <w:tcPr>
            <w:tcW w:w="824" w:type="dxa"/>
            <w:noWrap/>
            <w:hideMark/>
          </w:tcPr>
          <w:p w14:paraId="22A9E6AF"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0.83</w:t>
            </w:r>
          </w:p>
        </w:tc>
        <w:tc>
          <w:tcPr>
            <w:tcW w:w="640" w:type="dxa"/>
            <w:noWrap/>
            <w:hideMark/>
          </w:tcPr>
          <w:p w14:paraId="6B038ED4"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0.60</w:t>
            </w:r>
          </w:p>
        </w:tc>
      </w:tr>
      <w:tr w:rsidR="00375BD2" w:rsidRPr="00C05886" w14:paraId="55339554" w14:textId="77777777" w:rsidTr="0070406A">
        <w:trPr>
          <w:trHeight w:val="300"/>
        </w:trPr>
        <w:tc>
          <w:tcPr>
            <w:tcW w:w="704" w:type="dxa"/>
            <w:vMerge/>
            <w:noWrap/>
            <w:vAlign w:val="center"/>
            <w:hideMark/>
          </w:tcPr>
          <w:p w14:paraId="35B8F65E" w14:textId="77777777" w:rsidR="00375BD2" w:rsidRPr="00C05886" w:rsidRDefault="00375BD2" w:rsidP="00375BD2">
            <w:pPr>
              <w:spacing w:line="240" w:lineRule="auto"/>
              <w:jc w:val="center"/>
              <w:rPr>
                <w:rFonts w:eastAsia="Times New Roman" w:cstheme="minorHAnsi"/>
                <w:color w:val="000000"/>
                <w:sz w:val="18"/>
                <w:szCs w:val="18"/>
                <w:lang w:eastAsia="en-GB"/>
              </w:rPr>
            </w:pPr>
          </w:p>
        </w:tc>
        <w:tc>
          <w:tcPr>
            <w:tcW w:w="709" w:type="dxa"/>
            <w:noWrap/>
            <w:hideMark/>
          </w:tcPr>
          <w:p w14:paraId="13D04022" w14:textId="77777777" w:rsidR="00375BD2" w:rsidRPr="00C05886" w:rsidRDefault="00375BD2" w:rsidP="00375BD2">
            <w:pPr>
              <w:spacing w:line="240" w:lineRule="auto"/>
              <w:rPr>
                <w:rFonts w:eastAsia="Times New Roman" w:cstheme="minorHAnsi"/>
                <w:color w:val="000000"/>
                <w:sz w:val="18"/>
                <w:szCs w:val="18"/>
                <w:lang w:eastAsia="en-GB"/>
              </w:rPr>
            </w:pPr>
            <w:r w:rsidRPr="00C05886">
              <w:rPr>
                <w:rFonts w:eastAsia="Times New Roman" w:cstheme="minorHAnsi"/>
                <w:color w:val="000000"/>
                <w:sz w:val="18"/>
                <w:szCs w:val="18"/>
                <w:lang w:eastAsia="en-GB"/>
              </w:rPr>
              <w:t>N</w:t>
            </w:r>
          </w:p>
        </w:tc>
        <w:tc>
          <w:tcPr>
            <w:tcW w:w="850" w:type="dxa"/>
            <w:noWrap/>
            <w:hideMark/>
          </w:tcPr>
          <w:p w14:paraId="37390383"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119</w:t>
            </w:r>
          </w:p>
        </w:tc>
        <w:tc>
          <w:tcPr>
            <w:tcW w:w="1021" w:type="dxa"/>
            <w:noWrap/>
            <w:hideMark/>
          </w:tcPr>
          <w:p w14:paraId="2148840B"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119</w:t>
            </w:r>
          </w:p>
        </w:tc>
        <w:tc>
          <w:tcPr>
            <w:tcW w:w="903" w:type="dxa"/>
            <w:noWrap/>
            <w:hideMark/>
          </w:tcPr>
          <w:p w14:paraId="75FE7076"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119</w:t>
            </w:r>
          </w:p>
        </w:tc>
        <w:tc>
          <w:tcPr>
            <w:tcW w:w="1119" w:type="dxa"/>
            <w:noWrap/>
            <w:hideMark/>
          </w:tcPr>
          <w:p w14:paraId="3D2D503C"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119</w:t>
            </w:r>
          </w:p>
        </w:tc>
        <w:tc>
          <w:tcPr>
            <w:tcW w:w="1100" w:type="dxa"/>
            <w:noWrap/>
            <w:hideMark/>
          </w:tcPr>
          <w:p w14:paraId="0E6BE0E5"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119</w:t>
            </w:r>
          </w:p>
        </w:tc>
        <w:tc>
          <w:tcPr>
            <w:tcW w:w="915" w:type="dxa"/>
            <w:noWrap/>
            <w:hideMark/>
          </w:tcPr>
          <w:p w14:paraId="5B9F7586"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119</w:t>
            </w:r>
          </w:p>
        </w:tc>
        <w:tc>
          <w:tcPr>
            <w:tcW w:w="843" w:type="dxa"/>
            <w:noWrap/>
            <w:hideMark/>
          </w:tcPr>
          <w:p w14:paraId="0F6C88B3"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119</w:t>
            </w:r>
          </w:p>
        </w:tc>
        <w:tc>
          <w:tcPr>
            <w:tcW w:w="824" w:type="dxa"/>
            <w:noWrap/>
            <w:hideMark/>
          </w:tcPr>
          <w:p w14:paraId="51C4E789"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119</w:t>
            </w:r>
          </w:p>
        </w:tc>
        <w:tc>
          <w:tcPr>
            <w:tcW w:w="640" w:type="dxa"/>
            <w:noWrap/>
            <w:hideMark/>
          </w:tcPr>
          <w:p w14:paraId="09F34891"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119</w:t>
            </w:r>
          </w:p>
        </w:tc>
      </w:tr>
      <w:tr w:rsidR="00375BD2" w:rsidRPr="00C05886" w14:paraId="05211E0E" w14:textId="77777777" w:rsidTr="0070406A">
        <w:trPr>
          <w:trHeight w:val="300"/>
        </w:trPr>
        <w:tc>
          <w:tcPr>
            <w:tcW w:w="704" w:type="dxa"/>
            <w:vMerge w:val="restart"/>
            <w:noWrap/>
            <w:vAlign w:val="center"/>
            <w:hideMark/>
          </w:tcPr>
          <w:p w14:paraId="36F48943" w14:textId="77777777" w:rsidR="00375BD2" w:rsidRPr="00C05886" w:rsidRDefault="00375BD2" w:rsidP="00375BD2">
            <w:pPr>
              <w:spacing w:line="240" w:lineRule="auto"/>
              <w:jc w:val="center"/>
              <w:rPr>
                <w:rFonts w:eastAsia="Times New Roman" w:cstheme="minorHAnsi"/>
                <w:color w:val="000000"/>
                <w:sz w:val="18"/>
                <w:szCs w:val="18"/>
                <w:lang w:eastAsia="en-GB"/>
              </w:rPr>
            </w:pPr>
            <w:r w:rsidRPr="00C05886">
              <w:rPr>
                <w:rFonts w:eastAsia="Times New Roman" w:cstheme="minorHAnsi"/>
                <w:color w:val="000000"/>
                <w:sz w:val="18"/>
                <w:szCs w:val="18"/>
                <w:lang w:eastAsia="en-GB"/>
              </w:rPr>
              <w:t>LBHC</w:t>
            </w:r>
          </w:p>
        </w:tc>
        <w:tc>
          <w:tcPr>
            <w:tcW w:w="709" w:type="dxa"/>
            <w:noWrap/>
            <w:hideMark/>
          </w:tcPr>
          <w:p w14:paraId="5E42AFB2" w14:textId="77777777" w:rsidR="00375BD2" w:rsidRPr="00C05886" w:rsidRDefault="00375BD2" w:rsidP="00375BD2">
            <w:pPr>
              <w:spacing w:line="240" w:lineRule="auto"/>
              <w:rPr>
                <w:rFonts w:eastAsia="Times New Roman" w:cstheme="minorHAnsi"/>
                <w:color w:val="000000"/>
                <w:sz w:val="18"/>
                <w:szCs w:val="18"/>
                <w:lang w:eastAsia="en-GB"/>
              </w:rPr>
            </w:pPr>
            <w:r w:rsidRPr="00C05886">
              <w:rPr>
                <w:rFonts w:eastAsia="Times New Roman" w:cstheme="minorHAnsi"/>
                <w:color w:val="000000"/>
                <w:sz w:val="18"/>
                <w:szCs w:val="18"/>
                <w:lang w:eastAsia="en-GB"/>
              </w:rPr>
              <w:t>Mean</w:t>
            </w:r>
          </w:p>
        </w:tc>
        <w:tc>
          <w:tcPr>
            <w:tcW w:w="850" w:type="dxa"/>
            <w:noWrap/>
            <w:hideMark/>
          </w:tcPr>
          <w:p w14:paraId="3F5B3022"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2.77</w:t>
            </w:r>
          </w:p>
        </w:tc>
        <w:tc>
          <w:tcPr>
            <w:tcW w:w="1021" w:type="dxa"/>
            <w:noWrap/>
            <w:hideMark/>
          </w:tcPr>
          <w:p w14:paraId="2852547B"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2.32</w:t>
            </w:r>
          </w:p>
        </w:tc>
        <w:tc>
          <w:tcPr>
            <w:tcW w:w="903" w:type="dxa"/>
            <w:noWrap/>
            <w:hideMark/>
          </w:tcPr>
          <w:p w14:paraId="797FBB23"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2.75</w:t>
            </w:r>
          </w:p>
        </w:tc>
        <w:tc>
          <w:tcPr>
            <w:tcW w:w="1119" w:type="dxa"/>
            <w:noWrap/>
            <w:hideMark/>
          </w:tcPr>
          <w:p w14:paraId="343B205B"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3.40</w:t>
            </w:r>
          </w:p>
        </w:tc>
        <w:tc>
          <w:tcPr>
            <w:tcW w:w="1100" w:type="dxa"/>
            <w:noWrap/>
            <w:hideMark/>
          </w:tcPr>
          <w:p w14:paraId="5B551999"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2.59</w:t>
            </w:r>
          </w:p>
        </w:tc>
        <w:tc>
          <w:tcPr>
            <w:tcW w:w="915" w:type="dxa"/>
            <w:noWrap/>
            <w:hideMark/>
          </w:tcPr>
          <w:p w14:paraId="6AC3FAEA"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3.46</w:t>
            </w:r>
          </w:p>
        </w:tc>
        <w:tc>
          <w:tcPr>
            <w:tcW w:w="843" w:type="dxa"/>
            <w:noWrap/>
            <w:hideMark/>
          </w:tcPr>
          <w:p w14:paraId="7B7DD844"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1.58</w:t>
            </w:r>
          </w:p>
        </w:tc>
        <w:tc>
          <w:tcPr>
            <w:tcW w:w="824" w:type="dxa"/>
            <w:noWrap/>
            <w:hideMark/>
          </w:tcPr>
          <w:p w14:paraId="25DEB32C"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1.81</w:t>
            </w:r>
          </w:p>
        </w:tc>
        <w:tc>
          <w:tcPr>
            <w:tcW w:w="640" w:type="dxa"/>
            <w:noWrap/>
            <w:hideMark/>
          </w:tcPr>
          <w:p w14:paraId="6B8C6C3C"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1.33</w:t>
            </w:r>
          </w:p>
        </w:tc>
      </w:tr>
      <w:tr w:rsidR="00375BD2" w:rsidRPr="00C05886" w14:paraId="6AFE805C" w14:textId="77777777" w:rsidTr="0070406A">
        <w:trPr>
          <w:trHeight w:val="300"/>
        </w:trPr>
        <w:tc>
          <w:tcPr>
            <w:tcW w:w="704" w:type="dxa"/>
            <w:vMerge/>
            <w:noWrap/>
            <w:vAlign w:val="center"/>
            <w:hideMark/>
          </w:tcPr>
          <w:p w14:paraId="628AB40F" w14:textId="77777777" w:rsidR="00375BD2" w:rsidRPr="00C05886" w:rsidRDefault="00375BD2" w:rsidP="00375BD2">
            <w:pPr>
              <w:spacing w:line="240" w:lineRule="auto"/>
              <w:jc w:val="center"/>
              <w:rPr>
                <w:rFonts w:eastAsia="Times New Roman" w:cstheme="minorHAnsi"/>
                <w:color w:val="000000"/>
                <w:sz w:val="18"/>
                <w:szCs w:val="18"/>
                <w:lang w:eastAsia="en-GB"/>
              </w:rPr>
            </w:pPr>
          </w:p>
        </w:tc>
        <w:tc>
          <w:tcPr>
            <w:tcW w:w="709" w:type="dxa"/>
            <w:noWrap/>
            <w:hideMark/>
          </w:tcPr>
          <w:p w14:paraId="7E2A8D65" w14:textId="77777777" w:rsidR="00375BD2" w:rsidRPr="00C05886" w:rsidRDefault="00375BD2" w:rsidP="00375BD2">
            <w:pPr>
              <w:spacing w:line="240" w:lineRule="auto"/>
              <w:rPr>
                <w:rFonts w:eastAsia="Times New Roman" w:cstheme="minorHAnsi"/>
                <w:color w:val="000000"/>
                <w:sz w:val="18"/>
                <w:szCs w:val="18"/>
                <w:lang w:eastAsia="en-GB"/>
              </w:rPr>
            </w:pPr>
            <w:r w:rsidRPr="00C05886">
              <w:rPr>
                <w:rFonts w:eastAsia="Times New Roman" w:cstheme="minorHAnsi"/>
                <w:color w:val="000000"/>
                <w:sz w:val="18"/>
                <w:szCs w:val="18"/>
                <w:lang w:eastAsia="en-GB"/>
              </w:rPr>
              <w:t>SD</w:t>
            </w:r>
          </w:p>
        </w:tc>
        <w:tc>
          <w:tcPr>
            <w:tcW w:w="850" w:type="dxa"/>
            <w:noWrap/>
            <w:hideMark/>
          </w:tcPr>
          <w:p w14:paraId="417F55C0"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0.86</w:t>
            </w:r>
          </w:p>
        </w:tc>
        <w:tc>
          <w:tcPr>
            <w:tcW w:w="1021" w:type="dxa"/>
            <w:noWrap/>
            <w:hideMark/>
          </w:tcPr>
          <w:p w14:paraId="4D097C8B"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0.90</w:t>
            </w:r>
          </w:p>
        </w:tc>
        <w:tc>
          <w:tcPr>
            <w:tcW w:w="903" w:type="dxa"/>
            <w:noWrap/>
            <w:hideMark/>
          </w:tcPr>
          <w:p w14:paraId="7FFBB982"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0.88</w:t>
            </w:r>
          </w:p>
        </w:tc>
        <w:tc>
          <w:tcPr>
            <w:tcW w:w="1119" w:type="dxa"/>
            <w:noWrap/>
            <w:hideMark/>
          </w:tcPr>
          <w:p w14:paraId="7708A855"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0.88</w:t>
            </w:r>
          </w:p>
        </w:tc>
        <w:tc>
          <w:tcPr>
            <w:tcW w:w="1100" w:type="dxa"/>
            <w:noWrap/>
            <w:hideMark/>
          </w:tcPr>
          <w:p w14:paraId="222ECBAD"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1.02</w:t>
            </w:r>
          </w:p>
        </w:tc>
        <w:tc>
          <w:tcPr>
            <w:tcW w:w="915" w:type="dxa"/>
            <w:noWrap/>
            <w:hideMark/>
          </w:tcPr>
          <w:p w14:paraId="78487CFE"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0.89</w:t>
            </w:r>
          </w:p>
        </w:tc>
        <w:tc>
          <w:tcPr>
            <w:tcW w:w="843" w:type="dxa"/>
            <w:noWrap/>
            <w:hideMark/>
          </w:tcPr>
          <w:p w14:paraId="0FF0119D"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0.70</w:t>
            </w:r>
          </w:p>
        </w:tc>
        <w:tc>
          <w:tcPr>
            <w:tcW w:w="824" w:type="dxa"/>
            <w:noWrap/>
            <w:hideMark/>
          </w:tcPr>
          <w:p w14:paraId="07E078E6"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0.75</w:t>
            </w:r>
          </w:p>
        </w:tc>
        <w:tc>
          <w:tcPr>
            <w:tcW w:w="640" w:type="dxa"/>
            <w:noWrap/>
            <w:hideMark/>
          </w:tcPr>
          <w:p w14:paraId="498AC042"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0.56</w:t>
            </w:r>
          </w:p>
        </w:tc>
      </w:tr>
      <w:tr w:rsidR="00375BD2" w:rsidRPr="00C05886" w14:paraId="402ED12A" w14:textId="77777777" w:rsidTr="0070406A">
        <w:trPr>
          <w:trHeight w:val="300"/>
        </w:trPr>
        <w:tc>
          <w:tcPr>
            <w:tcW w:w="704" w:type="dxa"/>
            <w:vMerge/>
            <w:noWrap/>
            <w:vAlign w:val="center"/>
            <w:hideMark/>
          </w:tcPr>
          <w:p w14:paraId="408F4833" w14:textId="77777777" w:rsidR="00375BD2" w:rsidRPr="00C05886" w:rsidRDefault="00375BD2" w:rsidP="00375BD2">
            <w:pPr>
              <w:spacing w:line="240" w:lineRule="auto"/>
              <w:jc w:val="center"/>
              <w:rPr>
                <w:rFonts w:eastAsia="Times New Roman" w:cstheme="minorHAnsi"/>
                <w:color w:val="000000"/>
                <w:sz w:val="18"/>
                <w:szCs w:val="18"/>
                <w:lang w:eastAsia="en-GB"/>
              </w:rPr>
            </w:pPr>
          </w:p>
        </w:tc>
        <w:tc>
          <w:tcPr>
            <w:tcW w:w="709" w:type="dxa"/>
            <w:noWrap/>
            <w:hideMark/>
          </w:tcPr>
          <w:p w14:paraId="53D1B341" w14:textId="77777777" w:rsidR="00375BD2" w:rsidRPr="00C05886" w:rsidRDefault="00375BD2" w:rsidP="00375BD2">
            <w:pPr>
              <w:spacing w:line="240" w:lineRule="auto"/>
              <w:rPr>
                <w:rFonts w:eastAsia="Times New Roman" w:cstheme="minorHAnsi"/>
                <w:color w:val="000000"/>
                <w:sz w:val="18"/>
                <w:szCs w:val="18"/>
                <w:lang w:eastAsia="en-GB"/>
              </w:rPr>
            </w:pPr>
            <w:r w:rsidRPr="00C05886">
              <w:rPr>
                <w:rFonts w:eastAsia="Times New Roman" w:cstheme="minorHAnsi"/>
                <w:color w:val="000000"/>
                <w:sz w:val="18"/>
                <w:szCs w:val="18"/>
                <w:lang w:eastAsia="en-GB"/>
              </w:rPr>
              <w:t>N</w:t>
            </w:r>
          </w:p>
        </w:tc>
        <w:tc>
          <w:tcPr>
            <w:tcW w:w="850" w:type="dxa"/>
            <w:noWrap/>
            <w:hideMark/>
          </w:tcPr>
          <w:p w14:paraId="2ED69F94"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119</w:t>
            </w:r>
          </w:p>
        </w:tc>
        <w:tc>
          <w:tcPr>
            <w:tcW w:w="1021" w:type="dxa"/>
            <w:noWrap/>
            <w:hideMark/>
          </w:tcPr>
          <w:p w14:paraId="7AB4B7DF"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119</w:t>
            </w:r>
          </w:p>
        </w:tc>
        <w:tc>
          <w:tcPr>
            <w:tcW w:w="903" w:type="dxa"/>
            <w:noWrap/>
            <w:hideMark/>
          </w:tcPr>
          <w:p w14:paraId="01FECE51"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119</w:t>
            </w:r>
          </w:p>
        </w:tc>
        <w:tc>
          <w:tcPr>
            <w:tcW w:w="1119" w:type="dxa"/>
            <w:noWrap/>
            <w:hideMark/>
          </w:tcPr>
          <w:p w14:paraId="273DA6E9"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119</w:t>
            </w:r>
          </w:p>
        </w:tc>
        <w:tc>
          <w:tcPr>
            <w:tcW w:w="1100" w:type="dxa"/>
            <w:noWrap/>
            <w:hideMark/>
          </w:tcPr>
          <w:p w14:paraId="0338F5F1"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119</w:t>
            </w:r>
          </w:p>
        </w:tc>
        <w:tc>
          <w:tcPr>
            <w:tcW w:w="915" w:type="dxa"/>
            <w:noWrap/>
            <w:hideMark/>
          </w:tcPr>
          <w:p w14:paraId="3B3FD8FF"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119</w:t>
            </w:r>
          </w:p>
        </w:tc>
        <w:tc>
          <w:tcPr>
            <w:tcW w:w="843" w:type="dxa"/>
            <w:noWrap/>
            <w:hideMark/>
          </w:tcPr>
          <w:p w14:paraId="1B747C31"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119</w:t>
            </w:r>
          </w:p>
        </w:tc>
        <w:tc>
          <w:tcPr>
            <w:tcW w:w="824" w:type="dxa"/>
            <w:noWrap/>
            <w:hideMark/>
          </w:tcPr>
          <w:p w14:paraId="5ECD2E34"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119</w:t>
            </w:r>
          </w:p>
        </w:tc>
        <w:tc>
          <w:tcPr>
            <w:tcW w:w="640" w:type="dxa"/>
            <w:noWrap/>
            <w:hideMark/>
          </w:tcPr>
          <w:p w14:paraId="007268E5"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119</w:t>
            </w:r>
          </w:p>
        </w:tc>
      </w:tr>
      <w:tr w:rsidR="00375BD2" w:rsidRPr="00C05886" w14:paraId="215A4991" w14:textId="77777777" w:rsidTr="0070406A">
        <w:trPr>
          <w:trHeight w:val="300"/>
        </w:trPr>
        <w:tc>
          <w:tcPr>
            <w:tcW w:w="704" w:type="dxa"/>
            <w:vMerge w:val="restart"/>
            <w:noWrap/>
            <w:vAlign w:val="center"/>
            <w:hideMark/>
          </w:tcPr>
          <w:p w14:paraId="5F1B0608" w14:textId="77777777" w:rsidR="00375BD2" w:rsidRPr="00C05886" w:rsidRDefault="00375BD2" w:rsidP="00375BD2">
            <w:pPr>
              <w:spacing w:line="240" w:lineRule="auto"/>
              <w:jc w:val="center"/>
              <w:rPr>
                <w:rFonts w:eastAsia="Times New Roman" w:cstheme="minorHAnsi"/>
                <w:color w:val="000000"/>
                <w:sz w:val="18"/>
                <w:szCs w:val="18"/>
                <w:lang w:eastAsia="en-GB"/>
              </w:rPr>
            </w:pPr>
            <w:r w:rsidRPr="00C05886">
              <w:rPr>
                <w:rFonts w:eastAsia="Times New Roman" w:cstheme="minorHAnsi"/>
                <w:color w:val="000000"/>
                <w:sz w:val="18"/>
                <w:szCs w:val="18"/>
                <w:lang w:eastAsia="en-GB"/>
              </w:rPr>
              <w:t>LBLC</w:t>
            </w:r>
          </w:p>
        </w:tc>
        <w:tc>
          <w:tcPr>
            <w:tcW w:w="709" w:type="dxa"/>
            <w:noWrap/>
            <w:hideMark/>
          </w:tcPr>
          <w:p w14:paraId="2AC35B0A" w14:textId="77777777" w:rsidR="00375BD2" w:rsidRPr="00C05886" w:rsidRDefault="00375BD2" w:rsidP="00375BD2">
            <w:pPr>
              <w:spacing w:line="240" w:lineRule="auto"/>
              <w:rPr>
                <w:rFonts w:eastAsia="Times New Roman" w:cstheme="minorHAnsi"/>
                <w:color w:val="000000"/>
                <w:sz w:val="18"/>
                <w:szCs w:val="18"/>
                <w:lang w:eastAsia="en-GB"/>
              </w:rPr>
            </w:pPr>
            <w:r w:rsidRPr="00C05886">
              <w:rPr>
                <w:rFonts w:eastAsia="Times New Roman" w:cstheme="minorHAnsi"/>
                <w:color w:val="000000"/>
                <w:sz w:val="18"/>
                <w:szCs w:val="18"/>
                <w:lang w:eastAsia="en-GB"/>
              </w:rPr>
              <w:t>Mean</w:t>
            </w:r>
          </w:p>
        </w:tc>
        <w:tc>
          <w:tcPr>
            <w:tcW w:w="850" w:type="dxa"/>
            <w:noWrap/>
            <w:hideMark/>
          </w:tcPr>
          <w:p w14:paraId="23886B52"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2.56</w:t>
            </w:r>
          </w:p>
        </w:tc>
        <w:tc>
          <w:tcPr>
            <w:tcW w:w="1021" w:type="dxa"/>
            <w:noWrap/>
            <w:hideMark/>
          </w:tcPr>
          <w:p w14:paraId="4389F6B7"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2.18</w:t>
            </w:r>
          </w:p>
        </w:tc>
        <w:tc>
          <w:tcPr>
            <w:tcW w:w="903" w:type="dxa"/>
            <w:noWrap/>
            <w:hideMark/>
          </w:tcPr>
          <w:p w14:paraId="1ECAA0BA"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2.52</w:t>
            </w:r>
          </w:p>
        </w:tc>
        <w:tc>
          <w:tcPr>
            <w:tcW w:w="1119" w:type="dxa"/>
            <w:noWrap/>
            <w:hideMark/>
          </w:tcPr>
          <w:p w14:paraId="5E84B5AB"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3.53</w:t>
            </w:r>
          </w:p>
        </w:tc>
        <w:tc>
          <w:tcPr>
            <w:tcW w:w="1100" w:type="dxa"/>
            <w:noWrap/>
            <w:hideMark/>
          </w:tcPr>
          <w:p w14:paraId="243A4082"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2.71</w:t>
            </w:r>
          </w:p>
        </w:tc>
        <w:tc>
          <w:tcPr>
            <w:tcW w:w="915" w:type="dxa"/>
            <w:noWrap/>
            <w:hideMark/>
          </w:tcPr>
          <w:p w14:paraId="69C97777"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3.41</w:t>
            </w:r>
          </w:p>
        </w:tc>
        <w:tc>
          <w:tcPr>
            <w:tcW w:w="843" w:type="dxa"/>
            <w:noWrap/>
            <w:hideMark/>
          </w:tcPr>
          <w:p w14:paraId="70F911EE"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1.44</w:t>
            </w:r>
          </w:p>
        </w:tc>
        <w:tc>
          <w:tcPr>
            <w:tcW w:w="824" w:type="dxa"/>
            <w:noWrap/>
            <w:hideMark/>
          </w:tcPr>
          <w:p w14:paraId="1E31C169"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1.67</w:t>
            </w:r>
          </w:p>
        </w:tc>
        <w:tc>
          <w:tcPr>
            <w:tcW w:w="640" w:type="dxa"/>
            <w:noWrap/>
            <w:hideMark/>
          </w:tcPr>
          <w:p w14:paraId="75D5ACFD"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1.33</w:t>
            </w:r>
          </w:p>
        </w:tc>
      </w:tr>
      <w:tr w:rsidR="00375BD2" w:rsidRPr="00C05886" w14:paraId="4E78E127" w14:textId="77777777" w:rsidTr="0070406A">
        <w:trPr>
          <w:trHeight w:val="300"/>
        </w:trPr>
        <w:tc>
          <w:tcPr>
            <w:tcW w:w="704" w:type="dxa"/>
            <w:vMerge/>
            <w:noWrap/>
            <w:vAlign w:val="center"/>
            <w:hideMark/>
          </w:tcPr>
          <w:p w14:paraId="1FC509A2" w14:textId="77777777" w:rsidR="00375BD2" w:rsidRPr="00C05886" w:rsidRDefault="00375BD2" w:rsidP="00375BD2">
            <w:pPr>
              <w:spacing w:line="240" w:lineRule="auto"/>
              <w:jc w:val="center"/>
              <w:rPr>
                <w:rFonts w:eastAsia="Times New Roman" w:cstheme="minorHAnsi"/>
                <w:color w:val="000000"/>
                <w:sz w:val="18"/>
                <w:szCs w:val="18"/>
                <w:lang w:eastAsia="en-GB"/>
              </w:rPr>
            </w:pPr>
          </w:p>
        </w:tc>
        <w:tc>
          <w:tcPr>
            <w:tcW w:w="709" w:type="dxa"/>
            <w:noWrap/>
            <w:hideMark/>
          </w:tcPr>
          <w:p w14:paraId="650F4A0A" w14:textId="77777777" w:rsidR="00375BD2" w:rsidRPr="00C05886" w:rsidRDefault="00375BD2" w:rsidP="00375BD2">
            <w:pPr>
              <w:spacing w:line="240" w:lineRule="auto"/>
              <w:rPr>
                <w:rFonts w:eastAsia="Times New Roman" w:cstheme="minorHAnsi"/>
                <w:color w:val="000000"/>
                <w:sz w:val="18"/>
                <w:szCs w:val="18"/>
                <w:lang w:eastAsia="en-GB"/>
              </w:rPr>
            </w:pPr>
            <w:r w:rsidRPr="00C05886">
              <w:rPr>
                <w:rFonts w:eastAsia="Times New Roman" w:cstheme="minorHAnsi"/>
                <w:color w:val="000000"/>
                <w:sz w:val="18"/>
                <w:szCs w:val="18"/>
                <w:lang w:eastAsia="en-GB"/>
              </w:rPr>
              <w:t>SD</w:t>
            </w:r>
          </w:p>
        </w:tc>
        <w:tc>
          <w:tcPr>
            <w:tcW w:w="850" w:type="dxa"/>
            <w:noWrap/>
            <w:hideMark/>
          </w:tcPr>
          <w:p w14:paraId="169858B2"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0.96</w:t>
            </w:r>
          </w:p>
        </w:tc>
        <w:tc>
          <w:tcPr>
            <w:tcW w:w="1021" w:type="dxa"/>
            <w:noWrap/>
            <w:hideMark/>
          </w:tcPr>
          <w:p w14:paraId="6D8F7030"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0.99</w:t>
            </w:r>
          </w:p>
        </w:tc>
        <w:tc>
          <w:tcPr>
            <w:tcW w:w="903" w:type="dxa"/>
            <w:noWrap/>
            <w:hideMark/>
          </w:tcPr>
          <w:p w14:paraId="32CFE53D"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0.97</w:t>
            </w:r>
          </w:p>
        </w:tc>
        <w:tc>
          <w:tcPr>
            <w:tcW w:w="1119" w:type="dxa"/>
            <w:noWrap/>
            <w:hideMark/>
          </w:tcPr>
          <w:p w14:paraId="6C9A1C1D"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0.94</w:t>
            </w:r>
          </w:p>
        </w:tc>
        <w:tc>
          <w:tcPr>
            <w:tcW w:w="1100" w:type="dxa"/>
            <w:noWrap/>
            <w:hideMark/>
          </w:tcPr>
          <w:p w14:paraId="6F358542"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1.21</w:t>
            </w:r>
          </w:p>
        </w:tc>
        <w:tc>
          <w:tcPr>
            <w:tcW w:w="915" w:type="dxa"/>
            <w:noWrap/>
            <w:hideMark/>
          </w:tcPr>
          <w:p w14:paraId="73463793"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1.02</w:t>
            </w:r>
          </w:p>
        </w:tc>
        <w:tc>
          <w:tcPr>
            <w:tcW w:w="843" w:type="dxa"/>
            <w:noWrap/>
            <w:hideMark/>
          </w:tcPr>
          <w:p w14:paraId="67CEF351"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0.62</w:t>
            </w:r>
          </w:p>
        </w:tc>
        <w:tc>
          <w:tcPr>
            <w:tcW w:w="824" w:type="dxa"/>
            <w:noWrap/>
            <w:hideMark/>
          </w:tcPr>
          <w:p w14:paraId="09596071"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0.73</w:t>
            </w:r>
          </w:p>
        </w:tc>
        <w:tc>
          <w:tcPr>
            <w:tcW w:w="640" w:type="dxa"/>
            <w:noWrap/>
            <w:hideMark/>
          </w:tcPr>
          <w:p w14:paraId="44D585C0"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0.59</w:t>
            </w:r>
          </w:p>
        </w:tc>
      </w:tr>
      <w:tr w:rsidR="00375BD2" w:rsidRPr="00C05886" w14:paraId="3F1A3C1B" w14:textId="77777777" w:rsidTr="0070406A">
        <w:trPr>
          <w:trHeight w:val="300"/>
        </w:trPr>
        <w:tc>
          <w:tcPr>
            <w:tcW w:w="704" w:type="dxa"/>
            <w:vMerge/>
            <w:noWrap/>
            <w:vAlign w:val="center"/>
            <w:hideMark/>
          </w:tcPr>
          <w:p w14:paraId="0E627D2C" w14:textId="77777777" w:rsidR="00375BD2" w:rsidRPr="00C05886" w:rsidRDefault="00375BD2" w:rsidP="00375BD2">
            <w:pPr>
              <w:spacing w:line="240" w:lineRule="auto"/>
              <w:jc w:val="center"/>
              <w:rPr>
                <w:rFonts w:eastAsia="Times New Roman" w:cstheme="minorHAnsi"/>
                <w:color w:val="000000"/>
                <w:sz w:val="18"/>
                <w:szCs w:val="18"/>
                <w:lang w:eastAsia="en-GB"/>
              </w:rPr>
            </w:pPr>
          </w:p>
        </w:tc>
        <w:tc>
          <w:tcPr>
            <w:tcW w:w="709" w:type="dxa"/>
            <w:noWrap/>
            <w:hideMark/>
          </w:tcPr>
          <w:p w14:paraId="7368B8F4" w14:textId="77777777" w:rsidR="00375BD2" w:rsidRPr="00C05886" w:rsidRDefault="00375BD2" w:rsidP="00375BD2">
            <w:pPr>
              <w:spacing w:line="240" w:lineRule="auto"/>
              <w:rPr>
                <w:rFonts w:eastAsia="Times New Roman" w:cstheme="minorHAnsi"/>
                <w:color w:val="000000"/>
                <w:sz w:val="18"/>
                <w:szCs w:val="18"/>
                <w:lang w:eastAsia="en-GB"/>
              </w:rPr>
            </w:pPr>
            <w:r w:rsidRPr="00C05886">
              <w:rPr>
                <w:rFonts w:eastAsia="Times New Roman" w:cstheme="minorHAnsi"/>
                <w:color w:val="000000"/>
                <w:sz w:val="18"/>
                <w:szCs w:val="18"/>
                <w:lang w:eastAsia="en-GB"/>
              </w:rPr>
              <w:t>N</w:t>
            </w:r>
          </w:p>
        </w:tc>
        <w:tc>
          <w:tcPr>
            <w:tcW w:w="850" w:type="dxa"/>
            <w:noWrap/>
            <w:hideMark/>
          </w:tcPr>
          <w:p w14:paraId="138C5CC8"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119</w:t>
            </w:r>
          </w:p>
        </w:tc>
        <w:tc>
          <w:tcPr>
            <w:tcW w:w="1021" w:type="dxa"/>
            <w:noWrap/>
            <w:hideMark/>
          </w:tcPr>
          <w:p w14:paraId="0AD02D1E"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119</w:t>
            </w:r>
          </w:p>
        </w:tc>
        <w:tc>
          <w:tcPr>
            <w:tcW w:w="903" w:type="dxa"/>
            <w:noWrap/>
            <w:hideMark/>
          </w:tcPr>
          <w:p w14:paraId="6F5F7DCF"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119</w:t>
            </w:r>
          </w:p>
        </w:tc>
        <w:tc>
          <w:tcPr>
            <w:tcW w:w="1119" w:type="dxa"/>
            <w:noWrap/>
            <w:hideMark/>
          </w:tcPr>
          <w:p w14:paraId="3D6A6AF5"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119</w:t>
            </w:r>
          </w:p>
        </w:tc>
        <w:tc>
          <w:tcPr>
            <w:tcW w:w="1100" w:type="dxa"/>
            <w:noWrap/>
            <w:hideMark/>
          </w:tcPr>
          <w:p w14:paraId="3695FD1D"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119</w:t>
            </w:r>
          </w:p>
        </w:tc>
        <w:tc>
          <w:tcPr>
            <w:tcW w:w="915" w:type="dxa"/>
            <w:noWrap/>
            <w:hideMark/>
          </w:tcPr>
          <w:p w14:paraId="331C1FA5"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119</w:t>
            </w:r>
          </w:p>
        </w:tc>
        <w:tc>
          <w:tcPr>
            <w:tcW w:w="843" w:type="dxa"/>
            <w:noWrap/>
            <w:hideMark/>
          </w:tcPr>
          <w:p w14:paraId="58F6DC2D"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119</w:t>
            </w:r>
          </w:p>
        </w:tc>
        <w:tc>
          <w:tcPr>
            <w:tcW w:w="824" w:type="dxa"/>
            <w:noWrap/>
            <w:hideMark/>
          </w:tcPr>
          <w:p w14:paraId="11697F05"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119</w:t>
            </w:r>
          </w:p>
        </w:tc>
        <w:tc>
          <w:tcPr>
            <w:tcW w:w="640" w:type="dxa"/>
            <w:noWrap/>
            <w:hideMark/>
          </w:tcPr>
          <w:p w14:paraId="173AA009"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119</w:t>
            </w:r>
          </w:p>
        </w:tc>
      </w:tr>
      <w:tr w:rsidR="00375BD2" w:rsidRPr="00C05886" w14:paraId="00159ED8" w14:textId="77777777" w:rsidTr="0070406A">
        <w:trPr>
          <w:trHeight w:val="300"/>
        </w:trPr>
        <w:tc>
          <w:tcPr>
            <w:tcW w:w="704" w:type="dxa"/>
            <w:vMerge w:val="restart"/>
            <w:noWrap/>
            <w:vAlign w:val="center"/>
            <w:hideMark/>
          </w:tcPr>
          <w:p w14:paraId="6C80B28B" w14:textId="77777777" w:rsidR="00375BD2" w:rsidRPr="00C05886" w:rsidRDefault="00375BD2" w:rsidP="00375BD2">
            <w:pPr>
              <w:spacing w:line="240" w:lineRule="auto"/>
              <w:jc w:val="center"/>
              <w:rPr>
                <w:rFonts w:eastAsia="Times New Roman" w:cstheme="minorHAnsi"/>
                <w:color w:val="000000"/>
                <w:sz w:val="18"/>
                <w:szCs w:val="18"/>
                <w:lang w:eastAsia="en-GB"/>
              </w:rPr>
            </w:pPr>
            <w:r w:rsidRPr="00C05886">
              <w:rPr>
                <w:rFonts w:eastAsia="Times New Roman" w:cstheme="minorHAnsi"/>
                <w:color w:val="000000"/>
                <w:sz w:val="18"/>
                <w:szCs w:val="18"/>
                <w:lang w:eastAsia="en-GB"/>
              </w:rPr>
              <w:t>Total</w:t>
            </w:r>
          </w:p>
        </w:tc>
        <w:tc>
          <w:tcPr>
            <w:tcW w:w="709" w:type="dxa"/>
            <w:noWrap/>
            <w:hideMark/>
          </w:tcPr>
          <w:p w14:paraId="204E7D6D" w14:textId="77777777" w:rsidR="00375BD2" w:rsidRPr="00C05886" w:rsidRDefault="00375BD2" w:rsidP="00375BD2">
            <w:pPr>
              <w:spacing w:line="240" w:lineRule="auto"/>
              <w:rPr>
                <w:rFonts w:eastAsia="Times New Roman" w:cstheme="minorHAnsi"/>
                <w:color w:val="000000"/>
                <w:sz w:val="18"/>
                <w:szCs w:val="18"/>
                <w:lang w:eastAsia="en-GB"/>
              </w:rPr>
            </w:pPr>
            <w:r w:rsidRPr="00C05886">
              <w:rPr>
                <w:rFonts w:eastAsia="Times New Roman" w:cstheme="minorHAnsi"/>
                <w:color w:val="000000"/>
                <w:sz w:val="18"/>
                <w:szCs w:val="18"/>
                <w:lang w:eastAsia="en-GB"/>
              </w:rPr>
              <w:t>Mean</w:t>
            </w:r>
          </w:p>
        </w:tc>
        <w:tc>
          <w:tcPr>
            <w:tcW w:w="850" w:type="dxa"/>
            <w:noWrap/>
            <w:hideMark/>
          </w:tcPr>
          <w:p w14:paraId="7E2E8D0B"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2.61</w:t>
            </w:r>
          </w:p>
        </w:tc>
        <w:tc>
          <w:tcPr>
            <w:tcW w:w="1021" w:type="dxa"/>
            <w:noWrap/>
            <w:hideMark/>
          </w:tcPr>
          <w:p w14:paraId="5AE5E604"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2.24</w:t>
            </w:r>
          </w:p>
        </w:tc>
        <w:tc>
          <w:tcPr>
            <w:tcW w:w="903" w:type="dxa"/>
            <w:noWrap/>
            <w:hideMark/>
          </w:tcPr>
          <w:p w14:paraId="40B60D95"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2.64</w:t>
            </w:r>
          </w:p>
        </w:tc>
        <w:tc>
          <w:tcPr>
            <w:tcW w:w="1119" w:type="dxa"/>
            <w:noWrap/>
            <w:hideMark/>
          </w:tcPr>
          <w:p w14:paraId="2333D6B6"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3.42</w:t>
            </w:r>
          </w:p>
        </w:tc>
        <w:tc>
          <w:tcPr>
            <w:tcW w:w="1100" w:type="dxa"/>
            <w:noWrap/>
            <w:hideMark/>
          </w:tcPr>
          <w:p w14:paraId="16C0C5D5"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2.66</w:t>
            </w:r>
          </w:p>
        </w:tc>
        <w:tc>
          <w:tcPr>
            <w:tcW w:w="915" w:type="dxa"/>
            <w:noWrap/>
            <w:hideMark/>
          </w:tcPr>
          <w:p w14:paraId="7C723B51"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3.44</w:t>
            </w:r>
          </w:p>
        </w:tc>
        <w:tc>
          <w:tcPr>
            <w:tcW w:w="843" w:type="dxa"/>
            <w:noWrap/>
            <w:hideMark/>
          </w:tcPr>
          <w:p w14:paraId="455A8272"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1.54</w:t>
            </w:r>
          </w:p>
        </w:tc>
        <w:tc>
          <w:tcPr>
            <w:tcW w:w="824" w:type="dxa"/>
            <w:noWrap/>
            <w:hideMark/>
          </w:tcPr>
          <w:p w14:paraId="3C4B182C"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1.78</w:t>
            </w:r>
          </w:p>
        </w:tc>
        <w:tc>
          <w:tcPr>
            <w:tcW w:w="640" w:type="dxa"/>
            <w:noWrap/>
            <w:hideMark/>
          </w:tcPr>
          <w:p w14:paraId="27EB11C6"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1.34</w:t>
            </w:r>
          </w:p>
        </w:tc>
      </w:tr>
      <w:tr w:rsidR="00375BD2" w:rsidRPr="00C05886" w14:paraId="770E7F8E" w14:textId="77777777" w:rsidTr="00313151">
        <w:trPr>
          <w:trHeight w:val="300"/>
        </w:trPr>
        <w:tc>
          <w:tcPr>
            <w:tcW w:w="704" w:type="dxa"/>
            <w:vMerge/>
            <w:noWrap/>
            <w:hideMark/>
          </w:tcPr>
          <w:p w14:paraId="587B63A3" w14:textId="77777777" w:rsidR="00375BD2" w:rsidRPr="00C05886" w:rsidRDefault="00375BD2" w:rsidP="00375BD2">
            <w:pPr>
              <w:spacing w:line="240" w:lineRule="auto"/>
              <w:jc w:val="right"/>
              <w:rPr>
                <w:rFonts w:eastAsia="Times New Roman" w:cstheme="minorHAnsi"/>
                <w:color w:val="000000"/>
                <w:sz w:val="18"/>
                <w:szCs w:val="18"/>
                <w:lang w:eastAsia="en-GB"/>
              </w:rPr>
            </w:pPr>
          </w:p>
        </w:tc>
        <w:tc>
          <w:tcPr>
            <w:tcW w:w="709" w:type="dxa"/>
            <w:noWrap/>
            <w:hideMark/>
          </w:tcPr>
          <w:p w14:paraId="10AA53A3" w14:textId="77777777" w:rsidR="00375BD2" w:rsidRPr="00C05886" w:rsidRDefault="00375BD2" w:rsidP="00375BD2">
            <w:pPr>
              <w:spacing w:line="240" w:lineRule="auto"/>
              <w:rPr>
                <w:rFonts w:eastAsia="Times New Roman" w:cstheme="minorHAnsi"/>
                <w:color w:val="000000"/>
                <w:sz w:val="18"/>
                <w:szCs w:val="18"/>
                <w:lang w:eastAsia="en-GB"/>
              </w:rPr>
            </w:pPr>
            <w:r w:rsidRPr="00C05886">
              <w:rPr>
                <w:rFonts w:eastAsia="Times New Roman" w:cstheme="minorHAnsi"/>
                <w:color w:val="000000"/>
                <w:sz w:val="18"/>
                <w:szCs w:val="18"/>
                <w:lang w:eastAsia="en-GB"/>
              </w:rPr>
              <w:t>SD</w:t>
            </w:r>
          </w:p>
        </w:tc>
        <w:tc>
          <w:tcPr>
            <w:tcW w:w="850" w:type="dxa"/>
            <w:noWrap/>
            <w:hideMark/>
          </w:tcPr>
          <w:p w14:paraId="71575925"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0.92</w:t>
            </w:r>
          </w:p>
        </w:tc>
        <w:tc>
          <w:tcPr>
            <w:tcW w:w="1021" w:type="dxa"/>
            <w:noWrap/>
            <w:hideMark/>
          </w:tcPr>
          <w:p w14:paraId="3F03E4D7"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0.96</w:t>
            </w:r>
          </w:p>
        </w:tc>
        <w:tc>
          <w:tcPr>
            <w:tcW w:w="903" w:type="dxa"/>
            <w:noWrap/>
            <w:hideMark/>
          </w:tcPr>
          <w:p w14:paraId="136EE473"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0.99</w:t>
            </w:r>
          </w:p>
        </w:tc>
        <w:tc>
          <w:tcPr>
            <w:tcW w:w="1119" w:type="dxa"/>
            <w:noWrap/>
            <w:hideMark/>
          </w:tcPr>
          <w:p w14:paraId="203EC92D"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0.92</w:t>
            </w:r>
          </w:p>
        </w:tc>
        <w:tc>
          <w:tcPr>
            <w:tcW w:w="1100" w:type="dxa"/>
            <w:noWrap/>
            <w:hideMark/>
          </w:tcPr>
          <w:p w14:paraId="23B87C12"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1.11</w:t>
            </w:r>
          </w:p>
        </w:tc>
        <w:tc>
          <w:tcPr>
            <w:tcW w:w="915" w:type="dxa"/>
            <w:noWrap/>
            <w:hideMark/>
          </w:tcPr>
          <w:p w14:paraId="777C8545"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0.98</w:t>
            </w:r>
          </w:p>
        </w:tc>
        <w:tc>
          <w:tcPr>
            <w:tcW w:w="843" w:type="dxa"/>
            <w:noWrap/>
            <w:hideMark/>
          </w:tcPr>
          <w:p w14:paraId="7F1193E2"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0.74</w:t>
            </w:r>
          </w:p>
        </w:tc>
        <w:tc>
          <w:tcPr>
            <w:tcW w:w="824" w:type="dxa"/>
            <w:noWrap/>
            <w:hideMark/>
          </w:tcPr>
          <w:p w14:paraId="606353FD"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0.80</w:t>
            </w:r>
          </w:p>
        </w:tc>
        <w:tc>
          <w:tcPr>
            <w:tcW w:w="640" w:type="dxa"/>
            <w:noWrap/>
            <w:hideMark/>
          </w:tcPr>
          <w:p w14:paraId="5D99F9BC"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0.61</w:t>
            </w:r>
          </w:p>
        </w:tc>
      </w:tr>
      <w:tr w:rsidR="00375BD2" w:rsidRPr="00C05886" w14:paraId="1D23625A" w14:textId="77777777" w:rsidTr="00313151">
        <w:trPr>
          <w:trHeight w:val="300"/>
        </w:trPr>
        <w:tc>
          <w:tcPr>
            <w:tcW w:w="704" w:type="dxa"/>
            <w:vMerge/>
            <w:noWrap/>
            <w:hideMark/>
          </w:tcPr>
          <w:p w14:paraId="024057C3" w14:textId="77777777" w:rsidR="00375BD2" w:rsidRPr="00C05886" w:rsidRDefault="00375BD2" w:rsidP="00375BD2">
            <w:pPr>
              <w:spacing w:line="240" w:lineRule="auto"/>
              <w:jc w:val="right"/>
              <w:rPr>
                <w:rFonts w:eastAsia="Times New Roman" w:cstheme="minorHAnsi"/>
                <w:color w:val="000000"/>
                <w:sz w:val="18"/>
                <w:szCs w:val="18"/>
                <w:lang w:eastAsia="en-GB"/>
              </w:rPr>
            </w:pPr>
          </w:p>
        </w:tc>
        <w:tc>
          <w:tcPr>
            <w:tcW w:w="709" w:type="dxa"/>
            <w:noWrap/>
            <w:hideMark/>
          </w:tcPr>
          <w:p w14:paraId="797379FA" w14:textId="77777777" w:rsidR="00375BD2" w:rsidRPr="00C05886" w:rsidRDefault="00375BD2" w:rsidP="00375BD2">
            <w:pPr>
              <w:spacing w:line="240" w:lineRule="auto"/>
              <w:rPr>
                <w:rFonts w:eastAsia="Times New Roman" w:cstheme="minorHAnsi"/>
                <w:color w:val="000000"/>
                <w:sz w:val="18"/>
                <w:szCs w:val="18"/>
                <w:lang w:eastAsia="en-GB"/>
              </w:rPr>
            </w:pPr>
            <w:r w:rsidRPr="00C05886">
              <w:rPr>
                <w:rFonts w:eastAsia="Times New Roman" w:cstheme="minorHAnsi"/>
                <w:color w:val="000000"/>
                <w:sz w:val="18"/>
                <w:szCs w:val="18"/>
                <w:lang w:eastAsia="en-GB"/>
              </w:rPr>
              <w:t>N</w:t>
            </w:r>
          </w:p>
        </w:tc>
        <w:tc>
          <w:tcPr>
            <w:tcW w:w="850" w:type="dxa"/>
            <w:noWrap/>
            <w:hideMark/>
          </w:tcPr>
          <w:p w14:paraId="5E1B571E"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477</w:t>
            </w:r>
          </w:p>
        </w:tc>
        <w:tc>
          <w:tcPr>
            <w:tcW w:w="1021" w:type="dxa"/>
            <w:noWrap/>
            <w:hideMark/>
          </w:tcPr>
          <w:p w14:paraId="59EA0F03"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477</w:t>
            </w:r>
          </w:p>
        </w:tc>
        <w:tc>
          <w:tcPr>
            <w:tcW w:w="903" w:type="dxa"/>
            <w:noWrap/>
            <w:hideMark/>
          </w:tcPr>
          <w:p w14:paraId="034EBC43"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477</w:t>
            </w:r>
          </w:p>
        </w:tc>
        <w:tc>
          <w:tcPr>
            <w:tcW w:w="1119" w:type="dxa"/>
            <w:noWrap/>
            <w:hideMark/>
          </w:tcPr>
          <w:p w14:paraId="7E990577"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477</w:t>
            </w:r>
          </w:p>
        </w:tc>
        <w:tc>
          <w:tcPr>
            <w:tcW w:w="1100" w:type="dxa"/>
            <w:noWrap/>
            <w:hideMark/>
          </w:tcPr>
          <w:p w14:paraId="4F73B01A"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477</w:t>
            </w:r>
          </w:p>
        </w:tc>
        <w:tc>
          <w:tcPr>
            <w:tcW w:w="915" w:type="dxa"/>
            <w:noWrap/>
            <w:hideMark/>
          </w:tcPr>
          <w:p w14:paraId="2437A865"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477</w:t>
            </w:r>
          </w:p>
        </w:tc>
        <w:tc>
          <w:tcPr>
            <w:tcW w:w="843" w:type="dxa"/>
            <w:noWrap/>
            <w:hideMark/>
          </w:tcPr>
          <w:p w14:paraId="0643E118"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477</w:t>
            </w:r>
          </w:p>
        </w:tc>
        <w:tc>
          <w:tcPr>
            <w:tcW w:w="824" w:type="dxa"/>
            <w:noWrap/>
            <w:hideMark/>
          </w:tcPr>
          <w:p w14:paraId="751F043F"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477</w:t>
            </w:r>
          </w:p>
        </w:tc>
        <w:tc>
          <w:tcPr>
            <w:tcW w:w="640" w:type="dxa"/>
            <w:noWrap/>
            <w:hideMark/>
          </w:tcPr>
          <w:p w14:paraId="41F2DD5F"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477</w:t>
            </w:r>
          </w:p>
        </w:tc>
      </w:tr>
    </w:tbl>
    <w:p w14:paraId="7180CC31" w14:textId="77777777" w:rsidR="00375BD2" w:rsidRPr="00C05886" w:rsidRDefault="00375BD2" w:rsidP="00375BD2">
      <w:pPr>
        <w:spacing w:line="240" w:lineRule="auto"/>
      </w:pPr>
    </w:p>
    <w:p w14:paraId="75266829" w14:textId="77777777" w:rsidR="00375BD2" w:rsidRPr="00C05886" w:rsidRDefault="00375BD2" w:rsidP="00375BD2">
      <w:pPr>
        <w:spacing w:line="240" w:lineRule="auto"/>
      </w:pPr>
    </w:p>
    <w:p w14:paraId="5D76F08B" w14:textId="77777777" w:rsidR="00375BD2" w:rsidRPr="00C05886" w:rsidRDefault="00375BD2" w:rsidP="00375BD2">
      <w:pPr>
        <w:spacing w:line="240" w:lineRule="auto"/>
      </w:pPr>
    </w:p>
    <w:p w14:paraId="36F6E3E1" w14:textId="77777777" w:rsidR="00375BD2" w:rsidRPr="00C05886" w:rsidRDefault="00375BD2" w:rsidP="00375BD2">
      <w:pPr>
        <w:spacing w:line="240" w:lineRule="auto"/>
      </w:pPr>
    </w:p>
    <w:p w14:paraId="38911158" w14:textId="77777777" w:rsidR="00375BD2" w:rsidRPr="00C05886" w:rsidRDefault="00375BD2" w:rsidP="00375BD2">
      <w:pPr>
        <w:spacing w:line="240" w:lineRule="auto"/>
      </w:pPr>
    </w:p>
    <w:p w14:paraId="3053384F" w14:textId="516B2D07" w:rsidR="00375BD2" w:rsidRPr="00C05886" w:rsidRDefault="00375BD2" w:rsidP="00375BD2">
      <w:pPr>
        <w:pStyle w:val="Caption"/>
        <w:keepNext/>
      </w:pPr>
      <w:r w:rsidRPr="00C05886">
        <w:t xml:space="preserve">Table </w:t>
      </w:r>
      <w:r w:rsidR="00B62F3A" w:rsidRPr="00C05886">
        <w:t>S6</w:t>
      </w:r>
      <w:r w:rsidRPr="00C05886">
        <w:t>. Experiment 3, Unadjusted means of the three affective dimensions at baseline and after the park</w:t>
      </w:r>
    </w:p>
    <w:tbl>
      <w:tblPr>
        <w:tblStyle w:val="TableGrid"/>
        <w:tblW w:w="0" w:type="auto"/>
        <w:tblLook w:val="04A0" w:firstRow="1" w:lastRow="0" w:firstColumn="1" w:lastColumn="0" w:noHBand="0" w:noVBand="1"/>
      </w:tblPr>
      <w:tblGrid>
        <w:gridCol w:w="722"/>
        <w:gridCol w:w="730"/>
        <w:gridCol w:w="1587"/>
        <w:gridCol w:w="1274"/>
        <w:gridCol w:w="1606"/>
        <w:gridCol w:w="1292"/>
        <w:gridCol w:w="1182"/>
        <w:gridCol w:w="868"/>
      </w:tblGrid>
      <w:tr w:rsidR="00375BD2" w:rsidRPr="00C05886" w14:paraId="122428C5" w14:textId="77777777" w:rsidTr="00EF7C2C">
        <w:trPr>
          <w:trHeight w:val="300"/>
        </w:trPr>
        <w:tc>
          <w:tcPr>
            <w:tcW w:w="0" w:type="auto"/>
            <w:gridSpan w:val="2"/>
            <w:noWrap/>
            <w:hideMark/>
          </w:tcPr>
          <w:p w14:paraId="03A3F24A" w14:textId="77777777" w:rsidR="00375BD2" w:rsidRPr="00C05886" w:rsidRDefault="00375BD2" w:rsidP="00375BD2">
            <w:pPr>
              <w:spacing w:line="240" w:lineRule="auto"/>
              <w:rPr>
                <w:rFonts w:eastAsia="Times New Roman" w:cstheme="minorHAnsi"/>
                <w:color w:val="000000"/>
                <w:sz w:val="20"/>
                <w:szCs w:val="20"/>
                <w:lang w:eastAsia="en-GB"/>
              </w:rPr>
            </w:pPr>
            <w:r w:rsidRPr="00C05886">
              <w:rPr>
                <w:rFonts w:eastAsia="Times New Roman" w:cstheme="minorHAnsi"/>
                <w:color w:val="000000"/>
                <w:sz w:val="20"/>
                <w:szCs w:val="20"/>
                <w:lang w:eastAsia="en-GB"/>
              </w:rPr>
              <w:t>Park treatment</w:t>
            </w:r>
          </w:p>
        </w:tc>
        <w:tc>
          <w:tcPr>
            <w:tcW w:w="0" w:type="auto"/>
            <w:noWrap/>
            <w:vAlign w:val="center"/>
            <w:hideMark/>
          </w:tcPr>
          <w:p w14:paraId="4392AE37" w14:textId="77777777" w:rsidR="00375BD2" w:rsidRPr="00C05886" w:rsidRDefault="00375BD2" w:rsidP="00375BD2">
            <w:pPr>
              <w:spacing w:line="240" w:lineRule="auto"/>
              <w:rPr>
                <w:rFonts w:eastAsia="Times New Roman" w:cstheme="minorHAnsi"/>
                <w:color w:val="000000"/>
                <w:sz w:val="20"/>
                <w:szCs w:val="20"/>
                <w:lang w:eastAsia="en-GB"/>
              </w:rPr>
            </w:pPr>
            <w:r w:rsidRPr="00C05886">
              <w:rPr>
                <w:rFonts w:ascii="Calibri" w:eastAsia="Times New Roman" w:hAnsi="Calibri" w:cs="Calibri"/>
                <w:color w:val="000000"/>
                <w:sz w:val="20"/>
                <w:szCs w:val="20"/>
                <w:lang w:eastAsia="en-GB"/>
              </w:rPr>
              <w:t>Joviality baseline</w:t>
            </w:r>
          </w:p>
        </w:tc>
        <w:tc>
          <w:tcPr>
            <w:tcW w:w="0" w:type="auto"/>
            <w:noWrap/>
            <w:vAlign w:val="center"/>
            <w:hideMark/>
          </w:tcPr>
          <w:p w14:paraId="6D3249B2" w14:textId="77777777" w:rsidR="00375BD2" w:rsidRPr="00C05886" w:rsidRDefault="00375BD2" w:rsidP="00375BD2">
            <w:pPr>
              <w:spacing w:line="240" w:lineRule="auto"/>
              <w:rPr>
                <w:rFonts w:eastAsia="Times New Roman" w:cstheme="minorHAnsi"/>
                <w:color w:val="000000"/>
                <w:sz w:val="20"/>
                <w:szCs w:val="20"/>
                <w:lang w:eastAsia="en-GB"/>
              </w:rPr>
            </w:pPr>
            <w:proofErr w:type="gramStart"/>
            <w:r w:rsidRPr="00C05886">
              <w:rPr>
                <w:rFonts w:ascii="Calibri" w:eastAsia="Times New Roman" w:hAnsi="Calibri" w:cs="Calibri"/>
                <w:color w:val="000000"/>
                <w:sz w:val="20"/>
                <w:szCs w:val="20"/>
                <w:lang w:eastAsia="en-GB"/>
              </w:rPr>
              <w:t>Joviality park</w:t>
            </w:r>
            <w:proofErr w:type="gramEnd"/>
          </w:p>
        </w:tc>
        <w:tc>
          <w:tcPr>
            <w:tcW w:w="0" w:type="auto"/>
            <w:noWrap/>
            <w:vAlign w:val="center"/>
            <w:hideMark/>
          </w:tcPr>
          <w:p w14:paraId="3D422A13" w14:textId="77777777" w:rsidR="00375BD2" w:rsidRPr="00C05886" w:rsidRDefault="00375BD2" w:rsidP="00375BD2">
            <w:pPr>
              <w:spacing w:line="240" w:lineRule="auto"/>
              <w:rPr>
                <w:rFonts w:eastAsia="Times New Roman" w:cstheme="minorHAnsi"/>
                <w:color w:val="000000"/>
                <w:sz w:val="20"/>
                <w:szCs w:val="20"/>
                <w:lang w:eastAsia="en-GB"/>
              </w:rPr>
            </w:pPr>
            <w:r w:rsidRPr="00C05886">
              <w:rPr>
                <w:rFonts w:ascii="Calibri" w:eastAsia="Times New Roman" w:hAnsi="Calibri" w:cs="Calibri"/>
                <w:color w:val="000000"/>
                <w:sz w:val="20"/>
                <w:szCs w:val="20"/>
                <w:lang w:eastAsia="en-GB"/>
              </w:rPr>
              <w:t>Serenity baseline</w:t>
            </w:r>
          </w:p>
        </w:tc>
        <w:tc>
          <w:tcPr>
            <w:tcW w:w="0" w:type="auto"/>
            <w:noWrap/>
            <w:vAlign w:val="center"/>
            <w:hideMark/>
          </w:tcPr>
          <w:p w14:paraId="2E54F0D9" w14:textId="77777777" w:rsidR="00375BD2" w:rsidRPr="00C05886" w:rsidRDefault="00375BD2" w:rsidP="00375BD2">
            <w:pPr>
              <w:spacing w:line="240" w:lineRule="auto"/>
              <w:rPr>
                <w:rFonts w:eastAsia="Times New Roman" w:cstheme="minorHAnsi"/>
                <w:color w:val="000000"/>
                <w:sz w:val="20"/>
                <w:szCs w:val="20"/>
                <w:lang w:eastAsia="en-GB"/>
              </w:rPr>
            </w:pPr>
            <w:proofErr w:type="gramStart"/>
            <w:r w:rsidRPr="00C05886">
              <w:rPr>
                <w:rFonts w:ascii="Calibri" w:eastAsia="Times New Roman" w:hAnsi="Calibri" w:cs="Calibri"/>
                <w:color w:val="000000"/>
                <w:sz w:val="20"/>
                <w:szCs w:val="20"/>
                <w:lang w:eastAsia="en-GB"/>
              </w:rPr>
              <w:t>Serenity park</w:t>
            </w:r>
            <w:proofErr w:type="gramEnd"/>
          </w:p>
        </w:tc>
        <w:tc>
          <w:tcPr>
            <w:tcW w:w="0" w:type="auto"/>
            <w:noWrap/>
            <w:vAlign w:val="center"/>
            <w:hideMark/>
          </w:tcPr>
          <w:p w14:paraId="0BA8756C" w14:textId="77777777" w:rsidR="00375BD2" w:rsidRPr="00C05886" w:rsidRDefault="00375BD2" w:rsidP="00375BD2">
            <w:pPr>
              <w:spacing w:line="240" w:lineRule="auto"/>
              <w:rPr>
                <w:rFonts w:eastAsia="Times New Roman" w:cstheme="minorHAnsi"/>
                <w:color w:val="000000"/>
                <w:sz w:val="20"/>
                <w:szCs w:val="20"/>
                <w:lang w:eastAsia="en-GB"/>
              </w:rPr>
            </w:pPr>
            <w:r w:rsidRPr="00C05886">
              <w:rPr>
                <w:rFonts w:ascii="Calibri" w:eastAsia="Times New Roman" w:hAnsi="Calibri" w:cs="Calibri"/>
                <w:color w:val="000000"/>
                <w:sz w:val="20"/>
                <w:szCs w:val="20"/>
                <w:lang w:eastAsia="en-GB"/>
              </w:rPr>
              <w:t>NA baseline</w:t>
            </w:r>
          </w:p>
        </w:tc>
        <w:tc>
          <w:tcPr>
            <w:tcW w:w="0" w:type="auto"/>
            <w:noWrap/>
            <w:vAlign w:val="center"/>
            <w:hideMark/>
          </w:tcPr>
          <w:p w14:paraId="58AD79BD" w14:textId="77777777" w:rsidR="00375BD2" w:rsidRPr="00C05886" w:rsidRDefault="00375BD2" w:rsidP="00375BD2">
            <w:pPr>
              <w:spacing w:line="240" w:lineRule="auto"/>
              <w:rPr>
                <w:rFonts w:eastAsia="Times New Roman" w:cstheme="minorHAnsi"/>
                <w:color w:val="000000"/>
                <w:sz w:val="20"/>
                <w:szCs w:val="20"/>
                <w:lang w:eastAsia="en-GB"/>
              </w:rPr>
            </w:pPr>
            <w:r w:rsidRPr="00C05886">
              <w:rPr>
                <w:rFonts w:ascii="Calibri" w:eastAsia="Times New Roman" w:hAnsi="Calibri" w:cs="Calibri"/>
                <w:color w:val="000000"/>
                <w:sz w:val="20"/>
                <w:szCs w:val="20"/>
                <w:lang w:eastAsia="en-GB"/>
              </w:rPr>
              <w:t>NA park</w:t>
            </w:r>
          </w:p>
        </w:tc>
      </w:tr>
      <w:tr w:rsidR="00375BD2" w:rsidRPr="00C05886" w14:paraId="27BB7A7F" w14:textId="77777777" w:rsidTr="00B637FE">
        <w:trPr>
          <w:trHeight w:val="300"/>
        </w:trPr>
        <w:tc>
          <w:tcPr>
            <w:tcW w:w="0" w:type="auto"/>
            <w:vMerge w:val="restart"/>
            <w:noWrap/>
            <w:vAlign w:val="center"/>
            <w:hideMark/>
          </w:tcPr>
          <w:p w14:paraId="103CD0A1" w14:textId="77777777" w:rsidR="00375BD2" w:rsidRPr="00C05886" w:rsidRDefault="00375BD2" w:rsidP="00375BD2">
            <w:pPr>
              <w:spacing w:line="240" w:lineRule="auto"/>
              <w:jc w:val="center"/>
              <w:rPr>
                <w:rFonts w:eastAsia="Times New Roman" w:cstheme="minorHAnsi"/>
                <w:color w:val="000000"/>
                <w:sz w:val="20"/>
                <w:szCs w:val="20"/>
                <w:lang w:eastAsia="en-GB"/>
              </w:rPr>
            </w:pPr>
            <w:r w:rsidRPr="00C05886">
              <w:rPr>
                <w:rFonts w:eastAsia="Times New Roman" w:cstheme="minorHAnsi"/>
                <w:color w:val="000000"/>
                <w:sz w:val="20"/>
                <w:szCs w:val="20"/>
                <w:lang w:eastAsia="en-GB"/>
              </w:rPr>
              <w:t>HBHC</w:t>
            </w:r>
          </w:p>
        </w:tc>
        <w:tc>
          <w:tcPr>
            <w:tcW w:w="0" w:type="auto"/>
            <w:noWrap/>
            <w:hideMark/>
          </w:tcPr>
          <w:p w14:paraId="081C79C6" w14:textId="77777777" w:rsidR="00375BD2" w:rsidRPr="00C05886" w:rsidRDefault="00375BD2" w:rsidP="00375BD2">
            <w:pPr>
              <w:spacing w:line="240" w:lineRule="auto"/>
              <w:rPr>
                <w:rFonts w:eastAsia="Times New Roman" w:cstheme="minorHAnsi"/>
                <w:color w:val="000000"/>
                <w:sz w:val="20"/>
                <w:szCs w:val="20"/>
                <w:lang w:eastAsia="en-GB"/>
              </w:rPr>
            </w:pPr>
            <w:r w:rsidRPr="00C05886">
              <w:rPr>
                <w:rFonts w:eastAsia="Times New Roman" w:cstheme="minorHAnsi"/>
                <w:color w:val="000000"/>
                <w:sz w:val="20"/>
                <w:szCs w:val="20"/>
                <w:lang w:eastAsia="en-GB"/>
              </w:rPr>
              <w:t>Mean</w:t>
            </w:r>
          </w:p>
        </w:tc>
        <w:tc>
          <w:tcPr>
            <w:tcW w:w="0" w:type="auto"/>
            <w:noWrap/>
            <w:hideMark/>
          </w:tcPr>
          <w:p w14:paraId="477846C5"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2.51</w:t>
            </w:r>
          </w:p>
        </w:tc>
        <w:tc>
          <w:tcPr>
            <w:tcW w:w="0" w:type="auto"/>
            <w:noWrap/>
            <w:hideMark/>
          </w:tcPr>
          <w:p w14:paraId="6C3FC2FD"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2.55</w:t>
            </w:r>
          </w:p>
        </w:tc>
        <w:tc>
          <w:tcPr>
            <w:tcW w:w="0" w:type="auto"/>
            <w:noWrap/>
            <w:hideMark/>
          </w:tcPr>
          <w:p w14:paraId="6528526D"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2.32</w:t>
            </w:r>
          </w:p>
        </w:tc>
        <w:tc>
          <w:tcPr>
            <w:tcW w:w="0" w:type="auto"/>
            <w:noWrap/>
            <w:hideMark/>
          </w:tcPr>
          <w:p w14:paraId="56EF1CCD"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2.33</w:t>
            </w:r>
          </w:p>
        </w:tc>
        <w:tc>
          <w:tcPr>
            <w:tcW w:w="0" w:type="auto"/>
            <w:noWrap/>
            <w:hideMark/>
          </w:tcPr>
          <w:p w14:paraId="2E30D252"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1.82</w:t>
            </w:r>
          </w:p>
        </w:tc>
        <w:tc>
          <w:tcPr>
            <w:tcW w:w="0" w:type="auto"/>
            <w:noWrap/>
            <w:hideMark/>
          </w:tcPr>
          <w:p w14:paraId="22015235"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1.62</w:t>
            </w:r>
          </w:p>
        </w:tc>
      </w:tr>
      <w:tr w:rsidR="00375BD2" w:rsidRPr="00C05886" w14:paraId="2A04A868" w14:textId="77777777" w:rsidTr="00B637FE">
        <w:trPr>
          <w:trHeight w:val="300"/>
        </w:trPr>
        <w:tc>
          <w:tcPr>
            <w:tcW w:w="0" w:type="auto"/>
            <w:vMerge/>
            <w:noWrap/>
            <w:vAlign w:val="center"/>
            <w:hideMark/>
          </w:tcPr>
          <w:p w14:paraId="5E57194D" w14:textId="77777777" w:rsidR="00375BD2" w:rsidRPr="00C05886" w:rsidRDefault="00375BD2" w:rsidP="00375BD2">
            <w:pPr>
              <w:spacing w:line="240" w:lineRule="auto"/>
              <w:jc w:val="center"/>
              <w:rPr>
                <w:rFonts w:eastAsia="Times New Roman" w:cstheme="minorHAnsi"/>
                <w:color w:val="000000"/>
                <w:sz w:val="20"/>
                <w:szCs w:val="20"/>
                <w:lang w:eastAsia="en-GB"/>
              </w:rPr>
            </w:pPr>
          </w:p>
        </w:tc>
        <w:tc>
          <w:tcPr>
            <w:tcW w:w="0" w:type="auto"/>
            <w:noWrap/>
            <w:hideMark/>
          </w:tcPr>
          <w:p w14:paraId="4E727D88" w14:textId="77777777" w:rsidR="00375BD2" w:rsidRPr="00C05886" w:rsidRDefault="00375BD2" w:rsidP="00375BD2">
            <w:pPr>
              <w:spacing w:line="240" w:lineRule="auto"/>
              <w:rPr>
                <w:rFonts w:eastAsia="Times New Roman" w:cstheme="minorHAnsi"/>
                <w:color w:val="000000"/>
                <w:sz w:val="20"/>
                <w:szCs w:val="20"/>
                <w:lang w:eastAsia="en-GB"/>
              </w:rPr>
            </w:pPr>
            <w:r w:rsidRPr="00C05886">
              <w:rPr>
                <w:rFonts w:eastAsia="Times New Roman" w:cstheme="minorHAnsi"/>
                <w:color w:val="000000"/>
                <w:sz w:val="20"/>
                <w:szCs w:val="20"/>
                <w:lang w:eastAsia="en-GB"/>
              </w:rPr>
              <w:t>SD</w:t>
            </w:r>
          </w:p>
        </w:tc>
        <w:tc>
          <w:tcPr>
            <w:tcW w:w="0" w:type="auto"/>
            <w:noWrap/>
            <w:hideMark/>
          </w:tcPr>
          <w:p w14:paraId="1946AD17"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0.79</w:t>
            </w:r>
          </w:p>
        </w:tc>
        <w:tc>
          <w:tcPr>
            <w:tcW w:w="0" w:type="auto"/>
            <w:noWrap/>
            <w:hideMark/>
          </w:tcPr>
          <w:p w14:paraId="476B074C"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0.86</w:t>
            </w:r>
          </w:p>
        </w:tc>
        <w:tc>
          <w:tcPr>
            <w:tcW w:w="0" w:type="auto"/>
            <w:noWrap/>
            <w:hideMark/>
          </w:tcPr>
          <w:p w14:paraId="7003D46F"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0.68</w:t>
            </w:r>
          </w:p>
        </w:tc>
        <w:tc>
          <w:tcPr>
            <w:tcW w:w="0" w:type="auto"/>
            <w:noWrap/>
            <w:hideMark/>
          </w:tcPr>
          <w:p w14:paraId="5DF9A0C1"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0.72</w:t>
            </w:r>
          </w:p>
        </w:tc>
        <w:tc>
          <w:tcPr>
            <w:tcW w:w="0" w:type="auto"/>
            <w:noWrap/>
            <w:hideMark/>
          </w:tcPr>
          <w:p w14:paraId="4C9904D3"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0.75</w:t>
            </w:r>
          </w:p>
        </w:tc>
        <w:tc>
          <w:tcPr>
            <w:tcW w:w="0" w:type="auto"/>
            <w:noWrap/>
            <w:hideMark/>
          </w:tcPr>
          <w:p w14:paraId="255ADE08"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0.66</w:t>
            </w:r>
          </w:p>
        </w:tc>
      </w:tr>
      <w:tr w:rsidR="00375BD2" w:rsidRPr="00C05886" w14:paraId="7D505024" w14:textId="77777777" w:rsidTr="00B637FE">
        <w:trPr>
          <w:trHeight w:val="300"/>
        </w:trPr>
        <w:tc>
          <w:tcPr>
            <w:tcW w:w="0" w:type="auto"/>
            <w:vMerge/>
            <w:noWrap/>
            <w:vAlign w:val="center"/>
            <w:hideMark/>
          </w:tcPr>
          <w:p w14:paraId="0FBD6CE9" w14:textId="77777777" w:rsidR="00375BD2" w:rsidRPr="00C05886" w:rsidRDefault="00375BD2" w:rsidP="00375BD2">
            <w:pPr>
              <w:spacing w:line="240" w:lineRule="auto"/>
              <w:jc w:val="center"/>
              <w:rPr>
                <w:rFonts w:eastAsia="Times New Roman" w:cstheme="minorHAnsi"/>
                <w:color w:val="000000"/>
                <w:sz w:val="20"/>
                <w:szCs w:val="20"/>
                <w:lang w:eastAsia="en-GB"/>
              </w:rPr>
            </w:pPr>
          </w:p>
        </w:tc>
        <w:tc>
          <w:tcPr>
            <w:tcW w:w="0" w:type="auto"/>
            <w:noWrap/>
            <w:hideMark/>
          </w:tcPr>
          <w:p w14:paraId="7107D2ED" w14:textId="77777777" w:rsidR="00375BD2" w:rsidRPr="00C05886" w:rsidRDefault="00375BD2" w:rsidP="00375BD2">
            <w:pPr>
              <w:spacing w:line="240" w:lineRule="auto"/>
              <w:rPr>
                <w:rFonts w:eastAsia="Times New Roman" w:cstheme="minorHAnsi"/>
                <w:color w:val="000000"/>
                <w:sz w:val="20"/>
                <w:szCs w:val="20"/>
                <w:lang w:eastAsia="en-GB"/>
              </w:rPr>
            </w:pPr>
            <w:r w:rsidRPr="00C05886">
              <w:rPr>
                <w:rFonts w:eastAsia="Times New Roman" w:cstheme="minorHAnsi"/>
                <w:color w:val="000000"/>
                <w:sz w:val="20"/>
                <w:szCs w:val="20"/>
                <w:lang w:eastAsia="en-GB"/>
              </w:rPr>
              <w:t>N</w:t>
            </w:r>
          </w:p>
        </w:tc>
        <w:tc>
          <w:tcPr>
            <w:tcW w:w="0" w:type="auto"/>
            <w:noWrap/>
            <w:hideMark/>
          </w:tcPr>
          <w:p w14:paraId="5433B559"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99</w:t>
            </w:r>
          </w:p>
        </w:tc>
        <w:tc>
          <w:tcPr>
            <w:tcW w:w="0" w:type="auto"/>
            <w:noWrap/>
            <w:hideMark/>
          </w:tcPr>
          <w:p w14:paraId="5EC0FCDC"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99</w:t>
            </w:r>
          </w:p>
        </w:tc>
        <w:tc>
          <w:tcPr>
            <w:tcW w:w="0" w:type="auto"/>
            <w:noWrap/>
            <w:hideMark/>
          </w:tcPr>
          <w:p w14:paraId="2CB1627C"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99</w:t>
            </w:r>
          </w:p>
        </w:tc>
        <w:tc>
          <w:tcPr>
            <w:tcW w:w="0" w:type="auto"/>
            <w:noWrap/>
            <w:hideMark/>
          </w:tcPr>
          <w:p w14:paraId="2C1BEB5E"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99</w:t>
            </w:r>
          </w:p>
        </w:tc>
        <w:tc>
          <w:tcPr>
            <w:tcW w:w="0" w:type="auto"/>
            <w:noWrap/>
            <w:hideMark/>
          </w:tcPr>
          <w:p w14:paraId="46213117"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99</w:t>
            </w:r>
          </w:p>
        </w:tc>
        <w:tc>
          <w:tcPr>
            <w:tcW w:w="0" w:type="auto"/>
            <w:noWrap/>
            <w:hideMark/>
          </w:tcPr>
          <w:p w14:paraId="02652530"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99</w:t>
            </w:r>
          </w:p>
        </w:tc>
      </w:tr>
      <w:tr w:rsidR="00375BD2" w:rsidRPr="00C05886" w14:paraId="069916B9" w14:textId="77777777" w:rsidTr="00B637FE">
        <w:trPr>
          <w:trHeight w:val="300"/>
        </w:trPr>
        <w:tc>
          <w:tcPr>
            <w:tcW w:w="0" w:type="auto"/>
            <w:vMerge w:val="restart"/>
            <w:noWrap/>
            <w:vAlign w:val="center"/>
            <w:hideMark/>
          </w:tcPr>
          <w:p w14:paraId="0D1F6DA5" w14:textId="77777777" w:rsidR="00375BD2" w:rsidRPr="00C05886" w:rsidRDefault="00375BD2" w:rsidP="00375BD2">
            <w:pPr>
              <w:spacing w:line="240" w:lineRule="auto"/>
              <w:jc w:val="center"/>
              <w:rPr>
                <w:rFonts w:eastAsia="Times New Roman" w:cstheme="minorHAnsi"/>
                <w:color w:val="000000"/>
                <w:sz w:val="20"/>
                <w:szCs w:val="20"/>
                <w:lang w:eastAsia="en-GB"/>
              </w:rPr>
            </w:pPr>
            <w:r w:rsidRPr="00C05886">
              <w:rPr>
                <w:rFonts w:eastAsia="Times New Roman" w:cstheme="minorHAnsi"/>
                <w:color w:val="000000"/>
                <w:sz w:val="20"/>
                <w:szCs w:val="20"/>
                <w:lang w:eastAsia="en-GB"/>
              </w:rPr>
              <w:t>HBLC</w:t>
            </w:r>
          </w:p>
        </w:tc>
        <w:tc>
          <w:tcPr>
            <w:tcW w:w="0" w:type="auto"/>
            <w:noWrap/>
            <w:hideMark/>
          </w:tcPr>
          <w:p w14:paraId="09BE0107" w14:textId="77777777" w:rsidR="00375BD2" w:rsidRPr="00C05886" w:rsidRDefault="00375BD2" w:rsidP="00375BD2">
            <w:pPr>
              <w:spacing w:line="240" w:lineRule="auto"/>
              <w:rPr>
                <w:rFonts w:eastAsia="Times New Roman" w:cstheme="minorHAnsi"/>
                <w:color w:val="000000"/>
                <w:sz w:val="20"/>
                <w:szCs w:val="20"/>
                <w:lang w:eastAsia="en-GB"/>
              </w:rPr>
            </w:pPr>
            <w:r w:rsidRPr="00C05886">
              <w:rPr>
                <w:rFonts w:eastAsia="Times New Roman" w:cstheme="minorHAnsi"/>
                <w:color w:val="000000"/>
                <w:sz w:val="20"/>
                <w:szCs w:val="20"/>
                <w:lang w:eastAsia="en-GB"/>
              </w:rPr>
              <w:t>Mean</w:t>
            </w:r>
          </w:p>
        </w:tc>
        <w:tc>
          <w:tcPr>
            <w:tcW w:w="0" w:type="auto"/>
            <w:noWrap/>
            <w:hideMark/>
          </w:tcPr>
          <w:p w14:paraId="593A11DA"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2.76</w:t>
            </w:r>
          </w:p>
        </w:tc>
        <w:tc>
          <w:tcPr>
            <w:tcW w:w="0" w:type="auto"/>
            <w:noWrap/>
            <w:hideMark/>
          </w:tcPr>
          <w:p w14:paraId="23CBCDC3"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2.74</w:t>
            </w:r>
          </w:p>
        </w:tc>
        <w:tc>
          <w:tcPr>
            <w:tcW w:w="0" w:type="auto"/>
            <w:noWrap/>
            <w:hideMark/>
          </w:tcPr>
          <w:p w14:paraId="5CA16517"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2.44</w:t>
            </w:r>
          </w:p>
        </w:tc>
        <w:tc>
          <w:tcPr>
            <w:tcW w:w="0" w:type="auto"/>
            <w:noWrap/>
            <w:hideMark/>
          </w:tcPr>
          <w:p w14:paraId="36B0067D"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2.37</w:t>
            </w:r>
          </w:p>
        </w:tc>
        <w:tc>
          <w:tcPr>
            <w:tcW w:w="0" w:type="auto"/>
            <w:noWrap/>
            <w:hideMark/>
          </w:tcPr>
          <w:p w14:paraId="19F5A8CD"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1.80</w:t>
            </w:r>
          </w:p>
        </w:tc>
        <w:tc>
          <w:tcPr>
            <w:tcW w:w="0" w:type="auto"/>
            <w:noWrap/>
            <w:hideMark/>
          </w:tcPr>
          <w:p w14:paraId="00598D94"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1.62</w:t>
            </w:r>
          </w:p>
        </w:tc>
      </w:tr>
      <w:tr w:rsidR="00375BD2" w:rsidRPr="00C05886" w14:paraId="01CC3F7D" w14:textId="77777777" w:rsidTr="00B637FE">
        <w:trPr>
          <w:trHeight w:val="300"/>
        </w:trPr>
        <w:tc>
          <w:tcPr>
            <w:tcW w:w="0" w:type="auto"/>
            <w:vMerge/>
            <w:noWrap/>
            <w:vAlign w:val="center"/>
            <w:hideMark/>
          </w:tcPr>
          <w:p w14:paraId="3A097447" w14:textId="77777777" w:rsidR="00375BD2" w:rsidRPr="00C05886" w:rsidRDefault="00375BD2" w:rsidP="00375BD2">
            <w:pPr>
              <w:spacing w:line="240" w:lineRule="auto"/>
              <w:jc w:val="center"/>
              <w:rPr>
                <w:rFonts w:eastAsia="Times New Roman" w:cstheme="minorHAnsi"/>
                <w:color w:val="000000"/>
                <w:sz w:val="20"/>
                <w:szCs w:val="20"/>
                <w:lang w:eastAsia="en-GB"/>
              </w:rPr>
            </w:pPr>
          </w:p>
        </w:tc>
        <w:tc>
          <w:tcPr>
            <w:tcW w:w="0" w:type="auto"/>
            <w:noWrap/>
            <w:hideMark/>
          </w:tcPr>
          <w:p w14:paraId="17BE8B11" w14:textId="77777777" w:rsidR="00375BD2" w:rsidRPr="00C05886" w:rsidRDefault="00375BD2" w:rsidP="00375BD2">
            <w:pPr>
              <w:spacing w:line="240" w:lineRule="auto"/>
              <w:rPr>
                <w:rFonts w:eastAsia="Times New Roman" w:cstheme="minorHAnsi"/>
                <w:color w:val="000000"/>
                <w:sz w:val="20"/>
                <w:szCs w:val="20"/>
                <w:lang w:eastAsia="en-GB"/>
              </w:rPr>
            </w:pPr>
            <w:r w:rsidRPr="00C05886">
              <w:rPr>
                <w:rFonts w:eastAsia="Times New Roman" w:cstheme="minorHAnsi"/>
                <w:color w:val="000000"/>
                <w:sz w:val="20"/>
                <w:szCs w:val="20"/>
                <w:lang w:eastAsia="en-GB"/>
              </w:rPr>
              <w:t>SD</w:t>
            </w:r>
          </w:p>
        </w:tc>
        <w:tc>
          <w:tcPr>
            <w:tcW w:w="0" w:type="auto"/>
            <w:noWrap/>
            <w:hideMark/>
          </w:tcPr>
          <w:p w14:paraId="03E9D283"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0.88</w:t>
            </w:r>
          </w:p>
        </w:tc>
        <w:tc>
          <w:tcPr>
            <w:tcW w:w="0" w:type="auto"/>
            <w:noWrap/>
            <w:hideMark/>
          </w:tcPr>
          <w:p w14:paraId="3C3D9C12"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0.94</w:t>
            </w:r>
          </w:p>
        </w:tc>
        <w:tc>
          <w:tcPr>
            <w:tcW w:w="0" w:type="auto"/>
            <w:noWrap/>
            <w:hideMark/>
          </w:tcPr>
          <w:p w14:paraId="22992606"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0.68</w:t>
            </w:r>
          </w:p>
        </w:tc>
        <w:tc>
          <w:tcPr>
            <w:tcW w:w="0" w:type="auto"/>
            <w:noWrap/>
            <w:hideMark/>
          </w:tcPr>
          <w:p w14:paraId="68547298"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0.71</w:t>
            </w:r>
          </w:p>
        </w:tc>
        <w:tc>
          <w:tcPr>
            <w:tcW w:w="0" w:type="auto"/>
            <w:noWrap/>
            <w:hideMark/>
          </w:tcPr>
          <w:p w14:paraId="0ABD16D3"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0.82</w:t>
            </w:r>
          </w:p>
        </w:tc>
        <w:tc>
          <w:tcPr>
            <w:tcW w:w="0" w:type="auto"/>
            <w:noWrap/>
            <w:hideMark/>
          </w:tcPr>
          <w:p w14:paraId="13215BD2"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0.81</w:t>
            </w:r>
          </w:p>
        </w:tc>
      </w:tr>
      <w:tr w:rsidR="00375BD2" w:rsidRPr="00C05886" w14:paraId="3A92242F" w14:textId="77777777" w:rsidTr="00B637FE">
        <w:trPr>
          <w:trHeight w:val="300"/>
        </w:trPr>
        <w:tc>
          <w:tcPr>
            <w:tcW w:w="0" w:type="auto"/>
            <w:vMerge/>
            <w:noWrap/>
            <w:vAlign w:val="center"/>
            <w:hideMark/>
          </w:tcPr>
          <w:p w14:paraId="13AC5ABB" w14:textId="77777777" w:rsidR="00375BD2" w:rsidRPr="00C05886" w:rsidRDefault="00375BD2" w:rsidP="00375BD2">
            <w:pPr>
              <w:spacing w:line="240" w:lineRule="auto"/>
              <w:jc w:val="center"/>
              <w:rPr>
                <w:rFonts w:eastAsia="Times New Roman" w:cstheme="minorHAnsi"/>
                <w:color w:val="000000"/>
                <w:sz w:val="20"/>
                <w:szCs w:val="20"/>
                <w:lang w:eastAsia="en-GB"/>
              </w:rPr>
            </w:pPr>
          </w:p>
        </w:tc>
        <w:tc>
          <w:tcPr>
            <w:tcW w:w="0" w:type="auto"/>
            <w:noWrap/>
            <w:hideMark/>
          </w:tcPr>
          <w:p w14:paraId="562173E1" w14:textId="77777777" w:rsidR="00375BD2" w:rsidRPr="00C05886" w:rsidRDefault="00375BD2" w:rsidP="00375BD2">
            <w:pPr>
              <w:spacing w:line="240" w:lineRule="auto"/>
              <w:rPr>
                <w:rFonts w:eastAsia="Times New Roman" w:cstheme="minorHAnsi"/>
                <w:color w:val="000000"/>
                <w:sz w:val="20"/>
                <w:szCs w:val="20"/>
                <w:lang w:eastAsia="en-GB"/>
              </w:rPr>
            </w:pPr>
            <w:r w:rsidRPr="00C05886">
              <w:rPr>
                <w:rFonts w:eastAsia="Times New Roman" w:cstheme="minorHAnsi"/>
                <w:color w:val="000000"/>
                <w:sz w:val="20"/>
                <w:szCs w:val="20"/>
                <w:lang w:eastAsia="en-GB"/>
              </w:rPr>
              <w:t>N</w:t>
            </w:r>
          </w:p>
        </w:tc>
        <w:tc>
          <w:tcPr>
            <w:tcW w:w="0" w:type="auto"/>
            <w:noWrap/>
            <w:hideMark/>
          </w:tcPr>
          <w:p w14:paraId="5C675534"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100</w:t>
            </w:r>
          </w:p>
        </w:tc>
        <w:tc>
          <w:tcPr>
            <w:tcW w:w="0" w:type="auto"/>
            <w:noWrap/>
            <w:hideMark/>
          </w:tcPr>
          <w:p w14:paraId="033C9D43"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100</w:t>
            </w:r>
          </w:p>
        </w:tc>
        <w:tc>
          <w:tcPr>
            <w:tcW w:w="0" w:type="auto"/>
            <w:noWrap/>
            <w:hideMark/>
          </w:tcPr>
          <w:p w14:paraId="4769BFFF"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100</w:t>
            </w:r>
          </w:p>
        </w:tc>
        <w:tc>
          <w:tcPr>
            <w:tcW w:w="0" w:type="auto"/>
            <w:noWrap/>
            <w:hideMark/>
          </w:tcPr>
          <w:p w14:paraId="3EF77D5E"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100</w:t>
            </w:r>
          </w:p>
        </w:tc>
        <w:tc>
          <w:tcPr>
            <w:tcW w:w="0" w:type="auto"/>
            <w:noWrap/>
            <w:hideMark/>
          </w:tcPr>
          <w:p w14:paraId="379166ED"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100</w:t>
            </w:r>
          </w:p>
        </w:tc>
        <w:tc>
          <w:tcPr>
            <w:tcW w:w="0" w:type="auto"/>
            <w:noWrap/>
            <w:hideMark/>
          </w:tcPr>
          <w:p w14:paraId="60265B87"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100</w:t>
            </w:r>
          </w:p>
        </w:tc>
      </w:tr>
      <w:tr w:rsidR="00375BD2" w:rsidRPr="00C05886" w14:paraId="6905DC55" w14:textId="77777777" w:rsidTr="00B637FE">
        <w:trPr>
          <w:trHeight w:val="300"/>
        </w:trPr>
        <w:tc>
          <w:tcPr>
            <w:tcW w:w="0" w:type="auto"/>
            <w:vMerge w:val="restart"/>
            <w:noWrap/>
            <w:vAlign w:val="center"/>
            <w:hideMark/>
          </w:tcPr>
          <w:p w14:paraId="1382E642" w14:textId="77777777" w:rsidR="00375BD2" w:rsidRPr="00C05886" w:rsidRDefault="00375BD2" w:rsidP="00375BD2">
            <w:pPr>
              <w:spacing w:line="240" w:lineRule="auto"/>
              <w:jc w:val="center"/>
              <w:rPr>
                <w:rFonts w:eastAsia="Times New Roman" w:cstheme="minorHAnsi"/>
                <w:color w:val="000000"/>
                <w:sz w:val="20"/>
                <w:szCs w:val="20"/>
                <w:lang w:eastAsia="en-GB"/>
              </w:rPr>
            </w:pPr>
            <w:r w:rsidRPr="00C05886">
              <w:rPr>
                <w:rFonts w:eastAsia="Times New Roman" w:cstheme="minorHAnsi"/>
                <w:color w:val="000000"/>
                <w:sz w:val="20"/>
                <w:szCs w:val="20"/>
                <w:lang w:eastAsia="en-GB"/>
              </w:rPr>
              <w:t>LBHC</w:t>
            </w:r>
          </w:p>
        </w:tc>
        <w:tc>
          <w:tcPr>
            <w:tcW w:w="0" w:type="auto"/>
            <w:noWrap/>
            <w:hideMark/>
          </w:tcPr>
          <w:p w14:paraId="1FC83AE2" w14:textId="77777777" w:rsidR="00375BD2" w:rsidRPr="00C05886" w:rsidRDefault="00375BD2" w:rsidP="00375BD2">
            <w:pPr>
              <w:spacing w:line="240" w:lineRule="auto"/>
              <w:rPr>
                <w:rFonts w:eastAsia="Times New Roman" w:cstheme="minorHAnsi"/>
                <w:color w:val="000000"/>
                <w:sz w:val="20"/>
                <w:szCs w:val="20"/>
                <w:lang w:eastAsia="en-GB"/>
              </w:rPr>
            </w:pPr>
            <w:r w:rsidRPr="00C05886">
              <w:rPr>
                <w:rFonts w:eastAsia="Times New Roman" w:cstheme="minorHAnsi"/>
                <w:color w:val="000000"/>
                <w:sz w:val="20"/>
                <w:szCs w:val="20"/>
                <w:lang w:eastAsia="en-GB"/>
              </w:rPr>
              <w:t>Mean</w:t>
            </w:r>
          </w:p>
        </w:tc>
        <w:tc>
          <w:tcPr>
            <w:tcW w:w="0" w:type="auto"/>
            <w:noWrap/>
            <w:hideMark/>
          </w:tcPr>
          <w:p w14:paraId="5F87BFD3"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2.73</w:t>
            </w:r>
          </w:p>
        </w:tc>
        <w:tc>
          <w:tcPr>
            <w:tcW w:w="0" w:type="auto"/>
            <w:noWrap/>
            <w:hideMark/>
          </w:tcPr>
          <w:p w14:paraId="75D6E5AE"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2.75</w:t>
            </w:r>
          </w:p>
        </w:tc>
        <w:tc>
          <w:tcPr>
            <w:tcW w:w="0" w:type="auto"/>
            <w:noWrap/>
            <w:hideMark/>
          </w:tcPr>
          <w:p w14:paraId="503630DB"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2.40</w:t>
            </w:r>
          </w:p>
        </w:tc>
        <w:tc>
          <w:tcPr>
            <w:tcW w:w="0" w:type="auto"/>
            <w:noWrap/>
            <w:hideMark/>
          </w:tcPr>
          <w:p w14:paraId="49FD2A15"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2.34</w:t>
            </w:r>
          </w:p>
        </w:tc>
        <w:tc>
          <w:tcPr>
            <w:tcW w:w="0" w:type="auto"/>
            <w:noWrap/>
            <w:hideMark/>
          </w:tcPr>
          <w:p w14:paraId="10445062"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1.80</w:t>
            </w:r>
          </w:p>
        </w:tc>
        <w:tc>
          <w:tcPr>
            <w:tcW w:w="0" w:type="auto"/>
            <w:noWrap/>
            <w:hideMark/>
          </w:tcPr>
          <w:p w14:paraId="27CC7088"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1.53</w:t>
            </w:r>
          </w:p>
        </w:tc>
      </w:tr>
      <w:tr w:rsidR="00375BD2" w:rsidRPr="00C05886" w14:paraId="2BCB87B4" w14:textId="77777777" w:rsidTr="00B637FE">
        <w:trPr>
          <w:trHeight w:val="300"/>
        </w:trPr>
        <w:tc>
          <w:tcPr>
            <w:tcW w:w="0" w:type="auto"/>
            <w:vMerge/>
            <w:noWrap/>
            <w:vAlign w:val="center"/>
            <w:hideMark/>
          </w:tcPr>
          <w:p w14:paraId="20E29B4C" w14:textId="77777777" w:rsidR="00375BD2" w:rsidRPr="00C05886" w:rsidRDefault="00375BD2" w:rsidP="00375BD2">
            <w:pPr>
              <w:spacing w:line="240" w:lineRule="auto"/>
              <w:jc w:val="center"/>
              <w:rPr>
                <w:rFonts w:eastAsia="Times New Roman" w:cstheme="minorHAnsi"/>
                <w:color w:val="000000"/>
                <w:sz w:val="20"/>
                <w:szCs w:val="20"/>
                <w:lang w:eastAsia="en-GB"/>
              </w:rPr>
            </w:pPr>
          </w:p>
        </w:tc>
        <w:tc>
          <w:tcPr>
            <w:tcW w:w="0" w:type="auto"/>
            <w:noWrap/>
            <w:hideMark/>
          </w:tcPr>
          <w:p w14:paraId="306C7419" w14:textId="77777777" w:rsidR="00375BD2" w:rsidRPr="00C05886" w:rsidRDefault="00375BD2" w:rsidP="00375BD2">
            <w:pPr>
              <w:spacing w:line="240" w:lineRule="auto"/>
              <w:rPr>
                <w:rFonts w:eastAsia="Times New Roman" w:cstheme="minorHAnsi"/>
                <w:color w:val="000000"/>
                <w:sz w:val="20"/>
                <w:szCs w:val="20"/>
                <w:lang w:eastAsia="en-GB"/>
              </w:rPr>
            </w:pPr>
            <w:r w:rsidRPr="00C05886">
              <w:rPr>
                <w:rFonts w:eastAsia="Times New Roman" w:cstheme="minorHAnsi"/>
                <w:color w:val="000000"/>
                <w:sz w:val="20"/>
                <w:szCs w:val="20"/>
                <w:lang w:eastAsia="en-GB"/>
              </w:rPr>
              <w:t>SD</w:t>
            </w:r>
          </w:p>
        </w:tc>
        <w:tc>
          <w:tcPr>
            <w:tcW w:w="0" w:type="auto"/>
            <w:noWrap/>
            <w:hideMark/>
          </w:tcPr>
          <w:p w14:paraId="4BAEB37B"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0.84</w:t>
            </w:r>
          </w:p>
        </w:tc>
        <w:tc>
          <w:tcPr>
            <w:tcW w:w="0" w:type="auto"/>
            <w:noWrap/>
            <w:hideMark/>
          </w:tcPr>
          <w:p w14:paraId="08284BB4"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0.94</w:t>
            </w:r>
          </w:p>
        </w:tc>
        <w:tc>
          <w:tcPr>
            <w:tcW w:w="0" w:type="auto"/>
            <w:noWrap/>
            <w:hideMark/>
          </w:tcPr>
          <w:p w14:paraId="0CECFFF3"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0.58</w:t>
            </w:r>
          </w:p>
        </w:tc>
        <w:tc>
          <w:tcPr>
            <w:tcW w:w="0" w:type="auto"/>
            <w:noWrap/>
            <w:hideMark/>
          </w:tcPr>
          <w:p w14:paraId="7B23D2A8"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0.68</w:t>
            </w:r>
          </w:p>
        </w:tc>
        <w:tc>
          <w:tcPr>
            <w:tcW w:w="0" w:type="auto"/>
            <w:noWrap/>
            <w:hideMark/>
          </w:tcPr>
          <w:p w14:paraId="28557EE1"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0.75</w:t>
            </w:r>
          </w:p>
        </w:tc>
        <w:tc>
          <w:tcPr>
            <w:tcW w:w="0" w:type="auto"/>
            <w:noWrap/>
            <w:hideMark/>
          </w:tcPr>
          <w:p w14:paraId="72F13D5A"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0.66</w:t>
            </w:r>
          </w:p>
        </w:tc>
      </w:tr>
      <w:tr w:rsidR="00375BD2" w:rsidRPr="00C05886" w14:paraId="4B6E0264" w14:textId="77777777" w:rsidTr="00B637FE">
        <w:trPr>
          <w:trHeight w:val="300"/>
        </w:trPr>
        <w:tc>
          <w:tcPr>
            <w:tcW w:w="0" w:type="auto"/>
            <w:vMerge/>
            <w:noWrap/>
            <w:vAlign w:val="center"/>
            <w:hideMark/>
          </w:tcPr>
          <w:p w14:paraId="3A21CE58" w14:textId="77777777" w:rsidR="00375BD2" w:rsidRPr="00C05886" w:rsidRDefault="00375BD2" w:rsidP="00375BD2">
            <w:pPr>
              <w:spacing w:line="240" w:lineRule="auto"/>
              <w:jc w:val="center"/>
              <w:rPr>
                <w:rFonts w:eastAsia="Times New Roman" w:cstheme="minorHAnsi"/>
                <w:color w:val="000000"/>
                <w:sz w:val="20"/>
                <w:szCs w:val="20"/>
                <w:lang w:eastAsia="en-GB"/>
              </w:rPr>
            </w:pPr>
          </w:p>
        </w:tc>
        <w:tc>
          <w:tcPr>
            <w:tcW w:w="0" w:type="auto"/>
            <w:noWrap/>
            <w:hideMark/>
          </w:tcPr>
          <w:p w14:paraId="3DF5EA86" w14:textId="77777777" w:rsidR="00375BD2" w:rsidRPr="00C05886" w:rsidRDefault="00375BD2" w:rsidP="00375BD2">
            <w:pPr>
              <w:spacing w:line="240" w:lineRule="auto"/>
              <w:rPr>
                <w:rFonts w:eastAsia="Times New Roman" w:cstheme="minorHAnsi"/>
                <w:color w:val="000000"/>
                <w:sz w:val="20"/>
                <w:szCs w:val="20"/>
                <w:lang w:eastAsia="en-GB"/>
              </w:rPr>
            </w:pPr>
            <w:r w:rsidRPr="00C05886">
              <w:rPr>
                <w:rFonts w:eastAsia="Times New Roman" w:cstheme="minorHAnsi"/>
                <w:color w:val="000000"/>
                <w:sz w:val="20"/>
                <w:szCs w:val="20"/>
                <w:lang w:eastAsia="en-GB"/>
              </w:rPr>
              <w:t>N</w:t>
            </w:r>
          </w:p>
        </w:tc>
        <w:tc>
          <w:tcPr>
            <w:tcW w:w="0" w:type="auto"/>
            <w:noWrap/>
            <w:hideMark/>
          </w:tcPr>
          <w:p w14:paraId="1E32E761"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87</w:t>
            </w:r>
          </w:p>
        </w:tc>
        <w:tc>
          <w:tcPr>
            <w:tcW w:w="0" w:type="auto"/>
            <w:noWrap/>
            <w:hideMark/>
          </w:tcPr>
          <w:p w14:paraId="21E33FC5"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87</w:t>
            </w:r>
          </w:p>
        </w:tc>
        <w:tc>
          <w:tcPr>
            <w:tcW w:w="0" w:type="auto"/>
            <w:noWrap/>
            <w:hideMark/>
          </w:tcPr>
          <w:p w14:paraId="26121FA4"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87</w:t>
            </w:r>
          </w:p>
        </w:tc>
        <w:tc>
          <w:tcPr>
            <w:tcW w:w="0" w:type="auto"/>
            <w:noWrap/>
            <w:hideMark/>
          </w:tcPr>
          <w:p w14:paraId="20549D76"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87</w:t>
            </w:r>
          </w:p>
        </w:tc>
        <w:tc>
          <w:tcPr>
            <w:tcW w:w="0" w:type="auto"/>
            <w:noWrap/>
            <w:hideMark/>
          </w:tcPr>
          <w:p w14:paraId="69298B43"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87</w:t>
            </w:r>
          </w:p>
        </w:tc>
        <w:tc>
          <w:tcPr>
            <w:tcW w:w="0" w:type="auto"/>
            <w:noWrap/>
            <w:hideMark/>
          </w:tcPr>
          <w:p w14:paraId="79D0698B"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87</w:t>
            </w:r>
          </w:p>
        </w:tc>
      </w:tr>
      <w:tr w:rsidR="00375BD2" w:rsidRPr="00C05886" w14:paraId="5F86E9F4" w14:textId="77777777" w:rsidTr="00B637FE">
        <w:trPr>
          <w:trHeight w:val="300"/>
        </w:trPr>
        <w:tc>
          <w:tcPr>
            <w:tcW w:w="0" w:type="auto"/>
            <w:vMerge w:val="restart"/>
            <w:noWrap/>
            <w:vAlign w:val="center"/>
            <w:hideMark/>
          </w:tcPr>
          <w:p w14:paraId="565E8AC5" w14:textId="77777777" w:rsidR="00375BD2" w:rsidRPr="00C05886" w:rsidRDefault="00375BD2" w:rsidP="00375BD2">
            <w:pPr>
              <w:spacing w:line="240" w:lineRule="auto"/>
              <w:jc w:val="center"/>
              <w:rPr>
                <w:rFonts w:eastAsia="Times New Roman" w:cstheme="minorHAnsi"/>
                <w:color w:val="000000"/>
                <w:sz w:val="20"/>
                <w:szCs w:val="20"/>
                <w:lang w:eastAsia="en-GB"/>
              </w:rPr>
            </w:pPr>
            <w:r w:rsidRPr="00C05886">
              <w:rPr>
                <w:rFonts w:eastAsia="Times New Roman" w:cstheme="minorHAnsi"/>
                <w:color w:val="000000"/>
                <w:sz w:val="20"/>
                <w:szCs w:val="20"/>
                <w:lang w:eastAsia="en-GB"/>
              </w:rPr>
              <w:t>LBLC</w:t>
            </w:r>
          </w:p>
        </w:tc>
        <w:tc>
          <w:tcPr>
            <w:tcW w:w="0" w:type="auto"/>
            <w:noWrap/>
            <w:hideMark/>
          </w:tcPr>
          <w:p w14:paraId="03FE9C9C" w14:textId="77777777" w:rsidR="00375BD2" w:rsidRPr="00C05886" w:rsidRDefault="00375BD2" w:rsidP="00375BD2">
            <w:pPr>
              <w:spacing w:line="240" w:lineRule="auto"/>
              <w:rPr>
                <w:rFonts w:eastAsia="Times New Roman" w:cstheme="minorHAnsi"/>
                <w:color w:val="000000"/>
                <w:sz w:val="20"/>
                <w:szCs w:val="20"/>
                <w:lang w:eastAsia="en-GB"/>
              </w:rPr>
            </w:pPr>
            <w:r w:rsidRPr="00C05886">
              <w:rPr>
                <w:rFonts w:eastAsia="Times New Roman" w:cstheme="minorHAnsi"/>
                <w:color w:val="000000"/>
                <w:sz w:val="20"/>
                <w:szCs w:val="20"/>
                <w:lang w:eastAsia="en-GB"/>
              </w:rPr>
              <w:t>Mean</w:t>
            </w:r>
          </w:p>
        </w:tc>
        <w:tc>
          <w:tcPr>
            <w:tcW w:w="0" w:type="auto"/>
            <w:noWrap/>
            <w:hideMark/>
          </w:tcPr>
          <w:p w14:paraId="59CAB582"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2.57</w:t>
            </w:r>
          </w:p>
        </w:tc>
        <w:tc>
          <w:tcPr>
            <w:tcW w:w="0" w:type="auto"/>
            <w:noWrap/>
            <w:hideMark/>
          </w:tcPr>
          <w:p w14:paraId="50A215D7"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2.59</w:t>
            </w:r>
          </w:p>
        </w:tc>
        <w:tc>
          <w:tcPr>
            <w:tcW w:w="0" w:type="auto"/>
            <w:noWrap/>
            <w:hideMark/>
          </w:tcPr>
          <w:p w14:paraId="752CBC3C"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2.36</w:t>
            </w:r>
          </w:p>
        </w:tc>
        <w:tc>
          <w:tcPr>
            <w:tcW w:w="0" w:type="auto"/>
            <w:noWrap/>
            <w:hideMark/>
          </w:tcPr>
          <w:p w14:paraId="503E2F8D"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2.34</w:t>
            </w:r>
          </w:p>
        </w:tc>
        <w:tc>
          <w:tcPr>
            <w:tcW w:w="0" w:type="auto"/>
            <w:noWrap/>
            <w:hideMark/>
          </w:tcPr>
          <w:p w14:paraId="7CB30178"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1.82</w:t>
            </w:r>
          </w:p>
        </w:tc>
        <w:tc>
          <w:tcPr>
            <w:tcW w:w="0" w:type="auto"/>
            <w:noWrap/>
            <w:hideMark/>
          </w:tcPr>
          <w:p w14:paraId="7A4C6335"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1.72</w:t>
            </w:r>
          </w:p>
        </w:tc>
      </w:tr>
      <w:tr w:rsidR="00375BD2" w:rsidRPr="00C05886" w14:paraId="34532D1D" w14:textId="77777777" w:rsidTr="00B637FE">
        <w:trPr>
          <w:trHeight w:val="300"/>
        </w:trPr>
        <w:tc>
          <w:tcPr>
            <w:tcW w:w="0" w:type="auto"/>
            <w:vMerge/>
            <w:noWrap/>
            <w:vAlign w:val="center"/>
            <w:hideMark/>
          </w:tcPr>
          <w:p w14:paraId="55CA1FAA" w14:textId="77777777" w:rsidR="00375BD2" w:rsidRPr="00C05886" w:rsidRDefault="00375BD2" w:rsidP="00375BD2">
            <w:pPr>
              <w:spacing w:line="240" w:lineRule="auto"/>
              <w:jc w:val="center"/>
              <w:rPr>
                <w:rFonts w:eastAsia="Times New Roman" w:cstheme="minorHAnsi"/>
                <w:color w:val="000000"/>
                <w:sz w:val="20"/>
                <w:szCs w:val="20"/>
                <w:lang w:eastAsia="en-GB"/>
              </w:rPr>
            </w:pPr>
          </w:p>
        </w:tc>
        <w:tc>
          <w:tcPr>
            <w:tcW w:w="0" w:type="auto"/>
            <w:noWrap/>
            <w:hideMark/>
          </w:tcPr>
          <w:p w14:paraId="462D976C" w14:textId="77777777" w:rsidR="00375BD2" w:rsidRPr="00C05886" w:rsidRDefault="00375BD2" w:rsidP="00375BD2">
            <w:pPr>
              <w:spacing w:line="240" w:lineRule="auto"/>
              <w:rPr>
                <w:rFonts w:eastAsia="Times New Roman" w:cstheme="minorHAnsi"/>
                <w:color w:val="000000"/>
                <w:sz w:val="20"/>
                <w:szCs w:val="20"/>
                <w:lang w:eastAsia="en-GB"/>
              </w:rPr>
            </w:pPr>
            <w:r w:rsidRPr="00C05886">
              <w:rPr>
                <w:rFonts w:eastAsia="Times New Roman" w:cstheme="minorHAnsi"/>
                <w:color w:val="000000"/>
                <w:sz w:val="20"/>
                <w:szCs w:val="20"/>
                <w:lang w:eastAsia="en-GB"/>
              </w:rPr>
              <w:t>SD</w:t>
            </w:r>
          </w:p>
        </w:tc>
        <w:tc>
          <w:tcPr>
            <w:tcW w:w="0" w:type="auto"/>
            <w:noWrap/>
            <w:hideMark/>
          </w:tcPr>
          <w:p w14:paraId="5E16DBD4"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0.87</w:t>
            </w:r>
          </w:p>
        </w:tc>
        <w:tc>
          <w:tcPr>
            <w:tcW w:w="0" w:type="auto"/>
            <w:noWrap/>
            <w:hideMark/>
          </w:tcPr>
          <w:p w14:paraId="2DFC4CCD"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0.88</w:t>
            </w:r>
          </w:p>
        </w:tc>
        <w:tc>
          <w:tcPr>
            <w:tcW w:w="0" w:type="auto"/>
            <w:noWrap/>
            <w:hideMark/>
          </w:tcPr>
          <w:p w14:paraId="431B26D2"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0.60</w:t>
            </w:r>
          </w:p>
        </w:tc>
        <w:tc>
          <w:tcPr>
            <w:tcW w:w="0" w:type="auto"/>
            <w:noWrap/>
            <w:hideMark/>
          </w:tcPr>
          <w:p w14:paraId="03AD11AC"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0.64</w:t>
            </w:r>
          </w:p>
        </w:tc>
        <w:tc>
          <w:tcPr>
            <w:tcW w:w="0" w:type="auto"/>
            <w:noWrap/>
            <w:hideMark/>
          </w:tcPr>
          <w:p w14:paraId="218B9C9F"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0.80</w:t>
            </w:r>
          </w:p>
        </w:tc>
        <w:tc>
          <w:tcPr>
            <w:tcW w:w="0" w:type="auto"/>
            <w:noWrap/>
            <w:hideMark/>
          </w:tcPr>
          <w:p w14:paraId="04044EE4"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0.87</w:t>
            </w:r>
          </w:p>
        </w:tc>
      </w:tr>
      <w:tr w:rsidR="00375BD2" w:rsidRPr="00C05886" w14:paraId="024F4148" w14:textId="77777777" w:rsidTr="00B637FE">
        <w:trPr>
          <w:trHeight w:val="300"/>
        </w:trPr>
        <w:tc>
          <w:tcPr>
            <w:tcW w:w="0" w:type="auto"/>
            <w:vMerge/>
            <w:noWrap/>
            <w:vAlign w:val="center"/>
            <w:hideMark/>
          </w:tcPr>
          <w:p w14:paraId="75F6726C" w14:textId="77777777" w:rsidR="00375BD2" w:rsidRPr="00C05886" w:rsidRDefault="00375BD2" w:rsidP="00375BD2">
            <w:pPr>
              <w:spacing w:line="240" w:lineRule="auto"/>
              <w:jc w:val="center"/>
              <w:rPr>
                <w:rFonts w:eastAsia="Times New Roman" w:cstheme="minorHAnsi"/>
                <w:color w:val="000000"/>
                <w:sz w:val="20"/>
                <w:szCs w:val="20"/>
                <w:lang w:eastAsia="en-GB"/>
              </w:rPr>
            </w:pPr>
          </w:p>
        </w:tc>
        <w:tc>
          <w:tcPr>
            <w:tcW w:w="0" w:type="auto"/>
            <w:noWrap/>
            <w:hideMark/>
          </w:tcPr>
          <w:p w14:paraId="0A907E9E" w14:textId="77777777" w:rsidR="00375BD2" w:rsidRPr="00C05886" w:rsidRDefault="00375BD2" w:rsidP="00375BD2">
            <w:pPr>
              <w:spacing w:line="240" w:lineRule="auto"/>
              <w:rPr>
                <w:rFonts w:eastAsia="Times New Roman" w:cstheme="minorHAnsi"/>
                <w:color w:val="000000"/>
                <w:sz w:val="20"/>
                <w:szCs w:val="20"/>
                <w:lang w:eastAsia="en-GB"/>
              </w:rPr>
            </w:pPr>
            <w:r w:rsidRPr="00C05886">
              <w:rPr>
                <w:rFonts w:eastAsia="Times New Roman" w:cstheme="minorHAnsi"/>
                <w:color w:val="000000"/>
                <w:sz w:val="20"/>
                <w:szCs w:val="20"/>
                <w:lang w:eastAsia="en-GB"/>
              </w:rPr>
              <w:t>N</w:t>
            </w:r>
          </w:p>
        </w:tc>
        <w:tc>
          <w:tcPr>
            <w:tcW w:w="0" w:type="auto"/>
            <w:noWrap/>
            <w:hideMark/>
          </w:tcPr>
          <w:p w14:paraId="64561DBB"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93</w:t>
            </w:r>
          </w:p>
        </w:tc>
        <w:tc>
          <w:tcPr>
            <w:tcW w:w="0" w:type="auto"/>
            <w:noWrap/>
            <w:hideMark/>
          </w:tcPr>
          <w:p w14:paraId="56BF80D3"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93</w:t>
            </w:r>
          </w:p>
        </w:tc>
        <w:tc>
          <w:tcPr>
            <w:tcW w:w="0" w:type="auto"/>
            <w:noWrap/>
            <w:hideMark/>
          </w:tcPr>
          <w:p w14:paraId="0BBDFC17"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93</w:t>
            </w:r>
          </w:p>
        </w:tc>
        <w:tc>
          <w:tcPr>
            <w:tcW w:w="0" w:type="auto"/>
            <w:noWrap/>
            <w:hideMark/>
          </w:tcPr>
          <w:p w14:paraId="127CC53E"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93</w:t>
            </w:r>
          </w:p>
        </w:tc>
        <w:tc>
          <w:tcPr>
            <w:tcW w:w="0" w:type="auto"/>
            <w:noWrap/>
            <w:hideMark/>
          </w:tcPr>
          <w:p w14:paraId="57A7888E"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93</w:t>
            </w:r>
          </w:p>
        </w:tc>
        <w:tc>
          <w:tcPr>
            <w:tcW w:w="0" w:type="auto"/>
            <w:noWrap/>
            <w:hideMark/>
          </w:tcPr>
          <w:p w14:paraId="512E8FCB"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93</w:t>
            </w:r>
          </w:p>
        </w:tc>
      </w:tr>
      <w:tr w:rsidR="00375BD2" w:rsidRPr="00C05886" w14:paraId="0417AB19" w14:textId="77777777" w:rsidTr="00B637FE">
        <w:trPr>
          <w:trHeight w:val="300"/>
        </w:trPr>
        <w:tc>
          <w:tcPr>
            <w:tcW w:w="0" w:type="auto"/>
            <w:vMerge w:val="restart"/>
            <w:noWrap/>
            <w:vAlign w:val="center"/>
            <w:hideMark/>
          </w:tcPr>
          <w:p w14:paraId="3588152A" w14:textId="77777777" w:rsidR="00375BD2" w:rsidRPr="00C05886" w:rsidRDefault="00375BD2" w:rsidP="00375BD2">
            <w:pPr>
              <w:spacing w:line="240" w:lineRule="auto"/>
              <w:jc w:val="center"/>
              <w:rPr>
                <w:rFonts w:eastAsia="Times New Roman" w:cstheme="minorHAnsi"/>
                <w:color w:val="000000"/>
                <w:sz w:val="20"/>
                <w:szCs w:val="20"/>
                <w:lang w:eastAsia="en-GB"/>
              </w:rPr>
            </w:pPr>
            <w:r w:rsidRPr="00C05886">
              <w:rPr>
                <w:rFonts w:eastAsia="Times New Roman" w:cstheme="minorHAnsi"/>
                <w:color w:val="000000"/>
                <w:sz w:val="20"/>
                <w:szCs w:val="20"/>
                <w:lang w:eastAsia="en-GB"/>
              </w:rPr>
              <w:t>Total</w:t>
            </w:r>
          </w:p>
        </w:tc>
        <w:tc>
          <w:tcPr>
            <w:tcW w:w="0" w:type="auto"/>
            <w:noWrap/>
            <w:hideMark/>
          </w:tcPr>
          <w:p w14:paraId="40A0B3F8" w14:textId="77777777" w:rsidR="00375BD2" w:rsidRPr="00C05886" w:rsidRDefault="00375BD2" w:rsidP="00375BD2">
            <w:pPr>
              <w:spacing w:line="240" w:lineRule="auto"/>
              <w:rPr>
                <w:rFonts w:eastAsia="Times New Roman" w:cstheme="minorHAnsi"/>
                <w:color w:val="000000"/>
                <w:sz w:val="20"/>
                <w:szCs w:val="20"/>
                <w:lang w:eastAsia="en-GB"/>
              </w:rPr>
            </w:pPr>
            <w:r w:rsidRPr="00C05886">
              <w:rPr>
                <w:rFonts w:eastAsia="Times New Roman" w:cstheme="minorHAnsi"/>
                <w:color w:val="000000"/>
                <w:sz w:val="20"/>
                <w:szCs w:val="20"/>
                <w:lang w:eastAsia="en-GB"/>
              </w:rPr>
              <w:t>Mean</w:t>
            </w:r>
          </w:p>
        </w:tc>
        <w:tc>
          <w:tcPr>
            <w:tcW w:w="0" w:type="auto"/>
            <w:noWrap/>
            <w:hideMark/>
          </w:tcPr>
          <w:p w14:paraId="7024F50D"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2.64</w:t>
            </w:r>
          </w:p>
        </w:tc>
        <w:tc>
          <w:tcPr>
            <w:tcW w:w="0" w:type="auto"/>
            <w:noWrap/>
            <w:hideMark/>
          </w:tcPr>
          <w:p w14:paraId="54D9EA42"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2.65</w:t>
            </w:r>
          </w:p>
        </w:tc>
        <w:tc>
          <w:tcPr>
            <w:tcW w:w="0" w:type="auto"/>
            <w:noWrap/>
            <w:hideMark/>
          </w:tcPr>
          <w:p w14:paraId="46FCCD9A"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2.38</w:t>
            </w:r>
          </w:p>
        </w:tc>
        <w:tc>
          <w:tcPr>
            <w:tcW w:w="0" w:type="auto"/>
            <w:noWrap/>
            <w:hideMark/>
          </w:tcPr>
          <w:p w14:paraId="6B686ECD"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2.35</w:t>
            </w:r>
          </w:p>
        </w:tc>
        <w:tc>
          <w:tcPr>
            <w:tcW w:w="0" w:type="auto"/>
            <w:noWrap/>
            <w:hideMark/>
          </w:tcPr>
          <w:p w14:paraId="206F90DB"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1.81</w:t>
            </w:r>
          </w:p>
        </w:tc>
        <w:tc>
          <w:tcPr>
            <w:tcW w:w="0" w:type="auto"/>
            <w:noWrap/>
            <w:hideMark/>
          </w:tcPr>
          <w:p w14:paraId="7314E810"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1.62</w:t>
            </w:r>
          </w:p>
        </w:tc>
      </w:tr>
      <w:tr w:rsidR="00375BD2" w:rsidRPr="00C05886" w14:paraId="27B08617" w14:textId="77777777" w:rsidTr="00B637FE">
        <w:trPr>
          <w:trHeight w:val="300"/>
        </w:trPr>
        <w:tc>
          <w:tcPr>
            <w:tcW w:w="0" w:type="auto"/>
            <w:vMerge/>
            <w:noWrap/>
            <w:hideMark/>
          </w:tcPr>
          <w:p w14:paraId="1B0B862C" w14:textId="77777777" w:rsidR="00375BD2" w:rsidRPr="00C05886" w:rsidRDefault="00375BD2" w:rsidP="00375BD2">
            <w:pPr>
              <w:spacing w:line="240" w:lineRule="auto"/>
              <w:jc w:val="right"/>
              <w:rPr>
                <w:rFonts w:eastAsia="Times New Roman" w:cstheme="minorHAnsi"/>
                <w:color w:val="000000"/>
                <w:sz w:val="20"/>
                <w:szCs w:val="20"/>
                <w:lang w:eastAsia="en-GB"/>
              </w:rPr>
            </w:pPr>
          </w:p>
        </w:tc>
        <w:tc>
          <w:tcPr>
            <w:tcW w:w="0" w:type="auto"/>
            <w:noWrap/>
            <w:hideMark/>
          </w:tcPr>
          <w:p w14:paraId="24270048" w14:textId="77777777" w:rsidR="00375BD2" w:rsidRPr="00C05886" w:rsidRDefault="00375BD2" w:rsidP="00375BD2">
            <w:pPr>
              <w:spacing w:line="240" w:lineRule="auto"/>
              <w:rPr>
                <w:rFonts w:eastAsia="Times New Roman" w:cstheme="minorHAnsi"/>
                <w:color w:val="000000"/>
                <w:sz w:val="20"/>
                <w:szCs w:val="20"/>
                <w:lang w:eastAsia="en-GB"/>
              </w:rPr>
            </w:pPr>
            <w:r w:rsidRPr="00C05886">
              <w:rPr>
                <w:rFonts w:eastAsia="Times New Roman" w:cstheme="minorHAnsi"/>
                <w:color w:val="000000"/>
                <w:sz w:val="20"/>
                <w:szCs w:val="20"/>
                <w:lang w:eastAsia="en-GB"/>
              </w:rPr>
              <w:t>SD</w:t>
            </w:r>
          </w:p>
        </w:tc>
        <w:tc>
          <w:tcPr>
            <w:tcW w:w="0" w:type="auto"/>
            <w:noWrap/>
            <w:hideMark/>
          </w:tcPr>
          <w:p w14:paraId="074289C6"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0.85</w:t>
            </w:r>
          </w:p>
        </w:tc>
        <w:tc>
          <w:tcPr>
            <w:tcW w:w="0" w:type="auto"/>
            <w:noWrap/>
            <w:hideMark/>
          </w:tcPr>
          <w:p w14:paraId="1EAC2C93"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0.91</w:t>
            </w:r>
          </w:p>
        </w:tc>
        <w:tc>
          <w:tcPr>
            <w:tcW w:w="0" w:type="auto"/>
            <w:noWrap/>
            <w:hideMark/>
          </w:tcPr>
          <w:p w14:paraId="4E36CD5B"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0.64</w:t>
            </w:r>
          </w:p>
        </w:tc>
        <w:tc>
          <w:tcPr>
            <w:tcW w:w="0" w:type="auto"/>
            <w:noWrap/>
            <w:hideMark/>
          </w:tcPr>
          <w:p w14:paraId="2771009D"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0.69</w:t>
            </w:r>
          </w:p>
        </w:tc>
        <w:tc>
          <w:tcPr>
            <w:tcW w:w="0" w:type="auto"/>
            <w:noWrap/>
            <w:hideMark/>
          </w:tcPr>
          <w:p w14:paraId="353157BC"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0.78</w:t>
            </w:r>
          </w:p>
        </w:tc>
        <w:tc>
          <w:tcPr>
            <w:tcW w:w="0" w:type="auto"/>
            <w:noWrap/>
            <w:hideMark/>
          </w:tcPr>
          <w:p w14:paraId="40FF92D3"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0.76</w:t>
            </w:r>
          </w:p>
        </w:tc>
      </w:tr>
      <w:tr w:rsidR="00375BD2" w:rsidRPr="00C05886" w14:paraId="0C2F9CEA" w14:textId="77777777" w:rsidTr="00B637FE">
        <w:trPr>
          <w:trHeight w:val="300"/>
        </w:trPr>
        <w:tc>
          <w:tcPr>
            <w:tcW w:w="0" w:type="auto"/>
            <w:vMerge/>
            <w:noWrap/>
            <w:hideMark/>
          </w:tcPr>
          <w:p w14:paraId="3A14E73D" w14:textId="77777777" w:rsidR="00375BD2" w:rsidRPr="00C05886" w:rsidRDefault="00375BD2" w:rsidP="00375BD2">
            <w:pPr>
              <w:spacing w:line="240" w:lineRule="auto"/>
              <w:jc w:val="right"/>
              <w:rPr>
                <w:rFonts w:eastAsia="Times New Roman" w:cstheme="minorHAnsi"/>
                <w:color w:val="000000"/>
                <w:sz w:val="20"/>
                <w:szCs w:val="20"/>
                <w:lang w:eastAsia="en-GB"/>
              </w:rPr>
            </w:pPr>
          </w:p>
        </w:tc>
        <w:tc>
          <w:tcPr>
            <w:tcW w:w="0" w:type="auto"/>
            <w:noWrap/>
            <w:hideMark/>
          </w:tcPr>
          <w:p w14:paraId="4EF7E28E" w14:textId="77777777" w:rsidR="00375BD2" w:rsidRPr="00C05886" w:rsidRDefault="00375BD2" w:rsidP="00375BD2">
            <w:pPr>
              <w:spacing w:line="240" w:lineRule="auto"/>
              <w:rPr>
                <w:rFonts w:eastAsia="Times New Roman" w:cstheme="minorHAnsi"/>
                <w:color w:val="000000"/>
                <w:sz w:val="20"/>
                <w:szCs w:val="20"/>
                <w:lang w:eastAsia="en-GB"/>
              </w:rPr>
            </w:pPr>
            <w:r w:rsidRPr="00C05886">
              <w:rPr>
                <w:rFonts w:eastAsia="Times New Roman" w:cstheme="minorHAnsi"/>
                <w:color w:val="000000"/>
                <w:sz w:val="20"/>
                <w:szCs w:val="20"/>
                <w:lang w:eastAsia="en-GB"/>
              </w:rPr>
              <w:t>N</w:t>
            </w:r>
          </w:p>
        </w:tc>
        <w:tc>
          <w:tcPr>
            <w:tcW w:w="0" w:type="auto"/>
            <w:noWrap/>
            <w:hideMark/>
          </w:tcPr>
          <w:p w14:paraId="16BB41CC"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379</w:t>
            </w:r>
          </w:p>
        </w:tc>
        <w:tc>
          <w:tcPr>
            <w:tcW w:w="0" w:type="auto"/>
            <w:noWrap/>
            <w:hideMark/>
          </w:tcPr>
          <w:p w14:paraId="28D7EB47"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379</w:t>
            </w:r>
          </w:p>
        </w:tc>
        <w:tc>
          <w:tcPr>
            <w:tcW w:w="0" w:type="auto"/>
            <w:noWrap/>
            <w:hideMark/>
          </w:tcPr>
          <w:p w14:paraId="7E69D729"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379</w:t>
            </w:r>
          </w:p>
        </w:tc>
        <w:tc>
          <w:tcPr>
            <w:tcW w:w="0" w:type="auto"/>
            <w:noWrap/>
            <w:hideMark/>
          </w:tcPr>
          <w:p w14:paraId="3D702DF7"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379</w:t>
            </w:r>
          </w:p>
        </w:tc>
        <w:tc>
          <w:tcPr>
            <w:tcW w:w="0" w:type="auto"/>
            <w:noWrap/>
            <w:hideMark/>
          </w:tcPr>
          <w:p w14:paraId="13A03021"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379</w:t>
            </w:r>
          </w:p>
        </w:tc>
        <w:tc>
          <w:tcPr>
            <w:tcW w:w="0" w:type="auto"/>
            <w:noWrap/>
            <w:hideMark/>
          </w:tcPr>
          <w:p w14:paraId="03631BD6"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379</w:t>
            </w:r>
          </w:p>
        </w:tc>
      </w:tr>
    </w:tbl>
    <w:p w14:paraId="19A36B04" w14:textId="77777777" w:rsidR="00375BD2" w:rsidRPr="00C05886" w:rsidRDefault="00375BD2" w:rsidP="00375BD2">
      <w:pPr>
        <w:spacing w:line="240" w:lineRule="auto"/>
      </w:pPr>
    </w:p>
    <w:p w14:paraId="2D4D4029" w14:textId="2BE5A4D9" w:rsidR="00375BD2" w:rsidRPr="00C05886" w:rsidRDefault="00375BD2" w:rsidP="00375BD2">
      <w:pPr>
        <w:pStyle w:val="Caption"/>
        <w:keepNext/>
      </w:pPr>
      <w:r w:rsidRPr="00C05886">
        <w:t xml:space="preserve">Table </w:t>
      </w:r>
      <w:r w:rsidR="00B62F3A" w:rsidRPr="00C05886">
        <w:t>S7.</w:t>
      </w:r>
      <w:r w:rsidRPr="00C05886">
        <w:t xml:space="preserve"> Experiment 4, Unadjusted means of the three affective dimensions at baseline, after the stressor and after the park</w:t>
      </w:r>
    </w:p>
    <w:tbl>
      <w:tblPr>
        <w:tblStyle w:val="TableGrid"/>
        <w:tblW w:w="0" w:type="auto"/>
        <w:tblLayout w:type="fixed"/>
        <w:tblLook w:val="04A0" w:firstRow="1" w:lastRow="0" w:firstColumn="1" w:lastColumn="0" w:noHBand="0" w:noVBand="1"/>
      </w:tblPr>
      <w:tblGrid>
        <w:gridCol w:w="704"/>
        <w:gridCol w:w="709"/>
        <w:gridCol w:w="850"/>
        <w:gridCol w:w="1021"/>
        <w:gridCol w:w="903"/>
        <w:gridCol w:w="1119"/>
        <w:gridCol w:w="1100"/>
        <w:gridCol w:w="915"/>
        <w:gridCol w:w="843"/>
        <w:gridCol w:w="824"/>
        <w:gridCol w:w="640"/>
      </w:tblGrid>
      <w:tr w:rsidR="00375BD2" w:rsidRPr="00C05886" w14:paraId="44513A69" w14:textId="77777777" w:rsidTr="00B0467B">
        <w:trPr>
          <w:trHeight w:val="300"/>
        </w:trPr>
        <w:tc>
          <w:tcPr>
            <w:tcW w:w="1413" w:type="dxa"/>
            <w:gridSpan w:val="2"/>
            <w:noWrap/>
            <w:hideMark/>
          </w:tcPr>
          <w:p w14:paraId="07A33838" w14:textId="77777777" w:rsidR="00375BD2" w:rsidRPr="00C05886" w:rsidRDefault="00375BD2" w:rsidP="00375BD2">
            <w:pPr>
              <w:spacing w:line="240" w:lineRule="auto"/>
              <w:rPr>
                <w:rFonts w:eastAsia="Times New Roman" w:cstheme="minorHAnsi"/>
                <w:color w:val="000000"/>
                <w:sz w:val="20"/>
                <w:szCs w:val="20"/>
                <w:lang w:eastAsia="en-GB"/>
              </w:rPr>
            </w:pPr>
            <w:r w:rsidRPr="00C05886">
              <w:rPr>
                <w:rFonts w:eastAsia="Times New Roman" w:cstheme="minorHAnsi"/>
                <w:color w:val="000000"/>
                <w:sz w:val="20"/>
                <w:szCs w:val="20"/>
                <w:lang w:eastAsia="en-GB"/>
              </w:rPr>
              <w:t>Park treatment</w:t>
            </w:r>
          </w:p>
        </w:tc>
        <w:tc>
          <w:tcPr>
            <w:tcW w:w="850" w:type="dxa"/>
            <w:noWrap/>
            <w:hideMark/>
          </w:tcPr>
          <w:p w14:paraId="1BB06F39" w14:textId="77777777" w:rsidR="00375BD2" w:rsidRPr="00C05886" w:rsidRDefault="00375BD2" w:rsidP="00375BD2">
            <w:pPr>
              <w:spacing w:line="240" w:lineRule="auto"/>
              <w:rPr>
                <w:rFonts w:eastAsia="Times New Roman" w:cstheme="minorHAnsi"/>
                <w:color w:val="000000"/>
                <w:sz w:val="20"/>
                <w:szCs w:val="20"/>
                <w:lang w:eastAsia="en-GB"/>
              </w:rPr>
            </w:pPr>
            <w:r w:rsidRPr="00C05886">
              <w:rPr>
                <w:rFonts w:eastAsia="Times New Roman" w:cstheme="minorHAnsi"/>
                <w:color w:val="000000"/>
                <w:sz w:val="18"/>
                <w:szCs w:val="18"/>
                <w:lang w:eastAsia="en-GB"/>
              </w:rPr>
              <w:t>Joviality baseline</w:t>
            </w:r>
          </w:p>
        </w:tc>
        <w:tc>
          <w:tcPr>
            <w:tcW w:w="1021" w:type="dxa"/>
            <w:noWrap/>
            <w:hideMark/>
          </w:tcPr>
          <w:p w14:paraId="5AA79DFF" w14:textId="77777777" w:rsidR="00375BD2" w:rsidRPr="00C05886" w:rsidRDefault="00375BD2" w:rsidP="00375BD2">
            <w:pPr>
              <w:spacing w:line="240" w:lineRule="auto"/>
              <w:rPr>
                <w:rFonts w:eastAsia="Times New Roman" w:cstheme="minorHAnsi"/>
                <w:color w:val="000000"/>
                <w:sz w:val="20"/>
                <w:szCs w:val="20"/>
                <w:lang w:eastAsia="en-GB"/>
              </w:rPr>
            </w:pPr>
            <w:r w:rsidRPr="00C05886">
              <w:rPr>
                <w:rFonts w:eastAsia="Times New Roman" w:cstheme="minorHAnsi"/>
                <w:color w:val="000000"/>
                <w:sz w:val="18"/>
                <w:szCs w:val="18"/>
                <w:lang w:eastAsia="en-GB"/>
              </w:rPr>
              <w:t>Joviality stressor</w:t>
            </w:r>
          </w:p>
        </w:tc>
        <w:tc>
          <w:tcPr>
            <w:tcW w:w="903" w:type="dxa"/>
            <w:noWrap/>
            <w:hideMark/>
          </w:tcPr>
          <w:p w14:paraId="6B6513A1" w14:textId="77777777" w:rsidR="00375BD2" w:rsidRPr="00C05886" w:rsidRDefault="00375BD2" w:rsidP="00375BD2">
            <w:pPr>
              <w:spacing w:line="240" w:lineRule="auto"/>
              <w:rPr>
                <w:rFonts w:eastAsia="Times New Roman" w:cstheme="minorHAnsi"/>
                <w:color w:val="000000"/>
                <w:sz w:val="20"/>
                <w:szCs w:val="20"/>
                <w:lang w:eastAsia="en-GB"/>
              </w:rPr>
            </w:pPr>
            <w:proofErr w:type="gramStart"/>
            <w:r w:rsidRPr="00C05886">
              <w:rPr>
                <w:rFonts w:eastAsia="Times New Roman" w:cstheme="minorHAnsi"/>
                <w:color w:val="000000"/>
                <w:sz w:val="18"/>
                <w:szCs w:val="18"/>
                <w:lang w:eastAsia="en-GB"/>
              </w:rPr>
              <w:t>Joviality park</w:t>
            </w:r>
            <w:proofErr w:type="gramEnd"/>
          </w:p>
        </w:tc>
        <w:tc>
          <w:tcPr>
            <w:tcW w:w="1119" w:type="dxa"/>
            <w:noWrap/>
            <w:hideMark/>
          </w:tcPr>
          <w:p w14:paraId="1FAEF915" w14:textId="77777777" w:rsidR="00375BD2" w:rsidRPr="00C05886" w:rsidRDefault="00375BD2" w:rsidP="00375BD2">
            <w:pPr>
              <w:spacing w:line="240" w:lineRule="auto"/>
              <w:rPr>
                <w:rFonts w:eastAsia="Times New Roman" w:cstheme="minorHAnsi"/>
                <w:color w:val="000000"/>
                <w:sz w:val="20"/>
                <w:szCs w:val="20"/>
                <w:lang w:eastAsia="en-GB"/>
              </w:rPr>
            </w:pPr>
            <w:r w:rsidRPr="00C05886">
              <w:rPr>
                <w:rFonts w:eastAsia="Times New Roman" w:cstheme="minorHAnsi"/>
                <w:color w:val="000000"/>
                <w:sz w:val="18"/>
                <w:szCs w:val="18"/>
                <w:lang w:eastAsia="en-GB"/>
              </w:rPr>
              <w:t>Serenity baseline</w:t>
            </w:r>
          </w:p>
        </w:tc>
        <w:tc>
          <w:tcPr>
            <w:tcW w:w="1100" w:type="dxa"/>
            <w:noWrap/>
            <w:hideMark/>
          </w:tcPr>
          <w:p w14:paraId="16965C32" w14:textId="77777777" w:rsidR="00375BD2" w:rsidRPr="00C05886" w:rsidRDefault="00375BD2" w:rsidP="00375BD2">
            <w:pPr>
              <w:spacing w:line="240" w:lineRule="auto"/>
              <w:rPr>
                <w:rFonts w:eastAsia="Times New Roman" w:cstheme="minorHAnsi"/>
                <w:color w:val="000000"/>
                <w:sz w:val="20"/>
                <w:szCs w:val="20"/>
                <w:lang w:eastAsia="en-GB"/>
              </w:rPr>
            </w:pPr>
            <w:r w:rsidRPr="00C05886">
              <w:rPr>
                <w:rFonts w:eastAsia="Times New Roman" w:cstheme="minorHAnsi"/>
                <w:color w:val="000000"/>
                <w:sz w:val="18"/>
                <w:szCs w:val="18"/>
                <w:lang w:eastAsia="en-GB"/>
              </w:rPr>
              <w:t>Serenity stressor</w:t>
            </w:r>
          </w:p>
        </w:tc>
        <w:tc>
          <w:tcPr>
            <w:tcW w:w="915" w:type="dxa"/>
            <w:noWrap/>
            <w:hideMark/>
          </w:tcPr>
          <w:p w14:paraId="215B9B2B" w14:textId="77777777" w:rsidR="00375BD2" w:rsidRPr="00C05886" w:rsidRDefault="00375BD2" w:rsidP="00375BD2">
            <w:pPr>
              <w:spacing w:line="240" w:lineRule="auto"/>
              <w:rPr>
                <w:rFonts w:eastAsia="Times New Roman" w:cstheme="minorHAnsi"/>
                <w:color w:val="000000"/>
                <w:sz w:val="20"/>
                <w:szCs w:val="20"/>
                <w:lang w:eastAsia="en-GB"/>
              </w:rPr>
            </w:pPr>
            <w:proofErr w:type="gramStart"/>
            <w:r w:rsidRPr="00C05886">
              <w:rPr>
                <w:rFonts w:eastAsia="Times New Roman" w:cstheme="minorHAnsi"/>
                <w:color w:val="000000"/>
                <w:sz w:val="18"/>
                <w:szCs w:val="18"/>
                <w:lang w:eastAsia="en-GB"/>
              </w:rPr>
              <w:t>Serenity park</w:t>
            </w:r>
            <w:proofErr w:type="gramEnd"/>
          </w:p>
        </w:tc>
        <w:tc>
          <w:tcPr>
            <w:tcW w:w="843" w:type="dxa"/>
            <w:noWrap/>
            <w:hideMark/>
          </w:tcPr>
          <w:p w14:paraId="525C9284" w14:textId="77777777" w:rsidR="00375BD2" w:rsidRPr="00C05886" w:rsidRDefault="00375BD2" w:rsidP="00375BD2">
            <w:pPr>
              <w:spacing w:line="240" w:lineRule="auto"/>
              <w:rPr>
                <w:rFonts w:eastAsia="Times New Roman" w:cstheme="minorHAnsi"/>
                <w:color w:val="000000"/>
                <w:sz w:val="20"/>
                <w:szCs w:val="20"/>
                <w:lang w:eastAsia="en-GB"/>
              </w:rPr>
            </w:pPr>
            <w:r w:rsidRPr="00C05886">
              <w:rPr>
                <w:rFonts w:eastAsia="Times New Roman" w:cstheme="minorHAnsi"/>
                <w:color w:val="000000"/>
                <w:sz w:val="18"/>
                <w:szCs w:val="18"/>
                <w:lang w:eastAsia="en-GB"/>
              </w:rPr>
              <w:t>NA baseline</w:t>
            </w:r>
          </w:p>
        </w:tc>
        <w:tc>
          <w:tcPr>
            <w:tcW w:w="824" w:type="dxa"/>
            <w:noWrap/>
            <w:hideMark/>
          </w:tcPr>
          <w:p w14:paraId="446DC03F" w14:textId="77777777" w:rsidR="00375BD2" w:rsidRPr="00C05886" w:rsidRDefault="00375BD2" w:rsidP="00375BD2">
            <w:pPr>
              <w:spacing w:line="240" w:lineRule="auto"/>
              <w:rPr>
                <w:rFonts w:eastAsia="Times New Roman" w:cstheme="minorHAnsi"/>
                <w:color w:val="000000"/>
                <w:sz w:val="20"/>
                <w:szCs w:val="20"/>
                <w:lang w:eastAsia="en-GB"/>
              </w:rPr>
            </w:pPr>
            <w:r w:rsidRPr="00C05886">
              <w:rPr>
                <w:rFonts w:eastAsia="Times New Roman" w:cstheme="minorHAnsi"/>
                <w:color w:val="000000"/>
                <w:sz w:val="18"/>
                <w:szCs w:val="18"/>
                <w:lang w:eastAsia="en-GB"/>
              </w:rPr>
              <w:t>NA stressor</w:t>
            </w:r>
          </w:p>
        </w:tc>
        <w:tc>
          <w:tcPr>
            <w:tcW w:w="640" w:type="dxa"/>
            <w:noWrap/>
            <w:hideMark/>
          </w:tcPr>
          <w:p w14:paraId="4175191D" w14:textId="77777777" w:rsidR="00375BD2" w:rsidRPr="00C05886" w:rsidRDefault="00375BD2" w:rsidP="00375BD2">
            <w:pPr>
              <w:spacing w:line="240" w:lineRule="auto"/>
              <w:rPr>
                <w:rFonts w:eastAsia="Times New Roman" w:cstheme="minorHAnsi"/>
                <w:color w:val="000000"/>
                <w:sz w:val="20"/>
                <w:szCs w:val="20"/>
                <w:lang w:eastAsia="en-GB"/>
              </w:rPr>
            </w:pPr>
            <w:r w:rsidRPr="00C05886">
              <w:rPr>
                <w:rFonts w:eastAsia="Times New Roman" w:cstheme="minorHAnsi"/>
                <w:color w:val="000000"/>
                <w:sz w:val="18"/>
                <w:szCs w:val="18"/>
                <w:lang w:eastAsia="en-GB"/>
              </w:rPr>
              <w:t>NA park</w:t>
            </w:r>
          </w:p>
        </w:tc>
      </w:tr>
      <w:tr w:rsidR="00375BD2" w:rsidRPr="00C05886" w14:paraId="1B670DAD" w14:textId="77777777" w:rsidTr="0070406A">
        <w:trPr>
          <w:trHeight w:val="300"/>
        </w:trPr>
        <w:tc>
          <w:tcPr>
            <w:tcW w:w="704" w:type="dxa"/>
            <w:vMerge w:val="restart"/>
            <w:noWrap/>
            <w:vAlign w:val="center"/>
            <w:hideMark/>
          </w:tcPr>
          <w:p w14:paraId="7B3AB5EB" w14:textId="77777777" w:rsidR="00375BD2" w:rsidRPr="00C05886" w:rsidRDefault="00375BD2" w:rsidP="00375BD2">
            <w:pPr>
              <w:spacing w:line="240" w:lineRule="auto"/>
              <w:jc w:val="center"/>
              <w:rPr>
                <w:rFonts w:eastAsia="Times New Roman" w:cstheme="minorHAnsi"/>
                <w:color w:val="000000"/>
                <w:sz w:val="20"/>
                <w:szCs w:val="20"/>
                <w:lang w:eastAsia="en-GB"/>
              </w:rPr>
            </w:pPr>
            <w:r w:rsidRPr="00C05886">
              <w:rPr>
                <w:rFonts w:eastAsia="Times New Roman" w:cstheme="minorHAnsi"/>
                <w:color w:val="000000"/>
                <w:sz w:val="20"/>
                <w:szCs w:val="20"/>
                <w:lang w:eastAsia="en-GB"/>
              </w:rPr>
              <w:t>HBHC</w:t>
            </w:r>
          </w:p>
        </w:tc>
        <w:tc>
          <w:tcPr>
            <w:tcW w:w="709" w:type="dxa"/>
            <w:noWrap/>
            <w:hideMark/>
          </w:tcPr>
          <w:p w14:paraId="1661E82B" w14:textId="77777777" w:rsidR="00375BD2" w:rsidRPr="00C05886" w:rsidRDefault="00375BD2" w:rsidP="00375BD2">
            <w:pPr>
              <w:spacing w:line="240" w:lineRule="auto"/>
              <w:rPr>
                <w:rFonts w:eastAsia="Times New Roman" w:cstheme="minorHAnsi"/>
                <w:color w:val="000000"/>
                <w:sz w:val="20"/>
                <w:szCs w:val="20"/>
                <w:lang w:eastAsia="en-GB"/>
              </w:rPr>
            </w:pPr>
            <w:r w:rsidRPr="00C05886">
              <w:rPr>
                <w:rFonts w:eastAsia="Times New Roman" w:cstheme="minorHAnsi"/>
                <w:color w:val="000000"/>
                <w:sz w:val="18"/>
                <w:szCs w:val="18"/>
                <w:lang w:eastAsia="en-GB"/>
              </w:rPr>
              <w:t>Mean</w:t>
            </w:r>
          </w:p>
        </w:tc>
        <w:tc>
          <w:tcPr>
            <w:tcW w:w="850" w:type="dxa"/>
            <w:noWrap/>
            <w:hideMark/>
          </w:tcPr>
          <w:p w14:paraId="45146D66"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2.65</w:t>
            </w:r>
          </w:p>
        </w:tc>
        <w:tc>
          <w:tcPr>
            <w:tcW w:w="1021" w:type="dxa"/>
            <w:noWrap/>
            <w:hideMark/>
          </w:tcPr>
          <w:p w14:paraId="3BB5A93D"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2.36</w:t>
            </w:r>
          </w:p>
        </w:tc>
        <w:tc>
          <w:tcPr>
            <w:tcW w:w="903" w:type="dxa"/>
            <w:noWrap/>
            <w:hideMark/>
          </w:tcPr>
          <w:p w14:paraId="432A5211"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2.62</w:t>
            </w:r>
          </w:p>
        </w:tc>
        <w:tc>
          <w:tcPr>
            <w:tcW w:w="1119" w:type="dxa"/>
            <w:noWrap/>
            <w:hideMark/>
          </w:tcPr>
          <w:p w14:paraId="499B25E6"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2.36</w:t>
            </w:r>
          </w:p>
        </w:tc>
        <w:tc>
          <w:tcPr>
            <w:tcW w:w="1100" w:type="dxa"/>
            <w:noWrap/>
            <w:hideMark/>
          </w:tcPr>
          <w:p w14:paraId="6009CC95"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2.18</w:t>
            </w:r>
          </w:p>
        </w:tc>
        <w:tc>
          <w:tcPr>
            <w:tcW w:w="915" w:type="dxa"/>
            <w:noWrap/>
            <w:hideMark/>
          </w:tcPr>
          <w:p w14:paraId="72FA5CC6"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2.26</w:t>
            </w:r>
          </w:p>
        </w:tc>
        <w:tc>
          <w:tcPr>
            <w:tcW w:w="843" w:type="dxa"/>
            <w:noWrap/>
            <w:hideMark/>
          </w:tcPr>
          <w:p w14:paraId="09C6004F"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1.84</w:t>
            </w:r>
          </w:p>
        </w:tc>
        <w:tc>
          <w:tcPr>
            <w:tcW w:w="824" w:type="dxa"/>
            <w:noWrap/>
            <w:hideMark/>
          </w:tcPr>
          <w:p w14:paraId="0C068B3A"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1.83</w:t>
            </w:r>
          </w:p>
        </w:tc>
        <w:tc>
          <w:tcPr>
            <w:tcW w:w="640" w:type="dxa"/>
            <w:noWrap/>
            <w:hideMark/>
          </w:tcPr>
          <w:p w14:paraId="7217F035"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1.61</w:t>
            </w:r>
          </w:p>
        </w:tc>
      </w:tr>
      <w:tr w:rsidR="00375BD2" w:rsidRPr="00C05886" w14:paraId="36D268E1" w14:textId="77777777" w:rsidTr="0070406A">
        <w:trPr>
          <w:trHeight w:val="300"/>
        </w:trPr>
        <w:tc>
          <w:tcPr>
            <w:tcW w:w="704" w:type="dxa"/>
            <w:vMerge/>
            <w:noWrap/>
            <w:vAlign w:val="center"/>
            <w:hideMark/>
          </w:tcPr>
          <w:p w14:paraId="5B847964" w14:textId="77777777" w:rsidR="00375BD2" w:rsidRPr="00C05886" w:rsidRDefault="00375BD2" w:rsidP="00375BD2">
            <w:pPr>
              <w:spacing w:line="240" w:lineRule="auto"/>
              <w:jc w:val="center"/>
              <w:rPr>
                <w:rFonts w:eastAsia="Times New Roman" w:cstheme="minorHAnsi"/>
                <w:color w:val="000000"/>
                <w:sz w:val="20"/>
                <w:szCs w:val="20"/>
                <w:lang w:eastAsia="en-GB"/>
              </w:rPr>
            </w:pPr>
          </w:p>
        </w:tc>
        <w:tc>
          <w:tcPr>
            <w:tcW w:w="709" w:type="dxa"/>
            <w:noWrap/>
            <w:hideMark/>
          </w:tcPr>
          <w:p w14:paraId="0431DF7A" w14:textId="77777777" w:rsidR="00375BD2" w:rsidRPr="00C05886" w:rsidRDefault="00375BD2" w:rsidP="00375BD2">
            <w:pPr>
              <w:spacing w:line="240" w:lineRule="auto"/>
              <w:rPr>
                <w:rFonts w:eastAsia="Times New Roman" w:cstheme="minorHAnsi"/>
                <w:color w:val="000000"/>
                <w:sz w:val="20"/>
                <w:szCs w:val="20"/>
                <w:lang w:eastAsia="en-GB"/>
              </w:rPr>
            </w:pPr>
            <w:r w:rsidRPr="00C05886">
              <w:rPr>
                <w:rFonts w:eastAsia="Times New Roman" w:cstheme="minorHAnsi"/>
                <w:color w:val="000000"/>
                <w:sz w:val="18"/>
                <w:szCs w:val="18"/>
                <w:lang w:eastAsia="en-GB"/>
              </w:rPr>
              <w:t>SD</w:t>
            </w:r>
          </w:p>
        </w:tc>
        <w:tc>
          <w:tcPr>
            <w:tcW w:w="850" w:type="dxa"/>
            <w:noWrap/>
            <w:hideMark/>
          </w:tcPr>
          <w:p w14:paraId="0856FF40"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0.82</w:t>
            </w:r>
          </w:p>
        </w:tc>
        <w:tc>
          <w:tcPr>
            <w:tcW w:w="1021" w:type="dxa"/>
            <w:noWrap/>
            <w:hideMark/>
          </w:tcPr>
          <w:p w14:paraId="0C8AE902"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0.97</w:t>
            </w:r>
          </w:p>
        </w:tc>
        <w:tc>
          <w:tcPr>
            <w:tcW w:w="903" w:type="dxa"/>
            <w:noWrap/>
            <w:hideMark/>
          </w:tcPr>
          <w:p w14:paraId="4819B264"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0.98</w:t>
            </w:r>
          </w:p>
        </w:tc>
        <w:tc>
          <w:tcPr>
            <w:tcW w:w="1119" w:type="dxa"/>
            <w:noWrap/>
            <w:hideMark/>
          </w:tcPr>
          <w:p w14:paraId="1CDD76CE"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0.67</w:t>
            </w:r>
          </w:p>
        </w:tc>
        <w:tc>
          <w:tcPr>
            <w:tcW w:w="1100" w:type="dxa"/>
            <w:noWrap/>
            <w:hideMark/>
          </w:tcPr>
          <w:p w14:paraId="77237375"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0.77</w:t>
            </w:r>
          </w:p>
        </w:tc>
        <w:tc>
          <w:tcPr>
            <w:tcW w:w="915" w:type="dxa"/>
            <w:noWrap/>
            <w:hideMark/>
          </w:tcPr>
          <w:p w14:paraId="2611394E"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0.62</w:t>
            </w:r>
          </w:p>
        </w:tc>
        <w:tc>
          <w:tcPr>
            <w:tcW w:w="843" w:type="dxa"/>
            <w:noWrap/>
            <w:hideMark/>
          </w:tcPr>
          <w:p w14:paraId="7DD02B17"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0.80</w:t>
            </w:r>
          </w:p>
        </w:tc>
        <w:tc>
          <w:tcPr>
            <w:tcW w:w="824" w:type="dxa"/>
            <w:noWrap/>
            <w:hideMark/>
          </w:tcPr>
          <w:p w14:paraId="361215AE"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0.85</w:t>
            </w:r>
          </w:p>
        </w:tc>
        <w:tc>
          <w:tcPr>
            <w:tcW w:w="640" w:type="dxa"/>
            <w:noWrap/>
            <w:hideMark/>
          </w:tcPr>
          <w:p w14:paraId="6ED685A8"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0.74</w:t>
            </w:r>
          </w:p>
        </w:tc>
      </w:tr>
      <w:tr w:rsidR="00375BD2" w:rsidRPr="00C05886" w14:paraId="36D2791F" w14:textId="77777777" w:rsidTr="0070406A">
        <w:trPr>
          <w:trHeight w:val="300"/>
        </w:trPr>
        <w:tc>
          <w:tcPr>
            <w:tcW w:w="704" w:type="dxa"/>
            <w:vMerge/>
            <w:noWrap/>
            <w:vAlign w:val="center"/>
            <w:hideMark/>
          </w:tcPr>
          <w:p w14:paraId="410E5A7A" w14:textId="77777777" w:rsidR="00375BD2" w:rsidRPr="00C05886" w:rsidRDefault="00375BD2" w:rsidP="00375BD2">
            <w:pPr>
              <w:spacing w:line="240" w:lineRule="auto"/>
              <w:jc w:val="center"/>
              <w:rPr>
                <w:rFonts w:eastAsia="Times New Roman" w:cstheme="minorHAnsi"/>
                <w:color w:val="000000"/>
                <w:sz w:val="20"/>
                <w:szCs w:val="20"/>
                <w:lang w:eastAsia="en-GB"/>
              </w:rPr>
            </w:pPr>
          </w:p>
        </w:tc>
        <w:tc>
          <w:tcPr>
            <w:tcW w:w="709" w:type="dxa"/>
            <w:noWrap/>
            <w:hideMark/>
          </w:tcPr>
          <w:p w14:paraId="5EB1D2E2" w14:textId="77777777" w:rsidR="00375BD2" w:rsidRPr="00C05886" w:rsidRDefault="00375BD2" w:rsidP="00375BD2">
            <w:pPr>
              <w:spacing w:line="240" w:lineRule="auto"/>
              <w:rPr>
                <w:rFonts w:eastAsia="Times New Roman" w:cstheme="minorHAnsi"/>
                <w:color w:val="000000"/>
                <w:sz w:val="20"/>
                <w:szCs w:val="20"/>
                <w:lang w:eastAsia="en-GB"/>
              </w:rPr>
            </w:pPr>
            <w:r w:rsidRPr="00C05886">
              <w:rPr>
                <w:rFonts w:eastAsia="Times New Roman" w:cstheme="minorHAnsi"/>
                <w:color w:val="000000"/>
                <w:sz w:val="18"/>
                <w:szCs w:val="18"/>
                <w:lang w:eastAsia="en-GB"/>
              </w:rPr>
              <w:t>N</w:t>
            </w:r>
          </w:p>
        </w:tc>
        <w:tc>
          <w:tcPr>
            <w:tcW w:w="850" w:type="dxa"/>
            <w:noWrap/>
            <w:hideMark/>
          </w:tcPr>
          <w:p w14:paraId="66F41CC3"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101</w:t>
            </w:r>
          </w:p>
        </w:tc>
        <w:tc>
          <w:tcPr>
            <w:tcW w:w="1021" w:type="dxa"/>
            <w:noWrap/>
            <w:hideMark/>
          </w:tcPr>
          <w:p w14:paraId="3E005DED"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101</w:t>
            </w:r>
          </w:p>
        </w:tc>
        <w:tc>
          <w:tcPr>
            <w:tcW w:w="903" w:type="dxa"/>
            <w:noWrap/>
            <w:hideMark/>
          </w:tcPr>
          <w:p w14:paraId="2F2014F5"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101</w:t>
            </w:r>
          </w:p>
        </w:tc>
        <w:tc>
          <w:tcPr>
            <w:tcW w:w="1119" w:type="dxa"/>
            <w:noWrap/>
            <w:hideMark/>
          </w:tcPr>
          <w:p w14:paraId="7CD0B5E5"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101</w:t>
            </w:r>
          </w:p>
        </w:tc>
        <w:tc>
          <w:tcPr>
            <w:tcW w:w="1100" w:type="dxa"/>
            <w:noWrap/>
            <w:hideMark/>
          </w:tcPr>
          <w:p w14:paraId="6DDF098D"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101</w:t>
            </w:r>
          </w:p>
        </w:tc>
        <w:tc>
          <w:tcPr>
            <w:tcW w:w="915" w:type="dxa"/>
            <w:noWrap/>
            <w:hideMark/>
          </w:tcPr>
          <w:p w14:paraId="207E4DB3"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101</w:t>
            </w:r>
          </w:p>
        </w:tc>
        <w:tc>
          <w:tcPr>
            <w:tcW w:w="843" w:type="dxa"/>
            <w:noWrap/>
            <w:hideMark/>
          </w:tcPr>
          <w:p w14:paraId="2877A006"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101</w:t>
            </w:r>
          </w:p>
        </w:tc>
        <w:tc>
          <w:tcPr>
            <w:tcW w:w="824" w:type="dxa"/>
            <w:noWrap/>
            <w:hideMark/>
          </w:tcPr>
          <w:p w14:paraId="1042D169"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101</w:t>
            </w:r>
          </w:p>
        </w:tc>
        <w:tc>
          <w:tcPr>
            <w:tcW w:w="640" w:type="dxa"/>
            <w:noWrap/>
            <w:hideMark/>
          </w:tcPr>
          <w:p w14:paraId="6E686AB4"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101</w:t>
            </w:r>
          </w:p>
        </w:tc>
      </w:tr>
      <w:tr w:rsidR="00375BD2" w:rsidRPr="00C05886" w14:paraId="07EC2666" w14:textId="77777777" w:rsidTr="0070406A">
        <w:trPr>
          <w:trHeight w:val="300"/>
        </w:trPr>
        <w:tc>
          <w:tcPr>
            <w:tcW w:w="704" w:type="dxa"/>
            <w:vMerge w:val="restart"/>
            <w:noWrap/>
            <w:vAlign w:val="center"/>
            <w:hideMark/>
          </w:tcPr>
          <w:p w14:paraId="437D6C4F" w14:textId="77777777" w:rsidR="00375BD2" w:rsidRPr="00C05886" w:rsidRDefault="00375BD2" w:rsidP="00375BD2">
            <w:pPr>
              <w:spacing w:line="240" w:lineRule="auto"/>
              <w:jc w:val="center"/>
              <w:rPr>
                <w:rFonts w:eastAsia="Times New Roman" w:cstheme="minorHAnsi"/>
                <w:color w:val="000000"/>
                <w:sz w:val="20"/>
                <w:szCs w:val="20"/>
                <w:lang w:eastAsia="en-GB"/>
              </w:rPr>
            </w:pPr>
            <w:r w:rsidRPr="00C05886">
              <w:rPr>
                <w:rFonts w:eastAsia="Times New Roman" w:cstheme="minorHAnsi"/>
                <w:color w:val="000000"/>
                <w:sz w:val="20"/>
                <w:szCs w:val="20"/>
                <w:lang w:eastAsia="en-GB"/>
              </w:rPr>
              <w:t>HBLC</w:t>
            </w:r>
          </w:p>
        </w:tc>
        <w:tc>
          <w:tcPr>
            <w:tcW w:w="709" w:type="dxa"/>
            <w:noWrap/>
            <w:hideMark/>
          </w:tcPr>
          <w:p w14:paraId="3DB0E891" w14:textId="77777777" w:rsidR="00375BD2" w:rsidRPr="00C05886" w:rsidRDefault="00375BD2" w:rsidP="00375BD2">
            <w:pPr>
              <w:spacing w:line="240" w:lineRule="auto"/>
              <w:rPr>
                <w:rFonts w:eastAsia="Times New Roman" w:cstheme="minorHAnsi"/>
                <w:color w:val="000000"/>
                <w:sz w:val="20"/>
                <w:szCs w:val="20"/>
                <w:lang w:eastAsia="en-GB"/>
              </w:rPr>
            </w:pPr>
            <w:r w:rsidRPr="00C05886">
              <w:rPr>
                <w:rFonts w:eastAsia="Times New Roman" w:cstheme="minorHAnsi"/>
                <w:color w:val="000000"/>
                <w:sz w:val="18"/>
                <w:szCs w:val="18"/>
                <w:lang w:eastAsia="en-GB"/>
              </w:rPr>
              <w:t>Mean</w:t>
            </w:r>
          </w:p>
        </w:tc>
        <w:tc>
          <w:tcPr>
            <w:tcW w:w="850" w:type="dxa"/>
            <w:noWrap/>
            <w:hideMark/>
          </w:tcPr>
          <w:p w14:paraId="46D6E2A9"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2.60</w:t>
            </w:r>
          </w:p>
        </w:tc>
        <w:tc>
          <w:tcPr>
            <w:tcW w:w="1021" w:type="dxa"/>
            <w:noWrap/>
            <w:hideMark/>
          </w:tcPr>
          <w:p w14:paraId="3CC23B05"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2.40</w:t>
            </w:r>
          </w:p>
        </w:tc>
        <w:tc>
          <w:tcPr>
            <w:tcW w:w="903" w:type="dxa"/>
            <w:noWrap/>
            <w:hideMark/>
          </w:tcPr>
          <w:p w14:paraId="025F0F8E"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2.64</w:t>
            </w:r>
          </w:p>
        </w:tc>
        <w:tc>
          <w:tcPr>
            <w:tcW w:w="1119" w:type="dxa"/>
            <w:noWrap/>
            <w:hideMark/>
          </w:tcPr>
          <w:p w14:paraId="13E45ACF"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2.35</w:t>
            </w:r>
          </w:p>
        </w:tc>
        <w:tc>
          <w:tcPr>
            <w:tcW w:w="1100" w:type="dxa"/>
            <w:noWrap/>
            <w:hideMark/>
          </w:tcPr>
          <w:p w14:paraId="3A7C6EB9"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2.18</w:t>
            </w:r>
          </w:p>
        </w:tc>
        <w:tc>
          <w:tcPr>
            <w:tcW w:w="915" w:type="dxa"/>
            <w:noWrap/>
            <w:hideMark/>
          </w:tcPr>
          <w:p w14:paraId="52B0908A"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2.31</w:t>
            </w:r>
          </w:p>
        </w:tc>
        <w:tc>
          <w:tcPr>
            <w:tcW w:w="843" w:type="dxa"/>
            <w:noWrap/>
            <w:hideMark/>
          </w:tcPr>
          <w:p w14:paraId="5AA5D619"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1.82</w:t>
            </w:r>
          </w:p>
        </w:tc>
        <w:tc>
          <w:tcPr>
            <w:tcW w:w="824" w:type="dxa"/>
            <w:noWrap/>
            <w:hideMark/>
          </w:tcPr>
          <w:p w14:paraId="2713605D"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1.77</w:t>
            </w:r>
          </w:p>
        </w:tc>
        <w:tc>
          <w:tcPr>
            <w:tcW w:w="640" w:type="dxa"/>
            <w:noWrap/>
            <w:hideMark/>
          </w:tcPr>
          <w:p w14:paraId="2D649D1D"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1.63</w:t>
            </w:r>
          </w:p>
        </w:tc>
      </w:tr>
      <w:tr w:rsidR="00375BD2" w:rsidRPr="00C05886" w14:paraId="6100DE4E" w14:textId="77777777" w:rsidTr="0070406A">
        <w:trPr>
          <w:trHeight w:val="300"/>
        </w:trPr>
        <w:tc>
          <w:tcPr>
            <w:tcW w:w="704" w:type="dxa"/>
            <w:vMerge/>
            <w:noWrap/>
            <w:vAlign w:val="center"/>
            <w:hideMark/>
          </w:tcPr>
          <w:p w14:paraId="0989C7C3" w14:textId="77777777" w:rsidR="00375BD2" w:rsidRPr="00C05886" w:rsidRDefault="00375BD2" w:rsidP="00375BD2">
            <w:pPr>
              <w:spacing w:line="240" w:lineRule="auto"/>
              <w:jc w:val="center"/>
              <w:rPr>
                <w:rFonts w:eastAsia="Times New Roman" w:cstheme="minorHAnsi"/>
                <w:color w:val="000000"/>
                <w:sz w:val="20"/>
                <w:szCs w:val="20"/>
                <w:lang w:eastAsia="en-GB"/>
              </w:rPr>
            </w:pPr>
          </w:p>
        </w:tc>
        <w:tc>
          <w:tcPr>
            <w:tcW w:w="709" w:type="dxa"/>
            <w:noWrap/>
            <w:hideMark/>
          </w:tcPr>
          <w:p w14:paraId="05C139DE" w14:textId="77777777" w:rsidR="00375BD2" w:rsidRPr="00C05886" w:rsidRDefault="00375BD2" w:rsidP="00375BD2">
            <w:pPr>
              <w:spacing w:line="240" w:lineRule="auto"/>
              <w:rPr>
                <w:rFonts w:eastAsia="Times New Roman" w:cstheme="minorHAnsi"/>
                <w:color w:val="000000"/>
                <w:sz w:val="20"/>
                <w:szCs w:val="20"/>
                <w:lang w:eastAsia="en-GB"/>
              </w:rPr>
            </w:pPr>
            <w:r w:rsidRPr="00C05886">
              <w:rPr>
                <w:rFonts w:eastAsia="Times New Roman" w:cstheme="minorHAnsi"/>
                <w:color w:val="000000"/>
                <w:sz w:val="18"/>
                <w:szCs w:val="18"/>
                <w:lang w:eastAsia="en-GB"/>
              </w:rPr>
              <w:t>SD</w:t>
            </w:r>
          </w:p>
        </w:tc>
        <w:tc>
          <w:tcPr>
            <w:tcW w:w="850" w:type="dxa"/>
            <w:noWrap/>
            <w:hideMark/>
          </w:tcPr>
          <w:p w14:paraId="60D5ABB3"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0.90</w:t>
            </w:r>
          </w:p>
        </w:tc>
        <w:tc>
          <w:tcPr>
            <w:tcW w:w="1021" w:type="dxa"/>
            <w:noWrap/>
            <w:hideMark/>
          </w:tcPr>
          <w:p w14:paraId="0028D8C2"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0.99</w:t>
            </w:r>
          </w:p>
        </w:tc>
        <w:tc>
          <w:tcPr>
            <w:tcW w:w="903" w:type="dxa"/>
            <w:noWrap/>
            <w:hideMark/>
          </w:tcPr>
          <w:p w14:paraId="3A103F14"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0.97</w:t>
            </w:r>
          </w:p>
        </w:tc>
        <w:tc>
          <w:tcPr>
            <w:tcW w:w="1119" w:type="dxa"/>
            <w:noWrap/>
            <w:hideMark/>
          </w:tcPr>
          <w:p w14:paraId="1C50A960"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0.74</w:t>
            </w:r>
          </w:p>
        </w:tc>
        <w:tc>
          <w:tcPr>
            <w:tcW w:w="1100" w:type="dxa"/>
            <w:noWrap/>
            <w:hideMark/>
          </w:tcPr>
          <w:p w14:paraId="5D7E9832"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0.70</w:t>
            </w:r>
          </w:p>
        </w:tc>
        <w:tc>
          <w:tcPr>
            <w:tcW w:w="915" w:type="dxa"/>
            <w:noWrap/>
            <w:hideMark/>
          </w:tcPr>
          <w:p w14:paraId="5CA1AB93"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0.74</w:t>
            </w:r>
          </w:p>
        </w:tc>
        <w:tc>
          <w:tcPr>
            <w:tcW w:w="843" w:type="dxa"/>
            <w:noWrap/>
            <w:hideMark/>
          </w:tcPr>
          <w:p w14:paraId="41401872"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0.83</w:t>
            </w:r>
          </w:p>
        </w:tc>
        <w:tc>
          <w:tcPr>
            <w:tcW w:w="824" w:type="dxa"/>
            <w:noWrap/>
            <w:hideMark/>
          </w:tcPr>
          <w:p w14:paraId="52F6926C"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0.79</w:t>
            </w:r>
          </w:p>
        </w:tc>
        <w:tc>
          <w:tcPr>
            <w:tcW w:w="640" w:type="dxa"/>
            <w:noWrap/>
            <w:hideMark/>
          </w:tcPr>
          <w:p w14:paraId="585C1E3D"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0.76</w:t>
            </w:r>
          </w:p>
        </w:tc>
      </w:tr>
      <w:tr w:rsidR="00375BD2" w:rsidRPr="00C05886" w14:paraId="70983D9F" w14:textId="77777777" w:rsidTr="0070406A">
        <w:trPr>
          <w:trHeight w:val="300"/>
        </w:trPr>
        <w:tc>
          <w:tcPr>
            <w:tcW w:w="704" w:type="dxa"/>
            <w:vMerge/>
            <w:noWrap/>
            <w:vAlign w:val="center"/>
            <w:hideMark/>
          </w:tcPr>
          <w:p w14:paraId="795D2F7F" w14:textId="77777777" w:rsidR="00375BD2" w:rsidRPr="00C05886" w:rsidRDefault="00375BD2" w:rsidP="00375BD2">
            <w:pPr>
              <w:spacing w:line="240" w:lineRule="auto"/>
              <w:jc w:val="center"/>
              <w:rPr>
                <w:rFonts w:eastAsia="Times New Roman" w:cstheme="minorHAnsi"/>
                <w:color w:val="000000"/>
                <w:sz w:val="20"/>
                <w:szCs w:val="20"/>
                <w:lang w:eastAsia="en-GB"/>
              </w:rPr>
            </w:pPr>
          </w:p>
        </w:tc>
        <w:tc>
          <w:tcPr>
            <w:tcW w:w="709" w:type="dxa"/>
            <w:noWrap/>
            <w:hideMark/>
          </w:tcPr>
          <w:p w14:paraId="06F42130" w14:textId="77777777" w:rsidR="00375BD2" w:rsidRPr="00C05886" w:rsidRDefault="00375BD2" w:rsidP="00375BD2">
            <w:pPr>
              <w:spacing w:line="240" w:lineRule="auto"/>
              <w:rPr>
                <w:rFonts w:eastAsia="Times New Roman" w:cstheme="minorHAnsi"/>
                <w:color w:val="000000"/>
                <w:sz w:val="20"/>
                <w:szCs w:val="20"/>
                <w:lang w:eastAsia="en-GB"/>
              </w:rPr>
            </w:pPr>
            <w:r w:rsidRPr="00C05886">
              <w:rPr>
                <w:rFonts w:eastAsia="Times New Roman" w:cstheme="minorHAnsi"/>
                <w:color w:val="000000"/>
                <w:sz w:val="18"/>
                <w:szCs w:val="18"/>
                <w:lang w:eastAsia="en-GB"/>
              </w:rPr>
              <w:t>N</w:t>
            </w:r>
          </w:p>
        </w:tc>
        <w:tc>
          <w:tcPr>
            <w:tcW w:w="850" w:type="dxa"/>
            <w:noWrap/>
            <w:hideMark/>
          </w:tcPr>
          <w:p w14:paraId="5EA9E043"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99</w:t>
            </w:r>
          </w:p>
        </w:tc>
        <w:tc>
          <w:tcPr>
            <w:tcW w:w="1021" w:type="dxa"/>
            <w:noWrap/>
            <w:hideMark/>
          </w:tcPr>
          <w:p w14:paraId="360D6287"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99</w:t>
            </w:r>
          </w:p>
        </w:tc>
        <w:tc>
          <w:tcPr>
            <w:tcW w:w="903" w:type="dxa"/>
            <w:noWrap/>
            <w:hideMark/>
          </w:tcPr>
          <w:p w14:paraId="3A899602"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99</w:t>
            </w:r>
          </w:p>
        </w:tc>
        <w:tc>
          <w:tcPr>
            <w:tcW w:w="1119" w:type="dxa"/>
            <w:noWrap/>
            <w:hideMark/>
          </w:tcPr>
          <w:p w14:paraId="4B4C90B6"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99</w:t>
            </w:r>
          </w:p>
        </w:tc>
        <w:tc>
          <w:tcPr>
            <w:tcW w:w="1100" w:type="dxa"/>
            <w:noWrap/>
            <w:hideMark/>
          </w:tcPr>
          <w:p w14:paraId="5358629E"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99</w:t>
            </w:r>
          </w:p>
        </w:tc>
        <w:tc>
          <w:tcPr>
            <w:tcW w:w="915" w:type="dxa"/>
            <w:noWrap/>
            <w:hideMark/>
          </w:tcPr>
          <w:p w14:paraId="00CC32B3"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99</w:t>
            </w:r>
          </w:p>
        </w:tc>
        <w:tc>
          <w:tcPr>
            <w:tcW w:w="843" w:type="dxa"/>
            <w:noWrap/>
            <w:hideMark/>
          </w:tcPr>
          <w:p w14:paraId="34C1B4B3"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99</w:t>
            </w:r>
          </w:p>
        </w:tc>
        <w:tc>
          <w:tcPr>
            <w:tcW w:w="824" w:type="dxa"/>
            <w:noWrap/>
            <w:hideMark/>
          </w:tcPr>
          <w:p w14:paraId="063E0F4C"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99</w:t>
            </w:r>
          </w:p>
        </w:tc>
        <w:tc>
          <w:tcPr>
            <w:tcW w:w="640" w:type="dxa"/>
            <w:noWrap/>
            <w:hideMark/>
          </w:tcPr>
          <w:p w14:paraId="15DD948A"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99</w:t>
            </w:r>
          </w:p>
        </w:tc>
      </w:tr>
      <w:tr w:rsidR="00375BD2" w:rsidRPr="00C05886" w14:paraId="415B39A0" w14:textId="77777777" w:rsidTr="0070406A">
        <w:trPr>
          <w:trHeight w:val="300"/>
        </w:trPr>
        <w:tc>
          <w:tcPr>
            <w:tcW w:w="704" w:type="dxa"/>
            <w:vMerge w:val="restart"/>
            <w:noWrap/>
            <w:vAlign w:val="center"/>
            <w:hideMark/>
          </w:tcPr>
          <w:p w14:paraId="1B80E9E6" w14:textId="77777777" w:rsidR="00375BD2" w:rsidRPr="00C05886" w:rsidRDefault="00375BD2" w:rsidP="00375BD2">
            <w:pPr>
              <w:spacing w:line="240" w:lineRule="auto"/>
              <w:jc w:val="center"/>
              <w:rPr>
                <w:rFonts w:eastAsia="Times New Roman" w:cstheme="minorHAnsi"/>
                <w:color w:val="000000"/>
                <w:sz w:val="20"/>
                <w:szCs w:val="20"/>
                <w:lang w:eastAsia="en-GB"/>
              </w:rPr>
            </w:pPr>
            <w:r w:rsidRPr="00C05886">
              <w:rPr>
                <w:rFonts w:eastAsia="Times New Roman" w:cstheme="minorHAnsi"/>
                <w:color w:val="000000"/>
                <w:sz w:val="20"/>
                <w:szCs w:val="20"/>
                <w:lang w:eastAsia="en-GB"/>
              </w:rPr>
              <w:t>LBHC</w:t>
            </w:r>
          </w:p>
        </w:tc>
        <w:tc>
          <w:tcPr>
            <w:tcW w:w="709" w:type="dxa"/>
            <w:noWrap/>
            <w:hideMark/>
          </w:tcPr>
          <w:p w14:paraId="3B99D26E" w14:textId="77777777" w:rsidR="00375BD2" w:rsidRPr="00C05886" w:rsidRDefault="00375BD2" w:rsidP="00375BD2">
            <w:pPr>
              <w:spacing w:line="240" w:lineRule="auto"/>
              <w:rPr>
                <w:rFonts w:eastAsia="Times New Roman" w:cstheme="minorHAnsi"/>
                <w:color w:val="000000"/>
                <w:sz w:val="20"/>
                <w:szCs w:val="20"/>
                <w:lang w:eastAsia="en-GB"/>
              </w:rPr>
            </w:pPr>
            <w:r w:rsidRPr="00C05886">
              <w:rPr>
                <w:rFonts w:eastAsia="Times New Roman" w:cstheme="minorHAnsi"/>
                <w:color w:val="000000"/>
                <w:sz w:val="18"/>
                <w:szCs w:val="18"/>
                <w:lang w:eastAsia="en-GB"/>
              </w:rPr>
              <w:t>Mean</w:t>
            </w:r>
          </w:p>
        </w:tc>
        <w:tc>
          <w:tcPr>
            <w:tcW w:w="850" w:type="dxa"/>
            <w:noWrap/>
            <w:hideMark/>
          </w:tcPr>
          <w:p w14:paraId="172A9071"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2.71</w:t>
            </w:r>
          </w:p>
        </w:tc>
        <w:tc>
          <w:tcPr>
            <w:tcW w:w="1021" w:type="dxa"/>
            <w:noWrap/>
            <w:hideMark/>
          </w:tcPr>
          <w:p w14:paraId="56F407A8"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2.43</w:t>
            </w:r>
          </w:p>
        </w:tc>
        <w:tc>
          <w:tcPr>
            <w:tcW w:w="903" w:type="dxa"/>
            <w:noWrap/>
            <w:hideMark/>
          </w:tcPr>
          <w:p w14:paraId="6AD6923E"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2.73</w:t>
            </w:r>
          </w:p>
        </w:tc>
        <w:tc>
          <w:tcPr>
            <w:tcW w:w="1119" w:type="dxa"/>
            <w:noWrap/>
            <w:hideMark/>
          </w:tcPr>
          <w:p w14:paraId="44B54909"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2.53</w:t>
            </w:r>
          </w:p>
        </w:tc>
        <w:tc>
          <w:tcPr>
            <w:tcW w:w="1100" w:type="dxa"/>
            <w:noWrap/>
            <w:hideMark/>
          </w:tcPr>
          <w:p w14:paraId="79BFC97D"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2.31</w:t>
            </w:r>
          </w:p>
        </w:tc>
        <w:tc>
          <w:tcPr>
            <w:tcW w:w="915" w:type="dxa"/>
            <w:noWrap/>
            <w:hideMark/>
          </w:tcPr>
          <w:p w14:paraId="4DA1BDD7"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2.43</w:t>
            </w:r>
          </w:p>
        </w:tc>
        <w:tc>
          <w:tcPr>
            <w:tcW w:w="843" w:type="dxa"/>
            <w:noWrap/>
            <w:hideMark/>
          </w:tcPr>
          <w:p w14:paraId="50FCBDA4"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1.79</w:t>
            </w:r>
          </w:p>
        </w:tc>
        <w:tc>
          <w:tcPr>
            <w:tcW w:w="824" w:type="dxa"/>
            <w:noWrap/>
            <w:hideMark/>
          </w:tcPr>
          <w:p w14:paraId="0B0422EF"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1.91</w:t>
            </w:r>
          </w:p>
        </w:tc>
        <w:tc>
          <w:tcPr>
            <w:tcW w:w="640" w:type="dxa"/>
            <w:noWrap/>
            <w:hideMark/>
          </w:tcPr>
          <w:p w14:paraId="38BCE2F2"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1.54</w:t>
            </w:r>
          </w:p>
        </w:tc>
      </w:tr>
      <w:tr w:rsidR="00375BD2" w:rsidRPr="00C05886" w14:paraId="46B208EC" w14:textId="77777777" w:rsidTr="0070406A">
        <w:trPr>
          <w:trHeight w:val="300"/>
        </w:trPr>
        <w:tc>
          <w:tcPr>
            <w:tcW w:w="704" w:type="dxa"/>
            <w:vMerge/>
            <w:noWrap/>
            <w:vAlign w:val="center"/>
            <w:hideMark/>
          </w:tcPr>
          <w:p w14:paraId="63BE958D" w14:textId="77777777" w:rsidR="00375BD2" w:rsidRPr="00C05886" w:rsidRDefault="00375BD2" w:rsidP="00375BD2">
            <w:pPr>
              <w:spacing w:line="240" w:lineRule="auto"/>
              <w:jc w:val="center"/>
              <w:rPr>
                <w:rFonts w:eastAsia="Times New Roman" w:cstheme="minorHAnsi"/>
                <w:color w:val="000000"/>
                <w:sz w:val="20"/>
                <w:szCs w:val="20"/>
                <w:lang w:eastAsia="en-GB"/>
              </w:rPr>
            </w:pPr>
          </w:p>
        </w:tc>
        <w:tc>
          <w:tcPr>
            <w:tcW w:w="709" w:type="dxa"/>
            <w:noWrap/>
            <w:hideMark/>
          </w:tcPr>
          <w:p w14:paraId="217C27AE" w14:textId="77777777" w:rsidR="00375BD2" w:rsidRPr="00C05886" w:rsidRDefault="00375BD2" w:rsidP="00375BD2">
            <w:pPr>
              <w:spacing w:line="240" w:lineRule="auto"/>
              <w:rPr>
                <w:rFonts w:eastAsia="Times New Roman" w:cstheme="minorHAnsi"/>
                <w:color w:val="000000"/>
                <w:sz w:val="20"/>
                <w:szCs w:val="20"/>
                <w:lang w:eastAsia="en-GB"/>
              </w:rPr>
            </w:pPr>
            <w:r w:rsidRPr="00C05886">
              <w:rPr>
                <w:rFonts w:eastAsia="Times New Roman" w:cstheme="minorHAnsi"/>
                <w:color w:val="000000"/>
                <w:sz w:val="18"/>
                <w:szCs w:val="18"/>
                <w:lang w:eastAsia="en-GB"/>
              </w:rPr>
              <w:t>SD</w:t>
            </w:r>
          </w:p>
        </w:tc>
        <w:tc>
          <w:tcPr>
            <w:tcW w:w="850" w:type="dxa"/>
            <w:noWrap/>
            <w:hideMark/>
          </w:tcPr>
          <w:p w14:paraId="330AEF71"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0.80</w:t>
            </w:r>
          </w:p>
        </w:tc>
        <w:tc>
          <w:tcPr>
            <w:tcW w:w="1021" w:type="dxa"/>
            <w:noWrap/>
            <w:hideMark/>
          </w:tcPr>
          <w:p w14:paraId="4590827D"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0.94</w:t>
            </w:r>
          </w:p>
        </w:tc>
        <w:tc>
          <w:tcPr>
            <w:tcW w:w="903" w:type="dxa"/>
            <w:noWrap/>
            <w:hideMark/>
          </w:tcPr>
          <w:p w14:paraId="53EAD757"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0.91</w:t>
            </w:r>
          </w:p>
        </w:tc>
        <w:tc>
          <w:tcPr>
            <w:tcW w:w="1119" w:type="dxa"/>
            <w:noWrap/>
            <w:hideMark/>
          </w:tcPr>
          <w:p w14:paraId="73540DF4"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0.62</w:t>
            </w:r>
          </w:p>
        </w:tc>
        <w:tc>
          <w:tcPr>
            <w:tcW w:w="1100" w:type="dxa"/>
            <w:noWrap/>
            <w:hideMark/>
          </w:tcPr>
          <w:p w14:paraId="7AA83250"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0.78</w:t>
            </w:r>
          </w:p>
        </w:tc>
        <w:tc>
          <w:tcPr>
            <w:tcW w:w="915" w:type="dxa"/>
            <w:noWrap/>
            <w:hideMark/>
          </w:tcPr>
          <w:p w14:paraId="219F1DD3"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0.61</w:t>
            </w:r>
          </w:p>
        </w:tc>
        <w:tc>
          <w:tcPr>
            <w:tcW w:w="843" w:type="dxa"/>
            <w:noWrap/>
            <w:hideMark/>
          </w:tcPr>
          <w:p w14:paraId="7047FDBE"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0.79</w:t>
            </w:r>
          </w:p>
        </w:tc>
        <w:tc>
          <w:tcPr>
            <w:tcW w:w="824" w:type="dxa"/>
            <w:noWrap/>
            <w:hideMark/>
          </w:tcPr>
          <w:p w14:paraId="14DE56EA"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0.90</w:t>
            </w:r>
          </w:p>
        </w:tc>
        <w:tc>
          <w:tcPr>
            <w:tcW w:w="640" w:type="dxa"/>
            <w:noWrap/>
            <w:hideMark/>
          </w:tcPr>
          <w:p w14:paraId="30B91046"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0.71</w:t>
            </w:r>
          </w:p>
        </w:tc>
      </w:tr>
      <w:tr w:rsidR="00375BD2" w:rsidRPr="00C05886" w14:paraId="0340AA23" w14:textId="77777777" w:rsidTr="0070406A">
        <w:trPr>
          <w:trHeight w:val="300"/>
        </w:trPr>
        <w:tc>
          <w:tcPr>
            <w:tcW w:w="704" w:type="dxa"/>
            <w:vMerge/>
            <w:noWrap/>
            <w:vAlign w:val="center"/>
            <w:hideMark/>
          </w:tcPr>
          <w:p w14:paraId="370D281E" w14:textId="77777777" w:rsidR="00375BD2" w:rsidRPr="00C05886" w:rsidRDefault="00375BD2" w:rsidP="00375BD2">
            <w:pPr>
              <w:spacing w:line="240" w:lineRule="auto"/>
              <w:jc w:val="center"/>
              <w:rPr>
                <w:rFonts w:eastAsia="Times New Roman" w:cstheme="minorHAnsi"/>
                <w:color w:val="000000"/>
                <w:sz w:val="20"/>
                <w:szCs w:val="20"/>
                <w:lang w:eastAsia="en-GB"/>
              </w:rPr>
            </w:pPr>
          </w:p>
        </w:tc>
        <w:tc>
          <w:tcPr>
            <w:tcW w:w="709" w:type="dxa"/>
            <w:noWrap/>
            <w:hideMark/>
          </w:tcPr>
          <w:p w14:paraId="0EC8CD56" w14:textId="77777777" w:rsidR="00375BD2" w:rsidRPr="00C05886" w:rsidRDefault="00375BD2" w:rsidP="00375BD2">
            <w:pPr>
              <w:spacing w:line="240" w:lineRule="auto"/>
              <w:rPr>
                <w:rFonts w:eastAsia="Times New Roman" w:cstheme="minorHAnsi"/>
                <w:color w:val="000000"/>
                <w:sz w:val="20"/>
                <w:szCs w:val="20"/>
                <w:lang w:eastAsia="en-GB"/>
              </w:rPr>
            </w:pPr>
            <w:r w:rsidRPr="00C05886">
              <w:rPr>
                <w:rFonts w:eastAsia="Times New Roman" w:cstheme="minorHAnsi"/>
                <w:color w:val="000000"/>
                <w:sz w:val="18"/>
                <w:szCs w:val="18"/>
                <w:lang w:eastAsia="en-GB"/>
              </w:rPr>
              <w:t>N</w:t>
            </w:r>
          </w:p>
        </w:tc>
        <w:tc>
          <w:tcPr>
            <w:tcW w:w="850" w:type="dxa"/>
            <w:noWrap/>
            <w:hideMark/>
          </w:tcPr>
          <w:p w14:paraId="487A05D4"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93</w:t>
            </w:r>
          </w:p>
        </w:tc>
        <w:tc>
          <w:tcPr>
            <w:tcW w:w="1021" w:type="dxa"/>
            <w:noWrap/>
            <w:hideMark/>
          </w:tcPr>
          <w:p w14:paraId="0C3E6897"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93</w:t>
            </w:r>
          </w:p>
        </w:tc>
        <w:tc>
          <w:tcPr>
            <w:tcW w:w="903" w:type="dxa"/>
            <w:noWrap/>
            <w:hideMark/>
          </w:tcPr>
          <w:p w14:paraId="513F22C6"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93</w:t>
            </w:r>
          </w:p>
        </w:tc>
        <w:tc>
          <w:tcPr>
            <w:tcW w:w="1119" w:type="dxa"/>
            <w:noWrap/>
            <w:hideMark/>
          </w:tcPr>
          <w:p w14:paraId="7E25EF6D"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93</w:t>
            </w:r>
          </w:p>
        </w:tc>
        <w:tc>
          <w:tcPr>
            <w:tcW w:w="1100" w:type="dxa"/>
            <w:noWrap/>
            <w:hideMark/>
          </w:tcPr>
          <w:p w14:paraId="105F1F36"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93</w:t>
            </w:r>
          </w:p>
        </w:tc>
        <w:tc>
          <w:tcPr>
            <w:tcW w:w="915" w:type="dxa"/>
            <w:noWrap/>
            <w:hideMark/>
          </w:tcPr>
          <w:p w14:paraId="2C3D22C6"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93</w:t>
            </w:r>
          </w:p>
        </w:tc>
        <w:tc>
          <w:tcPr>
            <w:tcW w:w="843" w:type="dxa"/>
            <w:noWrap/>
            <w:hideMark/>
          </w:tcPr>
          <w:p w14:paraId="406BDCB2"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93</w:t>
            </w:r>
          </w:p>
        </w:tc>
        <w:tc>
          <w:tcPr>
            <w:tcW w:w="824" w:type="dxa"/>
            <w:noWrap/>
            <w:hideMark/>
          </w:tcPr>
          <w:p w14:paraId="04FE7F8B"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93</w:t>
            </w:r>
          </w:p>
        </w:tc>
        <w:tc>
          <w:tcPr>
            <w:tcW w:w="640" w:type="dxa"/>
            <w:noWrap/>
            <w:hideMark/>
          </w:tcPr>
          <w:p w14:paraId="326FBA09"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93</w:t>
            </w:r>
          </w:p>
        </w:tc>
      </w:tr>
      <w:tr w:rsidR="00375BD2" w:rsidRPr="00C05886" w14:paraId="1E62E2CB" w14:textId="77777777" w:rsidTr="0070406A">
        <w:trPr>
          <w:trHeight w:val="300"/>
        </w:trPr>
        <w:tc>
          <w:tcPr>
            <w:tcW w:w="704" w:type="dxa"/>
            <w:vMerge w:val="restart"/>
            <w:noWrap/>
            <w:vAlign w:val="center"/>
            <w:hideMark/>
          </w:tcPr>
          <w:p w14:paraId="62CBC366" w14:textId="77777777" w:rsidR="00375BD2" w:rsidRPr="00C05886" w:rsidRDefault="00375BD2" w:rsidP="00375BD2">
            <w:pPr>
              <w:spacing w:line="240" w:lineRule="auto"/>
              <w:jc w:val="center"/>
              <w:rPr>
                <w:rFonts w:eastAsia="Times New Roman" w:cstheme="minorHAnsi"/>
                <w:color w:val="000000"/>
                <w:sz w:val="20"/>
                <w:szCs w:val="20"/>
                <w:lang w:eastAsia="en-GB"/>
              </w:rPr>
            </w:pPr>
            <w:r w:rsidRPr="00C05886">
              <w:rPr>
                <w:rFonts w:eastAsia="Times New Roman" w:cstheme="minorHAnsi"/>
                <w:color w:val="000000"/>
                <w:sz w:val="20"/>
                <w:szCs w:val="20"/>
                <w:lang w:eastAsia="en-GB"/>
              </w:rPr>
              <w:t>LBLC</w:t>
            </w:r>
          </w:p>
        </w:tc>
        <w:tc>
          <w:tcPr>
            <w:tcW w:w="709" w:type="dxa"/>
            <w:noWrap/>
            <w:hideMark/>
          </w:tcPr>
          <w:p w14:paraId="3E141339" w14:textId="77777777" w:rsidR="00375BD2" w:rsidRPr="00C05886" w:rsidRDefault="00375BD2" w:rsidP="00375BD2">
            <w:pPr>
              <w:spacing w:line="240" w:lineRule="auto"/>
              <w:rPr>
                <w:rFonts w:eastAsia="Times New Roman" w:cstheme="minorHAnsi"/>
                <w:color w:val="000000"/>
                <w:sz w:val="20"/>
                <w:szCs w:val="20"/>
                <w:lang w:eastAsia="en-GB"/>
              </w:rPr>
            </w:pPr>
            <w:r w:rsidRPr="00C05886">
              <w:rPr>
                <w:rFonts w:eastAsia="Times New Roman" w:cstheme="minorHAnsi"/>
                <w:color w:val="000000"/>
                <w:sz w:val="18"/>
                <w:szCs w:val="18"/>
                <w:lang w:eastAsia="en-GB"/>
              </w:rPr>
              <w:t>Mean</w:t>
            </w:r>
          </w:p>
        </w:tc>
        <w:tc>
          <w:tcPr>
            <w:tcW w:w="850" w:type="dxa"/>
            <w:noWrap/>
            <w:hideMark/>
          </w:tcPr>
          <w:p w14:paraId="23324328"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2.80</w:t>
            </w:r>
          </w:p>
        </w:tc>
        <w:tc>
          <w:tcPr>
            <w:tcW w:w="1021" w:type="dxa"/>
            <w:noWrap/>
            <w:hideMark/>
          </w:tcPr>
          <w:p w14:paraId="5A471A04"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2.53</w:t>
            </w:r>
          </w:p>
        </w:tc>
        <w:tc>
          <w:tcPr>
            <w:tcW w:w="903" w:type="dxa"/>
            <w:noWrap/>
            <w:hideMark/>
          </w:tcPr>
          <w:p w14:paraId="74BDE60A"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2.61</w:t>
            </w:r>
          </w:p>
        </w:tc>
        <w:tc>
          <w:tcPr>
            <w:tcW w:w="1119" w:type="dxa"/>
            <w:noWrap/>
            <w:hideMark/>
          </w:tcPr>
          <w:p w14:paraId="342EFEA0"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2.45</w:t>
            </w:r>
          </w:p>
        </w:tc>
        <w:tc>
          <w:tcPr>
            <w:tcW w:w="1100" w:type="dxa"/>
            <w:noWrap/>
            <w:hideMark/>
          </w:tcPr>
          <w:p w14:paraId="09EB16AC"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2.22</w:t>
            </w:r>
          </w:p>
        </w:tc>
        <w:tc>
          <w:tcPr>
            <w:tcW w:w="915" w:type="dxa"/>
            <w:noWrap/>
            <w:hideMark/>
          </w:tcPr>
          <w:p w14:paraId="1AD17018"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2.34</w:t>
            </w:r>
          </w:p>
        </w:tc>
        <w:tc>
          <w:tcPr>
            <w:tcW w:w="843" w:type="dxa"/>
            <w:noWrap/>
            <w:hideMark/>
          </w:tcPr>
          <w:p w14:paraId="6FC6179E"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1.77</w:t>
            </w:r>
          </w:p>
        </w:tc>
        <w:tc>
          <w:tcPr>
            <w:tcW w:w="824" w:type="dxa"/>
            <w:noWrap/>
            <w:hideMark/>
          </w:tcPr>
          <w:p w14:paraId="1D84EC81"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1.80</w:t>
            </w:r>
          </w:p>
        </w:tc>
        <w:tc>
          <w:tcPr>
            <w:tcW w:w="640" w:type="dxa"/>
            <w:noWrap/>
            <w:hideMark/>
          </w:tcPr>
          <w:p w14:paraId="0F71DE1E"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1.55</w:t>
            </w:r>
          </w:p>
        </w:tc>
      </w:tr>
      <w:tr w:rsidR="00375BD2" w:rsidRPr="00C05886" w14:paraId="61F3FB4C" w14:textId="77777777" w:rsidTr="0070406A">
        <w:trPr>
          <w:trHeight w:val="300"/>
        </w:trPr>
        <w:tc>
          <w:tcPr>
            <w:tcW w:w="704" w:type="dxa"/>
            <w:vMerge/>
            <w:noWrap/>
            <w:vAlign w:val="center"/>
            <w:hideMark/>
          </w:tcPr>
          <w:p w14:paraId="52A33A92" w14:textId="77777777" w:rsidR="00375BD2" w:rsidRPr="00C05886" w:rsidRDefault="00375BD2" w:rsidP="00375BD2">
            <w:pPr>
              <w:spacing w:line="240" w:lineRule="auto"/>
              <w:jc w:val="center"/>
              <w:rPr>
                <w:rFonts w:eastAsia="Times New Roman" w:cstheme="minorHAnsi"/>
                <w:color w:val="000000"/>
                <w:sz w:val="20"/>
                <w:szCs w:val="20"/>
                <w:lang w:eastAsia="en-GB"/>
              </w:rPr>
            </w:pPr>
          </w:p>
        </w:tc>
        <w:tc>
          <w:tcPr>
            <w:tcW w:w="709" w:type="dxa"/>
            <w:noWrap/>
            <w:hideMark/>
          </w:tcPr>
          <w:p w14:paraId="5B0ACF0D" w14:textId="77777777" w:rsidR="00375BD2" w:rsidRPr="00C05886" w:rsidRDefault="00375BD2" w:rsidP="00375BD2">
            <w:pPr>
              <w:spacing w:line="240" w:lineRule="auto"/>
              <w:rPr>
                <w:rFonts w:eastAsia="Times New Roman" w:cstheme="minorHAnsi"/>
                <w:color w:val="000000"/>
                <w:sz w:val="20"/>
                <w:szCs w:val="20"/>
                <w:lang w:eastAsia="en-GB"/>
              </w:rPr>
            </w:pPr>
            <w:r w:rsidRPr="00C05886">
              <w:rPr>
                <w:rFonts w:eastAsia="Times New Roman" w:cstheme="minorHAnsi"/>
                <w:color w:val="000000"/>
                <w:sz w:val="18"/>
                <w:szCs w:val="18"/>
                <w:lang w:eastAsia="en-GB"/>
              </w:rPr>
              <w:t>SD</w:t>
            </w:r>
          </w:p>
        </w:tc>
        <w:tc>
          <w:tcPr>
            <w:tcW w:w="850" w:type="dxa"/>
            <w:noWrap/>
            <w:hideMark/>
          </w:tcPr>
          <w:p w14:paraId="48B601A9"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0.81</w:t>
            </w:r>
          </w:p>
        </w:tc>
        <w:tc>
          <w:tcPr>
            <w:tcW w:w="1021" w:type="dxa"/>
            <w:noWrap/>
            <w:hideMark/>
          </w:tcPr>
          <w:p w14:paraId="096A855E"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0.87</w:t>
            </w:r>
          </w:p>
        </w:tc>
        <w:tc>
          <w:tcPr>
            <w:tcW w:w="903" w:type="dxa"/>
            <w:noWrap/>
            <w:hideMark/>
          </w:tcPr>
          <w:p w14:paraId="568B19E0"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0.92</w:t>
            </w:r>
          </w:p>
        </w:tc>
        <w:tc>
          <w:tcPr>
            <w:tcW w:w="1119" w:type="dxa"/>
            <w:noWrap/>
            <w:hideMark/>
          </w:tcPr>
          <w:p w14:paraId="316C7F17"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0.71</w:t>
            </w:r>
          </w:p>
        </w:tc>
        <w:tc>
          <w:tcPr>
            <w:tcW w:w="1100" w:type="dxa"/>
            <w:noWrap/>
            <w:hideMark/>
          </w:tcPr>
          <w:p w14:paraId="2A547198"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0.69</w:t>
            </w:r>
          </w:p>
        </w:tc>
        <w:tc>
          <w:tcPr>
            <w:tcW w:w="915" w:type="dxa"/>
            <w:noWrap/>
            <w:hideMark/>
          </w:tcPr>
          <w:p w14:paraId="04969EB4"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0.69</w:t>
            </w:r>
          </w:p>
        </w:tc>
        <w:tc>
          <w:tcPr>
            <w:tcW w:w="843" w:type="dxa"/>
            <w:noWrap/>
            <w:hideMark/>
          </w:tcPr>
          <w:p w14:paraId="215301A3"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0.73</w:t>
            </w:r>
          </w:p>
        </w:tc>
        <w:tc>
          <w:tcPr>
            <w:tcW w:w="824" w:type="dxa"/>
            <w:noWrap/>
            <w:hideMark/>
          </w:tcPr>
          <w:p w14:paraId="08727E12"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0.76</w:t>
            </w:r>
          </w:p>
        </w:tc>
        <w:tc>
          <w:tcPr>
            <w:tcW w:w="640" w:type="dxa"/>
            <w:noWrap/>
            <w:hideMark/>
          </w:tcPr>
          <w:p w14:paraId="2B5B2054"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0.70</w:t>
            </w:r>
          </w:p>
        </w:tc>
      </w:tr>
      <w:tr w:rsidR="00375BD2" w:rsidRPr="00C05886" w14:paraId="2BFE5B52" w14:textId="77777777" w:rsidTr="0070406A">
        <w:trPr>
          <w:trHeight w:val="300"/>
        </w:trPr>
        <w:tc>
          <w:tcPr>
            <w:tcW w:w="704" w:type="dxa"/>
            <w:vMerge/>
            <w:noWrap/>
            <w:vAlign w:val="center"/>
            <w:hideMark/>
          </w:tcPr>
          <w:p w14:paraId="67FC8912" w14:textId="77777777" w:rsidR="00375BD2" w:rsidRPr="00C05886" w:rsidRDefault="00375BD2" w:rsidP="00375BD2">
            <w:pPr>
              <w:spacing w:line="240" w:lineRule="auto"/>
              <w:jc w:val="center"/>
              <w:rPr>
                <w:rFonts w:eastAsia="Times New Roman" w:cstheme="minorHAnsi"/>
                <w:color w:val="000000"/>
                <w:sz w:val="20"/>
                <w:szCs w:val="20"/>
                <w:lang w:eastAsia="en-GB"/>
              </w:rPr>
            </w:pPr>
          </w:p>
        </w:tc>
        <w:tc>
          <w:tcPr>
            <w:tcW w:w="709" w:type="dxa"/>
            <w:noWrap/>
            <w:hideMark/>
          </w:tcPr>
          <w:p w14:paraId="5E23580C" w14:textId="77777777" w:rsidR="00375BD2" w:rsidRPr="00C05886" w:rsidRDefault="00375BD2" w:rsidP="00375BD2">
            <w:pPr>
              <w:spacing w:line="240" w:lineRule="auto"/>
              <w:rPr>
                <w:rFonts w:eastAsia="Times New Roman" w:cstheme="minorHAnsi"/>
                <w:color w:val="000000"/>
                <w:sz w:val="20"/>
                <w:szCs w:val="20"/>
                <w:lang w:eastAsia="en-GB"/>
              </w:rPr>
            </w:pPr>
            <w:r w:rsidRPr="00C05886">
              <w:rPr>
                <w:rFonts w:eastAsia="Times New Roman" w:cstheme="minorHAnsi"/>
                <w:color w:val="000000"/>
                <w:sz w:val="18"/>
                <w:szCs w:val="18"/>
                <w:lang w:eastAsia="en-GB"/>
              </w:rPr>
              <w:t>N</w:t>
            </w:r>
          </w:p>
        </w:tc>
        <w:tc>
          <w:tcPr>
            <w:tcW w:w="850" w:type="dxa"/>
            <w:noWrap/>
            <w:hideMark/>
          </w:tcPr>
          <w:p w14:paraId="0CF59C67"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102</w:t>
            </w:r>
          </w:p>
        </w:tc>
        <w:tc>
          <w:tcPr>
            <w:tcW w:w="1021" w:type="dxa"/>
            <w:noWrap/>
            <w:hideMark/>
          </w:tcPr>
          <w:p w14:paraId="457DDF4E"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102</w:t>
            </w:r>
          </w:p>
        </w:tc>
        <w:tc>
          <w:tcPr>
            <w:tcW w:w="903" w:type="dxa"/>
            <w:noWrap/>
            <w:hideMark/>
          </w:tcPr>
          <w:p w14:paraId="08EC7C8B"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102</w:t>
            </w:r>
          </w:p>
        </w:tc>
        <w:tc>
          <w:tcPr>
            <w:tcW w:w="1119" w:type="dxa"/>
            <w:noWrap/>
            <w:hideMark/>
          </w:tcPr>
          <w:p w14:paraId="7372A5BA"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102</w:t>
            </w:r>
          </w:p>
        </w:tc>
        <w:tc>
          <w:tcPr>
            <w:tcW w:w="1100" w:type="dxa"/>
            <w:noWrap/>
            <w:hideMark/>
          </w:tcPr>
          <w:p w14:paraId="104CCA7B"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102</w:t>
            </w:r>
          </w:p>
        </w:tc>
        <w:tc>
          <w:tcPr>
            <w:tcW w:w="915" w:type="dxa"/>
            <w:noWrap/>
            <w:hideMark/>
          </w:tcPr>
          <w:p w14:paraId="6D00988A"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102</w:t>
            </w:r>
          </w:p>
        </w:tc>
        <w:tc>
          <w:tcPr>
            <w:tcW w:w="843" w:type="dxa"/>
            <w:noWrap/>
            <w:hideMark/>
          </w:tcPr>
          <w:p w14:paraId="4AE8C764"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102</w:t>
            </w:r>
          </w:p>
        </w:tc>
        <w:tc>
          <w:tcPr>
            <w:tcW w:w="824" w:type="dxa"/>
            <w:noWrap/>
            <w:hideMark/>
          </w:tcPr>
          <w:p w14:paraId="5F361879"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102</w:t>
            </w:r>
          </w:p>
        </w:tc>
        <w:tc>
          <w:tcPr>
            <w:tcW w:w="640" w:type="dxa"/>
            <w:noWrap/>
            <w:hideMark/>
          </w:tcPr>
          <w:p w14:paraId="3955CF4C"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102</w:t>
            </w:r>
          </w:p>
        </w:tc>
      </w:tr>
      <w:tr w:rsidR="00375BD2" w:rsidRPr="00C05886" w14:paraId="24E742F8" w14:textId="77777777" w:rsidTr="0070406A">
        <w:trPr>
          <w:trHeight w:val="300"/>
        </w:trPr>
        <w:tc>
          <w:tcPr>
            <w:tcW w:w="704" w:type="dxa"/>
            <w:vMerge w:val="restart"/>
            <w:noWrap/>
            <w:vAlign w:val="center"/>
            <w:hideMark/>
          </w:tcPr>
          <w:p w14:paraId="580221EB" w14:textId="77777777" w:rsidR="00375BD2" w:rsidRPr="00C05886" w:rsidRDefault="00375BD2" w:rsidP="00375BD2">
            <w:pPr>
              <w:spacing w:line="240" w:lineRule="auto"/>
              <w:jc w:val="center"/>
              <w:rPr>
                <w:rFonts w:eastAsia="Times New Roman" w:cstheme="minorHAnsi"/>
                <w:color w:val="000000"/>
                <w:sz w:val="20"/>
                <w:szCs w:val="20"/>
                <w:lang w:eastAsia="en-GB"/>
              </w:rPr>
            </w:pPr>
            <w:r w:rsidRPr="00C05886">
              <w:rPr>
                <w:rFonts w:eastAsia="Times New Roman" w:cstheme="minorHAnsi"/>
                <w:color w:val="000000"/>
                <w:sz w:val="20"/>
                <w:szCs w:val="20"/>
                <w:lang w:eastAsia="en-GB"/>
              </w:rPr>
              <w:t>Total</w:t>
            </w:r>
          </w:p>
        </w:tc>
        <w:tc>
          <w:tcPr>
            <w:tcW w:w="709" w:type="dxa"/>
            <w:noWrap/>
            <w:hideMark/>
          </w:tcPr>
          <w:p w14:paraId="64DC18FF" w14:textId="77777777" w:rsidR="00375BD2" w:rsidRPr="00C05886" w:rsidRDefault="00375BD2" w:rsidP="00375BD2">
            <w:pPr>
              <w:spacing w:line="240" w:lineRule="auto"/>
              <w:rPr>
                <w:rFonts w:eastAsia="Times New Roman" w:cstheme="minorHAnsi"/>
                <w:color w:val="000000"/>
                <w:sz w:val="20"/>
                <w:szCs w:val="20"/>
                <w:lang w:eastAsia="en-GB"/>
              </w:rPr>
            </w:pPr>
            <w:r w:rsidRPr="00C05886">
              <w:rPr>
                <w:rFonts w:eastAsia="Times New Roman" w:cstheme="minorHAnsi"/>
                <w:color w:val="000000"/>
                <w:sz w:val="18"/>
                <w:szCs w:val="18"/>
                <w:lang w:eastAsia="en-GB"/>
              </w:rPr>
              <w:t>Mean</w:t>
            </w:r>
          </w:p>
        </w:tc>
        <w:tc>
          <w:tcPr>
            <w:tcW w:w="850" w:type="dxa"/>
            <w:noWrap/>
            <w:hideMark/>
          </w:tcPr>
          <w:p w14:paraId="6AB7ECAA"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2.69</w:t>
            </w:r>
          </w:p>
        </w:tc>
        <w:tc>
          <w:tcPr>
            <w:tcW w:w="1021" w:type="dxa"/>
            <w:noWrap/>
            <w:hideMark/>
          </w:tcPr>
          <w:p w14:paraId="2CFF2387"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2.43</w:t>
            </w:r>
          </w:p>
        </w:tc>
        <w:tc>
          <w:tcPr>
            <w:tcW w:w="903" w:type="dxa"/>
            <w:noWrap/>
            <w:hideMark/>
          </w:tcPr>
          <w:p w14:paraId="5302CFDA"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2.65</w:t>
            </w:r>
          </w:p>
        </w:tc>
        <w:tc>
          <w:tcPr>
            <w:tcW w:w="1119" w:type="dxa"/>
            <w:noWrap/>
            <w:hideMark/>
          </w:tcPr>
          <w:p w14:paraId="2DECC7EC"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2.42</w:t>
            </w:r>
          </w:p>
        </w:tc>
        <w:tc>
          <w:tcPr>
            <w:tcW w:w="1100" w:type="dxa"/>
            <w:noWrap/>
            <w:hideMark/>
          </w:tcPr>
          <w:p w14:paraId="6FBE6786"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2.22</w:t>
            </w:r>
          </w:p>
        </w:tc>
        <w:tc>
          <w:tcPr>
            <w:tcW w:w="915" w:type="dxa"/>
            <w:noWrap/>
            <w:hideMark/>
          </w:tcPr>
          <w:p w14:paraId="769661C2"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2.33</w:t>
            </w:r>
          </w:p>
        </w:tc>
        <w:tc>
          <w:tcPr>
            <w:tcW w:w="843" w:type="dxa"/>
            <w:noWrap/>
            <w:hideMark/>
          </w:tcPr>
          <w:p w14:paraId="023146D7"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1.81</w:t>
            </w:r>
          </w:p>
        </w:tc>
        <w:tc>
          <w:tcPr>
            <w:tcW w:w="824" w:type="dxa"/>
            <w:noWrap/>
            <w:hideMark/>
          </w:tcPr>
          <w:p w14:paraId="37776738"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1.82</w:t>
            </w:r>
          </w:p>
        </w:tc>
        <w:tc>
          <w:tcPr>
            <w:tcW w:w="640" w:type="dxa"/>
            <w:noWrap/>
            <w:hideMark/>
          </w:tcPr>
          <w:p w14:paraId="7ABFA343"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1.58</w:t>
            </w:r>
          </w:p>
        </w:tc>
      </w:tr>
      <w:tr w:rsidR="00375BD2" w:rsidRPr="00C05886" w14:paraId="1FF714DF" w14:textId="77777777" w:rsidTr="00B0467B">
        <w:trPr>
          <w:trHeight w:val="300"/>
        </w:trPr>
        <w:tc>
          <w:tcPr>
            <w:tcW w:w="704" w:type="dxa"/>
            <w:vMerge/>
            <w:noWrap/>
            <w:hideMark/>
          </w:tcPr>
          <w:p w14:paraId="5700E0DC" w14:textId="77777777" w:rsidR="00375BD2" w:rsidRPr="00C05886" w:rsidRDefault="00375BD2" w:rsidP="00375BD2">
            <w:pPr>
              <w:spacing w:line="240" w:lineRule="auto"/>
              <w:jc w:val="right"/>
              <w:rPr>
                <w:rFonts w:eastAsia="Times New Roman" w:cstheme="minorHAnsi"/>
                <w:color w:val="000000"/>
                <w:sz w:val="20"/>
                <w:szCs w:val="20"/>
                <w:lang w:eastAsia="en-GB"/>
              </w:rPr>
            </w:pPr>
          </w:p>
        </w:tc>
        <w:tc>
          <w:tcPr>
            <w:tcW w:w="709" w:type="dxa"/>
            <w:noWrap/>
            <w:hideMark/>
          </w:tcPr>
          <w:p w14:paraId="57BF3DAC" w14:textId="77777777" w:rsidR="00375BD2" w:rsidRPr="00C05886" w:rsidRDefault="00375BD2" w:rsidP="00375BD2">
            <w:pPr>
              <w:spacing w:line="240" w:lineRule="auto"/>
              <w:rPr>
                <w:rFonts w:eastAsia="Times New Roman" w:cstheme="minorHAnsi"/>
                <w:color w:val="000000"/>
                <w:sz w:val="20"/>
                <w:szCs w:val="20"/>
                <w:lang w:eastAsia="en-GB"/>
              </w:rPr>
            </w:pPr>
            <w:r w:rsidRPr="00C05886">
              <w:rPr>
                <w:rFonts w:eastAsia="Times New Roman" w:cstheme="minorHAnsi"/>
                <w:color w:val="000000"/>
                <w:sz w:val="18"/>
                <w:szCs w:val="18"/>
                <w:lang w:eastAsia="en-GB"/>
              </w:rPr>
              <w:t>SD</w:t>
            </w:r>
          </w:p>
        </w:tc>
        <w:tc>
          <w:tcPr>
            <w:tcW w:w="850" w:type="dxa"/>
            <w:noWrap/>
            <w:hideMark/>
          </w:tcPr>
          <w:p w14:paraId="5EADE2F3"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0.83</w:t>
            </w:r>
          </w:p>
        </w:tc>
        <w:tc>
          <w:tcPr>
            <w:tcW w:w="1021" w:type="dxa"/>
            <w:noWrap/>
            <w:hideMark/>
          </w:tcPr>
          <w:p w14:paraId="4FE85A98"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0.94</w:t>
            </w:r>
          </w:p>
        </w:tc>
        <w:tc>
          <w:tcPr>
            <w:tcW w:w="903" w:type="dxa"/>
            <w:noWrap/>
            <w:hideMark/>
          </w:tcPr>
          <w:p w14:paraId="1FE85CA7"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0.94</w:t>
            </w:r>
          </w:p>
        </w:tc>
        <w:tc>
          <w:tcPr>
            <w:tcW w:w="1119" w:type="dxa"/>
            <w:noWrap/>
            <w:hideMark/>
          </w:tcPr>
          <w:p w14:paraId="30372792"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0.69</w:t>
            </w:r>
          </w:p>
        </w:tc>
        <w:tc>
          <w:tcPr>
            <w:tcW w:w="1100" w:type="dxa"/>
            <w:noWrap/>
            <w:hideMark/>
          </w:tcPr>
          <w:p w14:paraId="4EF5C8A8"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0.73</w:t>
            </w:r>
          </w:p>
        </w:tc>
        <w:tc>
          <w:tcPr>
            <w:tcW w:w="915" w:type="dxa"/>
            <w:noWrap/>
            <w:hideMark/>
          </w:tcPr>
          <w:p w14:paraId="461FACD9"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0.67</w:t>
            </w:r>
          </w:p>
        </w:tc>
        <w:tc>
          <w:tcPr>
            <w:tcW w:w="843" w:type="dxa"/>
            <w:noWrap/>
            <w:hideMark/>
          </w:tcPr>
          <w:p w14:paraId="4836D62D"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0.79</w:t>
            </w:r>
          </w:p>
        </w:tc>
        <w:tc>
          <w:tcPr>
            <w:tcW w:w="824" w:type="dxa"/>
            <w:noWrap/>
            <w:hideMark/>
          </w:tcPr>
          <w:p w14:paraId="7AC351EA"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0.82</w:t>
            </w:r>
          </w:p>
        </w:tc>
        <w:tc>
          <w:tcPr>
            <w:tcW w:w="640" w:type="dxa"/>
            <w:noWrap/>
            <w:hideMark/>
          </w:tcPr>
          <w:p w14:paraId="322A687B"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0.73</w:t>
            </w:r>
          </w:p>
        </w:tc>
      </w:tr>
      <w:tr w:rsidR="00375BD2" w:rsidRPr="00C05886" w14:paraId="6383E9DC" w14:textId="77777777" w:rsidTr="00B0467B">
        <w:trPr>
          <w:trHeight w:val="300"/>
        </w:trPr>
        <w:tc>
          <w:tcPr>
            <w:tcW w:w="704" w:type="dxa"/>
            <w:vMerge/>
            <w:noWrap/>
            <w:hideMark/>
          </w:tcPr>
          <w:p w14:paraId="64E86ED9" w14:textId="77777777" w:rsidR="00375BD2" w:rsidRPr="00C05886" w:rsidRDefault="00375BD2" w:rsidP="00375BD2">
            <w:pPr>
              <w:spacing w:line="240" w:lineRule="auto"/>
              <w:jc w:val="right"/>
              <w:rPr>
                <w:rFonts w:eastAsia="Times New Roman" w:cstheme="minorHAnsi"/>
                <w:color w:val="000000"/>
                <w:sz w:val="20"/>
                <w:szCs w:val="20"/>
                <w:lang w:eastAsia="en-GB"/>
              </w:rPr>
            </w:pPr>
          </w:p>
        </w:tc>
        <w:tc>
          <w:tcPr>
            <w:tcW w:w="709" w:type="dxa"/>
            <w:noWrap/>
            <w:hideMark/>
          </w:tcPr>
          <w:p w14:paraId="43F171BE" w14:textId="77777777" w:rsidR="00375BD2" w:rsidRPr="00C05886" w:rsidRDefault="00375BD2" w:rsidP="00375BD2">
            <w:pPr>
              <w:spacing w:line="240" w:lineRule="auto"/>
              <w:rPr>
                <w:rFonts w:eastAsia="Times New Roman" w:cstheme="minorHAnsi"/>
                <w:color w:val="000000"/>
                <w:sz w:val="20"/>
                <w:szCs w:val="20"/>
                <w:lang w:eastAsia="en-GB"/>
              </w:rPr>
            </w:pPr>
            <w:r w:rsidRPr="00C05886">
              <w:rPr>
                <w:rFonts w:eastAsia="Times New Roman" w:cstheme="minorHAnsi"/>
                <w:color w:val="000000"/>
                <w:sz w:val="18"/>
                <w:szCs w:val="18"/>
                <w:lang w:eastAsia="en-GB"/>
              </w:rPr>
              <w:t>N</w:t>
            </w:r>
          </w:p>
        </w:tc>
        <w:tc>
          <w:tcPr>
            <w:tcW w:w="850" w:type="dxa"/>
            <w:noWrap/>
            <w:hideMark/>
          </w:tcPr>
          <w:p w14:paraId="20A569FB"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395</w:t>
            </w:r>
          </w:p>
        </w:tc>
        <w:tc>
          <w:tcPr>
            <w:tcW w:w="1021" w:type="dxa"/>
            <w:noWrap/>
            <w:hideMark/>
          </w:tcPr>
          <w:p w14:paraId="04DF8180"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395</w:t>
            </w:r>
          </w:p>
        </w:tc>
        <w:tc>
          <w:tcPr>
            <w:tcW w:w="903" w:type="dxa"/>
            <w:noWrap/>
            <w:hideMark/>
          </w:tcPr>
          <w:p w14:paraId="0D77D1A3"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395</w:t>
            </w:r>
          </w:p>
        </w:tc>
        <w:tc>
          <w:tcPr>
            <w:tcW w:w="1119" w:type="dxa"/>
            <w:noWrap/>
            <w:hideMark/>
          </w:tcPr>
          <w:p w14:paraId="48B20E4A"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395</w:t>
            </w:r>
          </w:p>
        </w:tc>
        <w:tc>
          <w:tcPr>
            <w:tcW w:w="1100" w:type="dxa"/>
            <w:noWrap/>
            <w:hideMark/>
          </w:tcPr>
          <w:p w14:paraId="71DB0FEF"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395</w:t>
            </w:r>
          </w:p>
        </w:tc>
        <w:tc>
          <w:tcPr>
            <w:tcW w:w="915" w:type="dxa"/>
            <w:noWrap/>
            <w:hideMark/>
          </w:tcPr>
          <w:p w14:paraId="7BFF48F8"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395</w:t>
            </w:r>
          </w:p>
        </w:tc>
        <w:tc>
          <w:tcPr>
            <w:tcW w:w="843" w:type="dxa"/>
            <w:noWrap/>
            <w:hideMark/>
          </w:tcPr>
          <w:p w14:paraId="0B9F49C2"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395</w:t>
            </w:r>
          </w:p>
        </w:tc>
        <w:tc>
          <w:tcPr>
            <w:tcW w:w="824" w:type="dxa"/>
            <w:noWrap/>
            <w:hideMark/>
          </w:tcPr>
          <w:p w14:paraId="78DD4E19"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395</w:t>
            </w:r>
          </w:p>
        </w:tc>
        <w:tc>
          <w:tcPr>
            <w:tcW w:w="640" w:type="dxa"/>
            <w:noWrap/>
            <w:hideMark/>
          </w:tcPr>
          <w:p w14:paraId="5D09FEE1" w14:textId="77777777" w:rsidR="00375BD2" w:rsidRPr="00C05886" w:rsidRDefault="00375BD2" w:rsidP="00375BD2">
            <w:pPr>
              <w:spacing w:line="240" w:lineRule="auto"/>
              <w:jc w:val="right"/>
              <w:rPr>
                <w:rFonts w:eastAsia="Times New Roman" w:cstheme="minorHAnsi"/>
                <w:color w:val="000000"/>
                <w:sz w:val="20"/>
                <w:szCs w:val="20"/>
                <w:lang w:eastAsia="en-GB"/>
              </w:rPr>
            </w:pPr>
            <w:r w:rsidRPr="00C05886">
              <w:rPr>
                <w:rFonts w:eastAsia="Times New Roman" w:cstheme="minorHAnsi"/>
                <w:color w:val="000000"/>
                <w:sz w:val="20"/>
                <w:szCs w:val="20"/>
                <w:lang w:eastAsia="en-GB"/>
              </w:rPr>
              <w:t>395</w:t>
            </w:r>
          </w:p>
        </w:tc>
      </w:tr>
    </w:tbl>
    <w:p w14:paraId="56AF7AE2" w14:textId="77777777" w:rsidR="00375BD2" w:rsidRPr="00C05886" w:rsidRDefault="00375BD2" w:rsidP="00375BD2">
      <w:pPr>
        <w:spacing w:line="240" w:lineRule="auto"/>
      </w:pPr>
    </w:p>
    <w:p w14:paraId="250A0167" w14:textId="77777777" w:rsidR="00375BD2" w:rsidRPr="00C05886" w:rsidRDefault="00375BD2" w:rsidP="00375BD2">
      <w:pPr>
        <w:spacing w:line="240" w:lineRule="auto"/>
      </w:pPr>
      <w:r w:rsidRPr="00C05886">
        <w:t xml:space="preserve">Treatments acronyms: HBHC = high biodiversity and high colour diversity; HBLC = high biodiversity and low colour diversity; LBHC = low biodiversity and high colour diversity; LBLC = low biodiversity and low colour diversity;  </w:t>
      </w:r>
      <w:r w:rsidRPr="00C05886">
        <w:br w:type="page"/>
      </w:r>
    </w:p>
    <w:p w14:paraId="5881208F" w14:textId="2ACE750F" w:rsidR="00375BD2" w:rsidRPr="00C05886" w:rsidRDefault="00375BD2" w:rsidP="00375BD2">
      <w:pPr>
        <w:pStyle w:val="Heading4"/>
        <w:spacing w:line="240" w:lineRule="auto"/>
      </w:pPr>
      <w:r w:rsidRPr="00C05886">
        <w:lastRenderedPageBreak/>
        <w:t>Perceived biodiversity by treatment in each experiment</w:t>
      </w:r>
    </w:p>
    <w:p w14:paraId="6CCAFE30" w14:textId="021909D6" w:rsidR="00375BD2" w:rsidRPr="00C05886" w:rsidRDefault="00375BD2" w:rsidP="00375BD2">
      <w:pPr>
        <w:pStyle w:val="Caption"/>
        <w:keepNext/>
      </w:pPr>
      <w:r w:rsidRPr="00C05886">
        <w:t xml:space="preserve">Table </w:t>
      </w:r>
      <w:r w:rsidR="00B62F3A" w:rsidRPr="00C05886">
        <w:t>S8</w:t>
      </w:r>
      <w:r w:rsidRPr="00C05886">
        <w:t>. Experiment 1 – Distribution of perceived biodiversity in each park treatment</w:t>
      </w:r>
    </w:p>
    <w:tbl>
      <w:tblPr>
        <w:tblStyle w:val="TableGrid"/>
        <w:tblW w:w="5650" w:type="dxa"/>
        <w:tblLook w:val="04A0" w:firstRow="1" w:lastRow="0" w:firstColumn="1" w:lastColumn="0" w:noHBand="0" w:noVBand="1"/>
      </w:tblPr>
      <w:tblGrid>
        <w:gridCol w:w="1710"/>
        <w:gridCol w:w="793"/>
        <w:gridCol w:w="1045"/>
        <w:gridCol w:w="1057"/>
        <w:gridCol w:w="1045"/>
      </w:tblGrid>
      <w:tr w:rsidR="00375BD2" w:rsidRPr="00C05886" w14:paraId="7F75583D" w14:textId="77777777" w:rsidTr="00542578">
        <w:trPr>
          <w:trHeight w:val="312"/>
        </w:trPr>
        <w:tc>
          <w:tcPr>
            <w:tcW w:w="2503" w:type="dxa"/>
            <w:gridSpan w:val="2"/>
            <w:noWrap/>
            <w:hideMark/>
          </w:tcPr>
          <w:p w14:paraId="42867B63" w14:textId="77777777" w:rsidR="00375BD2" w:rsidRPr="00C05886" w:rsidRDefault="00375BD2" w:rsidP="00375BD2">
            <w:pPr>
              <w:spacing w:line="240" w:lineRule="auto"/>
              <w:rPr>
                <w:rFonts w:ascii="Calibri" w:eastAsia="Times New Roman" w:hAnsi="Calibri" w:cs="Calibri"/>
                <w:color w:val="000000"/>
                <w:lang w:eastAsia="en-GB"/>
              </w:rPr>
            </w:pPr>
            <w:r w:rsidRPr="00C05886">
              <w:rPr>
                <w:rFonts w:ascii="Calibri" w:eastAsia="Times New Roman" w:hAnsi="Calibri" w:cs="Calibri"/>
                <w:color w:val="000000"/>
                <w:lang w:eastAsia="en-GB"/>
              </w:rPr>
              <w:t>Perceived biodiversity</w:t>
            </w:r>
          </w:p>
        </w:tc>
        <w:tc>
          <w:tcPr>
            <w:tcW w:w="1045" w:type="dxa"/>
            <w:noWrap/>
            <w:hideMark/>
          </w:tcPr>
          <w:p w14:paraId="3C3859DC" w14:textId="77777777" w:rsidR="00375BD2" w:rsidRPr="00C05886" w:rsidRDefault="00375BD2" w:rsidP="00375BD2">
            <w:pPr>
              <w:spacing w:line="240" w:lineRule="auto"/>
              <w:rPr>
                <w:rFonts w:ascii="Calibri" w:eastAsia="Times New Roman" w:hAnsi="Calibri" w:cs="Calibri"/>
                <w:color w:val="000000"/>
                <w:lang w:eastAsia="en-GB"/>
              </w:rPr>
            </w:pPr>
            <w:r w:rsidRPr="00C05886">
              <w:rPr>
                <w:rFonts w:ascii="Calibri" w:eastAsia="Times New Roman" w:hAnsi="Calibri" w:cs="Calibri"/>
                <w:color w:val="000000"/>
                <w:lang w:eastAsia="en-GB"/>
              </w:rPr>
              <w:t>Low</w:t>
            </w:r>
          </w:p>
        </w:tc>
        <w:tc>
          <w:tcPr>
            <w:tcW w:w="1057" w:type="dxa"/>
            <w:noWrap/>
            <w:hideMark/>
          </w:tcPr>
          <w:p w14:paraId="58DC1F0B" w14:textId="77777777" w:rsidR="00375BD2" w:rsidRPr="00C05886" w:rsidRDefault="00375BD2" w:rsidP="00375BD2">
            <w:pPr>
              <w:spacing w:line="240" w:lineRule="auto"/>
              <w:rPr>
                <w:rFonts w:ascii="Calibri" w:eastAsia="Times New Roman" w:hAnsi="Calibri" w:cs="Calibri"/>
                <w:color w:val="000000"/>
                <w:lang w:eastAsia="en-GB"/>
              </w:rPr>
            </w:pPr>
            <w:r w:rsidRPr="00C05886">
              <w:rPr>
                <w:rFonts w:ascii="Calibri" w:eastAsia="Times New Roman" w:hAnsi="Calibri" w:cs="Calibri"/>
                <w:color w:val="000000"/>
                <w:lang w:eastAsia="en-GB"/>
              </w:rPr>
              <w:t>Medium</w:t>
            </w:r>
          </w:p>
        </w:tc>
        <w:tc>
          <w:tcPr>
            <w:tcW w:w="1045" w:type="dxa"/>
            <w:noWrap/>
            <w:hideMark/>
          </w:tcPr>
          <w:p w14:paraId="0F9FC5D6" w14:textId="77777777" w:rsidR="00375BD2" w:rsidRPr="00C05886" w:rsidRDefault="00375BD2" w:rsidP="00375BD2">
            <w:pPr>
              <w:spacing w:line="240" w:lineRule="auto"/>
              <w:rPr>
                <w:rFonts w:ascii="Calibri" w:eastAsia="Times New Roman" w:hAnsi="Calibri" w:cs="Calibri"/>
                <w:color w:val="000000"/>
                <w:lang w:eastAsia="en-GB"/>
              </w:rPr>
            </w:pPr>
            <w:r w:rsidRPr="00C05886">
              <w:rPr>
                <w:rFonts w:ascii="Calibri" w:eastAsia="Times New Roman" w:hAnsi="Calibri" w:cs="Calibri"/>
                <w:color w:val="000000"/>
                <w:lang w:eastAsia="en-GB"/>
              </w:rPr>
              <w:t>High</w:t>
            </w:r>
          </w:p>
        </w:tc>
      </w:tr>
      <w:tr w:rsidR="00375BD2" w:rsidRPr="00C05886" w14:paraId="613F0F40" w14:textId="77777777" w:rsidTr="0070406A">
        <w:trPr>
          <w:trHeight w:val="312"/>
        </w:trPr>
        <w:tc>
          <w:tcPr>
            <w:tcW w:w="1710" w:type="dxa"/>
            <w:vMerge w:val="restart"/>
            <w:noWrap/>
            <w:vAlign w:val="center"/>
            <w:hideMark/>
          </w:tcPr>
          <w:p w14:paraId="53C71086" w14:textId="77777777" w:rsidR="00375BD2" w:rsidRPr="00C05886" w:rsidRDefault="00375BD2" w:rsidP="00375BD2">
            <w:pPr>
              <w:spacing w:line="240" w:lineRule="auto"/>
              <w:jc w:val="center"/>
              <w:rPr>
                <w:rFonts w:ascii="Calibri" w:eastAsia="Times New Roman" w:hAnsi="Calibri" w:cs="Calibri"/>
                <w:color w:val="000000"/>
                <w:lang w:eastAsia="en-GB"/>
              </w:rPr>
            </w:pPr>
            <w:r w:rsidRPr="00C05886">
              <w:rPr>
                <w:rFonts w:ascii="Calibri" w:eastAsia="Times New Roman" w:hAnsi="Calibri" w:cs="Calibri"/>
                <w:color w:val="000000"/>
                <w:lang w:eastAsia="en-GB"/>
              </w:rPr>
              <w:t>Park treatment</w:t>
            </w:r>
          </w:p>
        </w:tc>
        <w:tc>
          <w:tcPr>
            <w:tcW w:w="793" w:type="dxa"/>
            <w:noWrap/>
            <w:hideMark/>
          </w:tcPr>
          <w:p w14:paraId="16D1C1F8" w14:textId="77777777" w:rsidR="00375BD2" w:rsidRPr="00C05886" w:rsidRDefault="00375BD2" w:rsidP="00375BD2">
            <w:pPr>
              <w:spacing w:line="240" w:lineRule="auto"/>
              <w:rPr>
                <w:rFonts w:ascii="Calibri" w:eastAsia="Times New Roman" w:hAnsi="Calibri" w:cs="Calibri"/>
                <w:color w:val="000000"/>
                <w:lang w:eastAsia="en-GB"/>
              </w:rPr>
            </w:pPr>
            <w:r w:rsidRPr="00C05886">
              <w:rPr>
                <w:rFonts w:ascii="Calibri" w:eastAsia="Times New Roman" w:hAnsi="Calibri" w:cs="Calibri"/>
                <w:color w:val="000000"/>
                <w:lang w:eastAsia="en-GB"/>
              </w:rPr>
              <w:t>HBHC</w:t>
            </w:r>
          </w:p>
        </w:tc>
        <w:tc>
          <w:tcPr>
            <w:tcW w:w="1045" w:type="dxa"/>
            <w:noWrap/>
            <w:hideMark/>
          </w:tcPr>
          <w:p w14:paraId="080B000B" w14:textId="77777777" w:rsidR="00375BD2" w:rsidRPr="00C05886" w:rsidRDefault="00375BD2" w:rsidP="00375BD2">
            <w:pPr>
              <w:spacing w:line="240" w:lineRule="auto"/>
              <w:jc w:val="right"/>
              <w:rPr>
                <w:rFonts w:ascii="Calibri" w:eastAsia="Times New Roman" w:hAnsi="Calibri" w:cs="Calibri"/>
                <w:color w:val="000000"/>
                <w:lang w:eastAsia="en-GB"/>
              </w:rPr>
            </w:pPr>
            <w:r w:rsidRPr="00C05886">
              <w:rPr>
                <w:rFonts w:ascii="Calibri" w:eastAsia="Times New Roman" w:hAnsi="Calibri" w:cs="Calibri"/>
                <w:color w:val="000000"/>
                <w:lang w:eastAsia="en-GB"/>
              </w:rPr>
              <w:t>13.8%</w:t>
            </w:r>
          </w:p>
        </w:tc>
        <w:tc>
          <w:tcPr>
            <w:tcW w:w="1057" w:type="dxa"/>
            <w:noWrap/>
            <w:hideMark/>
          </w:tcPr>
          <w:p w14:paraId="290D5B46" w14:textId="77777777" w:rsidR="00375BD2" w:rsidRPr="00C05886" w:rsidRDefault="00375BD2" w:rsidP="00375BD2">
            <w:pPr>
              <w:spacing w:line="240" w:lineRule="auto"/>
              <w:jc w:val="right"/>
              <w:rPr>
                <w:rFonts w:ascii="Calibri" w:eastAsia="Times New Roman" w:hAnsi="Calibri" w:cs="Calibri"/>
                <w:color w:val="000000"/>
                <w:lang w:eastAsia="en-GB"/>
              </w:rPr>
            </w:pPr>
            <w:r w:rsidRPr="00C05886">
              <w:rPr>
                <w:rFonts w:ascii="Calibri" w:eastAsia="Times New Roman" w:hAnsi="Calibri" w:cs="Calibri"/>
                <w:color w:val="000000"/>
                <w:lang w:eastAsia="en-GB"/>
              </w:rPr>
              <w:t>27.6%</w:t>
            </w:r>
          </w:p>
        </w:tc>
        <w:tc>
          <w:tcPr>
            <w:tcW w:w="1045" w:type="dxa"/>
            <w:noWrap/>
            <w:hideMark/>
          </w:tcPr>
          <w:p w14:paraId="00734587" w14:textId="77777777" w:rsidR="00375BD2" w:rsidRPr="00C05886" w:rsidRDefault="00375BD2" w:rsidP="00375BD2">
            <w:pPr>
              <w:spacing w:line="240" w:lineRule="auto"/>
              <w:jc w:val="right"/>
              <w:rPr>
                <w:rFonts w:ascii="Calibri" w:eastAsia="Times New Roman" w:hAnsi="Calibri" w:cs="Calibri"/>
                <w:color w:val="000000"/>
                <w:lang w:eastAsia="en-GB"/>
              </w:rPr>
            </w:pPr>
            <w:r w:rsidRPr="00C05886">
              <w:rPr>
                <w:rFonts w:ascii="Calibri" w:eastAsia="Times New Roman" w:hAnsi="Calibri" w:cs="Calibri"/>
                <w:color w:val="000000"/>
                <w:lang w:eastAsia="en-GB"/>
              </w:rPr>
              <w:t>58.6%</w:t>
            </w:r>
          </w:p>
        </w:tc>
      </w:tr>
      <w:tr w:rsidR="00375BD2" w:rsidRPr="00C05886" w14:paraId="03D56F98" w14:textId="77777777" w:rsidTr="00542578">
        <w:trPr>
          <w:trHeight w:val="312"/>
        </w:trPr>
        <w:tc>
          <w:tcPr>
            <w:tcW w:w="1710" w:type="dxa"/>
            <w:vMerge/>
            <w:noWrap/>
            <w:hideMark/>
          </w:tcPr>
          <w:p w14:paraId="4B3907D5" w14:textId="77777777" w:rsidR="00375BD2" w:rsidRPr="00C05886" w:rsidRDefault="00375BD2" w:rsidP="00375BD2">
            <w:pPr>
              <w:spacing w:line="240" w:lineRule="auto"/>
              <w:jc w:val="right"/>
              <w:rPr>
                <w:rFonts w:ascii="Calibri" w:eastAsia="Times New Roman" w:hAnsi="Calibri" w:cs="Calibri"/>
                <w:color w:val="000000"/>
                <w:lang w:eastAsia="en-GB"/>
              </w:rPr>
            </w:pPr>
          </w:p>
        </w:tc>
        <w:tc>
          <w:tcPr>
            <w:tcW w:w="793" w:type="dxa"/>
            <w:noWrap/>
            <w:hideMark/>
          </w:tcPr>
          <w:p w14:paraId="65EE45CD" w14:textId="77777777" w:rsidR="00375BD2" w:rsidRPr="00C05886" w:rsidRDefault="00375BD2" w:rsidP="00375BD2">
            <w:pPr>
              <w:spacing w:line="240" w:lineRule="auto"/>
              <w:rPr>
                <w:rFonts w:ascii="Calibri" w:eastAsia="Times New Roman" w:hAnsi="Calibri" w:cs="Calibri"/>
                <w:color w:val="000000"/>
                <w:lang w:eastAsia="en-GB"/>
              </w:rPr>
            </w:pPr>
            <w:r w:rsidRPr="00C05886">
              <w:rPr>
                <w:rFonts w:ascii="Calibri" w:eastAsia="Times New Roman" w:hAnsi="Calibri" w:cs="Calibri"/>
                <w:color w:val="000000"/>
                <w:lang w:eastAsia="en-GB"/>
              </w:rPr>
              <w:t>HBLC</w:t>
            </w:r>
          </w:p>
        </w:tc>
        <w:tc>
          <w:tcPr>
            <w:tcW w:w="1045" w:type="dxa"/>
            <w:noWrap/>
            <w:hideMark/>
          </w:tcPr>
          <w:p w14:paraId="00F8B7FF" w14:textId="77777777" w:rsidR="00375BD2" w:rsidRPr="00C05886" w:rsidRDefault="00375BD2" w:rsidP="00375BD2">
            <w:pPr>
              <w:spacing w:line="240" w:lineRule="auto"/>
              <w:jc w:val="right"/>
              <w:rPr>
                <w:rFonts w:ascii="Calibri" w:eastAsia="Times New Roman" w:hAnsi="Calibri" w:cs="Calibri"/>
                <w:color w:val="000000"/>
                <w:lang w:eastAsia="en-GB"/>
              </w:rPr>
            </w:pPr>
            <w:r w:rsidRPr="00C05886">
              <w:rPr>
                <w:rFonts w:ascii="Calibri" w:eastAsia="Times New Roman" w:hAnsi="Calibri" w:cs="Calibri"/>
                <w:color w:val="000000"/>
                <w:lang w:eastAsia="en-GB"/>
              </w:rPr>
              <w:t>9.5%</w:t>
            </w:r>
          </w:p>
        </w:tc>
        <w:tc>
          <w:tcPr>
            <w:tcW w:w="1057" w:type="dxa"/>
            <w:noWrap/>
            <w:hideMark/>
          </w:tcPr>
          <w:p w14:paraId="60B7620A" w14:textId="77777777" w:rsidR="00375BD2" w:rsidRPr="00C05886" w:rsidRDefault="00375BD2" w:rsidP="00375BD2">
            <w:pPr>
              <w:spacing w:line="240" w:lineRule="auto"/>
              <w:jc w:val="right"/>
              <w:rPr>
                <w:rFonts w:ascii="Calibri" w:eastAsia="Times New Roman" w:hAnsi="Calibri" w:cs="Calibri"/>
                <w:color w:val="000000"/>
                <w:lang w:eastAsia="en-GB"/>
              </w:rPr>
            </w:pPr>
            <w:r w:rsidRPr="00C05886">
              <w:rPr>
                <w:rFonts w:ascii="Calibri" w:eastAsia="Times New Roman" w:hAnsi="Calibri" w:cs="Calibri"/>
                <w:color w:val="000000"/>
                <w:lang w:eastAsia="en-GB"/>
              </w:rPr>
              <w:t>28.4%</w:t>
            </w:r>
          </w:p>
        </w:tc>
        <w:tc>
          <w:tcPr>
            <w:tcW w:w="1045" w:type="dxa"/>
            <w:noWrap/>
            <w:hideMark/>
          </w:tcPr>
          <w:p w14:paraId="76390082" w14:textId="77777777" w:rsidR="00375BD2" w:rsidRPr="00C05886" w:rsidRDefault="00375BD2" w:rsidP="00375BD2">
            <w:pPr>
              <w:spacing w:line="240" w:lineRule="auto"/>
              <w:jc w:val="right"/>
              <w:rPr>
                <w:rFonts w:ascii="Calibri" w:eastAsia="Times New Roman" w:hAnsi="Calibri" w:cs="Calibri"/>
                <w:color w:val="000000"/>
                <w:lang w:eastAsia="en-GB"/>
              </w:rPr>
            </w:pPr>
            <w:r w:rsidRPr="00C05886">
              <w:rPr>
                <w:rFonts w:ascii="Calibri" w:eastAsia="Times New Roman" w:hAnsi="Calibri" w:cs="Calibri"/>
                <w:color w:val="000000"/>
                <w:lang w:eastAsia="en-GB"/>
              </w:rPr>
              <w:t>62.1%</w:t>
            </w:r>
          </w:p>
        </w:tc>
      </w:tr>
      <w:tr w:rsidR="00375BD2" w:rsidRPr="00C05886" w14:paraId="19B8E03C" w14:textId="77777777" w:rsidTr="00542578">
        <w:trPr>
          <w:trHeight w:val="312"/>
        </w:trPr>
        <w:tc>
          <w:tcPr>
            <w:tcW w:w="1710" w:type="dxa"/>
            <w:vMerge/>
            <w:noWrap/>
            <w:hideMark/>
          </w:tcPr>
          <w:p w14:paraId="2E26D125" w14:textId="77777777" w:rsidR="00375BD2" w:rsidRPr="00C05886" w:rsidRDefault="00375BD2" w:rsidP="00375BD2">
            <w:pPr>
              <w:spacing w:line="240" w:lineRule="auto"/>
              <w:jc w:val="right"/>
              <w:rPr>
                <w:rFonts w:ascii="Calibri" w:eastAsia="Times New Roman" w:hAnsi="Calibri" w:cs="Calibri"/>
                <w:color w:val="000000"/>
                <w:lang w:eastAsia="en-GB"/>
              </w:rPr>
            </w:pPr>
          </w:p>
        </w:tc>
        <w:tc>
          <w:tcPr>
            <w:tcW w:w="793" w:type="dxa"/>
            <w:noWrap/>
            <w:hideMark/>
          </w:tcPr>
          <w:p w14:paraId="22323164" w14:textId="77777777" w:rsidR="00375BD2" w:rsidRPr="00C05886" w:rsidRDefault="00375BD2" w:rsidP="00375BD2">
            <w:pPr>
              <w:spacing w:line="240" w:lineRule="auto"/>
              <w:rPr>
                <w:rFonts w:ascii="Calibri" w:eastAsia="Times New Roman" w:hAnsi="Calibri" w:cs="Calibri"/>
                <w:color w:val="000000"/>
                <w:lang w:eastAsia="en-GB"/>
              </w:rPr>
            </w:pPr>
            <w:r w:rsidRPr="00C05886">
              <w:rPr>
                <w:rFonts w:ascii="Calibri" w:eastAsia="Times New Roman" w:hAnsi="Calibri" w:cs="Calibri"/>
                <w:color w:val="000000"/>
                <w:lang w:eastAsia="en-GB"/>
              </w:rPr>
              <w:t>LBHC</w:t>
            </w:r>
          </w:p>
        </w:tc>
        <w:tc>
          <w:tcPr>
            <w:tcW w:w="1045" w:type="dxa"/>
            <w:noWrap/>
            <w:hideMark/>
          </w:tcPr>
          <w:p w14:paraId="7A9D7E99" w14:textId="77777777" w:rsidR="00375BD2" w:rsidRPr="00C05886" w:rsidRDefault="00375BD2" w:rsidP="00375BD2">
            <w:pPr>
              <w:spacing w:line="240" w:lineRule="auto"/>
              <w:jc w:val="right"/>
              <w:rPr>
                <w:rFonts w:ascii="Calibri" w:eastAsia="Times New Roman" w:hAnsi="Calibri" w:cs="Calibri"/>
                <w:color w:val="000000"/>
                <w:lang w:eastAsia="en-GB"/>
              </w:rPr>
            </w:pPr>
            <w:r w:rsidRPr="00C05886">
              <w:rPr>
                <w:rFonts w:ascii="Calibri" w:eastAsia="Times New Roman" w:hAnsi="Calibri" w:cs="Calibri"/>
                <w:color w:val="000000"/>
                <w:lang w:eastAsia="en-GB"/>
              </w:rPr>
              <w:t>5.3%</w:t>
            </w:r>
          </w:p>
        </w:tc>
        <w:tc>
          <w:tcPr>
            <w:tcW w:w="1057" w:type="dxa"/>
            <w:noWrap/>
            <w:hideMark/>
          </w:tcPr>
          <w:p w14:paraId="070EB968" w14:textId="77777777" w:rsidR="00375BD2" w:rsidRPr="00C05886" w:rsidRDefault="00375BD2" w:rsidP="00375BD2">
            <w:pPr>
              <w:spacing w:line="240" w:lineRule="auto"/>
              <w:jc w:val="right"/>
              <w:rPr>
                <w:rFonts w:ascii="Calibri" w:eastAsia="Times New Roman" w:hAnsi="Calibri" w:cs="Calibri"/>
                <w:color w:val="000000"/>
                <w:lang w:eastAsia="en-GB"/>
              </w:rPr>
            </w:pPr>
            <w:r w:rsidRPr="00C05886">
              <w:rPr>
                <w:rFonts w:ascii="Calibri" w:eastAsia="Times New Roman" w:hAnsi="Calibri" w:cs="Calibri"/>
                <w:color w:val="000000"/>
                <w:lang w:eastAsia="en-GB"/>
              </w:rPr>
              <w:t>24.6%</w:t>
            </w:r>
          </w:p>
        </w:tc>
        <w:tc>
          <w:tcPr>
            <w:tcW w:w="1045" w:type="dxa"/>
            <w:noWrap/>
            <w:hideMark/>
          </w:tcPr>
          <w:p w14:paraId="5AEB8E24" w14:textId="77777777" w:rsidR="00375BD2" w:rsidRPr="00C05886" w:rsidRDefault="00375BD2" w:rsidP="00375BD2">
            <w:pPr>
              <w:spacing w:line="240" w:lineRule="auto"/>
              <w:jc w:val="right"/>
              <w:rPr>
                <w:rFonts w:ascii="Calibri" w:eastAsia="Times New Roman" w:hAnsi="Calibri" w:cs="Calibri"/>
                <w:color w:val="000000"/>
                <w:lang w:eastAsia="en-GB"/>
              </w:rPr>
            </w:pPr>
            <w:r w:rsidRPr="00C05886">
              <w:rPr>
                <w:rFonts w:ascii="Calibri" w:eastAsia="Times New Roman" w:hAnsi="Calibri" w:cs="Calibri"/>
                <w:color w:val="000000"/>
                <w:lang w:eastAsia="en-GB"/>
              </w:rPr>
              <w:t>70.2%</w:t>
            </w:r>
          </w:p>
        </w:tc>
      </w:tr>
      <w:tr w:rsidR="00375BD2" w:rsidRPr="00C05886" w14:paraId="45798469" w14:textId="77777777" w:rsidTr="00542578">
        <w:trPr>
          <w:trHeight w:val="312"/>
        </w:trPr>
        <w:tc>
          <w:tcPr>
            <w:tcW w:w="1710" w:type="dxa"/>
            <w:vMerge/>
            <w:noWrap/>
            <w:hideMark/>
          </w:tcPr>
          <w:p w14:paraId="647F1983" w14:textId="77777777" w:rsidR="00375BD2" w:rsidRPr="00C05886" w:rsidRDefault="00375BD2" w:rsidP="00375BD2">
            <w:pPr>
              <w:spacing w:line="240" w:lineRule="auto"/>
              <w:jc w:val="right"/>
              <w:rPr>
                <w:rFonts w:ascii="Calibri" w:eastAsia="Times New Roman" w:hAnsi="Calibri" w:cs="Calibri"/>
                <w:color w:val="000000"/>
                <w:lang w:eastAsia="en-GB"/>
              </w:rPr>
            </w:pPr>
          </w:p>
        </w:tc>
        <w:tc>
          <w:tcPr>
            <w:tcW w:w="793" w:type="dxa"/>
            <w:noWrap/>
            <w:hideMark/>
          </w:tcPr>
          <w:p w14:paraId="7B02ADDF" w14:textId="77777777" w:rsidR="00375BD2" w:rsidRPr="00C05886" w:rsidRDefault="00375BD2" w:rsidP="00375BD2">
            <w:pPr>
              <w:spacing w:line="240" w:lineRule="auto"/>
              <w:rPr>
                <w:rFonts w:ascii="Calibri" w:eastAsia="Times New Roman" w:hAnsi="Calibri" w:cs="Calibri"/>
                <w:color w:val="000000"/>
                <w:lang w:eastAsia="en-GB"/>
              </w:rPr>
            </w:pPr>
            <w:r w:rsidRPr="00C05886">
              <w:rPr>
                <w:rFonts w:ascii="Calibri" w:eastAsia="Times New Roman" w:hAnsi="Calibri" w:cs="Calibri"/>
                <w:color w:val="000000"/>
                <w:lang w:eastAsia="en-GB"/>
              </w:rPr>
              <w:t>LBLC</w:t>
            </w:r>
          </w:p>
        </w:tc>
        <w:tc>
          <w:tcPr>
            <w:tcW w:w="1045" w:type="dxa"/>
            <w:noWrap/>
            <w:hideMark/>
          </w:tcPr>
          <w:p w14:paraId="30D54ACF" w14:textId="77777777" w:rsidR="00375BD2" w:rsidRPr="00C05886" w:rsidRDefault="00375BD2" w:rsidP="00375BD2">
            <w:pPr>
              <w:spacing w:line="240" w:lineRule="auto"/>
              <w:jc w:val="right"/>
              <w:rPr>
                <w:rFonts w:ascii="Calibri" w:eastAsia="Times New Roman" w:hAnsi="Calibri" w:cs="Calibri"/>
                <w:color w:val="000000"/>
                <w:lang w:eastAsia="en-GB"/>
              </w:rPr>
            </w:pPr>
            <w:r w:rsidRPr="00C05886">
              <w:rPr>
                <w:rFonts w:ascii="Calibri" w:eastAsia="Times New Roman" w:hAnsi="Calibri" w:cs="Calibri"/>
                <w:color w:val="000000"/>
                <w:lang w:eastAsia="en-GB"/>
              </w:rPr>
              <w:t>12.8%</w:t>
            </w:r>
          </w:p>
        </w:tc>
        <w:tc>
          <w:tcPr>
            <w:tcW w:w="1057" w:type="dxa"/>
            <w:noWrap/>
            <w:hideMark/>
          </w:tcPr>
          <w:p w14:paraId="01A3B85A" w14:textId="77777777" w:rsidR="00375BD2" w:rsidRPr="00C05886" w:rsidRDefault="00375BD2" w:rsidP="00375BD2">
            <w:pPr>
              <w:spacing w:line="240" w:lineRule="auto"/>
              <w:jc w:val="right"/>
              <w:rPr>
                <w:rFonts w:ascii="Calibri" w:eastAsia="Times New Roman" w:hAnsi="Calibri" w:cs="Calibri"/>
                <w:color w:val="000000"/>
                <w:lang w:eastAsia="en-GB"/>
              </w:rPr>
            </w:pPr>
            <w:r w:rsidRPr="00C05886">
              <w:rPr>
                <w:rFonts w:ascii="Calibri" w:eastAsia="Times New Roman" w:hAnsi="Calibri" w:cs="Calibri"/>
                <w:color w:val="000000"/>
                <w:lang w:eastAsia="en-GB"/>
              </w:rPr>
              <w:t>35.9%</w:t>
            </w:r>
          </w:p>
        </w:tc>
        <w:tc>
          <w:tcPr>
            <w:tcW w:w="1045" w:type="dxa"/>
            <w:noWrap/>
            <w:hideMark/>
          </w:tcPr>
          <w:p w14:paraId="00E3FD50" w14:textId="77777777" w:rsidR="00375BD2" w:rsidRPr="00C05886" w:rsidRDefault="00375BD2" w:rsidP="00375BD2">
            <w:pPr>
              <w:spacing w:line="240" w:lineRule="auto"/>
              <w:jc w:val="right"/>
              <w:rPr>
                <w:rFonts w:ascii="Calibri" w:eastAsia="Times New Roman" w:hAnsi="Calibri" w:cs="Calibri"/>
                <w:color w:val="000000"/>
                <w:lang w:eastAsia="en-GB"/>
              </w:rPr>
            </w:pPr>
            <w:r w:rsidRPr="00C05886">
              <w:rPr>
                <w:rFonts w:ascii="Calibri" w:eastAsia="Times New Roman" w:hAnsi="Calibri" w:cs="Calibri"/>
                <w:color w:val="000000"/>
                <w:lang w:eastAsia="en-GB"/>
              </w:rPr>
              <w:t>51.3%</w:t>
            </w:r>
          </w:p>
        </w:tc>
      </w:tr>
      <w:tr w:rsidR="00375BD2" w:rsidRPr="00C05886" w14:paraId="514F2899" w14:textId="77777777" w:rsidTr="00542578">
        <w:trPr>
          <w:trHeight w:val="312"/>
        </w:trPr>
        <w:tc>
          <w:tcPr>
            <w:tcW w:w="1710" w:type="dxa"/>
            <w:noWrap/>
            <w:hideMark/>
          </w:tcPr>
          <w:p w14:paraId="61D984C6" w14:textId="77777777" w:rsidR="00375BD2" w:rsidRPr="00C05886" w:rsidRDefault="00375BD2" w:rsidP="00375BD2">
            <w:pPr>
              <w:spacing w:line="240" w:lineRule="auto"/>
              <w:rPr>
                <w:rFonts w:ascii="Calibri" w:eastAsia="Times New Roman" w:hAnsi="Calibri" w:cs="Calibri"/>
                <w:color w:val="000000"/>
                <w:lang w:eastAsia="en-GB"/>
              </w:rPr>
            </w:pPr>
            <w:r w:rsidRPr="00C05886">
              <w:rPr>
                <w:rFonts w:ascii="Calibri" w:eastAsia="Times New Roman" w:hAnsi="Calibri" w:cs="Calibri"/>
                <w:color w:val="000000"/>
                <w:lang w:eastAsia="en-GB"/>
              </w:rPr>
              <w:t>Total</w:t>
            </w:r>
          </w:p>
        </w:tc>
        <w:tc>
          <w:tcPr>
            <w:tcW w:w="793" w:type="dxa"/>
            <w:noWrap/>
            <w:hideMark/>
          </w:tcPr>
          <w:p w14:paraId="70C77C3D" w14:textId="77777777" w:rsidR="00375BD2" w:rsidRPr="00C05886" w:rsidRDefault="00375BD2" w:rsidP="00375BD2">
            <w:pPr>
              <w:spacing w:line="240" w:lineRule="auto"/>
              <w:rPr>
                <w:rFonts w:ascii="Calibri" w:eastAsia="Times New Roman" w:hAnsi="Calibri" w:cs="Calibri"/>
                <w:color w:val="000000"/>
                <w:lang w:eastAsia="en-GB"/>
              </w:rPr>
            </w:pPr>
          </w:p>
        </w:tc>
        <w:tc>
          <w:tcPr>
            <w:tcW w:w="1045" w:type="dxa"/>
            <w:noWrap/>
            <w:hideMark/>
          </w:tcPr>
          <w:p w14:paraId="2FF627F9" w14:textId="77777777" w:rsidR="00375BD2" w:rsidRPr="00C05886" w:rsidRDefault="00375BD2" w:rsidP="00375BD2">
            <w:pPr>
              <w:spacing w:line="240" w:lineRule="auto"/>
              <w:jc w:val="right"/>
              <w:rPr>
                <w:rFonts w:ascii="Calibri" w:eastAsia="Times New Roman" w:hAnsi="Calibri" w:cs="Calibri"/>
                <w:color w:val="000000"/>
                <w:lang w:eastAsia="en-GB"/>
              </w:rPr>
            </w:pPr>
            <w:r w:rsidRPr="00C05886">
              <w:rPr>
                <w:rFonts w:ascii="Calibri" w:eastAsia="Times New Roman" w:hAnsi="Calibri" w:cs="Calibri"/>
                <w:color w:val="000000"/>
                <w:lang w:eastAsia="en-GB"/>
              </w:rPr>
              <w:t>10.4%</w:t>
            </w:r>
          </w:p>
        </w:tc>
        <w:tc>
          <w:tcPr>
            <w:tcW w:w="1057" w:type="dxa"/>
            <w:noWrap/>
            <w:hideMark/>
          </w:tcPr>
          <w:p w14:paraId="11684005" w14:textId="77777777" w:rsidR="00375BD2" w:rsidRPr="00C05886" w:rsidRDefault="00375BD2" w:rsidP="00375BD2">
            <w:pPr>
              <w:spacing w:line="240" w:lineRule="auto"/>
              <w:jc w:val="right"/>
              <w:rPr>
                <w:rFonts w:ascii="Calibri" w:eastAsia="Times New Roman" w:hAnsi="Calibri" w:cs="Calibri"/>
                <w:color w:val="000000"/>
                <w:lang w:eastAsia="en-GB"/>
              </w:rPr>
            </w:pPr>
            <w:r w:rsidRPr="00C05886">
              <w:rPr>
                <w:rFonts w:ascii="Calibri" w:eastAsia="Times New Roman" w:hAnsi="Calibri" w:cs="Calibri"/>
                <w:color w:val="000000"/>
                <w:lang w:eastAsia="en-GB"/>
              </w:rPr>
              <w:t>29.2%</w:t>
            </w:r>
          </w:p>
        </w:tc>
        <w:tc>
          <w:tcPr>
            <w:tcW w:w="1045" w:type="dxa"/>
            <w:noWrap/>
            <w:hideMark/>
          </w:tcPr>
          <w:p w14:paraId="676CBB02" w14:textId="77777777" w:rsidR="00375BD2" w:rsidRPr="00C05886" w:rsidRDefault="00375BD2" w:rsidP="00375BD2">
            <w:pPr>
              <w:spacing w:line="240" w:lineRule="auto"/>
              <w:jc w:val="right"/>
              <w:rPr>
                <w:rFonts w:ascii="Calibri" w:eastAsia="Times New Roman" w:hAnsi="Calibri" w:cs="Calibri"/>
                <w:color w:val="000000"/>
                <w:lang w:eastAsia="en-GB"/>
              </w:rPr>
            </w:pPr>
            <w:r w:rsidRPr="00C05886">
              <w:rPr>
                <w:rFonts w:ascii="Calibri" w:eastAsia="Times New Roman" w:hAnsi="Calibri" w:cs="Calibri"/>
                <w:color w:val="000000"/>
                <w:lang w:eastAsia="en-GB"/>
              </w:rPr>
              <w:t>60.5%</w:t>
            </w:r>
          </w:p>
        </w:tc>
      </w:tr>
    </w:tbl>
    <w:p w14:paraId="64D54C7F" w14:textId="77777777" w:rsidR="00375BD2" w:rsidRPr="00C05886" w:rsidRDefault="00375BD2" w:rsidP="00375BD2">
      <w:pPr>
        <w:spacing w:line="240" w:lineRule="auto"/>
      </w:pPr>
    </w:p>
    <w:p w14:paraId="65E498F3" w14:textId="68CC146A" w:rsidR="00375BD2" w:rsidRPr="00C05886" w:rsidRDefault="00375BD2" w:rsidP="00375BD2">
      <w:pPr>
        <w:pStyle w:val="Caption"/>
        <w:keepNext/>
      </w:pPr>
      <w:r w:rsidRPr="00C05886">
        <w:t xml:space="preserve">Table </w:t>
      </w:r>
      <w:r w:rsidR="00B62F3A" w:rsidRPr="00C05886">
        <w:t>S9</w:t>
      </w:r>
      <w:r w:rsidRPr="00C05886">
        <w:t>. Experiment 2 – Distribution of perceived biodiversity in each park treatment</w:t>
      </w:r>
    </w:p>
    <w:tbl>
      <w:tblPr>
        <w:tblStyle w:val="TableGrid"/>
        <w:tblW w:w="5650" w:type="dxa"/>
        <w:tblLook w:val="04A0" w:firstRow="1" w:lastRow="0" w:firstColumn="1" w:lastColumn="0" w:noHBand="0" w:noVBand="1"/>
      </w:tblPr>
      <w:tblGrid>
        <w:gridCol w:w="1710"/>
        <w:gridCol w:w="793"/>
        <w:gridCol w:w="1045"/>
        <w:gridCol w:w="1057"/>
        <w:gridCol w:w="1045"/>
      </w:tblGrid>
      <w:tr w:rsidR="00375BD2" w:rsidRPr="00C05886" w14:paraId="682243C4" w14:textId="77777777" w:rsidTr="00542578">
        <w:trPr>
          <w:trHeight w:val="302"/>
        </w:trPr>
        <w:tc>
          <w:tcPr>
            <w:tcW w:w="2503" w:type="dxa"/>
            <w:gridSpan w:val="2"/>
            <w:noWrap/>
            <w:hideMark/>
          </w:tcPr>
          <w:p w14:paraId="0DCC82F0" w14:textId="77777777" w:rsidR="00375BD2" w:rsidRPr="00C05886" w:rsidRDefault="00375BD2" w:rsidP="00375BD2">
            <w:pPr>
              <w:spacing w:line="240" w:lineRule="auto"/>
              <w:rPr>
                <w:rFonts w:ascii="Calibri" w:eastAsia="Times New Roman" w:hAnsi="Calibri" w:cs="Calibri"/>
                <w:color w:val="000000"/>
                <w:lang w:eastAsia="en-GB"/>
              </w:rPr>
            </w:pPr>
            <w:r w:rsidRPr="00C05886">
              <w:rPr>
                <w:rFonts w:ascii="Calibri" w:eastAsia="Times New Roman" w:hAnsi="Calibri" w:cs="Calibri"/>
                <w:color w:val="000000"/>
                <w:lang w:eastAsia="en-GB"/>
              </w:rPr>
              <w:t>Perceived biodiversity</w:t>
            </w:r>
          </w:p>
        </w:tc>
        <w:tc>
          <w:tcPr>
            <w:tcW w:w="1045" w:type="dxa"/>
            <w:noWrap/>
            <w:hideMark/>
          </w:tcPr>
          <w:p w14:paraId="79C7F0CC" w14:textId="77777777" w:rsidR="00375BD2" w:rsidRPr="00C05886" w:rsidRDefault="00375BD2" w:rsidP="00375BD2">
            <w:pPr>
              <w:spacing w:line="240" w:lineRule="auto"/>
              <w:rPr>
                <w:rFonts w:ascii="Calibri" w:eastAsia="Times New Roman" w:hAnsi="Calibri" w:cs="Calibri"/>
                <w:color w:val="000000"/>
                <w:lang w:eastAsia="en-GB"/>
              </w:rPr>
            </w:pPr>
            <w:r w:rsidRPr="00C05886">
              <w:rPr>
                <w:rFonts w:ascii="Calibri" w:eastAsia="Times New Roman" w:hAnsi="Calibri" w:cs="Calibri"/>
                <w:color w:val="000000"/>
                <w:lang w:eastAsia="en-GB"/>
              </w:rPr>
              <w:t>Low</w:t>
            </w:r>
          </w:p>
        </w:tc>
        <w:tc>
          <w:tcPr>
            <w:tcW w:w="1057" w:type="dxa"/>
            <w:noWrap/>
            <w:hideMark/>
          </w:tcPr>
          <w:p w14:paraId="066DCA7C" w14:textId="77777777" w:rsidR="00375BD2" w:rsidRPr="00C05886" w:rsidRDefault="00375BD2" w:rsidP="00375BD2">
            <w:pPr>
              <w:spacing w:line="240" w:lineRule="auto"/>
              <w:rPr>
                <w:rFonts w:ascii="Calibri" w:eastAsia="Times New Roman" w:hAnsi="Calibri" w:cs="Calibri"/>
                <w:color w:val="000000"/>
                <w:lang w:eastAsia="en-GB"/>
              </w:rPr>
            </w:pPr>
            <w:r w:rsidRPr="00C05886">
              <w:rPr>
                <w:rFonts w:ascii="Calibri" w:eastAsia="Times New Roman" w:hAnsi="Calibri" w:cs="Calibri"/>
                <w:color w:val="000000"/>
                <w:lang w:eastAsia="en-GB"/>
              </w:rPr>
              <w:t>Medium</w:t>
            </w:r>
          </w:p>
        </w:tc>
        <w:tc>
          <w:tcPr>
            <w:tcW w:w="1045" w:type="dxa"/>
            <w:noWrap/>
            <w:hideMark/>
          </w:tcPr>
          <w:p w14:paraId="3CFD9AA3" w14:textId="77777777" w:rsidR="00375BD2" w:rsidRPr="00C05886" w:rsidRDefault="00375BD2" w:rsidP="00375BD2">
            <w:pPr>
              <w:spacing w:line="240" w:lineRule="auto"/>
              <w:rPr>
                <w:rFonts w:ascii="Calibri" w:eastAsia="Times New Roman" w:hAnsi="Calibri" w:cs="Calibri"/>
                <w:color w:val="000000"/>
                <w:lang w:eastAsia="en-GB"/>
              </w:rPr>
            </w:pPr>
            <w:r w:rsidRPr="00C05886">
              <w:rPr>
                <w:rFonts w:ascii="Calibri" w:eastAsia="Times New Roman" w:hAnsi="Calibri" w:cs="Calibri"/>
                <w:color w:val="000000"/>
                <w:lang w:eastAsia="en-GB"/>
              </w:rPr>
              <w:t>High</w:t>
            </w:r>
          </w:p>
        </w:tc>
      </w:tr>
      <w:tr w:rsidR="00375BD2" w:rsidRPr="00C05886" w14:paraId="326350B4" w14:textId="77777777" w:rsidTr="0070406A">
        <w:trPr>
          <w:trHeight w:val="302"/>
        </w:trPr>
        <w:tc>
          <w:tcPr>
            <w:tcW w:w="1710" w:type="dxa"/>
            <w:vMerge w:val="restart"/>
            <w:noWrap/>
            <w:vAlign w:val="center"/>
            <w:hideMark/>
          </w:tcPr>
          <w:p w14:paraId="058EAD45" w14:textId="77777777" w:rsidR="00375BD2" w:rsidRPr="00C05886" w:rsidRDefault="00375BD2" w:rsidP="00375BD2">
            <w:pPr>
              <w:spacing w:line="240" w:lineRule="auto"/>
              <w:jc w:val="center"/>
              <w:rPr>
                <w:rFonts w:ascii="Calibri" w:eastAsia="Times New Roman" w:hAnsi="Calibri" w:cs="Calibri"/>
                <w:color w:val="000000"/>
                <w:lang w:eastAsia="en-GB"/>
              </w:rPr>
            </w:pPr>
            <w:r w:rsidRPr="00C05886">
              <w:rPr>
                <w:rFonts w:ascii="Calibri" w:eastAsia="Times New Roman" w:hAnsi="Calibri" w:cs="Calibri"/>
                <w:color w:val="000000"/>
                <w:lang w:eastAsia="en-GB"/>
              </w:rPr>
              <w:t>Park treatment</w:t>
            </w:r>
          </w:p>
        </w:tc>
        <w:tc>
          <w:tcPr>
            <w:tcW w:w="793" w:type="dxa"/>
            <w:noWrap/>
            <w:hideMark/>
          </w:tcPr>
          <w:p w14:paraId="4D99D53B" w14:textId="77777777" w:rsidR="00375BD2" w:rsidRPr="00C05886" w:rsidRDefault="00375BD2" w:rsidP="00375BD2">
            <w:pPr>
              <w:spacing w:line="240" w:lineRule="auto"/>
              <w:rPr>
                <w:rFonts w:ascii="Calibri" w:eastAsia="Times New Roman" w:hAnsi="Calibri" w:cs="Calibri"/>
                <w:color w:val="000000"/>
                <w:lang w:eastAsia="en-GB"/>
              </w:rPr>
            </w:pPr>
            <w:r w:rsidRPr="00C05886">
              <w:rPr>
                <w:rFonts w:ascii="Calibri" w:eastAsia="Times New Roman" w:hAnsi="Calibri" w:cs="Calibri"/>
                <w:color w:val="000000"/>
                <w:lang w:eastAsia="en-GB"/>
              </w:rPr>
              <w:t>HBHC</w:t>
            </w:r>
          </w:p>
        </w:tc>
        <w:tc>
          <w:tcPr>
            <w:tcW w:w="1045" w:type="dxa"/>
            <w:noWrap/>
            <w:hideMark/>
          </w:tcPr>
          <w:p w14:paraId="219615DF" w14:textId="77777777" w:rsidR="00375BD2" w:rsidRPr="00C05886" w:rsidRDefault="00375BD2" w:rsidP="00375BD2">
            <w:pPr>
              <w:spacing w:line="240" w:lineRule="auto"/>
              <w:jc w:val="right"/>
              <w:rPr>
                <w:rFonts w:ascii="Calibri" w:eastAsia="Times New Roman" w:hAnsi="Calibri" w:cs="Calibri"/>
                <w:color w:val="000000"/>
                <w:lang w:eastAsia="en-GB"/>
              </w:rPr>
            </w:pPr>
            <w:r w:rsidRPr="00C05886">
              <w:rPr>
                <w:rFonts w:ascii="Calibri" w:eastAsia="Times New Roman" w:hAnsi="Calibri" w:cs="Calibri"/>
                <w:color w:val="000000"/>
                <w:lang w:eastAsia="en-GB"/>
              </w:rPr>
              <w:t>9.2%</w:t>
            </w:r>
          </w:p>
        </w:tc>
        <w:tc>
          <w:tcPr>
            <w:tcW w:w="1057" w:type="dxa"/>
            <w:noWrap/>
            <w:hideMark/>
          </w:tcPr>
          <w:p w14:paraId="15D1D2E6" w14:textId="77777777" w:rsidR="00375BD2" w:rsidRPr="00C05886" w:rsidRDefault="00375BD2" w:rsidP="00375BD2">
            <w:pPr>
              <w:spacing w:line="240" w:lineRule="auto"/>
              <w:jc w:val="right"/>
              <w:rPr>
                <w:rFonts w:ascii="Calibri" w:eastAsia="Times New Roman" w:hAnsi="Calibri" w:cs="Calibri"/>
                <w:color w:val="000000"/>
                <w:lang w:eastAsia="en-GB"/>
              </w:rPr>
            </w:pPr>
            <w:r w:rsidRPr="00C05886">
              <w:rPr>
                <w:rFonts w:ascii="Calibri" w:eastAsia="Times New Roman" w:hAnsi="Calibri" w:cs="Calibri"/>
                <w:color w:val="000000"/>
                <w:lang w:eastAsia="en-GB"/>
              </w:rPr>
              <w:t>25.0%</w:t>
            </w:r>
          </w:p>
        </w:tc>
        <w:tc>
          <w:tcPr>
            <w:tcW w:w="1045" w:type="dxa"/>
            <w:noWrap/>
            <w:hideMark/>
          </w:tcPr>
          <w:p w14:paraId="2D946E97" w14:textId="77777777" w:rsidR="00375BD2" w:rsidRPr="00C05886" w:rsidRDefault="00375BD2" w:rsidP="00375BD2">
            <w:pPr>
              <w:spacing w:line="240" w:lineRule="auto"/>
              <w:jc w:val="right"/>
              <w:rPr>
                <w:rFonts w:ascii="Calibri" w:eastAsia="Times New Roman" w:hAnsi="Calibri" w:cs="Calibri"/>
                <w:color w:val="000000"/>
                <w:lang w:eastAsia="en-GB"/>
              </w:rPr>
            </w:pPr>
            <w:r w:rsidRPr="00C05886">
              <w:rPr>
                <w:rFonts w:ascii="Calibri" w:eastAsia="Times New Roman" w:hAnsi="Calibri" w:cs="Calibri"/>
                <w:color w:val="000000"/>
                <w:lang w:eastAsia="en-GB"/>
              </w:rPr>
              <w:t>65.8%</w:t>
            </w:r>
          </w:p>
        </w:tc>
      </w:tr>
      <w:tr w:rsidR="00375BD2" w:rsidRPr="00C05886" w14:paraId="6A3D9190" w14:textId="77777777" w:rsidTr="00542578">
        <w:trPr>
          <w:trHeight w:val="302"/>
        </w:trPr>
        <w:tc>
          <w:tcPr>
            <w:tcW w:w="1710" w:type="dxa"/>
            <w:vMerge/>
            <w:noWrap/>
            <w:hideMark/>
          </w:tcPr>
          <w:p w14:paraId="271BC58F" w14:textId="77777777" w:rsidR="00375BD2" w:rsidRPr="00C05886" w:rsidRDefault="00375BD2" w:rsidP="00375BD2">
            <w:pPr>
              <w:spacing w:line="240" w:lineRule="auto"/>
              <w:jc w:val="right"/>
              <w:rPr>
                <w:rFonts w:ascii="Calibri" w:eastAsia="Times New Roman" w:hAnsi="Calibri" w:cs="Calibri"/>
                <w:color w:val="000000"/>
                <w:lang w:eastAsia="en-GB"/>
              </w:rPr>
            </w:pPr>
          </w:p>
        </w:tc>
        <w:tc>
          <w:tcPr>
            <w:tcW w:w="793" w:type="dxa"/>
            <w:noWrap/>
            <w:hideMark/>
          </w:tcPr>
          <w:p w14:paraId="6F76D351" w14:textId="77777777" w:rsidR="00375BD2" w:rsidRPr="00C05886" w:rsidRDefault="00375BD2" w:rsidP="00375BD2">
            <w:pPr>
              <w:spacing w:line="240" w:lineRule="auto"/>
              <w:rPr>
                <w:rFonts w:ascii="Calibri" w:eastAsia="Times New Roman" w:hAnsi="Calibri" w:cs="Calibri"/>
                <w:color w:val="000000"/>
                <w:lang w:eastAsia="en-GB"/>
              </w:rPr>
            </w:pPr>
            <w:r w:rsidRPr="00C05886">
              <w:rPr>
                <w:rFonts w:ascii="Calibri" w:eastAsia="Times New Roman" w:hAnsi="Calibri" w:cs="Calibri"/>
                <w:color w:val="000000"/>
                <w:lang w:eastAsia="en-GB"/>
              </w:rPr>
              <w:t>HBLC</w:t>
            </w:r>
          </w:p>
        </w:tc>
        <w:tc>
          <w:tcPr>
            <w:tcW w:w="1045" w:type="dxa"/>
            <w:noWrap/>
            <w:hideMark/>
          </w:tcPr>
          <w:p w14:paraId="3C95B87F" w14:textId="77777777" w:rsidR="00375BD2" w:rsidRPr="00C05886" w:rsidRDefault="00375BD2" w:rsidP="00375BD2">
            <w:pPr>
              <w:spacing w:line="240" w:lineRule="auto"/>
              <w:jc w:val="right"/>
              <w:rPr>
                <w:rFonts w:ascii="Calibri" w:eastAsia="Times New Roman" w:hAnsi="Calibri" w:cs="Calibri"/>
                <w:color w:val="000000"/>
                <w:lang w:eastAsia="en-GB"/>
              </w:rPr>
            </w:pPr>
            <w:r w:rsidRPr="00C05886">
              <w:rPr>
                <w:rFonts w:ascii="Calibri" w:eastAsia="Times New Roman" w:hAnsi="Calibri" w:cs="Calibri"/>
                <w:color w:val="000000"/>
                <w:lang w:eastAsia="en-GB"/>
              </w:rPr>
              <w:t>6.7%</w:t>
            </w:r>
          </w:p>
        </w:tc>
        <w:tc>
          <w:tcPr>
            <w:tcW w:w="1057" w:type="dxa"/>
            <w:noWrap/>
            <w:hideMark/>
          </w:tcPr>
          <w:p w14:paraId="56D3B388" w14:textId="77777777" w:rsidR="00375BD2" w:rsidRPr="00C05886" w:rsidRDefault="00375BD2" w:rsidP="00375BD2">
            <w:pPr>
              <w:spacing w:line="240" w:lineRule="auto"/>
              <w:jc w:val="right"/>
              <w:rPr>
                <w:rFonts w:ascii="Calibri" w:eastAsia="Times New Roman" w:hAnsi="Calibri" w:cs="Calibri"/>
                <w:color w:val="000000"/>
                <w:lang w:eastAsia="en-GB"/>
              </w:rPr>
            </w:pPr>
            <w:r w:rsidRPr="00C05886">
              <w:rPr>
                <w:rFonts w:ascii="Calibri" w:eastAsia="Times New Roman" w:hAnsi="Calibri" w:cs="Calibri"/>
                <w:color w:val="000000"/>
                <w:lang w:eastAsia="en-GB"/>
              </w:rPr>
              <w:t>35.3%</w:t>
            </w:r>
          </w:p>
        </w:tc>
        <w:tc>
          <w:tcPr>
            <w:tcW w:w="1045" w:type="dxa"/>
            <w:noWrap/>
            <w:hideMark/>
          </w:tcPr>
          <w:p w14:paraId="129B489E" w14:textId="77777777" w:rsidR="00375BD2" w:rsidRPr="00C05886" w:rsidRDefault="00375BD2" w:rsidP="00375BD2">
            <w:pPr>
              <w:spacing w:line="240" w:lineRule="auto"/>
              <w:jc w:val="right"/>
              <w:rPr>
                <w:rFonts w:ascii="Calibri" w:eastAsia="Times New Roman" w:hAnsi="Calibri" w:cs="Calibri"/>
                <w:color w:val="000000"/>
                <w:lang w:eastAsia="en-GB"/>
              </w:rPr>
            </w:pPr>
            <w:r w:rsidRPr="00C05886">
              <w:rPr>
                <w:rFonts w:ascii="Calibri" w:eastAsia="Times New Roman" w:hAnsi="Calibri" w:cs="Calibri"/>
                <w:color w:val="000000"/>
                <w:lang w:eastAsia="en-GB"/>
              </w:rPr>
              <w:t>58.0%</w:t>
            </w:r>
          </w:p>
        </w:tc>
      </w:tr>
      <w:tr w:rsidR="00375BD2" w:rsidRPr="00C05886" w14:paraId="6CD27809" w14:textId="77777777" w:rsidTr="00542578">
        <w:trPr>
          <w:trHeight w:val="302"/>
        </w:trPr>
        <w:tc>
          <w:tcPr>
            <w:tcW w:w="1710" w:type="dxa"/>
            <w:vMerge/>
            <w:noWrap/>
            <w:hideMark/>
          </w:tcPr>
          <w:p w14:paraId="57063C0B" w14:textId="77777777" w:rsidR="00375BD2" w:rsidRPr="00C05886" w:rsidRDefault="00375BD2" w:rsidP="00375BD2">
            <w:pPr>
              <w:spacing w:line="240" w:lineRule="auto"/>
              <w:jc w:val="right"/>
              <w:rPr>
                <w:rFonts w:ascii="Calibri" w:eastAsia="Times New Roman" w:hAnsi="Calibri" w:cs="Calibri"/>
                <w:color w:val="000000"/>
                <w:lang w:eastAsia="en-GB"/>
              </w:rPr>
            </w:pPr>
          </w:p>
        </w:tc>
        <w:tc>
          <w:tcPr>
            <w:tcW w:w="793" w:type="dxa"/>
            <w:noWrap/>
            <w:hideMark/>
          </w:tcPr>
          <w:p w14:paraId="253A6011" w14:textId="77777777" w:rsidR="00375BD2" w:rsidRPr="00C05886" w:rsidRDefault="00375BD2" w:rsidP="00375BD2">
            <w:pPr>
              <w:spacing w:line="240" w:lineRule="auto"/>
              <w:rPr>
                <w:rFonts w:ascii="Calibri" w:eastAsia="Times New Roman" w:hAnsi="Calibri" w:cs="Calibri"/>
                <w:color w:val="000000"/>
                <w:lang w:eastAsia="en-GB"/>
              </w:rPr>
            </w:pPr>
            <w:r w:rsidRPr="00C05886">
              <w:rPr>
                <w:rFonts w:ascii="Calibri" w:eastAsia="Times New Roman" w:hAnsi="Calibri" w:cs="Calibri"/>
                <w:color w:val="000000"/>
                <w:lang w:eastAsia="en-GB"/>
              </w:rPr>
              <w:t>LBHC</w:t>
            </w:r>
          </w:p>
        </w:tc>
        <w:tc>
          <w:tcPr>
            <w:tcW w:w="1045" w:type="dxa"/>
            <w:noWrap/>
            <w:hideMark/>
          </w:tcPr>
          <w:p w14:paraId="4B843F7F" w14:textId="77777777" w:rsidR="00375BD2" w:rsidRPr="00C05886" w:rsidRDefault="00375BD2" w:rsidP="00375BD2">
            <w:pPr>
              <w:spacing w:line="240" w:lineRule="auto"/>
              <w:jc w:val="right"/>
              <w:rPr>
                <w:rFonts w:ascii="Calibri" w:eastAsia="Times New Roman" w:hAnsi="Calibri" w:cs="Calibri"/>
                <w:color w:val="000000"/>
                <w:lang w:eastAsia="en-GB"/>
              </w:rPr>
            </w:pPr>
            <w:r w:rsidRPr="00C05886">
              <w:rPr>
                <w:rFonts w:ascii="Calibri" w:eastAsia="Times New Roman" w:hAnsi="Calibri" w:cs="Calibri"/>
                <w:color w:val="000000"/>
                <w:lang w:eastAsia="en-GB"/>
              </w:rPr>
              <w:t>7.6%</w:t>
            </w:r>
          </w:p>
        </w:tc>
        <w:tc>
          <w:tcPr>
            <w:tcW w:w="1057" w:type="dxa"/>
            <w:noWrap/>
            <w:hideMark/>
          </w:tcPr>
          <w:p w14:paraId="2B84C461" w14:textId="77777777" w:rsidR="00375BD2" w:rsidRPr="00C05886" w:rsidRDefault="00375BD2" w:rsidP="00375BD2">
            <w:pPr>
              <w:spacing w:line="240" w:lineRule="auto"/>
              <w:jc w:val="right"/>
              <w:rPr>
                <w:rFonts w:ascii="Calibri" w:eastAsia="Times New Roman" w:hAnsi="Calibri" w:cs="Calibri"/>
                <w:color w:val="000000"/>
                <w:lang w:eastAsia="en-GB"/>
              </w:rPr>
            </w:pPr>
            <w:r w:rsidRPr="00C05886">
              <w:rPr>
                <w:rFonts w:ascii="Calibri" w:eastAsia="Times New Roman" w:hAnsi="Calibri" w:cs="Calibri"/>
                <w:color w:val="000000"/>
                <w:lang w:eastAsia="en-GB"/>
              </w:rPr>
              <w:t>36.1%</w:t>
            </w:r>
          </w:p>
        </w:tc>
        <w:tc>
          <w:tcPr>
            <w:tcW w:w="1045" w:type="dxa"/>
            <w:noWrap/>
            <w:hideMark/>
          </w:tcPr>
          <w:p w14:paraId="1F6E7D87" w14:textId="77777777" w:rsidR="00375BD2" w:rsidRPr="00C05886" w:rsidRDefault="00375BD2" w:rsidP="00375BD2">
            <w:pPr>
              <w:spacing w:line="240" w:lineRule="auto"/>
              <w:jc w:val="right"/>
              <w:rPr>
                <w:rFonts w:ascii="Calibri" w:eastAsia="Times New Roman" w:hAnsi="Calibri" w:cs="Calibri"/>
                <w:color w:val="000000"/>
                <w:lang w:eastAsia="en-GB"/>
              </w:rPr>
            </w:pPr>
            <w:r w:rsidRPr="00C05886">
              <w:rPr>
                <w:rFonts w:ascii="Calibri" w:eastAsia="Times New Roman" w:hAnsi="Calibri" w:cs="Calibri"/>
                <w:color w:val="000000"/>
                <w:lang w:eastAsia="en-GB"/>
              </w:rPr>
              <w:t>56.3%</w:t>
            </w:r>
          </w:p>
        </w:tc>
      </w:tr>
      <w:tr w:rsidR="00375BD2" w:rsidRPr="00C05886" w14:paraId="50C06745" w14:textId="77777777" w:rsidTr="00542578">
        <w:trPr>
          <w:trHeight w:val="302"/>
        </w:trPr>
        <w:tc>
          <w:tcPr>
            <w:tcW w:w="1710" w:type="dxa"/>
            <w:vMerge/>
            <w:noWrap/>
            <w:hideMark/>
          </w:tcPr>
          <w:p w14:paraId="6153E2DC" w14:textId="77777777" w:rsidR="00375BD2" w:rsidRPr="00C05886" w:rsidRDefault="00375BD2" w:rsidP="00375BD2">
            <w:pPr>
              <w:spacing w:line="240" w:lineRule="auto"/>
              <w:jc w:val="right"/>
              <w:rPr>
                <w:rFonts w:ascii="Calibri" w:eastAsia="Times New Roman" w:hAnsi="Calibri" w:cs="Calibri"/>
                <w:color w:val="000000"/>
                <w:lang w:eastAsia="en-GB"/>
              </w:rPr>
            </w:pPr>
          </w:p>
        </w:tc>
        <w:tc>
          <w:tcPr>
            <w:tcW w:w="793" w:type="dxa"/>
            <w:noWrap/>
            <w:hideMark/>
          </w:tcPr>
          <w:p w14:paraId="6A32F9D8" w14:textId="77777777" w:rsidR="00375BD2" w:rsidRPr="00C05886" w:rsidRDefault="00375BD2" w:rsidP="00375BD2">
            <w:pPr>
              <w:spacing w:line="240" w:lineRule="auto"/>
              <w:rPr>
                <w:rFonts w:ascii="Calibri" w:eastAsia="Times New Roman" w:hAnsi="Calibri" w:cs="Calibri"/>
                <w:color w:val="000000"/>
                <w:lang w:eastAsia="en-GB"/>
              </w:rPr>
            </w:pPr>
            <w:r w:rsidRPr="00C05886">
              <w:rPr>
                <w:rFonts w:ascii="Calibri" w:eastAsia="Times New Roman" w:hAnsi="Calibri" w:cs="Calibri"/>
                <w:color w:val="000000"/>
                <w:lang w:eastAsia="en-GB"/>
              </w:rPr>
              <w:t>LBLC</w:t>
            </w:r>
          </w:p>
        </w:tc>
        <w:tc>
          <w:tcPr>
            <w:tcW w:w="1045" w:type="dxa"/>
            <w:noWrap/>
            <w:hideMark/>
          </w:tcPr>
          <w:p w14:paraId="40A7D133" w14:textId="77777777" w:rsidR="00375BD2" w:rsidRPr="00C05886" w:rsidRDefault="00375BD2" w:rsidP="00375BD2">
            <w:pPr>
              <w:spacing w:line="240" w:lineRule="auto"/>
              <w:jc w:val="right"/>
              <w:rPr>
                <w:rFonts w:ascii="Calibri" w:eastAsia="Times New Roman" w:hAnsi="Calibri" w:cs="Calibri"/>
                <w:color w:val="000000"/>
                <w:lang w:eastAsia="en-GB"/>
              </w:rPr>
            </w:pPr>
            <w:r w:rsidRPr="00C05886">
              <w:rPr>
                <w:rFonts w:ascii="Calibri" w:eastAsia="Times New Roman" w:hAnsi="Calibri" w:cs="Calibri"/>
                <w:color w:val="000000"/>
                <w:lang w:eastAsia="en-GB"/>
              </w:rPr>
              <w:t>7.6%</w:t>
            </w:r>
          </w:p>
        </w:tc>
        <w:tc>
          <w:tcPr>
            <w:tcW w:w="1057" w:type="dxa"/>
            <w:noWrap/>
            <w:hideMark/>
          </w:tcPr>
          <w:p w14:paraId="0111636E" w14:textId="77777777" w:rsidR="00375BD2" w:rsidRPr="00C05886" w:rsidRDefault="00375BD2" w:rsidP="00375BD2">
            <w:pPr>
              <w:spacing w:line="240" w:lineRule="auto"/>
              <w:jc w:val="right"/>
              <w:rPr>
                <w:rFonts w:ascii="Calibri" w:eastAsia="Times New Roman" w:hAnsi="Calibri" w:cs="Calibri"/>
                <w:color w:val="000000"/>
                <w:lang w:eastAsia="en-GB"/>
              </w:rPr>
            </w:pPr>
            <w:r w:rsidRPr="00C05886">
              <w:rPr>
                <w:rFonts w:ascii="Calibri" w:eastAsia="Times New Roman" w:hAnsi="Calibri" w:cs="Calibri"/>
                <w:color w:val="000000"/>
                <w:lang w:eastAsia="en-GB"/>
              </w:rPr>
              <w:t>36.1%</w:t>
            </w:r>
          </w:p>
        </w:tc>
        <w:tc>
          <w:tcPr>
            <w:tcW w:w="1045" w:type="dxa"/>
            <w:noWrap/>
            <w:hideMark/>
          </w:tcPr>
          <w:p w14:paraId="13201488" w14:textId="77777777" w:rsidR="00375BD2" w:rsidRPr="00C05886" w:rsidRDefault="00375BD2" w:rsidP="00375BD2">
            <w:pPr>
              <w:spacing w:line="240" w:lineRule="auto"/>
              <w:jc w:val="right"/>
              <w:rPr>
                <w:rFonts w:ascii="Calibri" w:eastAsia="Times New Roman" w:hAnsi="Calibri" w:cs="Calibri"/>
                <w:color w:val="000000"/>
                <w:lang w:eastAsia="en-GB"/>
              </w:rPr>
            </w:pPr>
            <w:r w:rsidRPr="00C05886">
              <w:rPr>
                <w:rFonts w:ascii="Calibri" w:eastAsia="Times New Roman" w:hAnsi="Calibri" w:cs="Calibri"/>
                <w:color w:val="000000"/>
                <w:lang w:eastAsia="en-GB"/>
              </w:rPr>
              <w:t>56.3%</w:t>
            </w:r>
          </w:p>
        </w:tc>
      </w:tr>
      <w:tr w:rsidR="00375BD2" w:rsidRPr="00C05886" w14:paraId="069D9170" w14:textId="77777777" w:rsidTr="00542578">
        <w:trPr>
          <w:trHeight w:val="302"/>
        </w:trPr>
        <w:tc>
          <w:tcPr>
            <w:tcW w:w="1710" w:type="dxa"/>
            <w:noWrap/>
            <w:hideMark/>
          </w:tcPr>
          <w:p w14:paraId="00469A73" w14:textId="77777777" w:rsidR="00375BD2" w:rsidRPr="00C05886" w:rsidRDefault="00375BD2" w:rsidP="00375BD2">
            <w:pPr>
              <w:spacing w:line="240" w:lineRule="auto"/>
              <w:rPr>
                <w:rFonts w:ascii="Calibri" w:eastAsia="Times New Roman" w:hAnsi="Calibri" w:cs="Calibri"/>
                <w:color w:val="000000"/>
                <w:lang w:eastAsia="en-GB"/>
              </w:rPr>
            </w:pPr>
            <w:r w:rsidRPr="00C05886">
              <w:rPr>
                <w:rFonts w:ascii="Calibri" w:eastAsia="Times New Roman" w:hAnsi="Calibri" w:cs="Calibri"/>
                <w:color w:val="000000"/>
                <w:lang w:eastAsia="en-GB"/>
              </w:rPr>
              <w:t>Total</w:t>
            </w:r>
          </w:p>
        </w:tc>
        <w:tc>
          <w:tcPr>
            <w:tcW w:w="793" w:type="dxa"/>
            <w:noWrap/>
            <w:hideMark/>
          </w:tcPr>
          <w:p w14:paraId="2F9FD770" w14:textId="77777777" w:rsidR="00375BD2" w:rsidRPr="00C05886" w:rsidRDefault="00375BD2" w:rsidP="00375BD2">
            <w:pPr>
              <w:spacing w:line="240" w:lineRule="auto"/>
              <w:rPr>
                <w:rFonts w:ascii="Calibri" w:eastAsia="Times New Roman" w:hAnsi="Calibri" w:cs="Calibri"/>
                <w:color w:val="000000"/>
                <w:lang w:eastAsia="en-GB"/>
              </w:rPr>
            </w:pPr>
          </w:p>
        </w:tc>
        <w:tc>
          <w:tcPr>
            <w:tcW w:w="1045" w:type="dxa"/>
            <w:noWrap/>
            <w:hideMark/>
          </w:tcPr>
          <w:p w14:paraId="2218BD3B" w14:textId="77777777" w:rsidR="00375BD2" w:rsidRPr="00C05886" w:rsidRDefault="00375BD2" w:rsidP="00375BD2">
            <w:pPr>
              <w:spacing w:line="240" w:lineRule="auto"/>
              <w:jc w:val="right"/>
              <w:rPr>
                <w:rFonts w:ascii="Calibri" w:eastAsia="Times New Roman" w:hAnsi="Calibri" w:cs="Calibri"/>
                <w:color w:val="000000"/>
                <w:lang w:eastAsia="en-GB"/>
              </w:rPr>
            </w:pPr>
            <w:r w:rsidRPr="00C05886">
              <w:rPr>
                <w:rFonts w:ascii="Calibri" w:eastAsia="Times New Roman" w:hAnsi="Calibri" w:cs="Calibri"/>
                <w:color w:val="000000"/>
                <w:lang w:eastAsia="en-GB"/>
              </w:rPr>
              <w:t>7.8%</w:t>
            </w:r>
          </w:p>
        </w:tc>
        <w:tc>
          <w:tcPr>
            <w:tcW w:w="1057" w:type="dxa"/>
            <w:noWrap/>
            <w:hideMark/>
          </w:tcPr>
          <w:p w14:paraId="2A20449F" w14:textId="77777777" w:rsidR="00375BD2" w:rsidRPr="00C05886" w:rsidRDefault="00375BD2" w:rsidP="00375BD2">
            <w:pPr>
              <w:spacing w:line="240" w:lineRule="auto"/>
              <w:jc w:val="right"/>
              <w:rPr>
                <w:rFonts w:ascii="Calibri" w:eastAsia="Times New Roman" w:hAnsi="Calibri" w:cs="Calibri"/>
                <w:color w:val="000000"/>
                <w:lang w:eastAsia="en-GB"/>
              </w:rPr>
            </w:pPr>
            <w:r w:rsidRPr="00C05886">
              <w:rPr>
                <w:rFonts w:ascii="Calibri" w:eastAsia="Times New Roman" w:hAnsi="Calibri" w:cs="Calibri"/>
                <w:color w:val="000000"/>
                <w:lang w:eastAsia="en-GB"/>
              </w:rPr>
              <w:t>33.1%</w:t>
            </w:r>
          </w:p>
        </w:tc>
        <w:tc>
          <w:tcPr>
            <w:tcW w:w="1045" w:type="dxa"/>
            <w:noWrap/>
            <w:hideMark/>
          </w:tcPr>
          <w:p w14:paraId="32F5467A" w14:textId="77777777" w:rsidR="00375BD2" w:rsidRPr="00C05886" w:rsidRDefault="00375BD2" w:rsidP="00375BD2">
            <w:pPr>
              <w:spacing w:line="240" w:lineRule="auto"/>
              <w:jc w:val="right"/>
              <w:rPr>
                <w:rFonts w:ascii="Calibri" w:eastAsia="Times New Roman" w:hAnsi="Calibri" w:cs="Calibri"/>
                <w:color w:val="000000"/>
                <w:lang w:eastAsia="en-GB"/>
              </w:rPr>
            </w:pPr>
            <w:r w:rsidRPr="00C05886">
              <w:rPr>
                <w:rFonts w:ascii="Calibri" w:eastAsia="Times New Roman" w:hAnsi="Calibri" w:cs="Calibri"/>
                <w:color w:val="000000"/>
                <w:lang w:eastAsia="en-GB"/>
              </w:rPr>
              <w:t>59.1%</w:t>
            </w:r>
          </w:p>
        </w:tc>
      </w:tr>
    </w:tbl>
    <w:p w14:paraId="65E1245E" w14:textId="77777777" w:rsidR="00375BD2" w:rsidRPr="00C05886" w:rsidRDefault="00375BD2" w:rsidP="00375BD2">
      <w:pPr>
        <w:spacing w:line="240" w:lineRule="auto"/>
      </w:pPr>
    </w:p>
    <w:p w14:paraId="093D0A36" w14:textId="5E27AC02" w:rsidR="00375BD2" w:rsidRPr="00C05886" w:rsidRDefault="00375BD2" w:rsidP="00375BD2">
      <w:pPr>
        <w:pStyle w:val="Caption"/>
        <w:keepNext/>
      </w:pPr>
      <w:r w:rsidRPr="00C05886">
        <w:t xml:space="preserve">Table </w:t>
      </w:r>
      <w:r w:rsidR="00B62F3A" w:rsidRPr="00C05886">
        <w:t>S10</w:t>
      </w:r>
      <w:r w:rsidRPr="00C05886">
        <w:t>. Experiment 3 – Distribution of perceived biodiversity in each park treatment</w:t>
      </w:r>
    </w:p>
    <w:tbl>
      <w:tblPr>
        <w:tblStyle w:val="TableGrid"/>
        <w:tblW w:w="5650" w:type="dxa"/>
        <w:tblLook w:val="04A0" w:firstRow="1" w:lastRow="0" w:firstColumn="1" w:lastColumn="0" w:noHBand="0" w:noVBand="1"/>
      </w:tblPr>
      <w:tblGrid>
        <w:gridCol w:w="1710"/>
        <w:gridCol w:w="793"/>
        <w:gridCol w:w="1045"/>
        <w:gridCol w:w="1057"/>
        <w:gridCol w:w="1045"/>
      </w:tblGrid>
      <w:tr w:rsidR="00375BD2" w:rsidRPr="00C05886" w14:paraId="25E42377" w14:textId="77777777" w:rsidTr="00542578">
        <w:trPr>
          <w:trHeight w:val="300"/>
        </w:trPr>
        <w:tc>
          <w:tcPr>
            <w:tcW w:w="2503" w:type="dxa"/>
            <w:gridSpan w:val="2"/>
            <w:noWrap/>
            <w:hideMark/>
          </w:tcPr>
          <w:p w14:paraId="05BD67DA" w14:textId="77777777" w:rsidR="00375BD2" w:rsidRPr="00C05886" w:rsidRDefault="00375BD2" w:rsidP="00375BD2">
            <w:pPr>
              <w:spacing w:line="240" w:lineRule="auto"/>
              <w:rPr>
                <w:rFonts w:ascii="Calibri" w:eastAsia="Times New Roman" w:hAnsi="Calibri" w:cs="Calibri"/>
                <w:color w:val="000000"/>
                <w:lang w:eastAsia="en-GB"/>
              </w:rPr>
            </w:pPr>
            <w:r w:rsidRPr="00C05886">
              <w:rPr>
                <w:rFonts w:ascii="Calibri" w:eastAsia="Times New Roman" w:hAnsi="Calibri" w:cs="Calibri"/>
                <w:color w:val="000000"/>
                <w:lang w:eastAsia="en-GB"/>
              </w:rPr>
              <w:t>Perceived biodiversity</w:t>
            </w:r>
          </w:p>
        </w:tc>
        <w:tc>
          <w:tcPr>
            <w:tcW w:w="1045" w:type="dxa"/>
            <w:noWrap/>
            <w:hideMark/>
          </w:tcPr>
          <w:p w14:paraId="4E45CC71" w14:textId="77777777" w:rsidR="00375BD2" w:rsidRPr="00C05886" w:rsidRDefault="00375BD2" w:rsidP="00375BD2">
            <w:pPr>
              <w:spacing w:line="240" w:lineRule="auto"/>
              <w:rPr>
                <w:rFonts w:ascii="Calibri" w:eastAsia="Times New Roman" w:hAnsi="Calibri" w:cs="Calibri"/>
                <w:color w:val="000000"/>
                <w:lang w:eastAsia="en-GB"/>
              </w:rPr>
            </w:pPr>
            <w:r w:rsidRPr="00C05886">
              <w:rPr>
                <w:rFonts w:ascii="Calibri" w:eastAsia="Times New Roman" w:hAnsi="Calibri" w:cs="Calibri"/>
                <w:color w:val="000000"/>
                <w:lang w:eastAsia="en-GB"/>
              </w:rPr>
              <w:t>Low</w:t>
            </w:r>
          </w:p>
        </w:tc>
        <w:tc>
          <w:tcPr>
            <w:tcW w:w="1057" w:type="dxa"/>
            <w:noWrap/>
            <w:hideMark/>
          </w:tcPr>
          <w:p w14:paraId="66C0F85E" w14:textId="77777777" w:rsidR="00375BD2" w:rsidRPr="00C05886" w:rsidRDefault="00375BD2" w:rsidP="00375BD2">
            <w:pPr>
              <w:spacing w:line="240" w:lineRule="auto"/>
              <w:rPr>
                <w:rFonts w:ascii="Calibri" w:eastAsia="Times New Roman" w:hAnsi="Calibri" w:cs="Calibri"/>
                <w:color w:val="000000"/>
                <w:lang w:eastAsia="en-GB"/>
              </w:rPr>
            </w:pPr>
            <w:r w:rsidRPr="00C05886">
              <w:rPr>
                <w:rFonts w:ascii="Calibri" w:eastAsia="Times New Roman" w:hAnsi="Calibri" w:cs="Calibri"/>
                <w:color w:val="000000"/>
                <w:lang w:eastAsia="en-GB"/>
              </w:rPr>
              <w:t>Medium</w:t>
            </w:r>
          </w:p>
        </w:tc>
        <w:tc>
          <w:tcPr>
            <w:tcW w:w="1045" w:type="dxa"/>
            <w:noWrap/>
            <w:hideMark/>
          </w:tcPr>
          <w:p w14:paraId="14052EE1" w14:textId="77777777" w:rsidR="00375BD2" w:rsidRPr="00C05886" w:rsidRDefault="00375BD2" w:rsidP="00375BD2">
            <w:pPr>
              <w:spacing w:line="240" w:lineRule="auto"/>
              <w:rPr>
                <w:rFonts w:ascii="Calibri" w:eastAsia="Times New Roman" w:hAnsi="Calibri" w:cs="Calibri"/>
                <w:color w:val="000000"/>
                <w:lang w:eastAsia="en-GB"/>
              </w:rPr>
            </w:pPr>
            <w:r w:rsidRPr="00C05886">
              <w:rPr>
                <w:rFonts w:ascii="Calibri" w:eastAsia="Times New Roman" w:hAnsi="Calibri" w:cs="Calibri"/>
                <w:color w:val="000000"/>
                <w:lang w:eastAsia="en-GB"/>
              </w:rPr>
              <w:t>High</w:t>
            </w:r>
          </w:p>
        </w:tc>
      </w:tr>
      <w:tr w:rsidR="00375BD2" w:rsidRPr="00C05886" w14:paraId="3C187B40" w14:textId="77777777" w:rsidTr="0070406A">
        <w:trPr>
          <w:trHeight w:val="300"/>
        </w:trPr>
        <w:tc>
          <w:tcPr>
            <w:tcW w:w="1710" w:type="dxa"/>
            <w:vMerge w:val="restart"/>
            <w:noWrap/>
            <w:vAlign w:val="center"/>
            <w:hideMark/>
          </w:tcPr>
          <w:p w14:paraId="3C3148C6" w14:textId="77777777" w:rsidR="00375BD2" w:rsidRPr="00C05886" w:rsidRDefault="00375BD2" w:rsidP="00375BD2">
            <w:pPr>
              <w:spacing w:line="240" w:lineRule="auto"/>
              <w:jc w:val="center"/>
              <w:rPr>
                <w:rFonts w:ascii="Calibri" w:eastAsia="Times New Roman" w:hAnsi="Calibri" w:cs="Calibri"/>
                <w:color w:val="000000"/>
                <w:lang w:eastAsia="en-GB"/>
              </w:rPr>
            </w:pPr>
            <w:r w:rsidRPr="00C05886">
              <w:rPr>
                <w:rFonts w:ascii="Calibri" w:eastAsia="Times New Roman" w:hAnsi="Calibri" w:cs="Calibri"/>
                <w:color w:val="000000"/>
                <w:lang w:eastAsia="en-GB"/>
              </w:rPr>
              <w:t>Park treatment</w:t>
            </w:r>
          </w:p>
        </w:tc>
        <w:tc>
          <w:tcPr>
            <w:tcW w:w="793" w:type="dxa"/>
            <w:noWrap/>
            <w:hideMark/>
          </w:tcPr>
          <w:p w14:paraId="49C1A4C7" w14:textId="77777777" w:rsidR="00375BD2" w:rsidRPr="00C05886" w:rsidRDefault="00375BD2" w:rsidP="00375BD2">
            <w:pPr>
              <w:spacing w:line="240" w:lineRule="auto"/>
              <w:rPr>
                <w:rFonts w:ascii="Calibri" w:eastAsia="Times New Roman" w:hAnsi="Calibri" w:cs="Calibri"/>
                <w:color w:val="000000"/>
                <w:lang w:eastAsia="en-GB"/>
              </w:rPr>
            </w:pPr>
            <w:r w:rsidRPr="00C05886">
              <w:rPr>
                <w:rFonts w:ascii="Calibri" w:eastAsia="Times New Roman" w:hAnsi="Calibri" w:cs="Calibri"/>
                <w:color w:val="000000"/>
                <w:lang w:eastAsia="en-GB"/>
              </w:rPr>
              <w:t>HBHC</w:t>
            </w:r>
          </w:p>
        </w:tc>
        <w:tc>
          <w:tcPr>
            <w:tcW w:w="1045" w:type="dxa"/>
            <w:noWrap/>
            <w:hideMark/>
          </w:tcPr>
          <w:p w14:paraId="24DB3FC2" w14:textId="77777777" w:rsidR="00375BD2" w:rsidRPr="00C05886" w:rsidRDefault="00375BD2" w:rsidP="00375BD2">
            <w:pPr>
              <w:spacing w:line="240" w:lineRule="auto"/>
              <w:jc w:val="right"/>
              <w:rPr>
                <w:rFonts w:ascii="Calibri" w:eastAsia="Times New Roman" w:hAnsi="Calibri" w:cs="Calibri"/>
                <w:color w:val="000000"/>
                <w:lang w:eastAsia="en-GB"/>
              </w:rPr>
            </w:pPr>
            <w:r w:rsidRPr="00C05886">
              <w:rPr>
                <w:rFonts w:ascii="Calibri" w:eastAsia="Times New Roman" w:hAnsi="Calibri" w:cs="Calibri"/>
                <w:color w:val="000000"/>
                <w:lang w:eastAsia="en-GB"/>
              </w:rPr>
              <w:t>33.3%</w:t>
            </w:r>
          </w:p>
        </w:tc>
        <w:tc>
          <w:tcPr>
            <w:tcW w:w="1057" w:type="dxa"/>
            <w:noWrap/>
            <w:hideMark/>
          </w:tcPr>
          <w:p w14:paraId="0A29CAAC" w14:textId="77777777" w:rsidR="00375BD2" w:rsidRPr="00C05886" w:rsidRDefault="00375BD2" w:rsidP="00375BD2">
            <w:pPr>
              <w:spacing w:line="240" w:lineRule="auto"/>
              <w:jc w:val="right"/>
              <w:rPr>
                <w:rFonts w:ascii="Calibri" w:eastAsia="Times New Roman" w:hAnsi="Calibri" w:cs="Calibri"/>
                <w:color w:val="000000"/>
                <w:lang w:eastAsia="en-GB"/>
              </w:rPr>
            </w:pPr>
            <w:r w:rsidRPr="00C05886">
              <w:rPr>
                <w:rFonts w:ascii="Calibri" w:eastAsia="Times New Roman" w:hAnsi="Calibri" w:cs="Calibri"/>
                <w:color w:val="000000"/>
                <w:lang w:eastAsia="en-GB"/>
              </w:rPr>
              <w:t>33.3%</w:t>
            </w:r>
          </w:p>
        </w:tc>
        <w:tc>
          <w:tcPr>
            <w:tcW w:w="1045" w:type="dxa"/>
            <w:noWrap/>
            <w:hideMark/>
          </w:tcPr>
          <w:p w14:paraId="0050F01F" w14:textId="77777777" w:rsidR="00375BD2" w:rsidRPr="00C05886" w:rsidRDefault="00375BD2" w:rsidP="00375BD2">
            <w:pPr>
              <w:spacing w:line="240" w:lineRule="auto"/>
              <w:jc w:val="right"/>
              <w:rPr>
                <w:rFonts w:ascii="Calibri" w:eastAsia="Times New Roman" w:hAnsi="Calibri" w:cs="Calibri"/>
                <w:color w:val="000000"/>
                <w:lang w:eastAsia="en-GB"/>
              </w:rPr>
            </w:pPr>
            <w:r w:rsidRPr="00C05886">
              <w:rPr>
                <w:rFonts w:ascii="Calibri" w:eastAsia="Times New Roman" w:hAnsi="Calibri" w:cs="Calibri"/>
                <w:color w:val="000000"/>
                <w:lang w:eastAsia="en-GB"/>
              </w:rPr>
              <w:t>33.3%</w:t>
            </w:r>
          </w:p>
        </w:tc>
      </w:tr>
      <w:tr w:rsidR="00375BD2" w:rsidRPr="00C05886" w14:paraId="0D903D9F" w14:textId="77777777" w:rsidTr="00542578">
        <w:trPr>
          <w:trHeight w:val="300"/>
        </w:trPr>
        <w:tc>
          <w:tcPr>
            <w:tcW w:w="1710" w:type="dxa"/>
            <w:vMerge/>
            <w:noWrap/>
            <w:hideMark/>
          </w:tcPr>
          <w:p w14:paraId="123D239E" w14:textId="77777777" w:rsidR="00375BD2" w:rsidRPr="00C05886" w:rsidRDefault="00375BD2" w:rsidP="00375BD2">
            <w:pPr>
              <w:spacing w:line="240" w:lineRule="auto"/>
              <w:jc w:val="right"/>
              <w:rPr>
                <w:rFonts w:ascii="Calibri" w:eastAsia="Times New Roman" w:hAnsi="Calibri" w:cs="Calibri"/>
                <w:color w:val="000000"/>
                <w:lang w:eastAsia="en-GB"/>
              </w:rPr>
            </w:pPr>
          </w:p>
        </w:tc>
        <w:tc>
          <w:tcPr>
            <w:tcW w:w="793" w:type="dxa"/>
            <w:noWrap/>
            <w:hideMark/>
          </w:tcPr>
          <w:p w14:paraId="4E8C0C56" w14:textId="77777777" w:rsidR="00375BD2" w:rsidRPr="00C05886" w:rsidRDefault="00375BD2" w:rsidP="00375BD2">
            <w:pPr>
              <w:spacing w:line="240" w:lineRule="auto"/>
              <w:rPr>
                <w:rFonts w:ascii="Calibri" w:eastAsia="Times New Roman" w:hAnsi="Calibri" w:cs="Calibri"/>
                <w:color w:val="000000"/>
                <w:lang w:eastAsia="en-GB"/>
              </w:rPr>
            </w:pPr>
            <w:r w:rsidRPr="00C05886">
              <w:rPr>
                <w:rFonts w:ascii="Calibri" w:eastAsia="Times New Roman" w:hAnsi="Calibri" w:cs="Calibri"/>
                <w:color w:val="000000"/>
                <w:lang w:eastAsia="en-GB"/>
              </w:rPr>
              <w:t>HBLC</w:t>
            </w:r>
          </w:p>
        </w:tc>
        <w:tc>
          <w:tcPr>
            <w:tcW w:w="1045" w:type="dxa"/>
            <w:noWrap/>
            <w:hideMark/>
          </w:tcPr>
          <w:p w14:paraId="6DC211F6" w14:textId="77777777" w:rsidR="00375BD2" w:rsidRPr="00C05886" w:rsidRDefault="00375BD2" w:rsidP="00375BD2">
            <w:pPr>
              <w:spacing w:line="240" w:lineRule="auto"/>
              <w:jc w:val="right"/>
              <w:rPr>
                <w:rFonts w:ascii="Calibri" w:eastAsia="Times New Roman" w:hAnsi="Calibri" w:cs="Calibri"/>
                <w:color w:val="000000"/>
                <w:lang w:eastAsia="en-GB"/>
              </w:rPr>
            </w:pPr>
            <w:r w:rsidRPr="00C05886">
              <w:rPr>
                <w:rFonts w:ascii="Calibri" w:eastAsia="Times New Roman" w:hAnsi="Calibri" w:cs="Calibri"/>
                <w:color w:val="000000"/>
                <w:lang w:eastAsia="en-GB"/>
              </w:rPr>
              <w:t>27.0%</w:t>
            </w:r>
          </w:p>
        </w:tc>
        <w:tc>
          <w:tcPr>
            <w:tcW w:w="1057" w:type="dxa"/>
            <w:noWrap/>
            <w:hideMark/>
          </w:tcPr>
          <w:p w14:paraId="4937F896" w14:textId="77777777" w:rsidR="00375BD2" w:rsidRPr="00C05886" w:rsidRDefault="00375BD2" w:rsidP="00375BD2">
            <w:pPr>
              <w:spacing w:line="240" w:lineRule="auto"/>
              <w:jc w:val="right"/>
              <w:rPr>
                <w:rFonts w:ascii="Calibri" w:eastAsia="Times New Roman" w:hAnsi="Calibri" w:cs="Calibri"/>
                <w:color w:val="000000"/>
                <w:lang w:eastAsia="en-GB"/>
              </w:rPr>
            </w:pPr>
            <w:r w:rsidRPr="00C05886">
              <w:rPr>
                <w:rFonts w:ascii="Calibri" w:eastAsia="Times New Roman" w:hAnsi="Calibri" w:cs="Calibri"/>
                <w:color w:val="000000"/>
                <w:lang w:eastAsia="en-GB"/>
              </w:rPr>
              <w:t>41.0%</w:t>
            </w:r>
          </w:p>
        </w:tc>
        <w:tc>
          <w:tcPr>
            <w:tcW w:w="1045" w:type="dxa"/>
            <w:noWrap/>
            <w:hideMark/>
          </w:tcPr>
          <w:p w14:paraId="034873D4" w14:textId="77777777" w:rsidR="00375BD2" w:rsidRPr="00C05886" w:rsidRDefault="00375BD2" w:rsidP="00375BD2">
            <w:pPr>
              <w:spacing w:line="240" w:lineRule="auto"/>
              <w:jc w:val="right"/>
              <w:rPr>
                <w:rFonts w:ascii="Calibri" w:eastAsia="Times New Roman" w:hAnsi="Calibri" w:cs="Calibri"/>
                <w:color w:val="000000"/>
                <w:lang w:eastAsia="en-GB"/>
              </w:rPr>
            </w:pPr>
            <w:r w:rsidRPr="00C05886">
              <w:rPr>
                <w:rFonts w:ascii="Calibri" w:eastAsia="Times New Roman" w:hAnsi="Calibri" w:cs="Calibri"/>
                <w:color w:val="000000"/>
                <w:lang w:eastAsia="en-GB"/>
              </w:rPr>
              <w:t>32.0%</w:t>
            </w:r>
          </w:p>
        </w:tc>
      </w:tr>
      <w:tr w:rsidR="00375BD2" w:rsidRPr="00C05886" w14:paraId="081D6E2D" w14:textId="77777777" w:rsidTr="00542578">
        <w:trPr>
          <w:trHeight w:val="300"/>
        </w:trPr>
        <w:tc>
          <w:tcPr>
            <w:tcW w:w="1710" w:type="dxa"/>
            <w:vMerge/>
            <w:noWrap/>
            <w:hideMark/>
          </w:tcPr>
          <w:p w14:paraId="7198B9AE" w14:textId="77777777" w:rsidR="00375BD2" w:rsidRPr="00C05886" w:rsidRDefault="00375BD2" w:rsidP="00375BD2">
            <w:pPr>
              <w:spacing w:line="240" w:lineRule="auto"/>
              <w:jc w:val="right"/>
              <w:rPr>
                <w:rFonts w:ascii="Calibri" w:eastAsia="Times New Roman" w:hAnsi="Calibri" w:cs="Calibri"/>
                <w:color w:val="000000"/>
                <w:lang w:eastAsia="en-GB"/>
              </w:rPr>
            </w:pPr>
          </w:p>
        </w:tc>
        <w:tc>
          <w:tcPr>
            <w:tcW w:w="793" w:type="dxa"/>
            <w:noWrap/>
            <w:hideMark/>
          </w:tcPr>
          <w:p w14:paraId="0B182C8B" w14:textId="77777777" w:rsidR="00375BD2" w:rsidRPr="00C05886" w:rsidRDefault="00375BD2" w:rsidP="00375BD2">
            <w:pPr>
              <w:spacing w:line="240" w:lineRule="auto"/>
              <w:rPr>
                <w:rFonts w:ascii="Calibri" w:eastAsia="Times New Roman" w:hAnsi="Calibri" w:cs="Calibri"/>
                <w:color w:val="000000"/>
                <w:lang w:eastAsia="en-GB"/>
              </w:rPr>
            </w:pPr>
            <w:r w:rsidRPr="00C05886">
              <w:rPr>
                <w:rFonts w:ascii="Calibri" w:eastAsia="Times New Roman" w:hAnsi="Calibri" w:cs="Calibri"/>
                <w:color w:val="000000"/>
                <w:lang w:eastAsia="en-GB"/>
              </w:rPr>
              <w:t>LBHC</w:t>
            </w:r>
          </w:p>
        </w:tc>
        <w:tc>
          <w:tcPr>
            <w:tcW w:w="1045" w:type="dxa"/>
            <w:noWrap/>
            <w:hideMark/>
          </w:tcPr>
          <w:p w14:paraId="39718C5D" w14:textId="77777777" w:rsidR="00375BD2" w:rsidRPr="00C05886" w:rsidRDefault="00375BD2" w:rsidP="00375BD2">
            <w:pPr>
              <w:spacing w:line="240" w:lineRule="auto"/>
              <w:jc w:val="right"/>
              <w:rPr>
                <w:rFonts w:ascii="Calibri" w:eastAsia="Times New Roman" w:hAnsi="Calibri" w:cs="Calibri"/>
                <w:color w:val="000000"/>
                <w:lang w:eastAsia="en-GB"/>
              </w:rPr>
            </w:pPr>
            <w:r w:rsidRPr="00C05886">
              <w:rPr>
                <w:rFonts w:ascii="Calibri" w:eastAsia="Times New Roman" w:hAnsi="Calibri" w:cs="Calibri"/>
                <w:color w:val="000000"/>
                <w:lang w:eastAsia="en-GB"/>
              </w:rPr>
              <w:t>28.7%</w:t>
            </w:r>
          </w:p>
        </w:tc>
        <w:tc>
          <w:tcPr>
            <w:tcW w:w="1057" w:type="dxa"/>
            <w:noWrap/>
            <w:hideMark/>
          </w:tcPr>
          <w:p w14:paraId="5422AAA5" w14:textId="77777777" w:rsidR="00375BD2" w:rsidRPr="00C05886" w:rsidRDefault="00375BD2" w:rsidP="00375BD2">
            <w:pPr>
              <w:spacing w:line="240" w:lineRule="auto"/>
              <w:jc w:val="right"/>
              <w:rPr>
                <w:rFonts w:ascii="Calibri" w:eastAsia="Times New Roman" w:hAnsi="Calibri" w:cs="Calibri"/>
                <w:color w:val="000000"/>
                <w:lang w:eastAsia="en-GB"/>
              </w:rPr>
            </w:pPr>
            <w:r w:rsidRPr="00C05886">
              <w:rPr>
                <w:rFonts w:ascii="Calibri" w:eastAsia="Times New Roman" w:hAnsi="Calibri" w:cs="Calibri"/>
                <w:color w:val="000000"/>
                <w:lang w:eastAsia="en-GB"/>
              </w:rPr>
              <w:t>42.5%</w:t>
            </w:r>
          </w:p>
        </w:tc>
        <w:tc>
          <w:tcPr>
            <w:tcW w:w="1045" w:type="dxa"/>
            <w:noWrap/>
            <w:hideMark/>
          </w:tcPr>
          <w:p w14:paraId="50F95422" w14:textId="77777777" w:rsidR="00375BD2" w:rsidRPr="00C05886" w:rsidRDefault="00375BD2" w:rsidP="00375BD2">
            <w:pPr>
              <w:spacing w:line="240" w:lineRule="auto"/>
              <w:jc w:val="right"/>
              <w:rPr>
                <w:rFonts w:ascii="Calibri" w:eastAsia="Times New Roman" w:hAnsi="Calibri" w:cs="Calibri"/>
                <w:color w:val="000000"/>
                <w:lang w:eastAsia="en-GB"/>
              </w:rPr>
            </w:pPr>
            <w:r w:rsidRPr="00C05886">
              <w:rPr>
                <w:rFonts w:ascii="Calibri" w:eastAsia="Times New Roman" w:hAnsi="Calibri" w:cs="Calibri"/>
                <w:color w:val="000000"/>
                <w:lang w:eastAsia="en-GB"/>
              </w:rPr>
              <w:t>28.7%</w:t>
            </w:r>
          </w:p>
        </w:tc>
      </w:tr>
      <w:tr w:rsidR="00375BD2" w:rsidRPr="00C05886" w14:paraId="70D47F1F" w14:textId="77777777" w:rsidTr="00542578">
        <w:trPr>
          <w:trHeight w:val="300"/>
        </w:trPr>
        <w:tc>
          <w:tcPr>
            <w:tcW w:w="1710" w:type="dxa"/>
            <w:vMerge/>
            <w:noWrap/>
            <w:hideMark/>
          </w:tcPr>
          <w:p w14:paraId="6C18754F" w14:textId="77777777" w:rsidR="00375BD2" w:rsidRPr="00C05886" w:rsidRDefault="00375BD2" w:rsidP="00375BD2">
            <w:pPr>
              <w:spacing w:line="240" w:lineRule="auto"/>
              <w:jc w:val="right"/>
              <w:rPr>
                <w:rFonts w:ascii="Calibri" w:eastAsia="Times New Roman" w:hAnsi="Calibri" w:cs="Calibri"/>
                <w:color w:val="000000"/>
                <w:lang w:eastAsia="en-GB"/>
              </w:rPr>
            </w:pPr>
          </w:p>
        </w:tc>
        <w:tc>
          <w:tcPr>
            <w:tcW w:w="793" w:type="dxa"/>
            <w:noWrap/>
            <w:hideMark/>
          </w:tcPr>
          <w:p w14:paraId="0159440D" w14:textId="77777777" w:rsidR="00375BD2" w:rsidRPr="00C05886" w:rsidRDefault="00375BD2" w:rsidP="00375BD2">
            <w:pPr>
              <w:spacing w:line="240" w:lineRule="auto"/>
              <w:rPr>
                <w:rFonts w:ascii="Calibri" w:eastAsia="Times New Roman" w:hAnsi="Calibri" w:cs="Calibri"/>
                <w:color w:val="000000"/>
                <w:lang w:eastAsia="en-GB"/>
              </w:rPr>
            </w:pPr>
            <w:r w:rsidRPr="00C05886">
              <w:rPr>
                <w:rFonts w:ascii="Calibri" w:eastAsia="Times New Roman" w:hAnsi="Calibri" w:cs="Calibri"/>
                <w:color w:val="000000"/>
                <w:lang w:eastAsia="en-GB"/>
              </w:rPr>
              <w:t>LBLC</w:t>
            </w:r>
          </w:p>
        </w:tc>
        <w:tc>
          <w:tcPr>
            <w:tcW w:w="1045" w:type="dxa"/>
            <w:noWrap/>
            <w:hideMark/>
          </w:tcPr>
          <w:p w14:paraId="58944D03" w14:textId="77777777" w:rsidR="00375BD2" w:rsidRPr="00C05886" w:rsidRDefault="00375BD2" w:rsidP="00375BD2">
            <w:pPr>
              <w:spacing w:line="240" w:lineRule="auto"/>
              <w:jc w:val="right"/>
              <w:rPr>
                <w:rFonts w:ascii="Calibri" w:eastAsia="Times New Roman" w:hAnsi="Calibri" w:cs="Calibri"/>
                <w:color w:val="000000"/>
                <w:lang w:eastAsia="en-GB"/>
              </w:rPr>
            </w:pPr>
            <w:r w:rsidRPr="00C05886">
              <w:rPr>
                <w:rFonts w:ascii="Calibri" w:eastAsia="Times New Roman" w:hAnsi="Calibri" w:cs="Calibri"/>
                <w:color w:val="000000"/>
                <w:lang w:eastAsia="en-GB"/>
              </w:rPr>
              <w:t>25.8%</w:t>
            </w:r>
          </w:p>
        </w:tc>
        <w:tc>
          <w:tcPr>
            <w:tcW w:w="1057" w:type="dxa"/>
            <w:noWrap/>
            <w:hideMark/>
          </w:tcPr>
          <w:p w14:paraId="4C5B3EF6" w14:textId="77777777" w:rsidR="00375BD2" w:rsidRPr="00C05886" w:rsidRDefault="00375BD2" w:rsidP="00375BD2">
            <w:pPr>
              <w:spacing w:line="240" w:lineRule="auto"/>
              <w:jc w:val="right"/>
              <w:rPr>
                <w:rFonts w:ascii="Calibri" w:eastAsia="Times New Roman" w:hAnsi="Calibri" w:cs="Calibri"/>
                <w:color w:val="000000"/>
                <w:lang w:eastAsia="en-GB"/>
              </w:rPr>
            </w:pPr>
            <w:r w:rsidRPr="00C05886">
              <w:rPr>
                <w:rFonts w:ascii="Calibri" w:eastAsia="Times New Roman" w:hAnsi="Calibri" w:cs="Calibri"/>
                <w:color w:val="000000"/>
                <w:lang w:eastAsia="en-GB"/>
              </w:rPr>
              <w:t>47.3%</w:t>
            </w:r>
          </w:p>
        </w:tc>
        <w:tc>
          <w:tcPr>
            <w:tcW w:w="1045" w:type="dxa"/>
            <w:noWrap/>
            <w:hideMark/>
          </w:tcPr>
          <w:p w14:paraId="638B449F" w14:textId="77777777" w:rsidR="00375BD2" w:rsidRPr="00C05886" w:rsidRDefault="00375BD2" w:rsidP="00375BD2">
            <w:pPr>
              <w:spacing w:line="240" w:lineRule="auto"/>
              <w:jc w:val="right"/>
              <w:rPr>
                <w:rFonts w:ascii="Calibri" w:eastAsia="Times New Roman" w:hAnsi="Calibri" w:cs="Calibri"/>
                <w:color w:val="000000"/>
                <w:lang w:eastAsia="en-GB"/>
              </w:rPr>
            </w:pPr>
            <w:r w:rsidRPr="00C05886">
              <w:rPr>
                <w:rFonts w:ascii="Calibri" w:eastAsia="Times New Roman" w:hAnsi="Calibri" w:cs="Calibri"/>
                <w:color w:val="000000"/>
                <w:lang w:eastAsia="en-GB"/>
              </w:rPr>
              <w:t>26.9%</w:t>
            </w:r>
          </w:p>
        </w:tc>
      </w:tr>
      <w:tr w:rsidR="00375BD2" w:rsidRPr="00C05886" w14:paraId="1ACF6D25" w14:textId="77777777" w:rsidTr="00542578">
        <w:trPr>
          <w:trHeight w:val="300"/>
        </w:trPr>
        <w:tc>
          <w:tcPr>
            <w:tcW w:w="1710" w:type="dxa"/>
            <w:noWrap/>
            <w:hideMark/>
          </w:tcPr>
          <w:p w14:paraId="231DAFAA" w14:textId="77777777" w:rsidR="00375BD2" w:rsidRPr="00C05886" w:rsidRDefault="00375BD2" w:rsidP="00375BD2">
            <w:pPr>
              <w:spacing w:line="240" w:lineRule="auto"/>
              <w:rPr>
                <w:rFonts w:ascii="Calibri" w:eastAsia="Times New Roman" w:hAnsi="Calibri" w:cs="Calibri"/>
                <w:color w:val="000000"/>
                <w:lang w:eastAsia="en-GB"/>
              </w:rPr>
            </w:pPr>
            <w:r w:rsidRPr="00C05886">
              <w:rPr>
                <w:rFonts w:ascii="Calibri" w:eastAsia="Times New Roman" w:hAnsi="Calibri" w:cs="Calibri"/>
                <w:color w:val="000000"/>
                <w:lang w:eastAsia="en-GB"/>
              </w:rPr>
              <w:t>Total</w:t>
            </w:r>
          </w:p>
        </w:tc>
        <w:tc>
          <w:tcPr>
            <w:tcW w:w="793" w:type="dxa"/>
            <w:noWrap/>
            <w:hideMark/>
          </w:tcPr>
          <w:p w14:paraId="44E8D9B6" w14:textId="77777777" w:rsidR="00375BD2" w:rsidRPr="00C05886" w:rsidRDefault="00375BD2" w:rsidP="00375BD2">
            <w:pPr>
              <w:spacing w:line="240" w:lineRule="auto"/>
              <w:rPr>
                <w:rFonts w:ascii="Calibri" w:eastAsia="Times New Roman" w:hAnsi="Calibri" w:cs="Calibri"/>
                <w:color w:val="000000"/>
                <w:lang w:eastAsia="en-GB"/>
              </w:rPr>
            </w:pPr>
          </w:p>
        </w:tc>
        <w:tc>
          <w:tcPr>
            <w:tcW w:w="1045" w:type="dxa"/>
            <w:noWrap/>
            <w:hideMark/>
          </w:tcPr>
          <w:p w14:paraId="33F4E380" w14:textId="77777777" w:rsidR="00375BD2" w:rsidRPr="00C05886" w:rsidRDefault="00375BD2" w:rsidP="00375BD2">
            <w:pPr>
              <w:spacing w:line="240" w:lineRule="auto"/>
              <w:jc w:val="right"/>
              <w:rPr>
                <w:rFonts w:ascii="Calibri" w:eastAsia="Times New Roman" w:hAnsi="Calibri" w:cs="Calibri"/>
                <w:color w:val="000000"/>
                <w:lang w:eastAsia="en-GB"/>
              </w:rPr>
            </w:pPr>
            <w:r w:rsidRPr="00C05886">
              <w:rPr>
                <w:rFonts w:ascii="Calibri" w:eastAsia="Times New Roman" w:hAnsi="Calibri" w:cs="Calibri"/>
                <w:color w:val="000000"/>
                <w:lang w:eastAsia="en-GB"/>
              </w:rPr>
              <w:t>28.8%</w:t>
            </w:r>
          </w:p>
        </w:tc>
        <w:tc>
          <w:tcPr>
            <w:tcW w:w="1057" w:type="dxa"/>
            <w:noWrap/>
            <w:hideMark/>
          </w:tcPr>
          <w:p w14:paraId="54C86ACF" w14:textId="77777777" w:rsidR="00375BD2" w:rsidRPr="00C05886" w:rsidRDefault="00375BD2" w:rsidP="00375BD2">
            <w:pPr>
              <w:spacing w:line="240" w:lineRule="auto"/>
              <w:jc w:val="right"/>
              <w:rPr>
                <w:rFonts w:ascii="Calibri" w:eastAsia="Times New Roman" w:hAnsi="Calibri" w:cs="Calibri"/>
                <w:color w:val="000000"/>
                <w:lang w:eastAsia="en-GB"/>
              </w:rPr>
            </w:pPr>
            <w:r w:rsidRPr="00C05886">
              <w:rPr>
                <w:rFonts w:ascii="Calibri" w:eastAsia="Times New Roman" w:hAnsi="Calibri" w:cs="Calibri"/>
                <w:color w:val="000000"/>
                <w:lang w:eastAsia="en-GB"/>
              </w:rPr>
              <w:t>40.9%</w:t>
            </w:r>
          </w:p>
        </w:tc>
        <w:tc>
          <w:tcPr>
            <w:tcW w:w="1045" w:type="dxa"/>
            <w:noWrap/>
            <w:hideMark/>
          </w:tcPr>
          <w:p w14:paraId="27B661B7" w14:textId="77777777" w:rsidR="00375BD2" w:rsidRPr="00C05886" w:rsidRDefault="00375BD2" w:rsidP="00375BD2">
            <w:pPr>
              <w:spacing w:line="240" w:lineRule="auto"/>
              <w:jc w:val="right"/>
              <w:rPr>
                <w:rFonts w:ascii="Calibri" w:eastAsia="Times New Roman" w:hAnsi="Calibri" w:cs="Calibri"/>
                <w:color w:val="000000"/>
                <w:lang w:eastAsia="en-GB"/>
              </w:rPr>
            </w:pPr>
            <w:r w:rsidRPr="00C05886">
              <w:rPr>
                <w:rFonts w:ascii="Calibri" w:eastAsia="Times New Roman" w:hAnsi="Calibri" w:cs="Calibri"/>
                <w:color w:val="000000"/>
                <w:lang w:eastAsia="en-GB"/>
              </w:rPr>
              <w:t>30.3%</w:t>
            </w:r>
          </w:p>
        </w:tc>
      </w:tr>
    </w:tbl>
    <w:p w14:paraId="229AD8BE" w14:textId="77777777" w:rsidR="00375BD2" w:rsidRPr="00C05886" w:rsidRDefault="00375BD2" w:rsidP="00375BD2">
      <w:pPr>
        <w:spacing w:line="240" w:lineRule="auto"/>
      </w:pPr>
    </w:p>
    <w:p w14:paraId="2979C29F" w14:textId="48B1E2D4" w:rsidR="00375BD2" w:rsidRPr="00C05886" w:rsidRDefault="00375BD2" w:rsidP="00375BD2">
      <w:pPr>
        <w:pStyle w:val="Caption"/>
        <w:keepNext/>
      </w:pPr>
      <w:r w:rsidRPr="00C05886">
        <w:t xml:space="preserve">Table </w:t>
      </w:r>
      <w:r w:rsidR="00B62F3A" w:rsidRPr="00C05886">
        <w:t>S11</w:t>
      </w:r>
      <w:r w:rsidRPr="00C05886">
        <w:t>. Experiment 4 – Distribution of perceived biodiversity in each park treatment</w:t>
      </w:r>
    </w:p>
    <w:tbl>
      <w:tblPr>
        <w:tblStyle w:val="TableGrid"/>
        <w:tblW w:w="5666" w:type="dxa"/>
        <w:tblLook w:val="04A0" w:firstRow="1" w:lastRow="0" w:firstColumn="1" w:lastColumn="0" w:noHBand="0" w:noVBand="1"/>
      </w:tblPr>
      <w:tblGrid>
        <w:gridCol w:w="1715"/>
        <w:gridCol w:w="795"/>
        <w:gridCol w:w="1048"/>
        <w:gridCol w:w="1060"/>
        <w:gridCol w:w="1048"/>
      </w:tblGrid>
      <w:tr w:rsidR="00375BD2" w:rsidRPr="00C05886" w14:paraId="175C4FF9" w14:textId="77777777" w:rsidTr="00542578">
        <w:trPr>
          <w:trHeight w:val="300"/>
        </w:trPr>
        <w:tc>
          <w:tcPr>
            <w:tcW w:w="2510" w:type="dxa"/>
            <w:gridSpan w:val="2"/>
            <w:noWrap/>
            <w:hideMark/>
          </w:tcPr>
          <w:p w14:paraId="3F2C202F" w14:textId="77777777" w:rsidR="00375BD2" w:rsidRPr="00C05886" w:rsidRDefault="00375BD2" w:rsidP="00375BD2">
            <w:pPr>
              <w:spacing w:line="240" w:lineRule="auto"/>
              <w:rPr>
                <w:rFonts w:ascii="Calibri" w:eastAsia="Times New Roman" w:hAnsi="Calibri" w:cs="Calibri"/>
                <w:color w:val="000000"/>
                <w:lang w:eastAsia="en-GB"/>
              </w:rPr>
            </w:pPr>
            <w:r w:rsidRPr="00C05886">
              <w:rPr>
                <w:rFonts w:ascii="Calibri" w:eastAsia="Times New Roman" w:hAnsi="Calibri" w:cs="Calibri"/>
                <w:color w:val="000000"/>
                <w:lang w:eastAsia="en-GB"/>
              </w:rPr>
              <w:t>Perceived biodiversity</w:t>
            </w:r>
          </w:p>
        </w:tc>
        <w:tc>
          <w:tcPr>
            <w:tcW w:w="1048" w:type="dxa"/>
            <w:noWrap/>
            <w:hideMark/>
          </w:tcPr>
          <w:p w14:paraId="1ADB7D6C" w14:textId="77777777" w:rsidR="00375BD2" w:rsidRPr="00C05886" w:rsidRDefault="00375BD2" w:rsidP="00375BD2">
            <w:pPr>
              <w:spacing w:line="240" w:lineRule="auto"/>
              <w:rPr>
                <w:rFonts w:ascii="Calibri" w:eastAsia="Times New Roman" w:hAnsi="Calibri" w:cs="Calibri"/>
                <w:color w:val="000000"/>
                <w:lang w:eastAsia="en-GB"/>
              </w:rPr>
            </w:pPr>
            <w:r w:rsidRPr="00C05886">
              <w:rPr>
                <w:rFonts w:ascii="Calibri" w:eastAsia="Times New Roman" w:hAnsi="Calibri" w:cs="Calibri"/>
                <w:color w:val="000000"/>
                <w:lang w:eastAsia="en-GB"/>
              </w:rPr>
              <w:t>Low</w:t>
            </w:r>
          </w:p>
        </w:tc>
        <w:tc>
          <w:tcPr>
            <w:tcW w:w="1060" w:type="dxa"/>
            <w:noWrap/>
            <w:hideMark/>
          </w:tcPr>
          <w:p w14:paraId="7167639C" w14:textId="77777777" w:rsidR="00375BD2" w:rsidRPr="00C05886" w:rsidRDefault="00375BD2" w:rsidP="00375BD2">
            <w:pPr>
              <w:spacing w:line="240" w:lineRule="auto"/>
              <w:rPr>
                <w:rFonts w:ascii="Calibri" w:eastAsia="Times New Roman" w:hAnsi="Calibri" w:cs="Calibri"/>
                <w:color w:val="000000"/>
                <w:lang w:eastAsia="en-GB"/>
              </w:rPr>
            </w:pPr>
            <w:r w:rsidRPr="00C05886">
              <w:rPr>
                <w:rFonts w:ascii="Calibri" w:eastAsia="Times New Roman" w:hAnsi="Calibri" w:cs="Calibri"/>
                <w:color w:val="000000"/>
                <w:lang w:eastAsia="en-GB"/>
              </w:rPr>
              <w:t>Medium</w:t>
            </w:r>
          </w:p>
        </w:tc>
        <w:tc>
          <w:tcPr>
            <w:tcW w:w="1048" w:type="dxa"/>
            <w:noWrap/>
            <w:hideMark/>
          </w:tcPr>
          <w:p w14:paraId="26654D89" w14:textId="77777777" w:rsidR="00375BD2" w:rsidRPr="00C05886" w:rsidRDefault="00375BD2" w:rsidP="00375BD2">
            <w:pPr>
              <w:spacing w:line="240" w:lineRule="auto"/>
              <w:rPr>
                <w:rFonts w:ascii="Calibri" w:eastAsia="Times New Roman" w:hAnsi="Calibri" w:cs="Calibri"/>
                <w:color w:val="000000"/>
                <w:lang w:eastAsia="en-GB"/>
              </w:rPr>
            </w:pPr>
            <w:r w:rsidRPr="00C05886">
              <w:rPr>
                <w:rFonts w:ascii="Calibri" w:eastAsia="Times New Roman" w:hAnsi="Calibri" w:cs="Calibri"/>
                <w:color w:val="000000"/>
                <w:lang w:eastAsia="en-GB"/>
              </w:rPr>
              <w:t>High</w:t>
            </w:r>
          </w:p>
        </w:tc>
      </w:tr>
      <w:tr w:rsidR="00375BD2" w:rsidRPr="00C05886" w14:paraId="1B000B8D" w14:textId="77777777" w:rsidTr="0070406A">
        <w:trPr>
          <w:trHeight w:val="300"/>
        </w:trPr>
        <w:tc>
          <w:tcPr>
            <w:tcW w:w="1715" w:type="dxa"/>
            <w:vMerge w:val="restart"/>
            <w:noWrap/>
            <w:vAlign w:val="center"/>
            <w:hideMark/>
          </w:tcPr>
          <w:p w14:paraId="4B74B6B5" w14:textId="77777777" w:rsidR="00375BD2" w:rsidRPr="00C05886" w:rsidRDefault="00375BD2" w:rsidP="00375BD2">
            <w:pPr>
              <w:spacing w:line="240" w:lineRule="auto"/>
              <w:jc w:val="center"/>
              <w:rPr>
                <w:rFonts w:ascii="Calibri" w:eastAsia="Times New Roman" w:hAnsi="Calibri" w:cs="Calibri"/>
                <w:color w:val="000000"/>
                <w:lang w:eastAsia="en-GB"/>
              </w:rPr>
            </w:pPr>
            <w:r w:rsidRPr="00C05886">
              <w:rPr>
                <w:rFonts w:ascii="Calibri" w:eastAsia="Times New Roman" w:hAnsi="Calibri" w:cs="Calibri"/>
                <w:color w:val="000000"/>
                <w:lang w:eastAsia="en-GB"/>
              </w:rPr>
              <w:t>Park treatment</w:t>
            </w:r>
          </w:p>
        </w:tc>
        <w:tc>
          <w:tcPr>
            <w:tcW w:w="795" w:type="dxa"/>
            <w:noWrap/>
            <w:hideMark/>
          </w:tcPr>
          <w:p w14:paraId="579220E2" w14:textId="77777777" w:rsidR="00375BD2" w:rsidRPr="00C05886" w:rsidRDefault="00375BD2" w:rsidP="00375BD2">
            <w:pPr>
              <w:spacing w:line="240" w:lineRule="auto"/>
              <w:rPr>
                <w:rFonts w:ascii="Calibri" w:eastAsia="Times New Roman" w:hAnsi="Calibri" w:cs="Calibri"/>
                <w:color w:val="000000"/>
                <w:lang w:eastAsia="en-GB"/>
              </w:rPr>
            </w:pPr>
            <w:r w:rsidRPr="00C05886">
              <w:rPr>
                <w:rFonts w:ascii="Calibri" w:eastAsia="Times New Roman" w:hAnsi="Calibri" w:cs="Calibri"/>
                <w:color w:val="000000"/>
                <w:lang w:eastAsia="en-GB"/>
              </w:rPr>
              <w:t>HBHC</w:t>
            </w:r>
          </w:p>
        </w:tc>
        <w:tc>
          <w:tcPr>
            <w:tcW w:w="1048" w:type="dxa"/>
            <w:noWrap/>
            <w:hideMark/>
          </w:tcPr>
          <w:p w14:paraId="1C0463DB" w14:textId="77777777" w:rsidR="00375BD2" w:rsidRPr="00C05886" w:rsidRDefault="00375BD2" w:rsidP="00375BD2">
            <w:pPr>
              <w:spacing w:line="240" w:lineRule="auto"/>
              <w:jc w:val="right"/>
              <w:rPr>
                <w:rFonts w:ascii="Calibri" w:eastAsia="Times New Roman" w:hAnsi="Calibri" w:cs="Calibri"/>
                <w:color w:val="000000"/>
                <w:lang w:eastAsia="en-GB"/>
              </w:rPr>
            </w:pPr>
            <w:r w:rsidRPr="00C05886">
              <w:rPr>
                <w:rFonts w:ascii="Calibri" w:eastAsia="Times New Roman" w:hAnsi="Calibri" w:cs="Calibri"/>
                <w:color w:val="000000"/>
                <w:lang w:eastAsia="en-GB"/>
              </w:rPr>
              <w:t>28.7%</w:t>
            </w:r>
          </w:p>
        </w:tc>
        <w:tc>
          <w:tcPr>
            <w:tcW w:w="1060" w:type="dxa"/>
            <w:noWrap/>
            <w:hideMark/>
          </w:tcPr>
          <w:p w14:paraId="6F7795A8" w14:textId="77777777" w:rsidR="00375BD2" w:rsidRPr="00C05886" w:rsidRDefault="00375BD2" w:rsidP="00375BD2">
            <w:pPr>
              <w:spacing w:line="240" w:lineRule="auto"/>
              <w:jc w:val="right"/>
              <w:rPr>
                <w:rFonts w:ascii="Calibri" w:eastAsia="Times New Roman" w:hAnsi="Calibri" w:cs="Calibri"/>
                <w:color w:val="000000"/>
                <w:lang w:eastAsia="en-GB"/>
              </w:rPr>
            </w:pPr>
            <w:r w:rsidRPr="00C05886">
              <w:rPr>
                <w:rFonts w:ascii="Calibri" w:eastAsia="Times New Roman" w:hAnsi="Calibri" w:cs="Calibri"/>
                <w:color w:val="000000"/>
                <w:lang w:eastAsia="en-GB"/>
              </w:rPr>
              <w:t>33.7%</w:t>
            </w:r>
          </w:p>
        </w:tc>
        <w:tc>
          <w:tcPr>
            <w:tcW w:w="1048" w:type="dxa"/>
            <w:noWrap/>
            <w:hideMark/>
          </w:tcPr>
          <w:p w14:paraId="59B54AB6" w14:textId="77777777" w:rsidR="00375BD2" w:rsidRPr="00C05886" w:rsidRDefault="00375BD2" w:rsidP="00375BD2">
            <w:pPr>
              <w:spacing w:line="240" w:lineRule="auto"/>
              <w:jc w:val="right"/>
              <w:rPr>
                <w:rFonts w:ascii="Calibri" w:eastAsia="Times New Roman" w:hAnsi="Calibri" w:cs="Calibri"/>
                <w:color w:val="000000"/>
                <w:lang w:eastAsia="en-GB"/>
              </w:rPr>
            </w:pPr>
            <w:r w:rsidRPr="00C05886">
              <w:rPr>
                <w:rFonts w:ascii="Calibri" w:eastAsia="Times New Roman" w:hAnsi="Calibri" w:cs="Calibri"/>
                <w:color w:val="000000"/>
                <w:lang w:eastAsia="en-GB"/>
              </w:rPr>
              <w:t>37.6%</w:t>
            </w:r>
          </w:p>
        </w:tc>
      </w:tr>
      <w:tr w:rsidR="00375BD2" w:rsidRPr="00C05886" w14:paraId="0CA6170A" w14:textId="77777777" w:rsidTr="00542578">
        <w:trPr>
          <w:trHeight w:val="300"/>
        </w:trPr>
        <w:tc>
          <w:tcPr>
            <w:tcW w:w="1715" w:type="dxa"/>
            <w:vMerge/>
            <w:noWrap/>
            <w:hideMark/>
          </w:tcPr>
          <w:p w14:paraId="6BC7D51F" w14:textId="77777777" w:rsidR="00375BD2" w:rsidRPr="00C05886" w:rsidRDefault="00375BD2" w:rsidP="00375BD2">
            <w:pPr>
              <w:spacing w:line="240" w:lineRule="auto"/>
              <w:jc w:val="right"/>
              <w:rPr>
                <w:rFonts w:ascii="Calibri" w:eastAsia="Times New Roman" w:hAnsi="Calibri" w:cs="Calibri"/>
                <w:color w:val="000000"/>
                <w:lang w:eastAsia="en-GB"/>
              </w:rPr>
            </w:pPr>
          </w:p>
        </w:tc>
        <w:tc>
          <w:tcPr>
            <w:tcW w:w="795" w:type="dxa"/>
            <w:noWrap/>
            <w:hideMark/>
          </w:tcPr>
          <w:p w14:paraId="6C47E93D" w14:textId="77777777" w:rsidR="00375BD2" w:rsidRPr="00C05886" w:rsidRDefault="00375BD2" w:rsidP="00375BD2">
            <w:pPr>
              <w:spacing w:line="240" w:lineRule="auto"/>
              <w:rPr>
                <w:rFonts w:ascii="Calibri" w:eastAsia="Times New Roman" w:hAnsi="Calibri" w:cs="Calibri"/>
                <w:color w:val="000000"/>
                <w:lang w:eastAsia="en-GB"/>
              </w:rPr>
            </w:pPr>
            <w:r w:rsidRPr="00C05886">
              <w:rPr>
                <w:rFonts w:ascii="Calibri" w:eastAsia="Times New Roman" w:hAnsi="Calibri" w:cs="Calibri"/>
                <w:color w:val="000000"/>
                <w:lang w:eastAsia="en-GB"/>
              </w:rPr>
              <w:t>HBLC</w:t>
            </w:r>
          </w:p>
        </w:tc>
        <w:tc>
          <w:tcPr>
            <w:tcW w:w="1048" w:type="dxa"/>
            <w:noWrap/>
            <w:hideMark/>
          </w:tcPr>
          <w:p w14:paraId="1DCBC76B" w14:textId="77777777" w:rsidR="00375BD2" w:rsidRPr="00C05886" w:rsidRDefault="00375BD2" w:rsidP="00375BD2">
            <w:pPr>
              <w:spacing w:line="240" w:lineRule="auto"/>
              <w:jc w:val="right"/>
              <w:rPr>
                <w:rFonts w:ascii="Calibri" w:eastAsia="Times New Roman" w:hAnsi="Calibri" w:cs="Calibri"/>
                <w:color w:val="000000"/>
                <w:lang w:eastAsia="en-GB"/>
              </w:rPr>
            </w:pPr>
            <w:r w:rsidRPr="00C05886">
              <w:rPr>
                <w:rFonts w:ascii="Calibri" w:eastAsia="Times New Roman" w:hAnsi="Calibri" w:cs="Calibri"/>
                <w:color w:val="000000"/>
                <w:lang w:eastAsia="en-GB"/>
              </w:rPr>
              <w:t>35.4%</w:t>
            </w:r>
          </w:p>
        </w:tc>
        <w:tc>
          <w:tcPr>
            <w:tcW w:w="1060" w:type="dxa"/>
            <w:noWrap/>
            <w:hideMark/>
          </w:tcPr>
          <w:p w14:paraId="2DAE09E5" w14:textId="77777777" w:rsidR="00375BD2" w:rsidRPr="00C05886" w:rsidRDefault="00375BD2" w:rsidP="00375BD2">
            <w:pPr>
              <w:spacing w:line="240" w:lineRule="auto"/>
              <w:jc w:val="right"/>
              <w:rPr>
                <w:rFonts w:ascii="Calibri" w:eastAsia="Times New Roman" w:hAnsi="Calibri" w:cs="Calibri"/>
                <w:color w:val="000000"/>
                <w:lang w:eastAsia="en-GB"/>
              </w:rPr>
            </w:pPr>
            <w:r w:rsidRPr="00C05886">
              <w:rPr>
                <w:rFonts w:ascii="Calibri" w:eastAsia="Times New Roman" w:hAnsi="Calibri" w:cs="Calibri"/>
                <w:color w:val="000000"/>
                <w:lang w:eastAsia="en-GB"/>
              </w:rPr>
              <w:t>39.4%</w:t>
            </w:r>
          </w:p>
        </w:tc>
        <w:tc>
          <w:tcPr>
            <w:tcW w:w="1048" w:type="dxa"/>
            <w:noWrap/>
            <w:hideMark/>
          </w:tcPr>
          <w:p w14:paraId="08BE6E9C" w14:textId="77777777" w:rsidR="00375BD2" w:rsidRPr="00C05886" w:rsidRDefault="00375BD2" w:rsidP="00375BD2">
            <w:pPr>
              <w:spacing w:line="240" w:lineRule="auto"/>
              <w:jc w:val="right"/>
              <w:rPr>
                <w:rFonts w:ascii="Calibri" w:eastAsia="Times New Roman" w:hAnsi="Calibri" w:cs="Calibri"/>
                <w:color w:val="000000"/>
                <w:lang w:eastAsia="en-GB"/>
              </w:rPr>
            </w:pPr>
            <w:r w:rsidRPr="00C05886">
              <w:rPr>
                <w:rFonts w:ascii="Calibri" w:eastAsia="Times New Roman" w:hAnsi="Calibri" w:cs="Calibri"/>
                <w:color w:val="000000"/>
                <w:lang w:eastAsia="en-GB"/>
              </w:rPr>
              <w:t>25.3%</w:t>
            </w:r>
          </w:p>
        </w:tc>
      </w:tr>
      <w:tr w:rsidR="00375BD2" w:rsidRPr="00C05886" w14:paraId="0FF80087" w14:textId="77777777" w:rsidTr="00542578">
        <w:trPr>
          <w:trHeight w:val="300"/>
        </w:trPr>
        <w:tc>
          <w:tcPr>
            <w:tcW w:w="1715" w:type="dxa"/>
            <w:vMerge/>
            <w:noWrap/>
            <w:hideMark/>
          </w:tcPr>
          <w:p w14:paraId="5ACE8F3B" w14:textId="77777777" w:rsidR="00375BD2" w:rsidRPr="00C05886" w:rsidRDefault="00375BD2" w:rsidP="00375BD2">
            <w:pPr>
              <w:spacing w:line="240" w:lineRule="auto"/>
              <w:jc w:val="right"/>
              <w:rPr>
                <w:rFonts w:ascii="Calibri" w:eastAsia="Times New Roman" w:hAnsi="Calibri" w:cs="Calibri"/>
                <w:color w:val="000000"/>
                <w:lang w:eastAsia="en-GB"/>
              </w:rPr>
            </w:pPr>
          </w:p>
        </w:tc>
        <w:tc>
          <w:tcPr>
            <w:tcW w:w="795" w:type="dxa"/>
            <w:noWrap/>
            <w:hideMark/>
          </w:tcPr>
          <w:p w14:paraId="4159B7E7" w14:textId="77777777" w:rsidR="00375BD2" w:rsidRPr="00C05886" w:rsidRDefault="00375BD2" w:rsidP="00375BD2">
            <w:pPr>
              <w:spacing w:line="240" w:lineRule="auto"/>
              <w:rPr>
                <w:rFonts w:ascii="Calibri" w:eastAsia="Times New Roman" w:hAnsi="Calibri" w:cs="Calibri"/>
                <w:color w:val="000000"/>
                <w:lang w:eastAsia="en-GB"/>
              </w:rPr>
            </w:pPr>
            <w:r w:rsidRPr="00C05886">
              <w:rPr>
                <w:rFonts w:ascii="Calibri" w:eastAsia="Times New Roman" w:hAnsi="Calibri" w:cs="Calibri"/>
                <w:color w:val="000000"/>
                <w:lang w:eastAsia="en-GB"/>
              </w:rPr>
              <w:t>LBHC</w:t>
            </w:r>
          </w:p>
        </w:tc>
        <w:tc>
          <w:tcPr>
            <w:tcW w:w="1048" w:type="dxa"/>
            <w:noWrap/>
            <w:hideMark/>
          </w:tcPr>
          <w:p w14:paraId="29F10138" w14:textId="77777777" w:rsidR="00375BD2" w:rsidRPr="00C05886" w:rsidRDefault="00375BD2" w:rsidP="00375BD2">
            <w:pPr>
              <w:spacing w:line="240" w:lineRule="auto"/>
              <w:jc w:val="right"/>
              <w:rPr>
                <w:rFonts w:ascii="Calibri" w:eastAsia="Times New Roman" w:hAnsi="Calibri" w:cs="Calibri"/>
                <w:color w:val="000000"/>
                <w:lang w:eastAsia="en-GB"/>
              </w:rPr>
            </w:pPr>
            <w:r w:rsidRPr="00C05886">
              <w:rPr>
                <w:rFonts w:ascii="Calibri" w:eastAsia="Times New Roman" w:hAnsi="Calibri" w:cs="Calibri"/>
                <w:color w:val="000000"/>
                <w:lang w:eastAsia="en-GB"/>
              </w:rPr>
              <w:t>34.4%</w:t>
            </w:r>
          </w:p>
        </w:tc>
        <w:tc>
          <w:tcPr>
            <w:tcW w:w="1060" w:type="dxa"/>
            <w:noWrap/>
            <w:hideMark/>
          </w:tcPr>
          <w:p w14:paraId="1DC89531" w14:textId="77777777" w:rsidR="00375BD2" w:rsidRPr="00C05886" w:rsidRDefault="00375BD2" w:rsidP="00375BD2">
            <w:pPr>
              <w:spacing w:line="240" w:lineRule="auto"/>
              <w:jc w:val="right"/>
              <w:rPr>
                <w:rFonts w:ascii="Calibri" w:eastAsia="Times New Roman" w:hAnsi="Calibri" w:cs="Calibri"/>
                <w:color w:val="000000"/>
                <w:lang w:eastAsia="en-GB"/>
              </w:rPr>
            </w:pPr>
            <w:r w:rsidRPr="00C05886">
              <w:rPr>
                <w:rFonts w:ascii="Calibri" w:eastAsia="Times New Roman" w:hAnsi="Calibri" w:cs="Calibri"/>
                <w:color w:val="000000"/>
                <w:lang w:eastAsia="en-GB"/>
              </w:rPr>
              <w:t>40.9%</w:t>
            </w:r>
          </w:p>
        </w:tc>
        <w:tc>
          <w:tcPr>
            <w:tcW w:w="1048" w:type="dxa"/>
            <w:noWrap/>
            <w:hideMark/>
          </w:tcPr>
          <w:p w14:paraId="33103618" w14:textId="77777777" w:rsidR="00375BD2" w:rsidRPr="00C05886" w:rsidRDefault="00375BD2" w:rsidP="00375BD2">
            <w:pPr>
              <w:spacing w:line="240" w:lineRule="auto"/>
              <w:jc w:val="right"/>
              <w:rPr>
                <w:rFonts w:ascii="Calibri" w:eastAsia="Times New Roman" w:hAnsi="Calibri" w:cs="Calibri"/>
                <w:color w:val="000000"/>
                <w:lang w:eastAsia="en-GB"/>
              </w:rPr>
            </w:pPr>
            <w:r w:rsidRPr="00C05886">
              <w:rPr>
                <w:rFonts w:ascii="Calibri" w:eastAsia="Times New Roman" w:hAnsi="Calibri" w:cs="Calibri"/>
                <w:color w:val="000000"/>
                <w:lang w:eastAsia="en-GB"/>
              </w:rPr>
              <w:t>24.7%</w:t>
            </w:r>
          </w:p>
        </w:tc>
      </w:tr>
      <w:tr w:rsidR="00375BD2" w:rsidRPr="00C05886" w14:paraId="500008F0" w14:textId="77777777" w:rsidTr="00542578">
        <w:trPr>
          <w:trHeight w:val="300"/>
        </w:trPr>
        <w:tc>
          <w:tcPr>
            <w:tcW w:w="1715" w:type="dxa"/>
            <w:vMerge/>
            <w:noWrap/>
            <w:hideMark/>
          </w:tcPr>
          <w:p w14:paraId="3838EB4C" w14:textId="77777777" w:rsidR="00375BD2" w:rsidRPr="00C05886" w:rsidRDefault="00375BD2" w:rsidP="00375BD2">
            <w:pPr>
              <w:spacing w:line="240" w:lineRule="auto"/>
              <w:jc w:val="right"/>
              <w:rPr>
                <w:rFonts w:ascii="Calibri" w:eastAsia="Times New Roman" w:hAnsi="Calibri" w:cs="Calibri"/>
                <w:color w:val="000000"/>
                <w:lang w:eastAsia="en-GB"/>
              </w:rPr>
            </w:pPr>
          </w:p>
        </w:tc>
        <w:tc>
          <w:tcPr>
            <w:tcW w:w="795" w:type="dxa"/>
            <w:noWrap/>
            <w:hideMark/>
          </w:tcPr>
          <w:p w14:paraId="7AA79B8C" w14:textId="77777777" w:rsidR="00375BD2" w:rsidRPr="00C05886" w:rsidRDefault="00375BD2" w:rsidP="00375BD2">
            <w:pPr>
              <w:spacing w:line="240" w:lineRule="auto"/>
              <w:rPr>
                <w:rFonts w:ascii="Calibri" w:eastAsia="Times New Roman" w:hAnsi="Calibri" w:cs="Calibri"/>
                <w:color w:val="000000"/>
                <w:lang w:eastAsia="en-GB"/>
              </w:rPr>
            </w:pPr>
            <w:r w:rsidRPr="00C05886">
              <w:rPr>
                <w:rFonts w:ascii="Calibri" w:eastAsia="Times New Roman" w:hAnsi="Calibri" w:cs="Calibri"/>
                <w:color w:val="000000"/>
                <w:lang w:eastAsia="en-GB"/>
              </w:rPr>
              <w:t>LBLC</w:t>
            </w:r>
          </w:p>
        </w:tc>
        <w:tc>
          <w:tcPr>
            <w:tcW w:w="1048" w:type="dxa"/>
            <w:noWrap/>
            <w:hideMark/>
          </w:tcPr>
          <w:p w14:paraId="0B073B01" w14:textId="77777777" w:rsidR="00375BD2" w:rsidRPr="00C05886" w:rsidRDefault="00375BD2" w:rsidP="00375BD2">
            <w:pPr>
              <w:spacing w:line="240" w:lineRule="auto"/>
              <w:jc w:val="right"/>
              <w:rPr>
                <w:rFonts w:ascii="Calibri" w:eastAsia="Times New Roman" w:hAnsi="Calibri" w:cs="Calibri"/>
                <w:color w:val="000000"/>
                <w:lang w:eastAsia="en-GB"/>
              </w:rPr>
            </w:pPr>
            <w:r w:rsidRPr="00C05886">
              <w:rPr>
                <w:rFonts w:ascii="Calibri" w:eastAsia="Times New Roman" w:hAnsi="Calibri" w:cs="Calibri"/>
                <w:color w:val="000000"/>
                <w:lang w:eastAsia="en-GB"/>
              </w:rPr>
              <w:t>41.2%</w:t>
            </w:r>
          </w:p>
        </w:tc>
        <w:tc>
          <w:tcPr>
            <w:tcW w:w="1060" w:type="dxa"/>
            <w:noWrap/>
            <w:hideMark/>
          </w:tcPr>
          <w:p w14:paraId="2F6F53A1" w14:textId="77777777" w:rsidR="00375BD2" w:rsidRPr="00C05886" w:rsidRDefault="00375BD2" w:rsidP="00375BD2">
            <w:pPr>
              <w:spacing w:line="240" w:lineRule="auto"/>
              <w:jc w:val="right"/>
              <w:rPr>
                <w:rFonts w:ascii="Calibri" w:eastAsia="Times New Roman" w:hAnsi="Calibri" w:cs="Calibri"/>
                <w:color w:val="000000"/>
                <w:lang w:eastAsia="en-GB"/>
              </w:rPr>
            </w:pPr>
            <w:r w:rsidRPr="00C05886">
              <w:rPr>
                <w:rFonts w:ascii="Calibri" w:eastAsia="Times New Roman" w:hAnsi="Calibri" w:cs="Calibri"/>
                <w:color w:val="000000"/>
                <w:lang w:eastAsia="en-GB"/>
              </w:rPr>
              <w:t>38.2%</w:t>
            </w:r>
          </w:p>
        </w:tc>
        <w:tc>
          <w:tcPr>
            <w:tcW w:w="1048" w:type="dxa"/>
            <w:noWrap/>
            <w:hideMark/>
          </w:tcPr>
          <w:p w14:paraId="5CE81F27" w14:textId="77777777" w:rsidR="00375BD2" w:rsidRPr="00C05886" w:rsidRDefault="00375BD2" w:rsidP="00375BD2">
            <w:pPr>
              <w:spacing w:line="240" w:lineRule="auto"/>
              <w:jc w:val="right"/>
              <w:rPr>
                <w:rFonts w:ascii="Calibri" w:eastAsia="Times New Roman" w:hAnsi="Calibri" w:cs="Calibri"/>
                <w:color w:val="000000"/>
                <w:lang w:eastAsia="en-GB"/>
              </w:rPr>
            </w:pPr>
            <w:r w:rsidRPr="00C05886">
              <w:rPr>
                <w:rFonts w:ascii="Calibri" w:eastAsia="Times New Roman" w:hAnsi="Calibri" w:cs="Calibri"/>
                <w:color w:val="000000"/>
                <w:lang w:eastAsia="en-GB"/>
              </w:rPr>
              <w:t>20.6%</w:t>
            </w:r>
          </w:p>
        </w:tc>
      </w:tr>
      <w:tr w:rsidR="00375BD2" w:rsidRPr="00C05886" w14:paraId="387D3E87" w14:textId="77777777" w:rsidTr="00542578">
        <w:trPr>
          <w:trHeight w:val="300"/>
        </w:trPr>
        <w:tc>
          <w:tcPr>
            <w:tcW w:w="1715" w:type="dxa"/>
            <w:noWrap/>
            <w:hideMark/>
          </w:tcPr>
          <w:p w14:paraId="2C63BD00" w14:textId="77777777" w:rsidR="00375BD2" w:rsidRPr="00C05886" w:rsidRDefault="00375BD2" w:rsidP="00375BD2">
            <w:pPr>
              <w:spacing w:line="240" w:lineRule="auto"/>
              <w:rPr>
                <w:rFonts w:ascii="Calibri" w:eastAsia="Times New Roman" w:hAnsi="Calibri" w:cs="Calibri"/>
                <w:color w:val="000000"/>
                <w:lang w:eastAsia="en-GB"/>
              </w:rPr>
            </w:pPr>
            <w:r w:rsidRPr="00C05886">
              <w:rPr>
                <w:rFonts w:ascii="Calibri" w:eastAsia="Times New Roman" w:hAnsi="Calibri" w:cs="Calibri"/>
                <w:color w:val="000000"/>
                <w:lang w:eastAsia="en-GB"/>
              </w:rPr>
              <w:t>Total</w:t>
            </w:r>
          </w:p>
        </w:tc>
        <w:tc>
          <w:tcPr>
            <w:tcW w:w="795" w:type="dxa"/>
            <w:noWrap/>
            <w:hideMark/>
          </w:tcPr>
          <w:p w14:paraId="09566C5D" w14:textId="77777777" w:rsidR="00375BD2" w:rsidRPr="00C05886" w:rsidRDefault="00375BD2" w:rsidP="00375BD2">
            <w:pPr>
              <w:spacing w:line="240" w:lineRule="auto"/>
              <w:rPr>
                <w:rFonts w:ascii="Calibri" w:eastAsia="Times New Roman" w:hAnsi="Calibri" w:cs="Calibri"/>
                <w:color w:val="000000"/>
                <w:lang w:eastAsia="en-GB"/>
              </w:rPr>
            </w:pPr>
          </w:p>
        </w:tc>
        <w:tc>
          <w:tcPr>
            <w:tcW w:w="1048" w:type="dxa"/>
            <w:noWrap/>
            <w:hideMark/>
          </w:tcPr>
          <w:p w14:paraId="5387EA93" w14:textId="77777777" w:rsidR="00375BD2" w:rsidRPr="00C05886" w:rsidRDefault="00375BD2" w:rsidP="00375BD2">
            <w:pPr>
              <w:spacing w:line="240" w:lineRule="auto"/>
              <w:jc w:val="right"/>
              <w:rPr>
                <w:rFonts w:ascii="Calibri" w:eastAsia="Times New Roman" w:hAnsi="Calibri" w:cs="Calibri"/>
                <w:color w:val="000000"/>
                <w:lang w:eastAsia="en-GB"/>
              </w:rPr>
            </w:pPr>
            <w:r w:rsidRPr="00C05886">
              <w:rPr>
                <w:rFonts w:ascii="Calibri" w:eastAsia="Times New Roman" w:hAnsi="Calibri" w:cs="Calibri"/>
                <w:color w:val="000000"/>
                <w:lang w:eastAsia="en-GB"/>
              </w:rPr>
              <w:t>34.9%</w:t>
            </w:r>
          </w:p>
        </w:tc>
        <w:tc>
          <w:tcPr>
            <w:tcW w:w="1060" w:type="dxa"/>
            <w:noWrap/>
            <w:hideMark/>
          </w:tcPr>
          <w:p w14:paraId="203EEB7C" w14:textId="77777777" w:rsidR="00375BD2" w:rsidRPr="00C05886" w:rsidRDefault="00375BD2" w:rsidP="00375BD2">
            <w:pPr>
              <w:spacing w:line="240" w:lineRule="auto"/>
              <w:jc w:val="right"/>
              <w:rPr>
                <w:rFonts w:ascii="Calibri" w:eastAsia="Times New Roman" w:hAnsi="Calibri" w:cs="Calibri"/>
                <w:color w:val="000000"/>
                <w:lang w:eastAsia="en-GB"/>
              </w:rPr>
            </w:pPr>
            <w:r w:rsidRPr="00C05886">
              <w:rPr>
                <w:rFonts w:ascii="Calibri" w:eastAsia="Times New Roman" w:hAnsi="Calibri" w:cs="Calibri"/>
                <w:color w:val="000000"/>
                <w:lang w:eastAsia="en-GB"/>
              </w:rPr>
              <w:t>38.0%</w:t>
            </w:r>
          </w:p>
        </w:tc>
        <w:tc>
          <w:tcPr>
            <w:tcW w:w="1048" w:type="dxa"/>
            <w:noWrap/>
            <w:hideMark/>
          </w:tcPr>
          <w:p w14:paraId="28DCC4F9" w14:textId="77777777" w:rsidR="00375BD2" w:rsidRPr="00C05886" w:rsidRDefault="00375BD2" w:rsidP="00375BD2">
            <w:pPr>
              <w:spacing w:line="240" w:lineRule="auto"/>
              <w:jc w:val="right"/>
              <w:rPr>
                <w:rFonts w:ascii="Calibri" w:eastAsia="Times New Roman" w:hAnsi="Calibri" w:cs="Calibri"/>
                <w:color w:val="000000"/>
                <w:lang w:eastAsia="en-GB"/>
              </w:rPr>
            </w:pPr>
            <w:r w:rsidRPr="00C05886">
              <w:rPr>
                <w:rFonts w:ascii="Calibri" w:eastAsia="Times New Roman" w:hAnsi="Calibri" w:cs="Calibri"/>
                <w:color w:val="000000"/>
                <w:lang w:eastAsia="en-GB"/>
              </w:rPr>
              <w:t>27.1%</w:t>
            </w:r>
          </w:p>
        </w:tc>
      </w:tr>
    </w:tbl>
    <w:p w14:paraId="37D4921E" w14:textId="77777777" w:rsidR="00375BD2" w:rsidRPr="00C05886" w:rsidRDefault="00375BD2" w:rsidP="00375BD2">
      <w:pPr>
        <w:spacing w:line="240" w:lineRule="auto"/>
      </w:pPr>
    </w:p>
    <w:p w14:paraId="70F650E7" w14:textId="77777777" w:rsidR="00375BD2" w:rsidRDefault="00375BD2" w:rsidP="00375BD2">
      <w:pPr>
        <w:spacing w:line="240" w:lineRule="auto"/>
      </w:pPr>
      <w:r w:rsidRPr="00C05886">
        <w:t>Treatments acronyms: HBHC = high biodiversity and high colour diversity; HBLC = high biodiversity and low colour diversity; LBHC = low biodiversity and high colour diversity; LBLC = low biodiversity and low colour diversity;</w:t>
      </w:r>
    </w:p>
    <w:p w14:paraId="3ADACADF" w14:textId="25CBF847" w:rsidR="00CB4B8B" w:rsidRDefault="00CB4B8B" w:rsidP="005D7515">
      <w:pPr>
        <w:pStyle w:val="Caption"/>
        <w:keepNext/>
      </w:pPr>
      <w:r>
        <w:t xml:space="preserve">Table S12. </w:t>
      </w:r>
      <w:r w:rsidRPr="00CB4B8B">
        <w:t xml:space="preserve">Statistical tests checking for differences in demographics between the </w:t>
      </w:r>
      <w:r w:rsidR="00347F72">
        <w:t>park</w:t>
      </w:r>
      <w:r w:rsidRPr="00CB4B8B">
        <w:t xml:space="preserve"> groups</w:t>
      </w:r>
    </w:p>
    <w:tbl>
      <w:tblPr>
        <w:tblStyle w:val="TableGrid"/>
        <w:tblW w:w="9943" w:type="dxa"/>
        <w:tblLook w:val="04A0" w:firstRow="1" w:lastRow="0" w:firstColumn="1" w:lastColumn="0" w:noHBand="0" w:noVBand="1"/>
      </w:tblPr>
      <w:tblGrid>
        <w:gridCol w:w="2689"/>
        <w:gridCol w:w="1984"/>
        <w:gridCol w:w="709"/>
        <w:gridCol w:w="992"/>
        <w:gridCol w:w="1134"/>
        <w:gridCol w:w="1031"/>
        <w:gridCol w:w="1404"/>
      </w:tblGrid>
      <w:tr w:rsidR="00CB4B8B" w14:paraId="75604290" w14:textId="77777777" w:rsidTr="00263DC6">
        <w:trPr>
          <w:trHeight w:val="416"/>
        </w:trPr>
        <w:tc>
          <w:tcPr>
            <w:tcW w:w="2689" w:type="dxa"/>
          </w:tcPr>
          <w:p w14:paraId="53464B0F" w14:textId="77777777" w:rsidR="00CB4B8B" w:rsidRPr="00D91407" w:rsidRDefault="00CB4B8B" w:rsidP="00263DC6">
            <w:pPr>
              <w:spacing w:line="259" w:lineRule="auto"/>
              <w:jc w:val="left"/>
              <w:rPr>
                <w:b/>
                <w:bCs/>
                <w:sz w:val="20"/>
                <w:szCs w:val="20"/>
              </w:rPr>
            </w:pPr>
            <w:r w:rsidRPr="00D91407">
              <w:rPr>
                <w:b/>
                <w:bCs/>
                <w:sz w:val="20"/>
                <w:szCs w:val="20"/>
              </w:rPr>
              <w:t>Null Hypothesis</w:t>
            </w:r>
          </w:p>
        </w:tc>
        <w:tc>
          <w:tcPr>
            <w:tcW w:w="1984" w:type="dxa"/>
          </w:tcPr>
          <w:p w14:paraId="4ABA6613" w14:textId="77777777" w:rsidR="00CB4B8B" w:rsidRPr="00D91407" w:rsidRDefault="00CB4B8B" w:rsidP="00263DC6">
            <w:pPr>
              <w:spacing w:line="259" w:lineRule="auto"/>
              <w:jc w:val="left"/>
              <w:rPr>
                <w:b/>
                <w:bCs/>
                <w:sz w:val="20"/>
                <w:szCs w:val="20"/>
              </w:rPr>
            </w:pPr>
            <w:r w:rsidRPr="00D91407">
              <w:rPr>
                <w:b/>
                <w:bCs/>
                <w:sz w:val="20"/>
                <w:szCs w:val="20"/>
              </w:rPr>
              <w:t>Test</w:t>
            </w:r>
          </w:p>
        </w:tc>
        <w:tc>
          <w:tcPr>
            <w:tcW w:w="709" w:type="dxa"/>
          </w:tcPr>
          <w:p w14:paraId="6BEAC8C2" w14:textId="77777777" w:rsidR="00CB4B8B" w:rsidRPr="00D91407" w:rsidRDefault="00CB4B8B" w:rsidP="00263DC6">
            <w:pPr>
              <w:spacing w:line="259" w:lineRule="auto"/>
              <w:jc w:val="left"/>
              <w:rPr>
                <w:b/>
                <w:bCs/>
                <w:sz w:val="20"/>
                <w:szCs w:val="20"/>
              </w:rPr>
            </w:pPr>
            <w:r w:rsidRPr="00D91407">
              <w:rPr>
                <w:b/>
                <w:bCs/>
                <w:sz w:val="20"/>
                <w:szCs w:val="20"/>
              </w:rPr>
              <w:t>N</w:t>
            </w:r>
          </w:p>
        </w:tc>
        <w:tc>
          <w:tcPr>
            <w:tcW w:w="992" w:type="dxa"/>
          </w:tcPr>
          <w:p w14:paraId="29249CDC" w14:textId="77777777" w:rsidR="00CB4B8B" w:rsidRPr="00D91407" w:rsidRDefault="00CB4B8B" w:rsidP="00263DC6">
            <w:pPr>
              <w:spacing w:line="259" w:lineRule="auto"/>
              <w:jc w:val="left"/>
              <w:rPr>
                <w:b/>
                <w:bCs/>
                <w:sz w:val="20"/>
                <w:szCs w:val="20"/>
              </w:rPr>
            </w:pPr>
            <w:r w:rsidRPr="00D91407">
              <w:rPr>
                <w:b/>
                <w:bCs/>
                <w:sz w:val="20"/>
                <w:szCs w:val="20"/>
              </w:rPr>
              <w:t>Test statistic</w:t>
            </w:r>
          </w:p>
        </w:tc>
        <w:tc>
          <w:tcPr>
            <w:tcW w:w="1134" w:type="dxa"/>
          </w:tcPr>
          <w:p w14:paraId="7CA26A6D" w14:textId="77777777" w:rsidR="00CB4B8B" w:rsidRPr="00D91407" w:rsidRDefault="00CB4B8B" w:rsidP="00263DC6">
            <w:pPr>
              <w:spacing w:line="259" w:lineRule="auto"/>
              <w:jc w:val="left"/>
              <w:rPr>
                <w:b/>
                <w:bCs/>
                <w:sz w:val="20"/>
                <w:szCs w:val="20"/>
              </w:rPr>
            </w:pPr>
            <w:r w:rsidRPr="00D91407">
              <w:rPr>
                <w:b/>
                <w:bCs/>
                <w:sz w:val="20"/>
                <w:szCs w:val="20"/>
              </w:rPr>
              <w:t>Degrees of freedom</w:t>
            </w:r>
          </w:p>
        </w:tc>
        <w:tc>
          <w:tcPr>
            <w:tcW w:w="1031" w:type="dxa"/>
          </w:tcPr>
          <w:p w14:paraId="7DD9D4E0" w14:textId="77777777" w:rsidR="00CB4B8B" w:rsidRDefault="00CB4B8B" w:rsidP="00263DC6">
            <w:pPr>
              <w:spacing w:line="259" w:lineRule="auto"/>
              <w:jc w:val="left"/>
              <w:rPr>
                <w:b/>
                <w:bCs/>
                <w:sz w:val="20"/>
                <w:szCs w:val="20"/>
              </w:rPr>
            </w:pPr>
            <w:r w:rsidRPr="00D91407">
              <w:rPr>
                <w:b/>
                <w:bCs/>
                <w:sz w:val="20"/>
                <w:szCs w:val="20"/>
              </w:rPr>
              <w:t xml:space="preserve">P-value </w:t>
            </w:r>
          </w:p>
          <w:p w14:paraId="28C88A31" w14:textId="77777777" w:rsidR="00CB4B8B" w:rsidRPr="00D91407" w:rsidRDefault="00CB4B8B" w:rsidP="00263DC6">
            <w:pPr>
              <w:spacing w:line="259" w:lineRule="auto"/>
              <w:jc w:val="left"/>
              <w:rPr>
                <w:b/>
                <w:bCs/>
                <w:sz w:val="20"/>
                <w:szCs w:val="20"/>
              </w:rPr>
            </w:pPr>
            <w:r w:rsidRPr="00D91407">
              <w:rPr>
                <w:b/>
                <w:bCs/>
                <w:sz w:val="20"/>
                <w:szCs w:val="20"/>
              </w:rPr>
              <w:t>(2-tailed)</w:t>
            </w:r>
          </w:p>
        </w:tc>
        <w:tc>
          <w:tcPr>
            <w:tcW w:w="1404" w:type="dxa"/>
          </w:tcPr>
          <w:p w14:paraId="306A342C" w14:textId="77777777" w:rsidR="00CB4B8B" w:rsidRPr="00D91407" w:rsidRDefault="00CB4B8B" w:rsidP="00263DC6">
            <w:pPr>
              <w:spacing w:line="259" w:lineRule="auto"/>
              <w:jc w:val="left"/>
              <w:rPr>
                <w:b/>
                <w:bCs/>
                <w:sz w:val="20"/>
                <w:szCs w:val="20"/>
              </w:rPr>
            </w:pPr>
            <w:r w:rsidRPr="00D91407">
              <w:rPr>
                <w:b/>
                <w:bCs/>
                <w:sz w:val="20"/>
                <w:szCs w:val="20"/>
              </w:rPr>
              <w:t>Decision</w:t>
            </w:r>
          </w:p>
        </w:tc>
      </w:tr>
      <w:tr w:rsidR="00347F72" w14:paraId="7137D43C" w14:textId="77777777" w:rsidTr="00CB4209">
        <w:trPr>
          <w:trHeight w:val="283"/>
        </w:trPr>
        <w:tc>
          <w:tcPr>
            <w:tcW w:w="9943" w:type="dxa"/>
            <w:gridSpan w:val="7"/>
          </w:tcPr>
          <w:p w14:paraId="577CFE62" w14:textId="2B53C272" w:rsidR="00347F72" w:rsidRPr="005D7515" w:rsidRDefault="00347F72" w:rsidP="00263DC6">
            <w:pPr>
              <w:spacing w:line="259" w:lineRule="auto"/>
              <w:jc w:val="left"/>
              <w:rPr>
                <w:b/>
                <w:bCs/>
                <w:sz w:val="20"/>
                <w:szCs w:val="20"/>
              </w:rPr>
            </w:pPr>
            <w:r w:rsidRPr="005D7515">
              <w:rPr>
                <w:b/>
                <w:bCs/>
                <w:sz w:val="20"/>
                <w:szCs w:val="20"/>
              </w:rPr>
              <w:t>English-speaking, unstressed, Experiment 1</w:t>
            </w:r>
          </w:p>
        </w:tc>
      </w:tr>
      <w:tr w:rsidR="00796651" w14:paraId="211C1479" w14:textId="77777777" w:rsidTr="00263DC6">
        <w:trPr>
          <w:trHeight w:val="416"/>
        </w:trPr>
        <w:tc>
          <w:tcPr>
            <w:tcW w:w="2689" w:type="dxa"/>
          </w:tcPr>
          <w:p w14:paraId="05D5EB73" w14:textId="707E3305" w:rsidR="00796651" w:rsidRPr="00D91407" w:rsidRDefault="00796651" w:rsidP="00796651">
            <w:pPr>
              <w:spacing w:line="259" w:lineRule="auto"/>
              <w:jc w:val="left"/>
              <w:rPr>
                <w:sz w:val="20"/>
                <w:szCs w:val="20"/>
              </w:rPr>
            </w:pPr>
            <w:r w:rsidRPr="00D91407">
              <w:rPr>
                <w:sz w:val="20"/>
                <w:szCs w:val="20"/>
              </w:rPr>
              <w:lastRenderedPageBreak/>
              <w:t xml:space="preserve">The distribution of </w:t>
            </w:r>
            <w:r w:rsidRPr="00575CD3">
              <w:rPr>
                <w:b/>
                <w:bCs/>
                <w:sz w:val="20"/>
                <w:szCs w:val="20"/>
              </w:rPr>
              <w:t>Age</w:t>
            </w:r>
            <w:r w:rsidRPr="00D91407">
              <w:rPr>
                <w:sz w:val="20"/>
                <w:szCs w:val="20"/>
              </w:rPr>
              <w:t xml:space="preserve"> is the same across </w:t>
            </w:r>
            <w:r>
              <w:rPr>
                <w:sz w:val="20"/>
                <w:szCs w:val="20"/>
              </w:rPr>
              <w:t>treatment groups</w:t>
            </w:r>
          </w:p>
        </w:tc>
        <w:tc>
          <w:tcPr>
            <w:tcW w:w="1984" w:type="dxa"/>
          </w:tcPr>
          <w:p w14:paraId="7AB652BF" w14:textId="77777777" w:rsidR="00796651" w:rsidRPr="00D91407" w:rsidRDefault="00796651" w:rsidP="00796651">
            <w:pPr>
              <w:spacing w:line="259" w:lineRule="auto"/>
              <w:jc w:val="left"/>
              <w:rPr>
                <w:sz w:val="20"/>
                <w:szCs w:val="20"/>
              </w:rPr>
            </w:pPr>
            <w:r w:rsidRPr="00575CD3">
              <w:rPr>
                <w:sz w:val="20"/>
                <w:szCs w:val="20"/>
              </w:rPr>
              <w:t>Pearson Chi-Square</w:t>
            </w:r>
          </w:p>
        </w:tc>
        <w:tc>
          <w:tcPr>
            <w:tcW w:w="709" w:type="dxa"/>
          </w:tcPr>
          <w:p w14:paraId="3F915D87" w14:textId="7A1402BB" w:rsidR="00796651" w:rsidRDefault="00796651" w:rsidP="00796651">
            <w:pPr>
              <w:spacing w:line="259" w:lineRule="auto"/>
              <w:jc w:val="left"/>
              <w:rPr>
                <w:sz w:val="20"/>
                <w:szCs w:val="20"/>
              </w:rPr>
            </w:pPr>
            <w:r>
              <w:rPr>
                <w:sz w:val="20"/>
                <w:szCs w:val="20"/>
              </w:rPr>
              <w:t>463</w:t>
            </w:r>
          </w:p>
        </w:tc>
        <w:tc>
          <w:tcPr>
            <w:tcW w:w="992" w:type="dxa"/>
          </w:tcPr>
          <w:p w14:paraId="46BDCC80" w14:textId="7CE49A1B" w:rsidR="00796651" w:rsidRDefault="00796651" w:rsidP="00796651">
            <w:pPr>
              <w:spacing w:line="259" w:lineRule="auto"/>
              <w:jc w:val="left"/>
              <w:rPr>
                <w:sz w:val="20"/>
                <w:szCs w:val="20"/>
              </w:rPr>
            </w:pPr>
            <w:r>
              <w:rPr>
                <w:sz w:val="20"/>
                <w:szCs w:val="20"/>
              </w:rPr>
              <w:t>18.8</w:t>
            </w:r>
          </w:p>
        </w:tc>
        <w:tc>
          <w:tcPr>
            <w:tcW w:w="1134" w:type="dxa"/>
          </w:tcPr>
          <w:p w14:paraId="7A5B16C6" w14:textId="1B6BA44D" w:rsidR="00796651" w:rsidRDefault="00796651" w:rsidP="00796651">
            <w:pPr>
              <w:spacing w:line="259" w:lineRule="auto"/>
              <w:jc w:val="left"/>
              <w:rPr>
                <w:sz w:val="20"/>
                <w:szCs w:val="20"/>
              </w:rPr>
            </w:pPr>
            <w:r>
              <w:rPr>
                <w:sz w:val="20"/>
                <w:szCs w:val="20"/>
              </w:rPr>
              <w:t>21</w:t>
            </w:r>
          </w:p>
        </w:tc>
        <w:tc>
          <w:tcPr>
            <w:tcW w:w="1031" w:type="dxa"/>
          </w:tcPr>
          <w:p w14:paraId="1385A6B0" w14:textId="162EF49F" w:rsidR="00796651" w:rsidRDefault="00796651" w:rsidP="00796651">
            <w:pPr>
              <w:spacing w:line="259" w:lineRule="auto"/>
              <w:jc w:val="left"/>
              <w:rPr>
                <w:sz w:val="20"/>
                <w:szCs w:val="20"/>
              </w:rPr>
            </w:pPr>
            <w:r>
              <w:rPr>
                <w:sz w:val="20"/>
                <w:szCs w:val="20"/>
              </w:rPr>
              <w:t>0.6</w:t>
            </w:r>
          </w:p>
        </w:tc>
        <w:tc>
          <w:tcPr>
            <w:tcW w:w="1404" w:type="dxa"/>
          </w:tcPr>
          <w:p w14:paraId="0958720D" w14:textId="77777777" w:rsidR="00796651" w:rsidRDefault="00796651" w:rsidP="00796651">
            <w:pPr>
              <w:spacing w:line="259" w:lineRule="auto"/>
              <w:jc w:val="left"/>
              <w:rPr>
                <w:sz w:val="20"/>
                <w:szCs w:val="20"/>
              </w:rPr>
            </w:pPr>
            <w:r>
              <w:rPr>
                <w:sz w:val="20"/>
                <w:szCs w:val="20"/>
              </w:rPr>
              <w:t>Retain the null hypothesis</w:t>
            </w:r>
          </w:p>
        </w:tc>
      </w:tr>
      <w:tr w:rsidR="00796651" w14:paraId="29C626FA" w14:textId="77777777" w:rsidTr="00263DC6">
        <w:trPr>
          <w:trHeight w:val="416"/>
        </w:trPr>
        <w:tc>
          <w:tcPr>
            <w:tcW w:w="2689" w:type="dxa"/>
          </w:tcPr>
          <w:p w14:paraId="4D4A1ED4" w14:textId="71CAC91B" w:rsidR="00796651" w:rsidRPr="00D91407" w:rsidRDefault="00796651" w:rsidP="00796651">
            <w:pPr>
              <w:spacing w:line="259" w:lineRule="auto"/>
              <w:jc w:val="left"/>
              <w:rPr>
                <w:sz w:val="20"/>
                <w:szCs w:val="20"/>
              </w:rPr>
            </w:pPr>
            <w:r w:rsidRPr="00D91407">
              <w:rPr>
                <w:sz w:val="20"/>
                <w:szCs w:val="20"/>
              </w:rPr>
              <w:t xml:space="preserve">The distribution of </w:t>
            </w:r>
            <w:r w:rsidRPr="00575CD3">
              <w:rPr>
                <w:b/>
                <w:bCs/>
                <w:sz w:val="20"/>
                <w:szCs w:val="20"/>
              </w:rPr>
              <w:t>Gender</w:t>
            </w:r>
            <w:r w:rsidRPr="00D91407">
              <w:rPr>
                <w:sz w:val="20"/>
                <w:szCs w:val="20"/>
              </w:rPr>
              <w:t xml:space="preserve"> is the same across </w:t>
            </w:r>
            <w:r>
              <w:rPr>
                <w:sz w:val="20"/>
                <w:szCs w:val="20"/>
              </w:rPr>
              <w:t>treatment groups</w:t>
            </w:r>
          </w:p>
        </w:tc>
        <w:tc>
          <w:tcPr>
            <w:tcW w:w="1984" w:type="dxa"/>
          </w:tcPr>
          <w:p w14:paraId="2F8D7FB0" w14:textId="77777777" w:rsidR="00796651" w:rsidRPr="00D91407" w:rsidRDefault="00796651" w:rsidP="00796651">
            <w:pPr>
              <w:spacing w:line="259" w:lineRule="auto"/>
              <w:jc w:val="left"/>
              <w:rPr>
                <w:sz w:val="20"/>
                <w:szCs w:val="20"/>
              </w:rPr>
            </w:pPr>
            <w:r w:rsidRPr="00575CD3">
              <w:rPr>
                <w:sz w:val="20"/>
                <w:szCs w:val="20"/>
              </w:rPr>
              <w:t>Pearson Chi-Square</w:t>
            </w:r>
          </w:p>
        </w:tc>
        <w:tc>
          <w:tcPr>
            <w:tcW w:w="709" w:type="dxa"/>
          </w:tcPr>
          <w:p w14:paraId="62684027" w14:textId="6BD4ABCF" w:rsidR="00796651" w:rsidRDefault="00796651" w:rsidP="00796651">
            <w:pPr>
              <w:spacing w:line="259" w:lineRule="auto"/>
              <w:jc w:val="left"/>
              <w:rPr>
                <w:sz w:val="20"/>
                <w:szCs w:val="20"/>
              </w:rPr>
            </w:pPr>
            <w:r>
              <w:rPr>
                <w:sz w:val="20"/>
                <w:szCs w:val="20"/>
              </w:rPr>
              <w:t>463</w:t>
            </w:r>
          </w:p>
        </w:tc>
        <w:tc>
          <w:tcPr>
            <w:tcW w:w="992" w:type="dxa"/>
          </w:tcPr>
          <w:p w14:paraId="5472015E" w14:textId="137BA571" w:rsidR="00796651" w:rsidRDefault="00796651" w:rsidP="00796651">
            <w:pPr>
              <w:spacing w:line="259" w:lineRule="auto"/>
              <w:jc w:val="left"/>
              <w:rPr>
                <w:sz w:val="20"/>
                <w:szCs w:val="20"/>
              </w:rPr>
            </w:pPr>
            <w:r>
              <w:rPr>
                <w:sz w:val="20"/>
                <w:szCs w:val="20"/>
              </w:rPr>
              <w:t>12.9</w:t>
            </w:r>
          </w:p>
        </w:tc>
        <w:tc>
          <w:tcPr>
            <w:tcW w:w="1134" w:type="dxa"/>
          </w:tcPr>
          <w:p w14:paraId="34AB4DE3" w14:textId="77777777" w:rsidR="00796651" w:rsidRDefault="00796651" w:rsidP="00796651">
            <w:pPr>
              <w:spacing w:line="259" w:lineRule="auto"/>
              <w:jc w:val="left"/>
              <w:rPr>
                <w:sz w:val="20"/>
                <w:szCs w:val="20"/>
              </w:rPr>
            </w:pPr>
            <w:r>
              <w:rPr>
                <w:sz w:val="20"/>
                <w:szCs w:val="20"/>
              </w:rPr>
              <w:t>9</w:t>
            </w:r>
          </w:p>
        </w:tc>
        <w:tc>
          <w:tcPr>
            <w:tcW w:w="1031" w:type="dxa"/>
          </w:tcPr>
          <w:p w14:paraId="2AD7D608" w14:textId="79166690" w:rsidR="00796651" w:rsidRDefault="00796651" w:rsidP="00796651">
            <w:pPr>
              <w:spacing w:line="259" w:lineRule="auto"/>
              <w:jc w:val="left"/>
              <w:rPr>
                <w:sz w:val="20"/>
                <w:szCs w:val="20"/>
              </w:rPr>
            </w:pPr>
            <w:r>
              <w:rPr>
                <w:sz w:val="20"/>
                <w:szCs w:val="20"/>
              </w:rPr>
              <w:t>0.16</w:t>
            </w:r>
          </w:p>
        </w:tc>
        <w:tc>
          <w:tcPr>
            <w:tcW w:w="1404" w:type="dxa"/>
          </w:tcPr>
          <w:p w14:paraId="353ABF35" w14:textId="77777777" w:rsidR="00796651" w:rsidRDefault="00796651" w:rsidP="00796651">
            <w:pPr>
              <w:spacing w:line="259" w:lineRule="auto"/>
              <w:jc w:val="left"/>
              <w:rPr>
                <w:sz w:val="20"/>
                <w:szCs w:val="20"/>
              </w:rPr>
            </w:pPr>
            <w:r>
              <w:rPr>
                <w:sz w:val="20"/>
                <w:szCs w:val="20"/>
              </w:rPr>
              <w:t>Retain the null hypothesis</w:t>
            </w:r>
          </w:p>
        </w:tc>
      </w:tr>
      <w:tr w:rsidR="00796651" w14:paraId="64556DBB" w14:textId="77777777" w:rsidTr="00263DC6">
        <w:trPr>
          <w:trHeight w:val="416"/>
        </w:trPr>
        <w:tc>
          <w:tcPr>
            <w:tcW w:w="2689" w:type="dxa"/>
          </w:tcPr>
          <w:p w14:paraId="308B7574" w14:textId="0201D91B" w:rsidR="00796651" w:rsidRPr="00D91407" w:rsidRDefault="00796651" w:rsidP="00796651">
            <w:pPr>
              <w:spacing w:line="259" w:lineRule="auto"/>
              <w:jc w:val="left"/>
              <w:rPr>
                <w:sz w:val="20"/>
                <w:szCs w:val="20"/>
              </w:rPr>
            </w:pPr>
            <w:r w:rsidRPr="00D91407">
              <w:rPr>
                <w:sz w:val="20"/>
                <w:szCs w:val="20"/>
              </w:rPr>
              <w:t xml:space="preserve">The distribution of </w:t>
            </w:r>
            <w:r>
              <w:rPr>
                <w:b/>
                <w:bCs/>
                <w:sz w:val="20"/>
                <w:szCs w:val="20"/>
              </w:rPr>
              <w:t xml:space="preserve">Education </w:t>
            </w:r>
            <w:r w:rsidR="00B115FA">
              <w:rPr>
                <w:b/>
                <w:bCs/>
                <w:sz w:val="20"/>
                <w:szCs w:val="20"/>
              </w:rPr>
              <w:t>attainment</w:t>
            </w:r>
            <w:r w:rsidRPr="00D91407">
              <w:rPr>
                <w:sz w:val="20"/>
                <w:szCs w:val="20"/>
              </w:rPr>
              <w:t xml:space="preserve"> is the same across </w:t>
            </w:r>
            <w:r>
              <w:rPr>
                <w:sz w:val="20"/>
                <w:szCs w:val="20"/>
              </w:rPr>
              <w:t>treatment groups</w:t>
            </w:r>
          </w:p>
        </w:tc>
        <w:tc>
          <w:tcPr>
            <w:tcW w:w="1984" w:type="dxa"/>
          </w:tcPr>
          <w:p w14:paraId="7125B21D" w14:textId="4A525688" w:rsidR="00796651" w:rsidRPr="00575CD3" w:rsidRDefault="00796651" w:rsidP="00796651">
            <w:pPr>
              <w:spacing w:line="259" w:lineRule="auto"/>
              <w:jc w:val="left"/>
              <w:rPr>
                <w:sz w:val="20"/>
                <w:szCs w:val="20"/>
              </w:rPr>
            </w:pPr>
            <w:r w:rsidRPr="00575CD3">
              <w:rPr>
                <w:sz w:val="20"/>
                <w:szCs w:val="20"/>
              </w:rPr>
              <w:t>Pearson Chi-Square</w:t>
            </w:r>
          </w:p>
        </w:tc>
        <w:tc>
          <w:tcPr>
            <w:tcW w:w="709" w:type="dxa"/>
          </w:tcPr>
          <w:p w14:paraId="4E2EED9B" w14:textId="40AD1706" w:rsidR="00796651" w:rsidRDefault="00796651" w:rsidP="00796651">
            <w:pPr>
              <w:spacing w:line="259" w:lineRule="auto"/>
              <w:jc w:val="left"/>
              <w:rPr>
                <w:sz w:val="20"/>
                <w:szCs w:val="20"/>
              </w:rPr>
            </w:pPr>
            <w:r>
              <w:rPr>
                <w:sz w:val="20"/>
                <w:szCs w:val="20"/>
              </w:rPr>
              <w:t>462</w:t>
            </w:r>
          </w:p>
        </w:tc>
        <w:tc>
          <w:tcPr>
            <w:tcW w:w="992" w:type="dxa"/>
          </w:tcPr>
          <w:p w14:paraId="795E42E0" w14:textId="5CF6FB16" w:rsidR="00796651" w:rsidRDefault="00796651" w:rsidP="00796651">
            <w:pPr>
              <w:spacing w:line="259" w:lineRule="auto"/>
              <w:jc w:val="left"/>
              <w:rPr>
                <w:sz w:val="20"/>
                <w:szCs w:val="20"/>
              </w:rPr>
            </w:pPr>
            <w:r>
              <w:rPr>
                <w:sz w:val="20"/>
                <w:szCs w:val="20"/>
              </w:rPr>
              <w:t>8.55</w:t>
            </w:r>
          </w:p>
        </w:tc>
        <w:tc>
          <w:tcPr>
            <w:tcW w:w="1134" w:type="dxa"/>
          </w:tcPr>
          <w:p w14:paraId="303876F9" w14:textId="78EA5B18" w:rsidR="00796651" w:rsidRDefault="00796651" w:rsidP="00796651">
            <w:pPr>
              <w:spacing w:line="259" w:lineRule="auto"/>
              <w:jc w:val="left"/>
              <w:rPr>
                <w:sz w:val="20"/>
                <w:szCs w:val="20"/>
              </w:rPr>
            </w:pPr>
            <w:r>
              <w:rPr>
                <w:sz w:val="20"/>
                <w:szCs w:val="20"/>
              </w:rPr>
              <w:t>12</w:t>
            </w:r>
          </w:p>
        </w:tc>
        <w:tc>
          <w:tcPr>
            <w:tcW w:w="1031" w:type="dxa"/>
          </w:tcPr>
          <w:p w14:paraId="01390202" w14:textId="1DAEB813" w:rsidR="00796651" w:rsidRDefault="00796651" w:rsidP="00796651">
            <w:pPr>
              <w:spacing w:line="259" w:lineRule="auto"/>
              <w:jc w:val="left"/>
              <w:rPr>
                <w:sz w:val="20"/>
                <w:szCs w:val="20"/>
              </w:rPr>
            </w:pPr>
            <w:r>
              <w:rPr>
                <w:sz w:val="20"/>
                <w:szCs w:val="20"/>
              </w:rPr>
              <w:t>0.74</w:t>
            </w:r>
          </w:p>
        </w:tc>
        <w:tc>
          <w:tcPr>
            <w:tcW w:w="1404" w:type="dxa"/>
          </w:tcPr>
          <w:p w14:paraId="030EA826" w14:textId="02008B05" w:rsidR="00796651" w:rsidRDefault="00796651" w:rsidP="00796651">
            <w:pPr>
              <w:spacing w:line="259" w:lineRule="auto"/>
              <w:jc w:val="left"/>
              <w:rPr>
                <w:sz w:val="20"/>
                <w:szCs w:val="20"/>
              </w:rPr>
            </w:pPr>
            <w:r>
              <w:rPr>
                <w:sz w:val="20"/>
                <w:szCs w:val="20"/>
              </w:rPr>
              <w:t>Retain the null hypothesis</w:t>
            </w:r>
          </w:p>
        </w:tc>
      </w:tr>
      <w:tr w:rsidR="00796651" w14:paraId="4E70BAB9" w14:textId="77777777" w:rsidTr="00263DC6">
        <w:trPr>
          <w:trHeight w:val="416"/>
        </w:trPr>
        <w:tc>
          <w:tcPr>
            <w:tcW w:w="2689" w:type="dxa"/>
          </w:tcPr>
          <w:p w14:paraId="31D20CAE" w14:textId="60676623" w:rsidR="00796651" w:rsidRPr="00D91407" w:rsidRDefault="00796651" w:rsidP="00796651">
            <w:pPr>
              <w:spacing w:line="259" w:lineRule="auto"/>
              <w:jc w:val="left"/>
              <w:rPr>
                <w:sz w:val="20"/>
                <w:szCs w:val="20"/>
              </w:rPr>
            </w:pPr>
            <w:r w:rsidRPr="00D91407">
              <w:rPr>
                <w:sz w:val="20"/>
                <w:szCs w:val="20"/>
              </w:rPr>
              <w:t xml:space="preserve">The distribution of </w:t>
            </w:r>
            <w:r w:rsidR="00B115FA" w:rsidRPr="00575CD3">
              <w:rPr>
                <w:b/>
                <w:bCs/>
                <w:sz w:val="20"/>
                <w:szCs w:val="20"/>
              </w:rPr>
              <w:t>Ethnicity</w:t>
            </w:r>
            <w:r w:rsidRPr="00D91407">
              <w:rPr>
                <w:sz w:val="20"/>
                <w:szCs w:val="20"/>
              </w:rPr>
              <w:t xml:space="preserve"> is the same across </w:t>
            </w:r>
            <w:r>
              <w:rPr>
                <w:sz w:val="20"/>
                <w:szCs w:val="20"/>
              </w:rPr>
              <w:t>treatment groups</w:t>
            </w:r>
          </w:p>
        </w:tc>
        <w:tc>
          <w:tcPr>
            <w:tcW w:w="1984" w:type="dxa"/>
          </w:tcPr>
          <w:p w14:paraId="623D2A1A" w14:textId="77777777" w:rsidR="00796651" w:rsidRPr="00D91407" w:rsidRDefault="00796651" w:rsidP="00796651">
            <w:pPr>
              <w:spacing w:line="259" w:lineRule="auto"/>
              <w:jc w:val="left"/>
              <w:rPr>
                <w:sz w:val="20"/>
                <w:szCs w:val="20"/>
              </w:rPr>
            </w:pPr>
            <w:r w:rsidRPr="00575CD3">
              <w:rPr>
                <w:sz w:val="20"/>
                <w:szCs w:val="20"/>
              </w:rPr>
              <w:t>Pearson Chi-Square</w:t>
            </w:r>
          </w:p>
        </w:tc>
        <w:tc>
          <w:tcPr>
            <w:tcW w:w="709" w:type="dxa"/>
          </w:tcPr>
          <w:p w14:paraId="5F851ECE" w14:textId="35F581AC" w:rsidR="00796651" w:rsidRDefault="00796651" w:rsidP="00796651">
            <w:pPr>
              <w:spacing w:line="259" w:lineRule="auto"/>
              <w:jc w:val="left"/>
              <w:rPr>
                <w:sz w:val="20"/>
                <w:szCs w:val="20"/>
              </w:rPr>
            </w:pPr>
            <w:r>
              <w:rPr>
                <w:sz w:val="20"/>
                <w:szCs w:val="20"/>
              </w:rPr>
              <w:t>461</w:t>
            </w:r>
          </w:p>
        </w:tc>
        <w:tc>
          <w:tcPr>
            <w:tcW w:w="992" w:type="dxa"/>
          </w:tcPr>
          <w:p w14:paraId="10FBAC3D" w14:textId="5FC184F9" w:rsidR="00796651" w:rsidRDefault="00796651" w:rsidP="00796651">
            <w:pPr>
              <w:spacing w:line="259" w:lineRule="auto"/>
              <w:jc w:val="left"/>
              <w:rPr>
                <w:sz w:val="20"/>
                <w:szCs w:val="20"/>
              </w:rPr>
            </w:pPr>
            <w:r>
              <w:rPr>
                <w:sz w:val="20"/>
                <w:szCs w:val="20"/>
              </w:rPr>
              <w:t>22.5</w:t>
            </w:r>
          </w:p>
        </w:tc>
        <w:tc>
          <w:tcPr>
            <w:tcW w:w="1134" w:type="dxa"/>
          </w:tcPr>
          <w:p w14:paraId="220B6D1D" w14:textId="77777777" w:rsidR="00796651" w:rsidRDefault="00796651" w:rsidP="00796651">
            <w:pPr>
              <w:spacing w:line="259" w:lineRule="auto"/>
              <w:jc w:val="left"/>
              <w:rPr>
                <w:sz w:val="20"/>
                <w:szCs w:val="20"/>
              </w:rPr>
            </w:pPr>
            <w:r>
              <w:rPr>
                <w:sz w:val="20"/>
                <w:szCs w:val="20"/>
              </w:rPr>
              <w:t>12</w:t>
            </w:r>
          </w:p>
        </w:tc>
        <w:tc>
          <w:tcPr>
            <w:tcW w:w="1031" w:type="dxa"/>
          </w:tcPr>
          <w:p w14:paraId="2B65B9EB" w14:textId="42D793D6" w:rsidR="00796651" w:rsidRPr="005D7515" w:rsidRDefault="00796651" w:rsidP="00796651">
            <w:pPr>
              <w:spacing w:line="259" w:lineRule="auto"/>
              <w:jc w:val="left"/>
              <w:rPr>
                <w:b/>
                <w:bCs/>
                <w:sz w:val="20"/>
                <w:szCs w:val="20"/>
              </w:rPr>
            </w:pPr>
            <w:r w:rsidRPr="005D7515">
              <w:rPr>
                <w:b/>
                <w:bCs/>
                <w:sz w:val="20"/>
                <w:szCs w:val="20"/>
              </w:rPr>
              <w:t>0.03</w:t>
            </w:r>
          </w:p>
        </w:tc>
        <w:tc>
          <w:tcPr>
            <w:tcW w:w="1404" w:type="dxa"/>
          </w:tcPr>
          <w:p w14:paraId="789A31AD" w14:textId="52D3BD87" w:rsidR="00796651" w:rsidRPr="005D7515" w:rsidRDefault="00796651" w:rsidP="00796651">
            <w:pPr>
              <w:spacing w:line="259" w:lineRule="auto"/>
              <w:jc w:val="left"/>
              <w:rPr>
                <w:b/>
                <w:bCs/>
                <w:sz w:val="20"/>
                <w:szCs w:val="20"/>
              </w:rPr>
            </w:pPr>
            <w:r w:rsidRPr="005D7515">
              <w:rPr>
                <w:b/>
                <w:bCs/>
                <w:sz w:val="20"/>
                <w:szCs w:val="20"/>
              </w:rPr>
              <w:t>Reject the null hypothesis</w:t>
            </w:r>
          </w:p>
        </w:tc>
      </w:tr>
      <w:tr w:rsidR="00796651" w14:paraId="3B24CF37" w14:textId="77777777" w:rsidTr="00263DC6">
        <w:trPr>
          <w:trHeight w:val="416"/>
        </w:trPr>
        <w:tc>
          <w:tcPr>
            <w:tcW w:w="2689" w:type="dxa"/>
          </w:tcPr>
          <w:p w14:paraId="55B8353B" w14:textId="11923231" w:rsidR="00796651" w:rsidRPr="00D91407" w:rsidRDefault="00796651" w:rsidP="00796651">
            <w:pPr>
              <w:spacing w:line="259" w:lineRule="auto"/>
              <w:jc w:val="left"/>
              <w:rPr>
                <w:sz w:val="20"/>
                <w:szCs w:val="20"/>
              </w:rPr>
            </w:pPr>
            <w:r w:rsidRPr="00D91407">
              <w:rPr>
                <w:sz w:val="20"/>
                <w:szCs w:val="20"/>
              </w:rPr>
              <w:t xml:space="preserve">The distribution of </w:t>
            </w:r>
            <w:r w:rsidRPr="00575CD3">
              <w:rPr>
                <w:b/>
                <w:bCs/>
                <w:sz w:val="20"/>
                <w:szCs w:val="20"/>
              </w:rPr>
              <w:t>Nature connectedness</w:t>
            </w:r>
            <w:r w:rsidRPr="00D91407">
              <w:rPr>
                <w:sz w:val="20"/>
                <w:szCs w:val="20"/>
              </w:rPr>
              <w:t xml:space="preserve"> is the same across </w:t>
            </w:r>
            <w:r>
              <w:rPr>
                <w:sz w:val="20"/>
                <w:szCs w:val="20"/>
              </w:rPr>
              <w:t>treatment groups</w:t>
            </w:r>
          </w:p>
        </w:tc>
        <w:tc>
          <w:tcPr>
            <w:tcW w:w="1984" w:type="dxa"/>
          </w:tcPr>
          <w:p w14:paraId="16DEF31A" w14:textId="77777777" w:rsidR="00796651" w:rsidRPr="00D91407" w:rsidRDefault="00796651" w:rsidP="00796651">
            <w:pPr>
              <w:spacing w:line="259" w:lineRule="auto"/>
              <w:jc w:val="left"/>
              <w:rPr>
                <w:sz w:val="20"/>
                <w:szCs w:val="20"/>
              </w:rPr>
            </w:pPr>
            <w:r w:rsidRPr="00575CD3">
              <w:rPr>
                <w:sz w:val="20"/>
                <w:szCs w:val="20"/>
              </w:rPr>
              <w:t>Pearson Chi-Square</w:t>
            </w:r>
          </w:p>
        </w:tc>
        <w:tc>
          <w:tcPr>
            <w:tcW w:w="709" w:type="dxa"/>
          </w:tcPr>
          <w:p w14:paraId="0220D7AF" w14:textId="08FA896B" w:rsidR="00796651" w:rsidRDefault="00796651" w:rsidP="00796651">
            <w:pPr>
              <w:spacing w:line="259" w:lineRule="auto"/>
              <w:jc w:val="left"/>
              <w:rPr>
                <w:sz w:val="20"/>
                <w:szCs w:val="20"/>
              </w:rPr>
            </w:pPr>
            <w:r>
              <w:rPr>
                <w:sz w:val="20"/>
                <w:szCs w:val="20"/>
              </w:rPr>
              <w:t>463</w:t>
            </w:r>
          </w:p>
        </w:tc>
        <w:tc>
          <w:tcPr>
            <w:tcW w:w="992" w:type="dxa"/>
          </w:tcPr>
          <w:p w14:paraId="40FF00A2" w14:textId="2038FB09" w:rsidR="00796651" w:rsidRDefault="00796651" w:rsidP="00796651">
            <w:pPr>
              <w:spacing w:line="259" w:lineRule="auto"/>
              <w:jc w:val="left"/>
              <w:rPr>
                <w:sz w:val="20"/>
                <w:szCs w:val="20"/>
              </w:rPr>
            </w:pPr>
            <w:r>
              <w:rPr>
                <w:sz w:val="20"/>
                <w:szCs w:val="20"/>
              </w:rPr>
              <w:t>18.1</w:t>
            </w:r>
          </w:p>
        </w:tc>
        <w:tc>
          <w:tcPr>
            <w:tcW w:w="1134" w:type="dxa"/>
          </w:tcPr>
          <w:p w14:paraId="11C81934" w14:textId="2BA54810" w:rsidR="00796651" w:rsidRDefault="00796651" w:rsidP="00796651">
            <w:pPr>
              <w:spacing w:line="259" w:lineRule="auto"/>
              <w:jc w:val="left"/>
              <w:rPr>
                <w:sz w:val="20"/>
                <w:szCs w:val="20"/>
              </w:rPr>
            </w:pPr>
            <w:r>
              <w:rPr>
                <w:sz w:val="20"/>
                <w:szCs w:val="20"/>
              </w:rPr>
              <w:t>15</w:t>
            </w:r>
          </w:p>
        </w:tc>
        <w:tc>
          <w:tcPr>
            <w:tcW w:w="1031" w:type="dxa"/>
          </w:tcPr>
          <w:p w14:paraId="447B9BE9" w14:textId="36748059" w:rsidR="00796651" w:rsidRDefault="00796651" w:rsidP="00796651">
            <w:pPr>
              <w:spacing w:line="259" w:lineRule="auto"/>
              <w:jc w:val="left"/>
              <w:rPr>
                <w:sz w:val="20"/>
                <w:szCs w:val="20"/>
              </w:rPr>
            </w:pPr>
            <w:r>
              <w:rPr>
                <w:sz w:val="20"/>
                <w:szCs w:val="20"/>
              </w:rPr>
              <w:t>0.26</w:t>
            </w:r>
          </w:p>
        </w:tc>
        <w:tc>
          <w:tcPr>
            <w:tcW w:w="1404" w:type="dxa"/>
          </w:tcPr>
          <w:p w14:paraId="55190013" w14:textId="77777777" w:rsidR="00796651" w:rsidRDefault="00796651" w:rsidP="00796651">
            <w:pPr>
              <w:spacing w:line="259" w:lineRule="auto"/>
              <w:jc w:val="left"/>
              <w:rPr>
                <w:sz w:val="20"/>
                <w:szCs w:val="20"/>
              </w:rPr>
            </w:pPr>
            <w:r>
              <w:rPr>
                <w:sz w:val="20"/>
                <w:szCs w:val="20"/>
              </w:rPr>
              <w:t>Retain the null hypothesis</w:t>
            </w:r>
          </w:p>
        </w:tc>
      </w:tr>
      <w:tr w:rsidR="00796651" w14:paraId="011634E0" w14:textId="77777777" w:rsidTr="005D7515">
        <w:trPr>
          <w:trHeight w:val="237"/>
        </w:trPr>
        <w:tc>
          <w:tcPr>
            <w:tcW w:w="9943" w:type="dxa"/>
            <w:gridSpan w:val="7"/>
          </w:tcPr>
          <w:p w14:paraId="50239BA0" w14:textId="14F465FD" w:rsidR="00796651" w:rsidRDefault="00796651" w:rsidP="00263DC6">
            <w:pPr>
              <w:spacing w:line="259" w:lineRule="auto"/>
              <w:jc w:val="left"/>
              <w:rPr>
                <w:sz w:val="20"/>
                <w:szCs w:val="20"/>
              </w:rPr>
            </w:pPr>
            <w:r w:rsidRPr="00263DC6">
              <w:rPr>
                <w:b/>
                <w:bCs/>
                <w:sz w:val="20"/>
                <w:szCs w:val="20"/>
              </w:rPr>
              <w:t>English-speaking,</w:t>
            </w:r>
            <w:r>
              <w:rPr>
                <w:b/>
                <w:bCs/>
                <w:sz w:val="20"/>
                <w:szCs w:val="20"/>
              </w:rPr>
              <w:t xml:space="preserve"> </w:t>
            </w:r>
            <w:r w:rsidRPr="00263DC6">
              <w:rPr>
                <w:b/>
                <w:bCs/>
                <w:sz w:val="20"/>
                <w:szCs w:val="20"/>
              </w:rPr>
              <w:t xml:space="preserve">stressed, Experiment </w:t>
            </w:r>
            <w:r>
              <w:rPr>
                <w:b/>
                <w:bCs/>
                <w:sz w:val="20"/>
                <w:szCs w:val="20"/>
              </w:rPr>
              <w:t>2</w:t>
            </w:r>
          </w:p>
        </w:tc>
      </w:tr>
      <w:tr w:rsidR="00796651" w14:paraId="3B296F38" w14:textId="77777777" w:rsidTr="00263DC6">
        <w:trPr>
          <w:trHeight w:val="416"/>
        </w:trPr>
        <w:tc>
          <w:tcPr>
            <w:tcW w:w="2689" w:type="dxa"/>
          </w:tcPr>
          <w:p w14:paraId="113C6D53" w14:textId="467DA06C" w:rsidR="00796651" w:rsidRPr="00D91407" w:rsidRDefault="00796651" w:rsidP="00796651">
            <w:pPr>
              <w:spacing w:line="259" w:lineRule="auto"/>
              <w:jc w:val="left"/>
              <w:rPr>
                <w:sz w:val="20"/>
                <w:szCs w:val="20"/>
              </w:rPr>
            </w:pPr>
            <w:r w:rsidRPr="00D91407">
              <w:rPr>
                <w:sz w:val="20"/>
                <w:szCs w:val="20"/>
              </w:rPr>
              <w:t xml:space="preserve">The distribution of </w:t>
            </w:r>
            <w:r w:rsidRPr="00575CD3">
              <w:rPr>
                <w:b/>
                <w:bCs/>
                <w:sz w:val="20"/>
                <w:szCs w:val="20"/>
              </w:rPr>
              <w:t>Age</w:t>
            </w:r>
            <w:r w:rsidRPr="00D91407">
              <w:rPr>
                <w:sz w:val="20"/>
                <w:szCs w:val="20"/>
              </w:rPr>
              <w:t xml:space="preserve"> is the same across </w:t>
            </w:r>
            <w:r>
              <w:rPr>
                <w:sz w:val="20"/>
                <w:szCs w:val="20"/>
              </w:rPr>
              <w:t>treatment groups</w:t>
            </w:r>
          </w:p>
        </w:tc>
        <w:tc>
          <w:tcPr>
            <w:tcW w:w="1984" w:type="dxa"/>
          </w:tcPr>
          <w:p w14:paraId="563AD19B" w14:textId="719C9285" w:rsidR="00796651" w:rsidRPr="00575CD3" w:rsidRDefault="00796651" w:rsidP="00796651">
            <w:pPr>
              <w:spacing w:line="259" w:lineRule="auto"/>
              <w:jc w:val="left"/>
              <w:rPr>
                <w:sz w:val="20"/>
                <w:szCs w:val="20"/>
              </w:rPr>
            </w:pPr>
            <w:r w:rsidRPr="00575CD3">
              <w:rPr>
                <w:sz w:val="20"/>
                <w:szCs w:val="20"/>
              </w:rPr>
              <w:t>Pearson Chi-Square</w:t>
            </w:r>
          </w:p>
        </w:tc>
        <w:tc>
          <w:tcPr>
            <w:tcW w:w="709" w:type="dxa"/>
          </w:tcPr>
          <w:p w14:paraId="298819F3" w14:textId="02325896" w:rsidR="00796651" w:rsidRDefault="00796651" w:rsidP="00796651">
            <w:pPr>
              <w:spacing w:line="259" w:lineRule="auto"/>
              <w:jc w:val="left"/>
              <w:rPr>
                <w:sz w:val="20"/>
                <w:szCs w:val="20"/>
              </w:rPr>
            </w:pPr>
            <w:r>
              <w:rPr>
                <w:sz w:val="20"/>
                <w:szCs w:val="20"/>
              </w:rPr>
              <w:t>477</w:t>
            </w:r>
          </w:p>
        </w:tc>
        <w:tc>
          <w:tcPr>
            <w:tcW w:w="992" w:type="dxa"/>
          </w:tcPr>
          <w:p w14:paraId="655855AB" w14:textId="11640E77" w:rsidR="00796651" w:rsidRDefault="00796651" w:rsidP="00796651">
            <w:pPr>
              <w:spacing w:line="259" w:lineRule="auto"/>
              <w:jc w:val="left"/>
              <w:rPr>
                <w:sz w:val="20"/>
                <w:szCs w:val="20"/>
              </w:rPr>
            </w:pPr>
            <w:r>
              <w:rPr>
                <w:sz w:val="20"/>
                <w:szCs w:val="20"/>
              </w:rPr>
              <w:t>19</w:t>
            </w:r>
          </w:p>
        </w:tc>
        <w:tc>
          <w:tcPr>
            <w:tcW w:w="1134" w:type="dxa"/>
          </w:tcPr>
          <w:p w14:paraId="08DB6B86" w14:textId="61AEC347" w:rsidR="00796651" w:rsidRDefault="00796651" w:rsidP="00796651">
            <w:pPr>
              <w:spacing w:line="259" w:lineRule="auto"/>
              <w:jc w:val="left"/>
              <w:rPr>
                <w:sz w:val="20"/>
                <w:szCs w:val="20"/>
              </w:rPr>
            </w:pPr>
            <w:r>
              <w:rPr>
                <w:sz w:val="20"/>
                <w:szCs w:val="20"/>
              </w:rPr>
              <w:t>18</w:t>
            </w:r>
          </w:p>
        </w:tc>
        <w:tc>
          <w:tcPr>
            <w:tcW w:w="1031" w:type="dxa"/>
          </w:tcPr>
          <w:p w14:paraId="64B8A475" w14:textId="11CD0A77" w:rsidR="00796651" w:rsidRDefault="00796651" w:rsidP="00796651">
            <w:pPr>
              <w:spacing w:line="259" w:lineRule="auto"/>
              <w:jc w:val="left"/>
              <w:rPr>
                <w:sz w:val="20"/>
                <w:szCs w:val="20"/>
              </w:rPr>
            </w:pPr>
            <w:r>
              <w:rPr>
                <w:sz w:val="20"/>
                <w:szCs w:val="20"/>
              </w:rPr>
              <w:t>0.39</w:t>
            </w:r>
          </w:p>
        </w:tc>
        <w:tc>
          <w:tcPr>
            <w:tcW w:w="1404" w:type="dxa"/>
          </w:tcPr>
          <w:p w14:paraId="1A89FFDD" w14:textId="075D5FED" w:rsidR="00796651" w:rsidRDefault="00796651" w:rsidP="00796651">
            <w:pPr>
              <w:spacing w:line="259" w:lineRule="auto"/>
              <w:jc w:val="left"/>
              <w:rPr>
                <w:sz w:val="20"/>
                <w:szCs w:val="20"/>
              </w:rPr>
            </w:pPr>
            <w:r>
              <w:rPr>
                <w:sz w:val="20"/>
                <w:szCs w:val="20"/>
              </w:rPr>
              <w:t>Retain the null hypothesis</w:t>
            </w:r>
          </w:p>
        </w:tc>
      </w:tr>
      <w:tr w:rsidR="00796651" w14:paraId="42F0F595" w14:textId="77777777" w:rsidTr="00263DC6">
        <w:trPr>
          <w:trHeight w:val="416"/>
        </w:trPr>
        <w:tc>
          <w:tcPr>
            <w:tcW w:w="2689" w:type="dxa"/>
          </w:tcPr>
          <w:p w14:paraId="1EC7270C" w14:textId="5C8022DA" w:rsidR="00796651" w:rsidRPr="00D91407" w:rsidRDefault="00796651" w:rsidP="00796651">
            <w:pPr>
              <w:spacing w:line="259" w:lineRule="auto"/>
              <w:jc w:val="left"/>
              <w:rPr>
                <w:sz w:val="20"/>
                <w:szCs w:val="20"/>
              </w:rPr>
            </w:pPr>
            <w:r w:rsidRPr="00D91407">
              <w:rPr>
                <w:sz w:val="20"/>
                <w:szCs w:val="20"/>
              </w:rPr>
              <w:t xml:space="preserve">The distribution of </w:t>
            </w:r>
            <w:r w:rsidRPr="00575CD3">
              <w:rPr>
                <w:b/>
                <w:bCs/>
                <w:sz w:val="20"/>
                <w:szCs w:val="20"/>
              </w:rPr>
              <w:t>Gender</w:t>
            </w:r>
            <w:r w:rsidRPr="00D91407">
              <w:rPr>
                <w:sz w:val="20"/>
                <w:szCs w:val="20"/>
              </w:rPr>
              <w:t xml:space="preserve"> is the same across </w:t>
            </w:r>
            <w:r>
              <w:rPr>
                <w:sz w:val="20"/>
                <w:szCs w:val="20"/>
              </w:rPr>
              <w:t>treatment groups</w:t>
            </w:r>
          </w:p>
        </w:tc>
        <w:tc>
          <w:tcPr>
            <w:tcW w:w="1984" w:type="dxa"/>
          </w:tcPr>
          <w:p w14:paraId="5931B3AD" w14:textId="1EADFD3E" w:rsidR="00796651" w:rsidRPr="00575CD3" w:rsidRDefault="00796651" w:rsidP="00796651">
            <w:pPr>
              <w:spacing w:line="259" w:lineRule="auto"/>
              <w:jc w:val="left"/>
              <w:rPr>
                <w:sz w:val="20"/>
                <w:szCs w:val="20"/>
              </w:rPr>
            </w:pPr>
            <w:r w:rsidRPr="00575CD3">
              <w:rPr>
                <w:sz w:val="20"/>
                <w:szCs w:val="20"/>
              </w:rPr>
              <w:t>Pearson Chi-Square</w:t>
            </w:r>
          </w:p>
        </w:tc>
        <w:tc>
          <w:tcPr>
            <w:tcW w:w="709" w:type="dxa"/>
          </w:tcPr>
          <w:p w14:paraId="62C6D627" w14:textId="36F5F47C" w:rsidR="00796651" w:rsidRDefault="00796651" w:rsidP="00796651">
            <w:pPr>
              <w:spacing w:line="259" w:lineRule="auto"/>
              <w:jc w:val="left"/>
              <w:rPr>
                <w:sz w:val="20"/>
                <w:szCs w:val="20"/>
              </w:rPr>
            </w:pPr>
            <w:r>
              <w:rPr>
                <w:sz w:val="20"/>
                <w:szCs w:val="20"/>
              </w:rPr>
              <w:t>477</w:t>
            </w:r>
          </w:p>
        </w:tc>
        <w:tc>
          <w:tcPr>
            <w:tcW w:w="992" w:type="dxa"/>
          </w:tcPr>
          <w:p w14:paraId="01127C00" w14:textId="79E706F5" w:rsidR="00796651" w:rsidRDefault="00796651" w:rsidP="00796651">
            <w:pPr>
              <w:spacing w:line="259" w:lineRule="auto"/>
              <w:jc w:val="left"/>
              <w:rPr>
                <w:sz w:val="20"/>
                <w:szCs w:val="20"/>
              </w:rPr>
            </w:pPr>
            <w:r>
              <w:rPr>
                <w:sz w:val="20"/>
                <w:szCs w:val="20"/>
              </w:rPr>
              <w:t>6.35</w:t>
            </w:r>
          </w:p>
        </w:tc>
        <w:tc>
          <w:tcPr>
            <w:tcW w:w="1134" w:type="dxa"/>
          </w:tcPr>
          <w:p w14:paraId="3D2BB9B5" w14:textId="7E2AA7DB" w:rsidR="00796651" w:rsidRDefault="00796651" w:rsidP="00796651">
            <w:pPr>
              <w:spacing w:line="259" w:lineRule="auto"/>
              <w:jc w:val="left"/>
              <w:rPr>
                <w:sz w:val="20"/>
                <w:szCs w:val="20"/>
              </w:rPr>
            </w:pPr>
            <w:r>
              <w:rPr>
                <w:sz w:val="20"/>
                <w:szCs w:val="20"/>
              </w:rPr>
              <w:t>9</w:t>
            </w:r>
          </w:p>
        </w:tc>
        <w:tc>
          <w:tcPr>
            <w:tcW w:w="1031" w:type="dxa"/>
          </w:tcPr>
          <w:p w14:paraId="518026F3" w14:textId="2644CC3A" w:rsidR="00796651" w:rsidRDefault="00796651" w:rsidP="00796651">
            <w:pPr>
              <w:spacing w:line="259" w:lineRule="auto"/>
              <w:jc w:val="left"/>
              <w:rPr>
                <w:sz w:val="20"/>
                <w:szCs w:val="20"/>
              </w:rPr>
            </w:pPr>
            <w:r>
              <w:rPr>
                <w:sz w:val="20"/>
                <w:szCs w:val="20"/>
              </w:rPr>
              <w:t>0.7</w:t>
            </w:r>
          </w:p>
        </w:tc>
        <w:tc>
          <w:tcPr>
            <w:tcW w:w="1404" w:type="dxa"/>
          </w:tcPr>
          <w:p w14:paraId="3C63278C" w14:textId="5CB3FA87" w:rsidR="00796651" w:rsidRDefault="00796651" w:rsidP="00796651">
            <w:pPr>
              <w:spacing w:line="259" w:lineRule="auto"/>
              <w:jc w:val="left"/>
              <w:rPr>
                <w:sz w:val="20"/>
                <w:szCs w:val="20"/>
              </w:rPr>
            </w:pPr>
            <w:r>
              <w:rPr>
                <w:sz w:val="20"/>
                <w:szCs w:val="20"/>
              </w:rPr>
              <w:t>Retain the null hypothesis</w:t>
            </w:r>
          </w:p>
        </w:tc>
      </w:tr>
      <w:tr w:rsidR="00796651" w14:paraId="714175F7" w14:textId="77777777" w:rsidTr="00263DC6">
        <w:trPr>
          <w:trHeight w:val="416"/>
        </w:trPr>
        <w:tc>
          <w:tcPr>
            <w:tcW w:w="2689" w:type="dxa"/>
          </w:tcPr>
          <w:p w14:paraId="4D620F97" w14:textId="321B0CB9" w:rsidR="00796651" w:rsidRPr="00D91407" w:rsidRDefault="00796651" w:rsidP="00796651">
            <w:pPr>
              <w:spacing w:line="259" w:lineRule="auto"/>
              <w:jc w:val="left"/>
              <w:rPr>
                <w:sz w:val="20"/>
                <w:szCs w:val="20"/>
              </w:rPr>
            </w:pPr>
            <w:r w:rsidRPr="00D91407">
              <w:rPr>
                <w:sz w:val="20"/>
                <w:szCs w:val="20"/>
              </w:rPr>
              <w:t xml:space="preserve">The distribution of </w:t>
            </w:r>
            <w:r>
              <w:rPr>
                <w:b/>
                <w:bCs/>
                <w:sz w:val="20"/>
                <w:szCs w:val="20"/>
              </w:rPr>
              <w:t xml:space="preserve">Education </w:t>
            </w:r>
            <w:r w:rsidR="00B115FA">
              <w:rPr>
                <w:b/>
                <w:bCs/>
                <w:sz w:val="20"/>
                <w:szCs w:val="20"/>
              </w:rPr>
              <w:t>attainment</w:t>
            </w:r>
            <w:r w:rsidRPr="00D91407">
              <w:rPr>
                <w:sz w:val="20"/>
                <w:szCs w:val="20"/>
              </w:rPr>
              <w:t xml:space="preserve"> is the same across </w:t>
            </w:r>
            <w:r>
              <w:rPr>
                <w:sz w:val="20"/>
                <w:szCs w:val="20"/>
              </w:rPr>
              <w:t>treatment groups</w:t>
            </w:r>
          </w:p>
        </w:tc>
        <w:tc>
          <w:tcPr>
            <w:tcW w:w="1984" w:type="dxa"/>
          </w:tcPr>
          <w:p w14:paraId="45FCE681" w14:textId="13D8EFFE" w:rsidR="00796651" w:rsidRPr="00575CD3" w:rsidRDefault="00796651" w:rsidP="00796651">
            <w:pPr>
              <w:spacing w:line="259" w:lineRule="auto"/>
              <w:jc w:val="left"/>
              <w:rPr>
                <w:sz w:val="20"/>
                <w:szCs w:val="20"/>
              </w:rPr>
            </w:pPr>
            <w:r w:rsidRPr="00575CD3">
              <w:rPr>
                <w:sz w:val="20"/>
                <w:szCs w:val="20"/>
              </w:rPr>
              <w:t>Pearson Chi-Square</w:t>
            </w:r>
          </w:p>
        </w:tc>
        <w:tc>
          <w:tcPr>
            <w:tcW w:w="709" w:type="dxa"/>
          </w:tcPr>
          <w:p w14:paraId="1223BAC2" w14:textId="3F631B91" w:rsidR="00796651" w:rsidRDefault="00796651" w:rsidP="00796651">
            <w:pPr>
              <w:spacing w:line="259" w:lineRule="auto"/>
              <w:jc w:val="left"/>
              <w:rPr>
                <w:sz w:val="20"/>
                <w:szCs w:val="20"/>
              </w:rPr>
            </w:pPr>
            <w:r>
              <w:rPr>
                <w:sz w:val="20"/>
                <w:szCs w:val="20"/>
              </w:rPr>
              <w:t>477</w:t>
            </w:r>
          </w:p>
        </w:tc>
        <w:tc>
          <w:tcPr>
            <w:tcW w:w="992" w:type="dxa"/>
          </w:tcPr>
          <w:p w14:paraId="7FC05A6C" w14:textId="792FF04B" w:rsidR="00796651" w:rsidRDefault="00796651" w:rsidP="00796651">
            <w:pPr>
              <w:spacing w:line="259" w:lineRule="auto"/>
              <w:jc w:val="left"/>
              <w:rPr>
                <w:sz w:val="20"/>
                <w:szCs w:val="20"/>
              </w:rPr>
            </w:pPr>
            <w:r>
              <w:rPr>
                <w:sz w:val="20"/>
                <w:szCs w:val="20"/>
              </w:rPr>
              <w:t>4.54</w:t>
            </w:r>
          </w:p>
        </w:tc>
        <w:tc>
          <w:tcPr>
            <w:tcW w:w="1134" w:type="dxa"/>
          </w:tcPr>
          <w:p w14:paraId="1159D90C" w14:textId="067C182F" w:rsidR="00796651" w:rsidRDefault="00796651" w:rsidP="00796651">
            <w:pPr>
              <w:spacing w:line="259" w:lineRule="auto"/>
              <w:jc w:val="left"/>
              <w:rPr>
                <w:sz w:val="20"/>
                <w:szCs w:val="20"/>
              </w:rPr>
            </w:pPr>
            <w:r>
              <w:rPr>
                <w:sz w:val="20"/>
                <w:szCs w:val="20"/>
              </w:rPr>
              <w:t>12</w:t>
            </w:r>
          </w:p>
        </w:tc>
        <w:tc>
          <w:tcPr>
            <w:tcW w:w="1031" w:type="dxa"/>
          </w:tcPr>
          <w:p w14:paraId="3EE865EB" w14:textId="36AA417F" w:rsidR="00796651" w:rsidRDefault="00796651" w:rsidP="00796651">
            <w:pPr>
              <w:spacing w:line="259" w:lineRule="auto"/>
              <w:jc w:val="left"/>
              <w:rPr>
                <w:sz w:val="20"/>
                <w:szCs w:val="20"/>
              </w:rPr>
            </w:pPr>
            <w:r>
              <w:rPr>
                <w:sz w:val="20"/>
                <w:szCs w:val="20"/>
              </w:rPr>
              <w:t>0.97</w:t>
            </w:r>
          </w:p>
        </w:tc>
        <w:tc>
          <w:tcPr>
            <w:tcW w:w="1404" w:type="dxa"/>
          </w:tcPr>
          <w:p w14:paraId="749AC9ED" w14:textId="198218AF" w:rsidR="00796651" w:rsidRDefault="00796651" w:rsidP="00796651">
            <w:pPr>
              <w:spacing w:line="259" w:lineRule="auto"/>
              <w:jc w:val="left"/>
              <w:rPr>
                <w:sz w:val="20"/>
                <w:szCs w:val="20"/>
              </w:rPr>
            </w:pPr>
            <w:r>
              <w:rPr>
                <w:sz w:val="20"/>
                <w:szCs w:val="20"/>
              </w:rPr>
              <w:t>Retain the null hypothesis</w:t>
            </w:r>
          </w:p>
        </w:tc>
      </w:tr>
      <w:tr w:rsidR="00796651" w14:paraId="65CF9E6F" w14:textId="77777777" w:rsidTr="00263DC6">
        <w:trPr>
          <w:trHeight w:val="416"/>
        </w:trPr>
        <w:tc>
          <w:tcPr>
            <w:tcW w:w="2689" w:type="dxa"/>
          </w:tcPr>
          <w:p w14:paraId="097D5B32" w14:textId="2AD6A1E0" w:rsidR="00796651" w:rsidRPr="00D91407" w:rsidRDefault="00796651" w:rsidP="00796651">
            <w:pPr>
              <w:spacing w:line="259" w:lineRule="auto"/>
              <w:jc w:val="left"/>
              <w:rPr>
                <w:sz w:val="20"/>
                <w:szCs w:val="20"/>
              </w:rPr>
            </w:pPr>
            <w:r w:rsidRPr="00D91407">
              <w:rPr>
                <w:sz w:val="20"/>
                <w:szCs w:val="20"/>
              </w:rPr>
              <w:t xml:space="preserve">The distribution of </w:t>
            </w:r>
            <w:r w:rsidR="00B115FA" w:rsidRPr="00575CD3">
              <w:rPr>
                <w:b/>
                <w:bCs/>
                <w:sz w:val="20"/>
                <w:szCs w:val="20"/>
              </w:rPr>
              <w:t>Ethnicity</w:t>
            </w:r>
            <w:r w:rsidRPr="00D91407">
              <w:rPr>
                <w:sz w:val="20"/>
                <w:szCs w:val="20"/>
              </w:rPr>
              <w:t xml:space="preserve"> is the same across </w:t>
            </w:r>
            <w:r>
              <w:rPr>
                <w:sz w:val="20"/>
                <w:szCs w:val="20"/>
              </w:rPr>
              <w:t>treatment groups</w:t>
            </w:r>
          </w:p>
        </w:tc>
        <w:tc>
          <w:tcPr>
            <w:tcW w:w="1984" w:type="dxa"/>
          </w:tcPr>
          <w:p w14:paraId="29205339" w14:textId="047BAD28" w:rsidR="00796651" w:rsidRPr="00575CD3" w:rsidRDefault="00796651" w:rsidP="00796651">
            <w:pPr>
              <w:spacing w:line="259" w:lineRule="auto"/>
              <w:jc w:val="left"/>
              <w:rPr>
                <w:sz w:val="20"/>
                <w:szCs w:val="20"/>
              </w:rPr>
            </w:pPr>
            <w:r w:rsidRPr="00575CD3">
              <w:rPr>
                <w:sz w:val="20"/>
                <w:szCs w:val="20"/>
              </w:rPr>
              <w:t>Pearson Chi-Square</w:t>
            </w:r>
          </w:p>
        </w:tc>
        <w:tc>
          <w:tcPr>
            <w:tcW w:w="709" w:type="dxa"/>
          </w:tcPr>
          <w:p w14:paraId="5825852D" w14:textId="04C9591E" w:rsidR="00796651" w:rsidRDefault="00796651" w:rsidP="00796651">
            <w:pPr>
              <w:spacing w:line="259" w:lineRule="auto"/>
              <w:jc w:val="left"/>
              <w:rPr>
                <w:sz w:val="20"/>
                <w:szCs w:val="20"/>
              </w:rPr>
            </w:pPr>
            <w:r>
              <w:rPr>
                <w:sz w:val="20"/>
                <w:szCs w:val="20"/>
              </w:rPr>
              <w:t>477</w:t>
            </w:r>
          </w:p>
        </w:tc>
        <w:tc>
          <w:tcPr>
            <w:tcW w:w="992" w:type="dxa"/>
          </w:tcPr>
          <w:p w14:paraId="3272F686" w14:textId="4BBD55EF" w:rsidR="00796651" w:rsidRDefault="00796651" w:rsidP="00796651">
            <w:pPr>
              <w:spacing w:line="259" w:lineRule="auto"/>
              <w:jc w:val="left"/>
              <w:rPr>
                <w:sz w:val="20"/>
                <w:szCs w:val="20"/>
              </w:rPr>
            </w:pPr>
            <w:r>
              <w:rPr>
                <w:sz w:val="20"/>
                <w:szCs w:val="20"/>
              </w:rPr>
              <w:t>9</w:t>
            </w:r>
          </w:p>
        </w:tc>
        <w:tc>
          <w:tcPr>
            <w:tcW w:w="1134" w:type="dxa"/>
          </w:tcPr>
          <w:p w14:paraId="7F685116" w14:textId="06F4BAB3" w:rsidR="00796651" w:rsidRDefault="00796651" w:rsidP="00796651">
            <w:pPr>
              <w:spacing w:line="259" w:lineRule="auto"/>
              <w:jc w:val="left"/>
              <w:rPr>
                <w:sz w:val="20"/>
                <w:szCs w:val="20"/>
              </w:rPr>
            </w:pPr>
            <w:r>
              <w:rPr>
                <w:sz w:val="20"/>
                <w:szCs w:val="20"/>
              </w:rPr>
              <w:t>12</w:t>
            </w:r>
          </w:p>
        </w:tc>
        <w:tc>
          <w:tcPr>
            <w:tcW w:w="1031" w:type="dxa"/>
          </w:tcPr>
          <w:p w14:paraId="5FFBB419" w14:textId="49E917CC" w:rsidR="00796651" w:rsidRDefault="00796651" w:rsidP="00796651">
            <w:pPr>
              <w:spacing w:line="259" w:lineRule="auto"/>
              <w:jc w:val="left"/>
              <w:rPr>
                <w:sz w:val="20"/>
                <w:szCs w:val="20"/>
              </w:rPr>
            </w:pPr>
            <w:r>
              <w:rPr>
                <w:sz w:val="20"/>
                <w:szCs w:val="20"/>
              </w:rPr>
              <w:t>0.7</w:t>
            </w:r>
          </w:p>
        </w:tc>
        <w:tc>
          <w:tcPr>
            <w:tcW w:w="1404" w:type="dxa"/>
          </w:tcPr>
          <w:p w14:paraId="56390DB4" w14:textId="5B3E8B49" w:rsidR="00796651" w:rsidRDefault="00796651" w:rsidP="00796651">
            <w:pPr>
              <w:spacing w:line="259" w:lineRule="auto"/>
              <w:jc w:val="left"/>
              <w:rPr>
                <w:sz w:val="20"/>
                <w:szCs w:val="20"/>
              </w:rPr>
            </w:pPr>
            <w:r>
              <w:rPr>
                <w:sz w:val="20"/>
                <w:szCs w:val="20"/>
              </w:rPr>
              <w:t>Retain the null hypothesis</w:t>
            </w:r>
          </w:p>
        </w:tc>
      </w:tr>
      <w:tr w:rsidR="00796651" w14:paraId="3566E6A4" w14:textId="77777777" w:rsidTr="00263DC6">
        <w:trPr>
          <w:trHeight w:val="416"/>
        </w:trPr>
        <w:tc>
          <w:tcPr>
            <w:tcW w:w="2689" w:type="dxa"/>
          </w:tcPr>
          <w:p w14:paraId="4E9A58B2" w14:textId="71AFE024" w:rsidR="00796651" w:rsidRPr="00D91407" w:rsidRDefault="00796651" w:rsidP="00796651">
            <w:pPr>
              <w:spacing w:line="259" w:lineRule="auto"/>
              <w:jc w:val="left"/>
              <w:rPr>
                <w:sz w:val="20"/>
                <w:szCs w:val="20"/>
              </w:rPr>
            </w:pPr>
            <w:r w:rsidRPr="00D91407">
              <w:rPr>
                <w:sz w:val="20"/>
                <w:szCs w:val="20"/>
              </w:rPr>
              <w:t xml:space="preserve">The distribution of </w:t>
            </w:r>
            <w:r w:rsidRPr="00575CD3">
              <w:rPr>
                <w:b/>
                <w:bCs/>
                <w:sz w:val="20"/>
                <w:szCs w:val="20"/>
              </w:rPr>
              <w:t>Nature connectedness</w:t>
            </w:r>
            <w:r w:rsidRPr="00D91407">
              <w:rPr>
                <w:sz w:val="20"/>
                <w:szCs w:val="20"/>
              </w:rPr>
              <w:t xml:space="preserve"> is the same across </w:t>
            </w:r>
            <w:r>
              <w:rPr>
                <w:sz w:val="20"/>
                <w:szCs w:val="20"/>
              </w:rPr>
              <w:t>treatment groups</w:t>
            </w:r>
          </w:p>
        </w:tc>
        <w:tc>
          <w:tcPr>
            <w:tcW w:w="1984" w:type="dxa"/>
          </w:tcPr>
          <w:p w14:paraId="12497896" w14:textId="17AE8EC2" w:rsidR="00796651" w:rsidRPr="00575CD3" w:rsidRDefault="00796651" w:rsidP="00796651">
            <w:pPr>
              <w:spacing w:line="259" w:lineRule="auto"/>
              <w:jc w:val="left"/>
              <w:rPr>
                <w:sz w:val="20"/>
                <w:szCs w:val="20"/>
              </w:rPr>
            </w:pPr>
            <w:r w:rsidRPr="00575CD3">
              <w:rPr>
                <w:sz w:val="20"/>
                <w:szCs w:val="20"/>
              </w:rPr>
              <w:t>Pearson Chi-Square</w:t>
            </w:r>
          </w:p>
        </w:tc>
        <w:tc>
          <w:tcPr>
            <w:tcW w:w="709" w:type="dxa"/>
          </w:tcPr>
          <w:p w14:paraId="27A3D6C1" w14:textId="71CB575C" w:rsidR="00796651" w:rsidRDefault="00796651" w:rsidP="00796651">
            <w:pPr>
              <w:spacing w:line="259" w:lineRule="auto"/>
              <w:jc w:val="left"/>
              <w:rPr>
                <w:sz w:val="20"/>
                <w:szCs w:val="20"/>
              </w:rPr>
            </w:pPr>
            <w:r>
              <w:rPr>
                <w:sz w:val="20"/>
                <w:szCs w:val="20"/>
              </w:rPr>
              <w:t>477</w:t>
            </w:r>
          </w:p>
        </w:tc>
        <w:tc>
          <w:tcPr>
            <w:tcW w:w="992" w:type="dxa"/>
          </w:tcPr>
          <w:p w14:paraId="53726FCC" w14:textId="53B09B19" w:rsidR="00796651" w:rsidRDefault="00796651" w:rsidP="00796651">
            <w:pPr>
              <w:spacing w:line="259" w:lineRule="auto"/>
              <w:jc w:val="left"/>
              <w:rPr>
                <w:sz w:val="20"/>
                <w:szCs w:val="20"/>
              </w:rPr>
            </w:pPr>
            <w:r>
              <w:rPr>
                <w:sz w:val="20"/>
                <w:szCs w:val="20"/>
              </w:rPr>
              <w:t>13.1</w:t>
            </w:r>
          </w:p>
        </w:tc>
        <w:tc>
          <w:tcPr>
            <w:tcW w:w="1134" w:type="dxa"/>
          </w:tcPr>
          <w:p w14:paraId="6837BC19" w14:textId="1615C6AB" w:rsidR="00796651" w:rsidRDefault="00796651" w:rsidP="00796651">
            <w:pPr>
              <w:spacing w:line="259" w:lineRule="auto"/>
              <w:jc w:val="left"/>
              <w:rPr>
                <w:sz w:val="20"/>
                <w:szCs w:val="20"/>
              </w:rPr>
            </w:pPr>
            <w:r>
              <w:rPr>
                <w:sz w:val="20"/>
                <w:szCs w:val="20"/>
              </w:rPr>
              <w:t>18</w:t>
            </w:r>
          </w:p>
        </w:tc>
        <w:tc>
          <w:tcPr>
            <w:tcW w:w="1031" w:type="dxa"/>
          </w:tcPr>
          <w:p w14:paraId="3D3806DD" w14:textId="7B9EBBD9" w:rsidR="00796651" w:rsidRDefault="00796651" w:rsidP="00796651">
            <w:pPr>
              <w:spacing w:line="259" w:lineRule="auto"/>
              <w:jc w:val="left"/>
              <w:rPr>
                <w:sz w:val="20"/>
                <w:szCs w:val="20"/>
              </w:rPr>
            </w:pPr>
            <w:r>
              <w:rPr>
                <w:sz w:val="20"/>
                <w:szCs w:val="20"/>
              </w:rPr>
              <w:t>0.78</w:t>
            </w:r>
          </w:p>
        </w:tc>
        <w:tc>
          <w:tcPr>
            <w:tcW w:w="1404" w:type="dxa"/>
          </w:tcPr>
          <w:p w14:paraId="296C28D3" w14:textId="606167BA" w:rsidR="00796651" w:rsidRDefault="00796651" w:rsidP="00796651">
            <w:pPr>
              <w:spacing w:line="259" w:lineRule="auto"/>
              <w:jc w:val="left"/>
              <w:rPr>
                <w:sz w:val="20"/>
                <w:szCs w:val="20"/>
              </w:rPr>
            </w:pPr>
            <w:r>
              <w:rPr>
                <w:sz w:val="20"/>
                <w:szCs w:val="20"/>
              </w:rPr>
              <w:t>Retain the null hypothesis</w:t>
            </w:r>
          </w:p>
        </w:tc>
      </w:tr>
      <w:tr w:rsidR="00796651" w14:paraId="4FCB3308" w14:textId="77777777" w:rsidTr="005D7515">
        <w:trPr>
          <w:trHeight w:val="180"/>
        </w:trPr>
        <w:tc>
          <w:tcPr>
            <w:tcW w:w="9943" w:type="dxa"/>
            <w:gridSpan w:val="7"/>
          </w:tcPr>
          <w:p w14:paraId="45685D2C" w14:textId="120304CF" w:rsidR="00796651" w:rsidRDefault="00796651" w:rsidP="00796651">
            <w:pPr>
              <w:spacing w:line="259" w:lineRule="auto"/>
              <w:jc w:val="left"/>
              <w:rPr>
                <w:sz w:val="20"/>
                <w:szCs w:val="20"/>
              </w:rPr>
            </w:pPr>
            <w:r>
              <w:rPr>
                <w:b/>
                <w:bCs/>
                <w:sz w:val="20"/>
                <w:szCs w:val="20"/>
              </w:rPr>
              <w:t>Chinese</w:t>
            </w:r>
            <w:r w:rsidRPr="00263DC6">
              <w:rPr>
                <w:b/>
                <w:bCs/>
                <w:sz w:val="20"/>
                <w:szCs w:val="20"/>
              </w:rPr>
              <w:t xml:space="preserve">-speaking, unstressed, Experiment </w:t>
            </w:r>
            <w:r>
              <w:rPr>
                <w:b/>
                <w:bCs/>
                <w:sz w:val="20"/>
                <w:szCs w:val="20"/>
              </w:rPr>
              <w:t>3</w:t>
            </w:r>
          </w:p>
        </w:tc>
      </w:tr>
      <w:tr w:rsidR="00796651" w14:paraId="5866EAED" w14:textId="77777777" w:rsidTr="00263DC6">
        <w:trPr>
          <w:trHeight w:val="416"/>
        </w:trPr>
        <w:tc>
          <w:tcPr>
            <w:tcW w:w="2689" w:type="dxa"/>
          </w:tcPr>
          <w:p w14:paraId="5FEB696A" w14:textId="34FE68BD" w:rsidR="00796651" w:rsidRDefault="00796651" w:rsidP="00796651">
            <w:pPr>
              <w:spacing w:line="259" w:lineRule="auto"/>
              <w:jc w:val="left"/>
              <w:rPr>
                <w:b/>
                <w:bCs/>
                <w:sz w:val="20"/>
                <w:szCs w:val="20"/>
              </w:rPr>
            </w:pPr>
            <w:r w:rsidRPr="00D91407">
              <w:rPr>
                <w:sz w:val="20"/>
                <w:szCs w:val="20"/>
              </w:rPr>
              <w:t xml:space="preserve">The distribution of </w:t>
            </w:r>
            <w:r w:rsidRPr="00575CD3">
              <w:rPr>
                <w:b/>
                <w:bCs/>
                <w:sz w:val="20"/>
                <w:szCs w:val="20"/>
              </w:rPr>
              <w:t>Age</w:t>
            </w:r>
            <w:r w:rsidRPr="00D91407">
              <w:rPr>
                <w:sz w:val="20"/>
                <w:szCs w:val="20"/>
              </w:rPr>
              <w:t xml:space="preserve"> is the same across </w:t>
            </w:r>
            <w:r>
              <w:rPr>
                <w:sz w:val="20"/>
                <w:szCs w:val="20"/>
              </w:rPr>
              <w:t>treatment groups</w:t>
            </w:r>
          </w:p>
        </w:tc>
        <w:tc>
          <w:tcPr>
            <w:tcW w:w="1984" w:type="dxa"/>
          </w:tcPr>
          <w:p w14:paraId="6537F92C" w14:textId="1F04F2EE" w:rsidR="00796651" w:rsidRPr="00575CD3" w:rsidRDefault="00796651" w:rsidP="00796651">
            <w:pPr>
              <w:spacing w:line="259" w:lineRule="auto"/>
              <w:jc w:val="left"/>
              <w:rPr>
                <w:sz w:val="20"/>
                <w:szCs w:val="20"/>
              </w:rPr>
            </w:pPr>
            <w:r w:rsidRPr="00575CD3">
              <w:rPr>
                <w:sz w:val="20"/>
                <w:szCs w:val="20"/>
              </w:rPr>
              <w:t>Pearson Chi-Square</w:t>
            </w:r>
          </w:p>
        </w:tc>
        <w:tc>
          <w:tcPr>
            <w:tcW w:w="709" w:type="dxa"/>
          </w:tcPr>
          <w:p w14:paraId="2F5EFBE1" w14:textId="35B5B39C" w:rsidR="00796651" w:rsidRDefault="00796651" w:rsidP="00796651">
            <w:pPr>
              <w:spacing w:line="259" w:lineRule="auto"/>
              <w:jc w:val="left"/>
              <w:rPr>
                <w:sz w:val="20"/>
                <w:szCs w:val="20"/>
              </w:rPr>
            </w:pPr>
            <w:r>
              <w:rPr>
                <w:sz w:val="20"/>
                <w:szCs w:val="20"/>
              </w:rPr>
              <w:t>379</w:t>
            </w:r>
          </w:p>
        </w:tc>
        <w:tc>
          <w:tcPr>
            <w:tcW w:w="992" w:type="dxa"/>
          </w:tcPr>
          <w:p w14:paraId="69F1B9FB" w14:textId="497A5822" w:rsidR="00796651" w:rsidRDefault="00796651" w:rsidP="00796651">
            <w:pPr>
              <w:spacing w:line="259" w:lineRule="auto"/>
              <w:jc w:val="left"/>
              <w:rPr>
                <w:sz w:val="20"/>
                <w:szCs w:val="20"/>
              </w:rPr>
            </w:pPr>
            <w:r>
              <w:rPr>
                <w:sz w:val="20"/>
                <w:szCs w:val="20"/>
              </w:rPr>
              <w:t>18.9</w:t>
            </w:r>
          </w:p>
        </w:tc>
        <w:tc>
          <w:tcPr>
            <w:tcW w:w="1134" w:type="dxa"/>
          </w:tcPr>
          <w:p w14:paraId="7978CAD1" w14:textId="24B96D64" w:rsidR="00796651" w:rsidRDefault="00796651" w:rsidP="00796651">
            <w:pPr>
              <w:spacing w:line="259" w:lineRule="auto"/>
              <w:jc w:val="left"/>
              <w:rPr>
                <w:sz w:val="20"/>
                <w:szCs w:val="20"/>
              </w:rPr>
            </w:pPr>
            <w:r>
              <w:rPr>
                <w:sz w:val="20"/>
                <w:szCs w:val="20"/>
              </w:rPr>
              <w:t>21</w:t>
            </w:r>
          </w:p>
        </w:tc>
        <w:tc>
          <w:tcPr>
            <w:tcW w:w="1031" w:type="dxa"/>
          </w:tcPr>
          <w:p w14:paraId="2A099EB3" w14:textId="6EF33EFD" w:rsidR="00796651" w:rsidRDefault="00796651" w:rsidP="00796651">
            <w:pPr>
              <w:spacing w:line="259" w:lineRule="auto"/>
              <w:jc w:val="left"/>
              <w:rPr>
                <w:sz w:val="20"/>
                <w:szCs w:val="20"/>
              </w:rPr>
            </w:pPr>
            <w:r>
              <w:rPr>
                <w:sz w:val="20"/>
                <w:szCs w:val="20"/>
              </w:rPr>
              <w:t>0.6</w:t>
            </w:r>
          </w:p>
        </w:tc>
        <w:tc>
          <w:tcPr>
            <w:tcW w:w="1404" w:type="dxa"/>
          </w:tcPr>
          <w:p w14:paraId="4E1A0CB9" w14:textId="2A42A1B0" w:rsidR="00796651" w:rsidRDefault="00796651" w:rsidP="00796651">
            <w:pPr>
              <w:spacing w:line="259" w:lineRule="auto"/>
              <w:jc w:val="left"/>
              <w:rPr>
                <w:sz w:val="20"/>
                <w:szCs w:val="20"/>
              </w:rPr>
            </w:pPr>
            <w:r>
              <w:rPr>
                <w:sz w:val="20"/>
                <w:szCs w:val="20"/>
              </w:rPr>
              <w:t>Retain the null hypothesis</w:t>
            </w:r>
          </w:p>
        </w:tc>
      </w:tr>
      <w:tr w:rsidR="00796651" w14:paraId="216209AB" w14:textId="77777777" w:rsidTr="00263DC6">
        <w:trPr>
          <w:trHeight w:val="416"/>
        </w:trPr>
        <w:tc>
          <w:tcPr>
            <w:tcW w:w="2689" w:type="dxa"/>
          </w:tcPr>
          <w:p w14:paraId="7F8232B8" w14:textId="1BE846E4" w:rsidR="00796651" w:rsidRDefault="00796651" w:rsidP="00796651">
            <w:pPr>
              <w:spacing w:line="259" w:lineRule="auto"/>
              <w:jc w:val="left"/>
              <w:rPr>
                <w:b/>
                <w:bCs/>
                <w:sz w:val="20"/>
                <w:szCs w:val="20"/>
              </w:rPr>
            </w:pPr>
            <w:r w:rsidRPr="00D91407">
              <w:rPr>
                <w:sz w:val="20"/>
                <w:szCs w:val="20"/>
              </w:rPr>
              <w:t xml:space="preserve">The distribution of </w:t>
            </w:r>
            <w:r w:rsidRPr="00575CD3">
              <w:rPr>
                <w:b/>
                <w:bCs/>
                <w:sz w:val="20"/>
                <w:szCs w:val="20"/>
              </w:rPr>
              <w:t>Gender</w:t>
            </w:r>
            <w:r w:rsidRPr="00D91407">
              <w:rPr>
                <w:sz w:val="20"/>
                <w:szCs w:val="20"/>
              </w:rPr>
              <w:t xml:space="preserve"> is the same across </w:t>
            </w:r>
            <w:r>
              <w:rPr>
                <w:sz w:val="20"/>
                <w:szCs w:val="20"/>
              </w:rPr>
              <w:t>treatment groups</w:t>
            </w:r>
          </w:p>
        </w:tc>
        <w:tc>
          <w:tcPr>
            <w:tcW w:w="1984" w:type="dxa"/>
          </w:tcPr>
          <w:p w14:paraId="40E0C118" w14:textId="38F455AC" w:rsidR="00796651" w:rsidRPr="00575CD3" w:rsidRDefault="00796651" w:rsidP="00796651">
            <w:pPr>
              <w:spacing w:line="259" w:lineRule="auto"/>
              <w:jc w:val="left"/>
              <w:rPr>
                <w:sz w:val="20"/>
                <w:szCs w:val="20"/>
              </w:rPr>
            </w:pPr>
            <w:r w:rsidRPr="00575CD3">
              <w:rPr>
                <w:sz w:val="20"/>
                <w:szCs w:val="20"/>
              </w:rPr>
              <w:t>Pearson Chi-Square</w:t>
            </w:r>
          </w:p>
        </w:tc>
        <w:tc>
          <w:tcPr>
            <w:tcW w:w="709" w:type="dxa"/>
          </w:tcPr>
          <w:p w14:paraId="095C8020" w14:textId="28A07951" w:rsidR="00796651" w:rsidRDefault="00796651" w:rsidP="00796651">
            <w:pPr>
              <w:spacing w:line="259" w:lineRule="auto"/>
              <w:jc w:val="left"/>
              <w:rPr>
                <w:sz w:val="20"/>
                <w:szCs w:val="20"/>
              </w:rPr>
            </w:pPr>
            <w:r>
              <w:rPr>
                <w:sz w:val="20"/>
                <w:szCs w:val="20"/>
              </w:rPr>
              <w:t>379</w:t>
            </w:r>
          </w:p>
        </w:tc>
        <w:tc>
          <w:tcPr>
            <w:tcW w:w="992" w:type="dxa"/>
          </w:tcPr>
          <w:p w14:paraId="3CAC0D43" w14:textId="21DBA000" w:rsidR="00796651" w:rsidRDefault="00796651" w:rsidP="00796651">
            <w:pPr>
              <w:spacing w:line="259" w:lineRule="auto"/>
              <w:jc w:val="left"/>
              <w:rPr>
                <w:sz w:val="20"/>
                <w:szCs w:val="20"/>
              </w:rPr>
            </w:pPr>
            <w:r>
              <w:rPr>
                <w:sz w:val="20"/>
                <w:szCs w:val="20"/>
              </w:rPr>
              <w:t>12.9</w:t>
            </w:r>
          </w:p>
        </w:tc>
        <w:tc>
          <w:tcPr>
            <w:tcW w:w="1134" w:type="dxa"/>
          </w:tcPr>
          <w:p w14:paraId="2F85A1AD" w14:textId="2E4C721C" w:rsidR="00796651" w:rsidRDefault="00796651" w:rsidP="00796651">
            <w:pPr>
              <w:spacing w:line="259" w:lineRule="auto"/>
              <w:jc w:val="left"/>
              <w:rPr>
                <w:sz w:val="20"/>
                <w:szCs w:val="20"/>
              </w:rPr>
            </w:pPr>
            <w:r>
              <w:rPr>
                <w:sz w:val="20"/>
                <w:szCs w:val="20"/>
              </w:rPr>
              <w:t>9</w:t>
            </w:r>
          </w:p>
        </w:tc>
        <w:tc>
          <w:tcPr>
            <w:tcW w:w="1031" w:type="dxa"/>
          </w:tcPr>
          <w:p w14:paraId="349837A0" w14:textId="051AD4F5" w:rsidR="00796651" w:rsidRDefault="00796651" w:rsidP="00796651">
            <w:pPr>
              <w:spacing w:line="259" w:lineRule="auto"/>
              <w:jc w:val="left"/>
              <w:rPr>
                <w:sz w:val="20"/>
                <w:szCs w:val="20"/>
              </w:rPr>
            </w:pPr>
            <w:r>
              <w:rPr>
                <w:sz w:val="20"/>
                <w:szCs w:val="20"/>
              </w:rPr>
              <w:t>0.14</w:t>
            </w:r>
          </w:p>
        </w:tc>
        <w:tc>
          <w:tcPr>
            <w:tcW w:w="1404" w:type="dxa"/>
          </w:tcPr>
          <w:p w14:paraId="4E9ABD6E" w14:textId="59419642" w:rsidR="00796651" w:rsidRDefault="00796651" w:rsidP="00796651">
            <w:pPr>
              <w:spacing w:line="259" w:lineRule="auto"/>
              <w:jc w:val="left"/>
              <w:rPr>
                <w:sz w:val="20"/>
                <w:szCs w:val="20"/>
              </w:rPr>
            </w:pPr>
            <w:r>
              <w:rPr>
                <w:sz w:val="20"/>
                <w:szCs w:val="20"/>
              </w:rPr>
              <w:t>Retain the null hypothesis</w:t>
            </w:r>
          </w:p>
        </w:tc>
      </w:tr>
      <w:tr w:rsidR="00796651" w14:paraId="6724BB60" w14:textId="77777777" w:rsidTr="00263DC6">
        <w:trPr>
          <w:trHeight w:val="416"/>
        </w:trPr>
        <w:tc>
          <w:tcPr>
            <w:tcW w:w="2689" w:type="dxa"/>
          </w:tcPr>
          <w:p w14:paraId="13228B8E" w14:textId="632252F4" w:rsidR="00796651" w:rsidRDefault="00796651" w:rsidP="00796651">
            <w:pPr>
              <w:spacing w:line="259" w:lineRule="auto"/>
              <w:jc w:val="left"/>
              <w:rPr>
                <w:b/>
                <w:bCs/>
                <w:sz w:val="20"/>
                <w:szCs w:val="20"/>
              </w:rPr>
            </w:pPr>
            <w:r w:rsidRPr="00D91407">
              <w:rPr>
                <w:sz w:val="20"/>
                <w:szCs w:val="20"/>
              </w:rPr>
              <w:t xml:space="preserve">The distribution of </w:t>
            </w:r>
            <w:r>
              <w:rPr>
                <w:b/>
                <w:bCs/>
                <w:sz w:val="20"/>
                <w:szCs w:val="20"/>
              </w:rPr>
              <w:t xml:space="preserve">Education </w:t>
            </w:r>
            <w:r w:rsidR="00B115FA">
              <w:rPr>
                <w:b/>
                <w:bCs/>
                <w:sz w:val="20"/>
                <w:szCs w:val="20"/>
              </w:rPr>
              <w:t>attainment</w:t>
            </w:r>
            <w:r w:rsidRPr="00D91407">
              <w:rPr>
                <w:sz w:val="20"/>
                <w:szCs w:val="20"/>
              </w:rPr>
              <w:t xml:space="preserve"> is the same across </w:t>
            </w:r>
            <w:r>
              <w:rPr>
                <w:sz w:val="20"/>
                <w:szCs w:val="20"/>
              </w:rPr>
              <w:t>treatment groups</w:t>
            </w:r>
          </w:p>
        </w:tc>
        <w:tc>
          <w:tcPr>
            <w:tcW w:w="1984" w:type="dxa"/>
          </w:tcPr>
          <w:p w14:paraId="2F507DBC" w14:textId="368DC073" w:rsidR="00796651" w:rsidRPr="00575CD3" w:rsidRDefault="00796651" w:rsidP="00796651">
            <w:pPr>
              <w:spacing w:line="259" w:lineRule="auto"/>
              <w:jc w:val="left"/>
              <w:rPr>
                <w:sz w:val="20"/>
                <w:szCs w:val="20"/>
              </w:rPr>
            </w:pPr>
            <w:r w:rsidRPr="00575CD3">
              <w:rPr>
                <w:sz w:val="20"/>
                <w:szCs w:val="20"/>
              </w:rPr>
              <w:t>Pearson Chi-Square</w:t>
            </w:r>
          </w:p>
        </w:tc>
        <w:tc>
          <w:tcPr>
            <w:tcW w:w="709" w:type="dxa"/>
          </w:tcPr>
          <w:p w14:paraId="3DF46326" w14:textId="47B369D6" w:rsidR="00796651" w:rsidRDefault="00796651" w:rsidP="00796651">
            <w:pPr>
              <w:spacing w:line="259" w:lineRule="auto"/>
              <w:jc w:val="left"/>
              <w:rPr>
                <w:sz w:val="20"/>
                <w:szCs w:val="20"/>
              </w:rPr>
            </w:pPr>
            <w:r>
              <w:rPr>
                <w:sz w:val="20"/>
                <w:szCs w:val="20"/>
              </w:rPr>
              <w:t>376</w:t>
            </w:r>
          </w:p>
        </w:tc>
        <w:tc>
          <w:tcPr>
            <w:tcW w:w="992" w:type="dxa"/>
          </w:tcPr>
          <w:p w14:paraId="638C7814" w14:textId="48CD003A" w:rsidR="00796651" w:rsidRDefault="00796651" w:rsidP="00796651">
            <w:pPr>
              <w:spacing w:line="259" w:lineRule="auto"/>
              <w:jc w:val="left"/>
              <w:rPr>
                <w:sz w:val="20"/>
                <w:szCs w:val="20"/>
              </w:rPr>
            </w:pPr>
            <w:r>
              <w:rPr>
                <w:sz w:val="20"/>
                <w:szCs w:val="20"/>
              </w:rPr>
              <w:t>12.4</w:t>
            </w:r>
          </w:p>
        </w:tc>
        <w:tc>
          <w:tcPr>
            <w:tcW w:w="1134" w:type="dxa"/>
          </w:tcPr>
          <w:p w14:paraId="1EE777DA" w14:textId="3CA9FB80" w:rsidR="00796651" w:rsidRDefault="00796651" w:rsidP="00796651">
            <w:pPr>
              <w:spacing w:line="259" w:lineRule="auto"/>
              <w:jc w:val="left"/>
              <w:rPr>
                <w:sz w:val="20"/>
                <w:szCs w:val="20"/>
              </w:rPr>
            </w:pPr>
            <w:r>
              <w:rPr>
                <w:sz w:val="20"/>
                <w:szCs w:val="20"/>
              </w:rPr>
              <w:t>12</w:t>
            </w:r>
          </w:p>
        </w:tc>
        <w:tc>
          <w:tcPr>
            <w:tcW w:w="1031" w:type="dxa"/>
          </w:tcPr>
          <w:p w14:paraId="30ED9ED8" w14:textId="2634946B" w:rsidR="00796651" w:rsidRDefault="00796651" w:rsidP="00796651">
            <w:pPr>
              <w:spacing w:line="259" w:lineRule="auto"/>
              <w:jc w:val="left"/>
              <w:rPr>
                <w:sz w:val="20"/>
                <w:szCs w:val="20"/>
              </w:rPr>
            </w:pPr>
            <w:r>
              <w:rPr>
                <w:sz w:val="20"/>
                <w:szCs w:val="20"/>
              </w:rPr>
              <w:t>0.77</w:t>
            </w:r>
          </w:p>
        </w:tc>
        <w:tc>
          <w:tcPr>
            <w:tcW w:w="1404" w:type="dxa"/>
          </w:tcPr>
          <w:p w14:paraId="26F3843C" w14:textId="442E3A18" w:rsidR="00796651" w:rsidRDefault="00796651" w:rsidP="00796651">
            <w:pPr>
              <w:spacing w:line="259" w:lineRule="auto"/>
              <w:jc w:val="left"/>
              <w:rPr>
                <w:sz w:val="20"/>
                <w:szCs w:val="20"/>
              </w:rPr>
            </w:pPr>
            <w:r>
              <w:rPr>
                <w:sz w:val="20"/>
                <w:szCs w:val="20"/>
              </w:rPr>
              <w:t>Retain the null hypothesis</w:t>
            </w:r>
          </w:p>
        </w:tc>
      </w:tr>
      <w:tr w:rsidR="00796651" w14:paraId="60AAA1CA" w14:textId="77777777" w:rsidTr="00263DC6">
        <w:trPr>
          <w:trHeight w:val="416"/>
        </w:trPr>
        <w:tc>
          <w:tcPr>
            <w:tcW w:w="2689" w:type="dxa"/>
          </w:tcPr>
          <w:p w14:paraId="7EACDA9C" w14:textId="7E171FCD" w:rsidR="00796651" w:rsidRDefault="00796651" w:rsidP="00796651">
            <w:pPr>
              <w:spacing w:line="259" w:lineRule="auto"/>
              <w:jc w:val="left"/>
              <w:rPr>
                <w:b/>
                <w:bCs/>
                <w:sz w:val="20"/>
                <w:szCs w:val="20"/>
              </w:rPr>
            </w:pPr>
            <w:r w:rsidRPr="00D91407">
              <w:rPr>
                <w:sz w:val="20"/>
                <w:szCs w:val="20"/>
              </w:rPr>
              <w:t xml:space="preserve">The distribution of </w:t>
            </w:r>
            <w:r w:rsidR="00B115FA" w:rsidRPr="00575CD3">
              <w:rPr>
                <w:b/>
                <w:bCs/>
                <w:sz w:val="20"/>
                <w:szCs w:val="20"/>
              </w:rPr>
              <w:t>Ethnicity</w:t>
            </w:r>
            <w:r w:rsidRPr="00D91407">
              <w:rPr>
                <w:sz w:val="20"/>
                <w:szCs w:val="20"/>
              </w:rPr>
              <w:t xml:space="preserve"> is the same across </w:t>
            </w:r>
            <w:r>
              <w:rPr>
                <w:sz w:val="20"/>
                <w:szCs w:val="20"/>
              </w:rPr>
              <w:t>treatment groups</w:t>
            </w:r>
          </w:p>
        </w:tc>
        <w:tc>
          <w:tcPr>
            <w:tcW w:w="1984" w:type="dxa"/>
          </w:tcPr>
          <w:p w14:paraId="484B9246" w14:textId="27C32581" w:rsidR="00796651" w:rsidRPr="00575CD3" w:rsidRDefault="00796651" w:rsidP="00796651">
            <w:pPr>
              <w:spacing w:line="259" w:lineRule="auto"/>
              <w:jc w:val="left"/>
              <w:rPr>
                <w:sz w:val="20"/>
                <w:szCs w:val="20"/>
              </w:rPr>
            </w:pPr>
            <w:r w:rsidRPr="00575CD3">
              <w:rPr>
                <w:sz w:val="20"/>
                <w:szCs w:val="20"/>
              </w:rPr>
              <w:t>Pearson Chi-Square</w:t>
            </w:r>
          </w:p>
        </w:tc>
        <w:tc>
          <w:tcPr>
            <w:tcW w:w="709" w:type="dxa"/>
          </w:tcPr>
          <w:p w14:paraId="16376E29" w14:textId="1BA78BC8" w:rsidR="00796651" w:rsidRDefault="00796651" w:rsidP="00796651">
            <w:pPr>
              <w:spacing w:line="259" w:lineRule="auto"/>
              <w:jc w:val="left"/>
              <w:rPr>
                <w:sz w:val="20"/>
                <w:szCs w:val="20"/>
              </w:rPr>
            </w:pPr>
            <w:r>
              <w:rPr>
                <w:sz w:val="20"/>
                <w:szCs w:val="20"/>
              </w:rPr>
              <w:t>379</w:t>
            </w:r>
          </w:p>
        </w:tc>
        <w:tc>
          <w:tcPr>
            <w:tcW w:w="992" w:type="dxa"/>
          </w:tcPr>
          <w:p w14:paraId="6789CF7E" w14:textId="74641978" w:rsidR="00796651" w:rsidRDefault="00796651" w:rsidP="00796651">
            <w:pPr>
              <w:spacing w:line="259" w:lineRule="auto"/>
              <w:jc w:val="left"/>
              <w:rPr>
                <w:sz w:val="20"/>
                <w:szCs w:val="20"/>
              </w:rPr>
            </w:pPr>
            <w:r>
              <w:rPr>
                <w:sz w:val="20"/>
                <w:szCs w:val="20"/>
              </w:rPr>
              <w:t>8.2</w:t>
            </w:r>
          </w:p>
        </w:tc>
        <w:tc>
          <w:tcPr>
            <w:tcW w:w="1134" w:type="dxa"/>
          </w:tcPr>
          <w:p w14:paraId="2CEA023F" w14:textId="684D3EB6" w:rsidR="00796651" w:rsidRDefault="00796651" w:rsidP="00796651">
            <w:pPr>
              <w:spacing w:line="259" w:lineRule="auto"/>
              <w:jc w:val="left"/>
              <w:rPr>
                <w:sz w:val="20"/>
                <w:szCs w:val="20"/>
              </w:rPr>
            </w:pPr>
            <w:r>
              <w:rPr>
                <w:sz w:val="20"/>
                <w:szCs w:val="20"/>
              </w:rPr>
              <w:t>9</w:t>
            </w:r>
          </w:p>
        </w:tc>
        <w:tc>
          <w:tcPr>
            <w:tcW w:w="1031" w:type="dxa"/>
          </w:tcPr>
          <w:p w14:paraId="2864ECD3" w14:textId="72E1D7A6" w:rsidR="00796651" w:rsidRDefault="00796651" w:rsidP="00796651">
            <w:pPr>
              <w:spacing w:line="259" w:lineRule="auto"/>
              <w:jc w:val="left"/>
              <w:rPr>
                <w:sz w:val="20"/>
                <w:szCs w:val="20"/>
              </w:rPr>
            </w:pPr>
            <w:r>
              <w:rPr>
                <w:sz w:val="20"/>
                <w:szCs w:val="20"/>
              </w:rPr>
              <w:t>0.51</w:t>
            </w:r>
          </w:p>
        </w:tc>
        <w:tc>
          <w:tcPr>
            <w:tcW w:w="1404" w:type="dxa"/>
          </w:tcPr>
          <w:p w14:paraId="42DE2E7F" w14:textId="3C777593" w:rsidR="00796651" w:rsidRDefault="00796651" w:rsidP="00796651">
            <w:pPr>
              <w:spacing w:line="259" w:lineRule="auto"/>
              <w:jc w:val="left"/>
              <w:rPr>
                <w:sz w:val="20"/>
                <w:szCs w:val="20"/>
              </w:rPr>
            </w:pPr>
            <w:r>
              <w:rPr>
                <w:sz w:val="20"/>
                <w:szCs w:val="20"/>
              </w:rPr>
              <w:t>Retain the null hypothesis</w:t>
            </w:r>
          </w:p>
        </w:tc>
      </w:tr>
      <w:tr w:rsidR="00796651" w14:paraId="52FF0E69" w14:textId="77777777" w:rsidTr="00263DC6">
        <w:trPr>
          <w:trHeight w:val="416"/>
        </w:trPr>
        <w:tc>
          <w:tcPr>
            <w:tcW w:w="2689" w:type="dxa"/>
          </w:tcPr>
          <w:p w14:paraId="0F702D62" w14:textId="04828C86" w:rsidR="00796651" w:rsidRDefault="00796651" w:rsidP="00796651">
            <w:pPr>
              <w:spacing w:line="259" w:lineRule="auto"/>
              <w:jc w:val="left"/>
              <w:rPr>
                <w:b/>
                <w:bCs/>
                <w:sz w:val="20"/>
                <w:szCs w:val="20"/>
              </w:rPr>
            </w:pPr>
            <w:r w:rsidRPr="00D91407">
              <w:rPr>
                <w:sz w:val="20"/>
                <w:szCs w:val="20"/>
              </w:rPr>
              <w:t xml:space="preserve">The distribution of </w:t>
            </w:r>
            <w:r w:rsidRPr="00575CD3">
              <w:rPr>
                <w:b/>
                <w:bCs/>
                <w:sz w:val="20"/>
                <w:szCs w:val="20"/>
              </w:rPr>
              <w:t>Nature connectedness</w:t>
            </w:r>
            <w:r w:rsidRPr="00D91407">
              <w:rPr>
                <w:sz w:val="20"/>
                <w:szCs w:val="20"/>
              </w:rPr>
              <w:t xml:space="preserve"> is the same across </w:t>
            </w:r>
            <w:r>
              <w:rPr>
                <w:sz w:val="20"/>
                <w:szCs w:val="20"/>
              </w:rPr>
              <w:t>treatment groups</w:t>
            </w:r>
          </w:p>
        </w:tc>
        <w:tc>
          <w:tcPr>
            <w:tcW w:w="1984" w:type="dxa"/>
          </w:tcPr>
          <w:p w14:paraId="5D89B089" w14:textId="1F55AF2C" w:rsidR="00796651" w:rsidRPr="00575CD3" w:rsidRDefault="00796651" w:rsidP="00796651">
            <w:pPr>
              <w:spacing w:line="259" w:lineRule="auto"/>
              <w:jc w:val="left"/>
              <w:rPr>
                <w:sz w:val="20"/>
                <w:szCs w:val="20"/>
              </w:rPr>
            </w:pPr>
            <w:r w:rsidRPr="00575CD3">
              <w:rPr>
                <w:sz w:val="20"/>
                <w:szCs w:val="20"/>
              </w:rPr>
              <w:t>Pearson Chi-Square</w:t>
            </w:r>
          </w:p>
        </w:tc>
        <w:tc>
          <w:tcPr>
            <w:tcW w:w="709" w:type="dxa"/>
          </w:tcPr>
          <w:p w14:paraId="064670DC" w14:textId="1581A3CA" w:rsidR="00796651" w:rsidRDefault="00796651" w:rsidP="00796651">
            <w:pPr>
              <w:spacing w:line="259" w:lineRule="auto"/>
              <w:jc w:val="left"/>
              <w:rPr>
                <w:sz w:val="20"/>
                <w:szCs w:val="20"/>
              </w:rPr>
            </w:pPr>
            <w:r>
              <w:rPr>
                <w:sz w:val="20"/>
                <w:szCs w:val="20"/>
              </w:rPr>
              <w:t>379</w:t>
            </w:r>
          </w:p>
        </w:tc>
        <w:tc>
          <w:tcPr>
            <w:tcW w:w="992" w:type="dxa"/>
          </w:tcPr>
          <w:p w14:paraId="5764496A" w14:textId="652452DB" w:rsidR="00796651" w:rsidRDefault="00796651" w:rsidP="00796651">
            <w:pPr>
              <w:spacing w:line="259" w:lineRule="auto"/>
              <w:jc w:val="left"/>
              <w:rPr>
                <w:sz w:val="20"/>
                <w:szCs w:val="20"/>
              </w:rPr>
            </w:pPr>
            <w:r>
              <w:rPr>
                <w:sz w:val="20"/>
                <w:szCs w:val="20"/>
              </w:rPr>
              <w:t>20.4</w:t>
            </w:r>
          </w:p>
        </w:tc>
        <w:tc>
          <w:tcPr>
            <w:tcW w:w="1134" w:type="dxa"/>
          </w:tcPr>
          <w:p w14:paraId="3D6148C4" w14:textId="6418E0AB" w:rsidR="00796651" w:rsidRDefault="00796651" w:rsidP="00796651">
            <w:pPr>
              <w:spacing w:line="259" w:lineRule="auto"/>
              <w:jc w:val="left"/>
              <w:rPr>
                <w:sz w:val="20"/>
                <w:szCs w:val="20"/>
              </w:rPr>
            </w:pPr>
            <w:r>
              <w:rPr>
                <w:sz w:val="20"/>
                <w:szCs w:val="20"/>
              </w:rPr>
              <w:t>18</w:t>
            </w:r>
          </w:p>
        </w:tc>
        <w:tc>
          <w:tcPr>
            <w:tcW w:w="1031" w:type="dxa"/>
          </w:tcPr>
          <w:p w14:paraId="58315833" w14:textId="785583C1" w:rsidR="00796651" w:rsidRDefault="00796651" w:rsidP="00796651">
            <w:pPr>
              <w:spacing w:line="259" w:lineRule="auto"/>
              <w:jc w:val="left"/>
              <w:rPr>
                <w:sz w:val="20"/>
                <w:szCs w:val="20"/>
              </w:rPr>
            </w:pPr>
            <w:r>
              <w:rPr>
                <w:sz w:val="20"/>
                <w:szCs w:val="20"/>
              </w:rPr>
              <w:t>0.31</w:t>
            </w:r>
          </w:p>
        </w:tc>
        <w:tc>
          <w:tcPr>
            <w:tcW w:w="1404" w:type="dxa"/>
          </w:tcPr>
          <w:p w14:paraId="781183ED" w14:textId="4DE64D7C" w:rsidR="00796651" w:rsidRDefault="00796651" w:rsidP="00796651">
            <w:pPr>
              <w:spacing w:line="259" w:lineRule="auto"/>
              <w:jc w:val="left"/>
              <w:rPr>
                <w:sz w:val="20"/>
                <w:szCs w:val="20"/>
              </w:rPr>
            </w:pPr>
            <w:r>
              <w:rPr>
                <w:sz w:val="20"/>
                <w:szCs w:val="20"/>
              </w:rPr>
              <w:t>Retain the null hypothesis</w:t>
            </w:r>
          </w:p>
        </w:tc>
      </w:tr>
      <w:tr w:rsidR="00796651" w14:paraId="68E3AAC2" w14:textId="77777777" w:rsidTr="005D7515">
        <w:trPr>
          <w:trHeight w:val="186"/>
        </w:trPr>
        <w:tc>
          <w:tcPr>
            <w:tcW w:w="9943" w:type="dxa"/>
            <w:gridSpan w:val="7"/>
          </w:tcPr>
          <w:p w14:paraId="74472858" w14:textId="48F9F022" w:rsidR="00796651" w:rsidRDefault="00796651" w:rsidP="00796651">
            <w:pPr>
              <w:spacing w:line="259" w:lineRule="auto"/>
              <w:jc w:val="left"/>
              <w:rPr>
                <w:sz w:val="20"/>
                <w:szCs w:val="20"/>
              </w:rPr>
            </w:pPr>
            <w:r>
              <w:rPr>
                <w:b/>
                <w:bCs/>
                <w:sz w:val="20"/>
                <w:szCs w:val="20"/>
              </w:rPr>
              <w:t>Chinese</w:t>
            </w:r>
            <w:r w:rsidRPr="00263DC6">
              <w:rPr>
                <w:b/>
                <w:bCs/>
                <w:sz w:val="20"/>
                <w:szCs w:val="20"/>
              </w:rPr>
              <w:t>-speaking,</w:t>
            </w:r>
            <w:r>
              <w:rPr>
                <w:b/>
                <w:bCs/>
                <w:sz w:val="20"/>
                <w:szCs w:val="20"/>
              </w:rPr>
              <w:t xml:space="preserve"> </w:t>
            </w:r>
            <w:r w:rsidRPr="00263DC6">
              <w:rPr>
                <w:b/>
                <w:bCs/>
                <w:sz w:val="20"/>
                <w:szCs w:val="20"/>
              </w:rPr>
              <w:t xml:space="preserve">stressed, Experiment </w:t>
            </w:r>
            <w:r>
              <w:rPr>
                <w:b/>
                <w:bCs/>
                <w:sz w:val="20"/>
                <w:szCs w:val="20"/>
              </w:rPr>
              <w:t>4</w:t>
            </w:r>
          </w:p>
        </w:tc>
      </w:tr>
      <w:tr w:rsidR="00796651" w14:paraId="44123D58" w14:textId="77777777" w:rsidTr="00263DC6">
        <w:trPr>
          <w:trHeight w:val="416"/>
        </w:trPr>
        <w:tc>
          <w:tcPr>
            <w:tcW w:w="2689" w:type="dxa"/>
          </w:tcPr>
          <w:p w14:paraId="2E89AE3D" w14:textId="23C44025" w:rsidR="00796651" w:rsidRDefault="00796651" w:rsidP="00796651">
            <w:pPr>
              <w:spacing w:line="259" w:lineRule="auto"/>
              <w:jc w:val="left"/>
              <w:rPr>
                <w:b/>
                <w:bCs/>
                <w:sz w:val="20"/>
                <w:szCs w:val="20"/>
              </w:rPr>
            </w:pPr>
            <w:r w:rsidRPr="00D91407">
              <w:rPr>
                <w:sz w:val="20"/>
                <w:szCs w:val="20"/>
              </w:rPr>
              <w:t xml:space="preserve">The distribution of </w:t>
            </w:r>
            <w:r w:rsidRPr="00575CD3">
              <w:rPr>
                <w:b/>
                <w:bCs/>
                <w:sz w:val="20"/>
                <w:szCs w:val="20"/>
              </w:rPr>
              <w:t>Age</w:t>
            </w:r>
            <w:r w:rsidRPr="00D91407">
              <w:rPr>
                <w:sz w:val="20"/>
                <w:szCs w:val="20"/>
              </w:rPr>
              <w:t xml:space="preserve"> is the same across </w:t>
            </w:r>
            <w:r>
              <w:rPr>
                <w:sz w:val="20"/>
                <w:szCs w:val="20"/>
              </w:rPr>
              <w:t>treatment groups</w:t>
            </w:r>
          </w:p>
        </w:tc>
        <w:tc>
          <w:tcPr>
            <w:tcW w:w="1984" w:type="dxa"/>
          </w:tcPr>
          <w:p w14:paraId="72EE38B8" w14:textId="3ADD86A3" w:rsidR="00796651" w:rsidRPr="00575CD3" w:rsidRDefault="00796651" w:rsidP="00796651">
            <w:pPr>
              <w:spacing w:line="259" w:lineRule="auto"/>
              <w:jc w:val="left"/>
              <w:rPr>
                <w:sz w:val="20"/>
                <w:szCs w:val="20"/>
              </w:rPr>
            </w:pPr>
            <w:r w:rsidRPr="00575CD3">
              <w:rPr>
                <w:sz w:val="20"/>
                <w:szCs w:val="20"/>
              </w:rPr>
              <w:t>Pearson Chi-Square</w:t>
            </w:r>
          </w:p>
        </w:tc>
        <w:tc>
          <w:tcPr>
            <w:tcW w:w="709" w:type="dxa"/>
          </w:tcPr>
          <w:p w14:paraId="3802CD86" w14:textId="1E4ECD1B" w:rsidR="00796651" w:rsidRDefault="00B115FA" w:rsidP="00796651">
            <w:pPr>
              <w:spacing w:line="259" w:lineRule="auto"/>
              <w:jc w:val="left"/>
              <w:rPr>
                <w:sz w:val="20"/>
                <w:szCs w:val="20"/>
              </w:rPr>
            </w:pPr>
            <w:r>
              <w:rPr>
                <w:sz w:val="20"/>
                <w:szCs w:val="20"/>
              </w:rPr>
              <w:t>395</w:t>
            </w:r>
          </w:p>
        </w:tc>
        <w:tc>
          <w:tcPr>
            <w:tcW w:w="992" w:type="dxa"/>
          </w:tcPr>
          <w:p w14:paraId="5E93700F" w14:textId="759A627F" w:rsidR="00796651" w:rsidRDefault="00B115FA" w:rsidP="00796651">
            <w:pPr>
              <w:spacing w:line="259" w:lineRule="auto"/>
              <w:jc w:val="left"/>
              <w:rPr>
                <w:sz w:val="20"/>
                <w:szCs w:val="20"/>
              </w:rPr>
            </w:pPr>
            <w:r>
              <w:rPr>
                <w:sz w:val="20"/>
                <w:szCs w:val="20"/>
              </w:rPr>
              <w:t>26.15</w:t>
            </w:r>
          </w:p>
        </w:tc>
        <w:tc>
          <w:tcPr>
            <w:tcW w:w="1134" w:type="dxa"/>
          </w:tcPr>
          <w:p w14:paraId="593EDC3E" w14:textId="5796AEA4" w:rsidR="00796651" w:rsidRDefault="00B115FA" w:rsidP="00796651">
            <w:pPr>
              <w:spacing w:line="259" w:lineRule="auto"/>
              <w:jc w:val="left"/>
              <w:rPr>
                <w:sz w:val="20"/>
                <w:szCs w:val="20"/>
              </w:rPr>
            </w:pPr>
            <w:r>
              <w:rPr>
                <w:sz w:val="20"/>
                <w:szCs w:val="20"/>
              </w:rPr>
              <w:t>21</w:t>
            </w:r>
          </w:p>
        </w:tc>
        <w:tc>
          <w:tcPr>
            <w:tcW w:w="1031" w:type="dxa"/>
          </w:tcPr>
          <w:p w14:paraId="5B942CD5" w14:textId="0742B4C1" w:rsidR="00796651" w:rsidRDefault="00B115FA" w:rsidP="00796651">
            <w:pPr>
              <w:spacing w:line="259" w:lineRule="auto"/>
              <w:jc w:val="left"/>
              <w:rPr>
                <w:sz w:val="20"/>
                <w:szCs w:val="20"/>
              </w:rPr>
            </w:pPr>
            <w:r>
              <w:rPr>
                <w:sz w:val="20"/>
                <w:szCs w:val="20"/>
              </w:rPr>
              <w:t>0.2</w:t>
            </w:r>
          </w:p>
        </w:tc>
        <w:tc>
          <w:tcPr>
            <w:tcW w:w="1404" w:type="dxa"/>
          </w:tcPr>
          <w:p w14:paraId="5E88E050" w14:textId="10A915E8" w:rsidR="00796651" w:rsidRDefault="00796651" w:rsidP="00796651">
            <w:pPr>
              <w:spacing w:line="259" w:lineRule="auto"/>
              <w:jc w:val="left"/>
              <w:rPr>
                <w:sz w:val="20"/>
                <w:szCs w:val="20"/>
              </w:rPr>
            </w:pPr>
            <w:r>
              <w:rPr>
                <w:sz w:val="20"/>
                <w:szCs w:val="20"/>
              </w:rPr>
              <w:t>Retain the null hypothesis</w:t>
            </w:r>
          </w:p>
        </w:tc>
      </w:tr>
      <w:tr w:rsidR="00796651" w14:paraId="1C123ED4" w14:textId="77777777" w:rsidTr="00263DC6">
        <w:trPr>
          <w:trHeight w:val="416"/>
        </w:trPr>
        <w:tc>
          <w:tcPr>
            <w:tcW w:w="2689" w:type="dxa"/>
          </w:tcPr>
          <w:p w14:paraId="56B55A2E" w14:textId="5F82E1B9" w:rsidR="00796651" w:rsidRDefault="00796651" w:rsidP="00796651">
            <w:pPr>
              <w:spacing w:line="259" w:lineRule="auto"/>
              <w:jc w:val="left"/>
              <w:rPr>
                <w:b/>
                <w:bCs/>
                <w:sz w:val="20"/>
                <w:szCs w:val="20"/>
              </w:rPr>
            </w:pPr>
            <w:r w:rsidRPr="00D91407">
              <w:rPr>
                <w:sz w:val="20"/>
                <w:szCs w:val="20"/>
              </w:rPr>
              <w:t xml:space="preserve">The distribution of </w:t>
            </w:r>
            <w:r w:rsidRPr="00575CD3">
              <w:rPr>
                <w:b/>
                <w:bCs/>
                <w:sz w:val="20"/>
                <w:szCs w:val="20"/>
              </w:rPr>
              <w:t>Gender</w:t>
            </w:r>
            <w:r w:rsidRPr="00D91407">
              <w:rPr>
                <w:sz w:val="20"/>
                <w:szCs w:val="20"/>
              </w:rPr>
              <w:t xml:space="preserve"> is the same across </w:t>
            </w:r>
            <w:r>
              <w:rPr>
                <w:sz w:val="20"/>
                <w:szCs w:val="20"/>
              </w:rPr>
              <w:t>treatment groups</w:t>
            </w:r>
          </w:p>
        </w:tc>
        <w:tc>
          <w:tcPr>
            <w:tcW w:w="1984" w:type="dxa"/>
          </w:tcPr>
          <w:p w14:paraId="0651853C" w14:textId="3B1A4D20" w:rsidR="00796651" w:rsidRPr="00575CD3" w:rsidRDefault="00796651" w:rsidP="00796651">
            <w:pPr>
              <w:spacing w:line="259" w:lineRule="auto"/>
              <w:jc w:val="left"/>
              <w:rPr>
                <w:sz w:val="20"/>
                <w:szCs w:val="20"/>
              </w:rPr>
            </w:pPr>
            <w:r w:rsidRPr="00575CD3">
              <w:rPr>
                <w:sz w:val="20"/>
                <w:szCs w:val="20"/>
              </w:rPr>
              <w:t>Pearson Chi-Square</w:t>
            </w:r>
          </w:p>
        </w:tc>
        <w:tc>
          <w:tcPr>
            <w:tcW w:w="709" w:type="dxa"/>
          </w:tcPr>
          <w:p w14:paraId="0070FF34" w14:textId="3A889171" w:rsidR="00796651" w:rsidRDefault="00B115FA" w:rsidP="00796651">
            <w:pPr>
              <w:spacing w:line="259" w:lineRule="auto"/>
              <w:jc w:val="left"/>
              <w:rPr>
                <w:sz w:val="20"/>
                <w:szCs w:val="20"/>
              </w:rPr>
            </w:pPr>
            <w:r>
              <w:rPr>
                <w:sz w:val="20"/>
                <w:szCs w:val="20"/>
              </w:rPr>
              <w:t>395</w:t>
            </w:r>
          </w:p>
        </w:tc>
        <w:tc>
          <w:tcPr>
            <w:tcW w:w="992" w:type="dxa"/>
          </w:tcPr>
          <w:p w14:paraId="09FB2E68" w14:textId="4F02806A" w:rsidR="00796651" w:rsidRDefault="00B115FA" w:rsidP="00796651">
            <w:pPr>
              <w:spacing w:line="259" w:lineRule="auto"/>
              <w:jc w:val="left"/>
              <w:rPr>
                <w:sz w:val="20"/>
                <w:szCs w:val="20"/>
              </w:rPr>
            </w:pPr>
            <w:r>
              <w:rPr>
                <w:sz w:val="20"/>
                <w:szCs w:val="20"/>
              </w:rPr>
              <w:t>6.35</w:t>
            </w:r>
          </w:p>
        </w:tc>
        <w:tc>
          <w:tcPr>
            <w:tcW w:w="1134" w:type="dxa"/>
          </w:tcPr>
          <w:p w14:paraId="04300E53" w14:textId="6519D941" w:rsidR="00796651" w:rsidRDefault="00B115FA" w:rsidP="00796651">
            <w:pPr>
              <w:spacing w:line="259" w:lineRule="auto"/>
              <w:jc w:val="left"/>
              <w:rPr>
                <w:sz w:val="20"/>
                <w:szCs w:val="20"/>
              </w:rPr>
            </w:pPr>
            <w:r>
              <w:rPr>
                <w:sz w:val="20"/>
                <w:szCs w:val="20"/>
              </w:rPr>
              <w:t>9</w:t>
            </w:r>
          </w:p>
        </w:tc>
        <w:tc>
          <w:tcPr>
            <w:tcW w:w="1031" w:type="dxa"/>
          </w:tcPr>
          <w:p w14:paraId="42A22A28" w14:textId="55B2CB56" w:rsidR="00796651" w:rsidRDefault="00B115FA" w:rsidP="00796651">
            <w:pPr>
              <w:spacing w:line="259" w:lineRule="auto"/>
              <w:jc w:val="left"/>
              <w:rPr>
                <w:sz w:val="20"/>
                <w:szCs w:val="20"/>
              </w:rPr>
            </w:pPr>
            <w:r>
              <w:rPr>
                <w:sz w:val="20"/>
                <w:szCs w:val="20"/>
              </w:rPr>
              <w:t>0.41</w:t>
            </w:r>
          </w:p>
        </w:tc>
        <w:tc>
          <w:tcPr>
            <w:tcW w:w="1404" w:type="dxa"/>
          </w:tcPr>
          <w:p w14:paraId="623811DD" w14:textId="41BA23C6" w:rsidR="00796651" w:rsidRDefault="00796651" w:rsidP="00796651">
            <w:pPr>
              <w:spacing w:line="259" w:lineRule="auto"/>
              <w:jc w:val="left"/>
              <w:rPr>
                <w:sz w:val="20"/>
                <w:szCs w:val="20"/>
              </w:rPr>
            </w:pPr>
            <w:r>
              <w:rPr>
                <w:sz w:val="20"/>
                <w:szCs w:val="20"/>
              </w:rPr>
              <w:t>Retain the null hypothesis</w:t>
            </w:r>
          </w:p>
        </w:tc>
      </w:tr>
      <w:tr w:rsidR="00796651" w14:paraId="7D25354E" w14:textId="77777777" w:rsidTr="00263DC6">
        <w:trPr>
          <w:trHeight w:val="416"/>
        </w:trPr>
        <w:tc>
          <w:tcPr>
            <w:tcW w:w="2689" w:type="dxa"/>
          </w:tcPr>
          <w:p w14:paraId="284927A6" w14:textId="2137BE67" w:rsidR="00796651" w:rsidRDefault="00796651" w:rsidP="00796651">
            <w:pPr>
              <w:spacing w:line="259" w:lineRule="auto"/>
              <w:jc w:val="left"/>
              <w:rPr>
                <w:b/>
                <w:bCs/>
                <w:sz w:val="20"/>
                <w:szCs w:val="20"/>
              </w:rPr>
            </w:pPr>
            <w:r w:rsidRPr="00D91407">
              <w:rPr>
                <w:sz w:val="20"/>
                <w:szCs w:val="20"/>
              </w:rPr>
              <w:lastRenderedPageBreak/>
              <w:t xml:space="preserve">The distribution of </w:t>
            </w:r>
            <w:r>
              <w:rPr>
                <w:b/>
                <w:bCs/>
                <w:sz w:val="20"/>
                <w:szCs w:val="20"/>
              </w:rPr>
              <w:t xml:space="preserve">Education </w:t>
            </w:r>
            <w:r w:rsidR="00B115FA">
              <w:rPr>
                <w:b/>
                <w:bCs/>
                <w:sz w:val="20"/>
                <w:szCs w:val="20"/>
              </w:rPr>
              <w:t>attainment</w:t>
            </w:r>
            <w:r w:rsidRPr="00D91407">
              <w:rPr>
                <w:sz w:val="20"/>
                <w:szCs w:val="20"/>
              </w:rPr>
              <w:t xml:space="preserve"> is the same across </w:t>
            </w:r>
            <w:r>
              <w:rPr>
                <w:sz w:val="20"/>
                <w:szCs w:val="20"/>
              </w:rPr>
              <w:t>treatment groups</w:t>
            </w:r>
          </w:p>
        </w:tc>
        <w:tc>
          <w:tcPr>
            <w:tcW w:w="1984" w:type="dxa"/>
          </w:tcPr>
          <w:p w14:paraId="1982E36C" w14:textId="52D0208F" w:rsidR="00796651" w:rsidRPr="00575CD3" w:rsidRDefault="00796651" w:rsidP="00796651">
            <w:pPr>
              <w:spacing w:line="259" w:lineRule="auto"/>
              <w:jc w:val="left"/>
              <w:rPr>
                <w:sz w:val="20"/>
                <w:szCs w:val="20"/>
              </w:rPr>
            </w:pPr>
            <w:r w:rsidRPr="00575CD3">
              <w:rPr>
                <w:sz w:val="20"/>
                <w:szCs w:val="20"/>
              </w:rPr>
              <w:t>Pearson Chi-Square</w:t>
            </w:r>
          </w:p>
        </w:tc>
        <w:tc>
          <w:tcPr>
            <w:tcW w:w="709" w:type="dxa"/>
          </w:tcPr>
          <w:p w14:paraId="4D5B7116" w14:textId="17C31618" w:rsidR="00796651" w:rsidRDefault="00B115FA" w:rsidP="00796651">
            <w:pPr>
              <w:spacing w:line="259" w:lineRule="auto"/>
              <w:jc w:val="left"/>
              <w:rPr>
                <w:sz w:val="20"/>
                <w:szCs w:val="20"/>
              </w:rPr>
            </w:pPr>
            <w:r>
              <w:rPr>
                <w:sz w:val="20"/>
                <w:szCs w:val="20"/>
              </w:rPr>
              <w:t>393</w:t>
            </w:r>
          </w:p>
        </w:tc>
        <w:tc>
          <w:tcPr>
            <w:tcW w:w="992" w:type="dxa"/>
          </w:tcPr>
          <w:p w14:paraId="480E4470" w14:textId="6B793678" w:rsidR="00796651" w:rsidRDefault="00B115FA" w:rsidP="00796651">
            <w:pPr>
              <w:spacing w:line="259" w:lineRule="auto"/>
              <w:jc w:val="left"/>
              <w:rPr>
                <w:sz w:val="20"/>
                <w:szCs w:val="20"/>
              </w:rPr>
            </w:pPr>
            <w:r>
              <w:rPr>
                <w:sz w:val="20"/>
                <w:szCs w:val="20"/>
              </w:rPr>
              <w:t>13.1</w:t>
            </w:r>
          </w:p>
        </w:tc>
        <w:tc>
          <w:tcPr>
            <w:tcW w:w="1134" w:type="dxa"/>
          </w:tcPr>
          <w:p w14:paraId="666468A8" w14:textId="40DF63F7" w:rsidR="00796651" w:rsidRDefault="00B115FA" w:rsidP="00796651">
            <w:pPr>
              <w:spacing w:line="259" w:lineRule="auto"/>
              <w:jc w:val="left"/>
              <w:rPr>
                <w:sz w:val="20"/>
                <w:szCs w:val="20"/>
              </w:rPr>
            </w:pPr>
            <w:r>
              <w:rPr>
                <w:sz w:val="20"/>
                <w:szCs w:val="20"/>
              </w:rPr>
              <w:t>12</w:t>
            </w:r>
          </w:p>
        </w:tc>
        <w:tc>
          <w:tcPr>
            <w:tcW w:w="1031" w:type="dxa"/>
          </w:tcPr>
          <w:p w14:paraId="350FEB6B" w14:textId="5766C068" w:rsidR="00796651" w:rsidRDefault="00B115FA" w:rsidP="00796651">
            <w:pPr>
              <w:spacing w:line="259" w:lineRule="auto"/>
              <w:jc w:val="left"/>
              <w:rPr>
                <w:sz w:val="20"/>
                <w:szCs w:val="20"/>
              </w:rPr>
            </w:pPr>
            <w:r>
              <w:rPr>
                <w:sz w:val="20"/>
                <w:szCs w:val="20"/>
              </w:rPr>
              <w:t>0.36</w:t>
            </w:r>
          </w:p>
        </w:tc>
        <w:tc>
          <w:tcPr>
            <w:tcW w:w="1404" w:type="dxa"/>
          </w:tcPr>
          <w:p w14:paraId="3EC74169" w14:textId="1CFB2924" w:rsidR="00796651" w:rsidRDefault="00796651" w:rsidP="00796651">
            <w:pPr>
              <w:spacing w:line="259" w:lineRule="auto"/>
              <w:jc w:val="left"/>
              <w:rPr>
                <w:sz w:val="20"/>
                <w:szCs w:val="20"/>
              </w:rPr>
            </w:pPr>
            <w:r>
              <w:rPr>
                <w:sz w:val="20"/>
                <w:szCs w:val="20"/>
              </w:rPr>
              <w:t>Retain the null hypothesis</w:t>
            </w:r>
          </w:p>
        </w:tc>
      </w:tr>
      <w:tr w:rsidR="00796651" w14:paraId="3C1B36D8" w14:textId="77777777" w:rsidTr="00263DC6">
        <w:trPr>
          <w:trHeight w:val="416"/>
        </w:trPr>
        <w:tc>
          <w:tcPr>
            <w:tcW w:w="2689" w:type="dxa"/>
          </w:tcPr>
          <w:p w14:paraId="65B0C63D" w14:textId="324A7719" w:rsidR="00796651" w:rsidRDefault="00796651" w:rsidP="00796651">
            <w:pPr>
              <w:spacing w:line="259" w:lineRule="auto"/>
              <w:jc w:val="left"/>
              <w:rPr>
                <w:b/>
                <w:bCs/>
                <w:sz w:val="20"/>
                <w:szCs w:val="20"/>
              </w:rPr>
            </w:pPr>
            <w:r w:rsidRPr="00D91407">
              <w:rPr>
                <w:sz w:val="20"/>
                <w:szCs w:val="20"/>
              </w:rPr>
              <w:t xml:space="preserve">The distribution of </w:t>
            </w:r>
            <w:r w:rsidR="00B115FA" w:rsidRPr="00575CD3">
              <w:rPr>
                <w:b/>
                <w:bCs/>
                <w:sz w:val="20"/>
                <w:szCs w:val="20"/>
              </w:rPr>
              <w:t>Ethnicity</w:t>
            </w:r>
            <w:r w:rsidRPr="00D91407">
              <w:rPr>
                <w:sz w:val="20"/>
                <w:szCs w:val="20"/>
              </w:rPr>
              <w:t xml:space="preserve"> is the same across </w:t>
            </w:r>
            <w:r>
              <w:rPr>
                <w:sz w:val="20"/>
                <w:szCs w:val="20"/>
              </w:rPr>
              <w:t>treatment groups</w:t>
            </w:r>
          </w:p>
        </w:tc>
        <w:tc>
          <w:tcPr>
            <w:tcW w:w="1984" w:type="dxa"/>
          </w:tcPr>
          <w:p w14:paraId="49B1FCC8" w14:textId="1C096CD9" w:rsidR="00796651" w:rsidRPr="00575CD3" w:rsidRDefault="00796651" w:rsidP="00796651">
            <w:pPr>
              <w:spacing w:line="259" w:lineRule="auto"/>
              <w:jc w:val="left"/>
              <w:rPr>
                <w:sz w:val="20"/>
                <w:szCs w:val="20"/>
              </w:rPr>
            </w:pPr>
            <w:r w:rsidRPr="00575CD3">
              <w:rPr>
                <w:sz w:val="20"/>
                <w:szCs w:val="20"/>
              </w:rPr>
              <w:t>Pearson Chi-Square</w:t>
            </w:r>
          </w:p>
        </w:tc>
        <w:tc>
          <w:tcPr>
            <w:tcW w:w="709" w:type="dxa"/>
          </w:tcPr>
          <w:p w14:paraId="4C3B70B4" w14:textId="60A1D1DC" w:rsidR="00796651" w:rsidRDefault="00B115FA" w:rsidP="00796651">
            <w:pPr>
              <w:spacing w:line="259" w:lineRule="auto"/>
              <w:jc w:val="left"/>
              <w:rPr>
                <w:sz w:val="20"/>
                <w:szCs w:val="20"/>
              </w:rPr>
            </w:pPr>
            <w:r>
              <w:rPr>
                <w:sz w:val="20"/>
                <w:szCs w:val="20"/>
              </w:rPr>
              <w:t>395</w:t>
            </w:r>
          </w:p>
        </w:tc>
        <w:tc>
          <w:tcPr>
            <w:tcW w:w="992" w:type="dxa"/>
          </w:tcPr>
          <w:p w14:paraId="1F5F8062" w14:textId="26A0EC8F" w:rsidR="00796651" w:rsidRDefault="00B115FA" w:rsidP="00796651">
            <w:pPr>
              <w:spacing w:line="259" w:lineRule="auto"/>
              <w:jc w:val="left"/>
              <w:rPr>
                <w:sz w:val="20"/>
                <w:szCs w:val="20"/>
              </w:rPr>
            </w:pPr>
            <w:r>
              <w:rPr>
                <w:sz w:val="20"/>
                <w:szCs w:val="20"/>
              </w:rPr>
              <w:t>10.15</w:t>
            </w:r>
          </w:p>
        </w:tc>
        <w:tc>
          <w:tcPr>
            <w:tcW w:w="1134" w:type="dxa"/>
          </w:tcPr>
          <w:p w14:paraId="2DCD0505" w14:textId="27073283" w:rsidR="00796651" w:rsidRDefault="00B115FA" w:rsidP="00796651">
            <w:pPr>
              <w:spacing w:line="259" w:lineRule="auto"/>
              <w:jc w:val="left"/>
              <w:rPr>
                <w:sz w:val="20"/>
                <w:szCs w:val="20"/>
              </w:rPr>
            </w:pPr>
            <w:r>
              <w:rPr>
                <w:sz w:val="20"/>
                <w:szCs w:val="20"/>
              </w:rPr>
              <w:t>9</w:t>
            </w:r>
          </w:p>
        </w:tc>
        <w:tc>
          <w:tcPr>
            <w:tcW w:w="1031" w:type="dxa"/>
          </w:tcPr>
          <w:p w14:paraId="2D466D5B" w14:textId="57DB240B" w:rsidR="00796651" w:rsidRDefault="00B115FA" w:rsidP="00796651">
            <w:pPr>
              <w:spacing w:line="259" w:lineRule="auto"/>
              <w:jc w:val="left"/>
              <w:rPr>
                <w:sz w:val="20"/>
                <w:szCs w:val="20"/>
              </w:rPr>
            </w:pPr>
            <w:r>
              <w:rPr>
                <w:sz w:val="20"/>
                <w:szCs w:val="20"/>
              </w:rPr>
              <w:t>0.39</w:t>
            </w:r>
          </w:p>
        </w:tc>
        <w:tc>
          <w:tcPr>
            <w:tcW w:w="1404" w:type="dxa"/>
          </w:tcPr>
          <w:p w14:paraId="01DDFC0D" w14:textId="6A66051F" w:rsidR="00796651" w:rsidRDefault="00796651" w:rsidP="00796651">
            <w:pPr>
              <w:spacing w:line="259" w:lineRule="auto"/>
              <w:jc w:val="left"/>
              <w:rPr>
                <w:sz w:val="20"/>
                <w:szCs w:val="20"/>
              </w:rPr>
            </w:pPr>
            <w:r>
              <w:rPr>
                <w:sz w:val="20"/>
                <w:szCs w:val="20"/>
              </w:rPr>
              <w:t>Retain the null hypothesis</w:t>
            </w:r>
          </w:p>
        </w:tc>
      </w:tr>
      <w:tr w:rsidR="00796651" w14:paraId="6D903FEC" w14:textId="77777777" w:rsidTr="00263DC6">
        <w:trPr>
          <w:trHeight w:val="416"/>
        </w:trPr>
        <w:tc>
          <w:tcPr>
            <w:tcW w:w="2689" w:type="dxa"/>
          </w:tcPr>
          <w:p w14:paraId="061FCB64" w14:textId="30A1828C" w:rsidR="00796651" w:rsidRDefault="00796651" w:rsidP="00796651">
            <w:pPr>
              <w:spacing w:line="259" w:lineRule="auto"/>
              <w:jc w:val="left"/>
              <w:rPr>
                <w:b/>
                <w:bCs/>
                <w:sz w:val="20"/>
                <w:szCs w:val="20"/>
              </w:rPr>
            </w:pPr>
            <w:r w:rsidRPr="00D91407">
              <w:rPr>
                <w:sz w:val="20"/>
                <w:szCs w:val="20"/>
              </w:rPr>
              <w:t xml:space="preserve">The distribution of </w:t>
            </w:r>
            <w:r w:rsidRPr="00575CD3">
              <w:rPr>
                <w:b/>
                <w:bCs/>
                <w:sz w:val="20"/>
                <w:szCs w:val="20"/>
              </w:rPr>
              <w:t>Nature connectedness</w:t>
            </w:r>
            <w:r w:rsidRPr="00D91407">
              <w:rPr>
                <w:sz w:val="20"/>
                <w:szCs w:val="20"/>
              </w:rPr>
              <w:t xml:space="preserve"> is the same across </w:t>
            </w:r>
            <w:r>
              <w:rPr>
                <w:sz w:val="20"/>
                <w:szCs w:val="20"/>
              </w:rPr>
              <w:t>treatment groups</w:t>
            </w:r>
          </w:p>
        </w:tc>
        <w:tc>
          <w:tcPr>
            <w:tcW w:w="1984" w:type="dxa"/>
          </w:tcPr>
          <w:p w14:paraId="0CCA7181" w14:textId="3F19F3CD" w:rsidR="00796651" w:rsidRPr="00575CD3" w:rsidRDefault="00796651" w:rsidP="00796651">
            <w:pPr>
              <w:spacing w:line="259" w:lineRule="auto"/>
              <w:jc w:val="left"/>
              <w:rPr>
                <w:sz w:val="20"/>
                <w:szCs w:val="20"/>
              </w:rPr>
            </w:pPr>
            <w:r w:rsidRPr="00575CD3">
              <w:rPr>
                <w:sz w:val="20"/>
                <w:szCs w:val="20"/>
              </w:rPr>
              <w:t>Pearson Chi-Square</w:t>
            </w:r>
          </w:p>
        </w:tc>
        <w:tc>
          <w:tcPr>
            <w:tcW w:w="709" w:type="dxa"/>
          </w:tcPr>
          <w:p w14:paraId="4D7121DA" w14:textId="7CD5F4AA" w:rsidR="00796651" w:rsidRDefault="00B115FA" w:rsidP="00796651">
            <w:pPr>
              <w:spacing w:line="259" w:lineRule="auto"/>
              <w:jc w:val="left"/>
              <w:rPr>
                <w:sz w:val="20"/>
                <w:szCs w:val="20"/>
              </w:rPr>
            </w:pPr>
            <w:r>
              <w:rPr>
                <w:sz w:val="20"/>
                <w:szCs w:val="20"/>
              </w:rPr>
              <w:t>395</w:t>
            </w:r>
          </w:p>
        </w:tc>
        <w:tc>
          <w:tcPr>
            <w:tcW w:w="992" w:type="dxa"/>
          </w:tcPr>
          <w:p w14:paraId="082C86AF" w14:textId="3D4D0C2F" w:rsidR="00796651" w:rsidRDefault="00B115FA" w:rsidP="00796651">
            <w:pPr>
              <w:spacing w:line="259" w:lineRule="auto"/>
              <w:jc w:val="left"/>
              <w:rPr>
                <w:sz w:val="20"/>
                <w:szCs w:val="20"/>
              </w:rPr>
            </w:pPr>
            <w:r>
              <w:rPr>
                <w:sz w:val="20"/>
                <w:szCs w:val="20"/>
              </w:rPr>
              <w:t>9.1</w:t>
            </w:r>
          </w:p>
        </w:tc>
        <w:tc>
          <w:tcPr>
            <w:tcW w:w="1134" w:type="dxa"/>
          </w:tcPr>
          <w:p w14:paraId="2F379CED" w14:textId="633951FC" w:rsidR="00796651" w:rsidRDefault="00B115FA" w:rsidP="00796651">
            <w:pPr>
              <w:spacing w:line="259" w:lineRule="auto"/>
              <w:jc w:val="left"/>
              <w:rPr>
                <w:sz w:val="20"/>
                <w:szCs w:val="20"/>
              </w:rPr>
            </w:pPr>
            <w:r>
              <w:rPr>
                <w:sz w:val="20"/>
                <w:szCs w:val="20"/>
              </w:rPr>
              <w:t>15</w:t>
            </w:r>
          </w:p>
        </w:tc>
        <w:tc>
          <w:tcPr>
            <w:tcW w:w="1031" w:type="dxa"/>
          </w:tcPr>
          <w:p w14:paraId="038BF02A" w14:textId="5B3D1F31" w:rsidR="00796651" w:rsidRDefault="00B115FA" w:rsidP="00796651">
            <w:pPr>
              <w:spacing w:line="259" w:lineRule="auto"/>
              <w:jc w:val="left"/>
              <w:rPr>
                <w:sz w:val="20"/>
                <w:szCs w:val="20"/>
              </w:rPr>
            </w:pPr>
            <w:r>
              <w:rPr>
                <w:sz w:val="20"/>
                <w:szCs w:val="20"/>
              </w:rPr>
              <w:t>0.87</w:t>
            </w:r>
          </w:p>
        </w:tc>
        <w:tc>
          <w:tcPr>
            <w:tcW w:w="1404" w:type="dxa"/>
          </w:tcPr>
          <w:p w14:paraId="2A893A59" w14:textId="66DF5532" w:rsidR="00796651" w:rsidRDefault="00796651" w:rsidP="00796651">
            <w:pPr>
              <w:spacing w:line="259" w:lineRule="auto"/>
              <w:jc w:val="left"/>
              <w:rPr>
                <w:sz w:val="20"/>
                <w:szCs w:val="20"/>
              </w:rPr>
            </w:pPr>
            <w:r>
              <w:rPr>
                <w:sz w:val="20"/>
                <w:szCs w:val="20"/>
              </w:rPr>
              <w:t>Retain the null hypothesis</w:t>
            </w:r>
          </w:p>
        </w:tc>
      </w:tr>
    </w:tbl>
    <w:p w14:paraId="305C38E6" w14:textId="77777777" w:rsidR="00375BD2" w:rsidRDefault="00375BD2" w:rsidP="00375BD2">
      <w:pPr>
        <w:spacing w:line="240" w:lineRule="auto"/>
      </w:pPr>
    </w:p>
    <w:p w14:paraId="5868503D" w14:textId="39588841" w:rsidR="00E43622" w:rsidRDefault="00CB5DAB" w:rsidP="00B545B0">
      <w:pPr>
        <w:spacing w:line="240" w:lineRule="auto"/>
        <w:jc w:val="left"/>
      </w:pPr>
      <w:r w:rsidRPr="00CB5DAB">
        <w:t xml:space="preserve">Dataset and full statistical output available on </w:t>
      </w:r>
      <w:proofErr w:type="spellStart"/>
      <w:r w:rsidRPr="00CB5DAB">
        <w:t>ReShare</w:t>
      </w:r>
      <w:proofErr w:type="spellEnd"/>
      <w:r w:rsidRPr="00CB5DAB">
        <w:t xml:space="preserve"> at </w:t>
      </w:r>
      <w:hyperlink r:id="rId72" w:history="1">
        <w:r w:rsidR="00E43622" w:rsidRPr="008152B4">
          <w:rPr>
            <w:rStyle w:val="Hyperlink"/>
          </w:rPr>
          <w:t>https://reshare.ukdataservice.ac.uk/856821/</w:t>
        </w:r>
      </w:hyperlink>
    </w:p>
    <w:p w14:paraId="5B66DAC3" w14:textId="77777777" w:rsidR="00B545B0" w:rsidRPr="00C05886" w:rsidRDefault="00B545B0" w:rsidP="005D7515">
      <w:pPr>
        <w:spacing w:line="240" w:lineRule="auto"/>
        <w:jc w:val="left"/>
      </w:pPr>
    </w:p>
    <w:p w14:paraId="7B5268BA" w14:textId="71B7081D" w:rsidR="00E02CD5" w:rsidRPr="00C05886" w:rsidRDefault="00E02CD5" w:rsidP="00FA59EA">
      <w:pPr>
        <w:pStyle w:val="Heading4"/>
      </w:pPr>
      <w:r w:rsidRPr="00C05886">
        <w:t xml:space="preserve">Survey text </w:t>
      </w:r>
      <w:r w:rsidR="00FA59EA" w:rsidRPr="00C05886">
        <w:t>-</w:t>
      </w:r>
      <w:r w:rsidRPr="00C05886">
        <w:t>Link to the preview version</w:t>
      </w:r>
    </w:p>
    <w:p w14:paraId="14368247" w14:textId="70ABD9F3" w:rsidR="008A18DA" w:rsidRPr="00C05886" w:rsidRDefault="008A18DA" w:rsidP="00E02CD5">
      <w:pPr>
        <w:rPr>
          <w:color w:val="0563C1" w:themeColor="hyperlink"/>
          <w:u w:val="single"/>
        </w:rPr>
      </w:pPr>
      <w:hyperlink r:id="rId73" w:history="1">
        <w:r w:rsidRPr="00C05886">
          <w:rPr>
            <w:rStyle w:val="Hyperlink"/>
          </w:rPr>
          <w:t>https://shefmethods.eu.qualtrics.com/jfe/preview/previewId/7ac625be-a4fe-4b64-8251-b3b42be42b87/SV_50jjKjXmqHZCsB0?Q_CHL=preview&amp;Q_SurveyVersionID=current</w:t>
        </w:r>
      </w:hyperlink>
    </w:p>
    <w:p w14:paraId="65F12CCF" w14:textId="4009A643" w:rsidR="00036788" w:rsidRDefault="00036788" w:rsidP="00036788">
      <w:pPr>
        <w:pStyle w:val="Heading3"/>
      </w:pPr>
      <w:bookmarkStart w:id="197" w:name="_Toc179962433"/>
      <w:r>
        <w:t>Survey text</w:t>
      </w:r>
      <w:bookmarkEnd w:id="197"/>
    </w:p>
    <w:p w14:paraId="57452EC7" w14:textId="77777777" w:rsidR="00036788" w:rsidRPr="00036788" w:rsidRDefault="00036788" w:rsidP="00036788">
      <w:pPr>
        <w:pBdr>
          <w:bottom w:val="single" w:sz="8" w:space="0" w:color="CCCCCC"/>
        </w:pBdr>
        <w:spacing w:after="0" w:line="120" w:lineRule="auto"/>
        <w:jc w:val="center"/>
        <w:rPr>
          <w:rFonts w:ascii="Arial" w:eastAsia="Times New Roman" w:hAnsi="Arial" w:cs="Times New Roman"/>
          <w:b/>
          <w:color w:val="CCCCCC"/>
          <w:sz w:val="22"/>
          <w:lang w:val="en-US"/>
        </w:rPr>
      </w:pPr>
    </w:p>
    <w:p w14:paraId="14205D7D" w14:textId="77777777" w:rsidR="00036788" w:rsidRPr="00036788" w:rsidRDefault="00036788" w:rsidP="00036788">
      <w:pPr>
        <w:spacing w:before="120" w:after="120" w:line="240" w:lineRule="auto"/>
        <w:jc w:val="left"/>
        <w:rPr>
          <w:rFonts w:ascii="Arial" w:eastAsia="Times New Roman" w:hAnsi="Arial" w:cs="Times New Roman"/>
          <w:b/>
          <w:color w:val="CCCCCC"/>
          <w:sz w:val="22"/>
          <w:lang w:val="en-US"/>
        </w:rPr>
      </w:pPr>
      <w:r w:rsidRPr="00036788">
        <w:rPr>
          <w:rFonts w:ascii="Arial" w:eastAsia="Times New Roman" w:hAnsi="Arial" w:cs="Times New Roman"/>
          <w:b/>
          <w:color w:val="CCCCCC"/>
          <w:sz w:val="22"/>
          <w:lang w:val="en-US"/>
        </w:rPr>
        <w:t>Start of Block: Participant Information</w:t>
      </w:r>
    </w:p>
    <w:p w14:paraId="38AF4C0B" w14:textId="77777777" w:rsidR="00036788" w:rsidRPr="00036788" w:rsidRDefault="00036788" w:rsidP="00036788">
      <w:pPr>
        <w:spacing w:after="0" w:line="276" w:lineRule="auto"/>
        <w:jc w:val="left"/>
        <w:rPr>
          <w:rFonts w:ascii="Arial" w:eastAsia="Times New Roman" w:hAnsi="Arial" w:cs="Times New Roman"/>
          <w:sz w:val="22"/>
          <w:lang w:val="en-US"/>
        </w:rPr>
      </w:pPr>
    </w:p>
    <w:p w14:paraId="38050E59" w14:textId="77777777" w:rsidR="00036788" w:rsidRPr="00036788" w:rsidRDefault="00036788" w:rsidP="00036788">
      <w:pPr>
        <w:keepNext/>
        <w:spacing w:after="0" w:line="276" w:lineRule="auto"/>
        <w:jc w:val="left"/>
        <w:rPr>
          <w:rFonts w:ascii="Arial" w:eastAsia="Times New Roman" w:hAnsi="Arial" w:cs="Times New Roman"/>
          <w:sz w:val="22"/>
          <w:lang w:val="en-US"/>
        </w:rPr>
      </w:pPr>
      <w:r w:rsidRPr="00036788">
        <w:rPr>
          <w:rFonts w:ascii="Arial" w:eastAsia="Times New Roman" w:hAnsi="Arial" w:cs="Times New Roman"/>
          <w:b/>
          <w:sz w:val="22"/>
          <w:lang w:val="en-US"/>
        </w:rPr>
        <w:t>360 Park - green space virtual tours and emotions</w:t>
      </w:r>
      <w:r w:rsidRPr="00036788">
        <w:rPr>
          <w:rFonts w:ascii="Arial" w:eastAsia="Times New Roman" w:hAnsi="Arial" w:cs="Times New Roman"/>
          <w:sz w:val="22"/>
          <w:lang w:val="en-US"/>
        </w:rPr>
        <w:br/>
        <w:t xml:space="preserve"> </w:t>
      </w:r>
      <w:r w:rsidRPr="00036788">
        <w:rPr>
          <w:rFonts w:ascii="Arial" w:eastAsia="Times New Roman" w:hAnsi="Arial" w:cs="Times New Roman"/>
          <w:sz w:val="22"/>
          <w:lang w:val="en-US"/>
        </w:rPr>
        <w:br/>
        <w:t xml:space="preserve"> </w:t>
      </w:r>
      <w:r w:rsidRPr="00036788">
        <w:rPr>
          <w:rFonts w:ascii="Arial" w:eastAsia="Times New Roman" w:hAnsi="Arial" w:cs="Times New Roman"/>
          <w:b/>
          <w:sz w:val="22"/>
          <w:lang w:val="en-US"/>
        </w:rPr>
        <w:t>Welcome! This page will provide you with some information about this survey study.</w:t>
      </w:r>
      <w:r w:rsidRPr="00036788">
        <w:rPr>
          <w:rFonts w:ascii="Arial" w:eastAsia="Times New Roman" w:hAnsi="Arial" w:cs="Times New Roman"/>
          <w:b/>
          <w:sz w:val="22"/>
          <w:lang w:val="en-US"/>
        </w:rPr>
        <w:br/>
        <w:t xml:space="preserve"> Please, read it carefully</w:t>
      </w:r>
      <w:r w:rsidRPr="00036788">
        <w:rPr>
          <w:rFonts w:ascii="Arial" w:eastAsia="Times New Roman" w:hAnsi="Arial" w:cs="Times New Roman"/>
          <w:sz w:val="22"/>
          <w:lang w:val="en-US"/>
        </w:rPr>
        <w:t>.</w:t>
      </w:r>
      <w:r w:rsidRPr="00036788">
        <w:rPr>
          <w:rFonts w:ascii="Arial" w:eastAsia="Times New Roman" w:hAnsi="Arial" w:cs="Times New Roman"/>
          <w:sz w:val="22"/>
          <w:lang w:val="en-US"/>
        </w:rPr>
        <w:br/>
        <w:t xml:space="preserve"> </w:t>
      </w:r>
      <w:r w:rsidRPr="00036788">
        <w:rPr>
          <w:rFonts w:ascii="Arial" w:eastAsia="Times New Roman" w:hAnsi="Arial" w:cs="Times New Roman"/>
          <w:sz w:val="22"/>
          <w:lang w:val="en-US"/>
        </w:rPr>
        <w:br/>
        <w:t xml:space="preserve"> </w:t>
      </w:r>
      <w:r w:rsidRPr="00036788">
        <w:rPr>
          <w:rFonts w:ascii="Arial" w:eastAsia="Times New Roman" w:hAnsi="Arial" w:cs="Times New Roman"/>
          <w:b/>
          <w:sz w:val="22"/>
          <w:lang w:val="en-US"/>
        </w:rPr>
        <w:t>About the project</w:t>
      </w:r>
      <w:r w:rsidRPr="00036788">
        <w:rPr>
          <w:rFonts w:ascii="Arial" w:eastAsia="Times New Roman" w:hAnsi="Arial" w:cs="Times New Roman"/>
          <w:sz w:val="22"/>
          <w:lang w:val="en-US"/>
        </w:rPr>
        <w:br/>
        <w:t xml:space="preserve"> “360 Park” is a study that aims to use an immersive 360-degree virtual tour to allow you to explore an urban park.</w:t>
      </w:r>
      <w:r w:rsidRPr="00036788">
        <w:rPr>
          <w:rFonts w:ascii="Arial" w:eastAsia="Times New Roman" w:hAnsi="Arial" w:cs="Times New Roman"/>
          <w:sz w:val="22"/>
          <w:lang w:val="en-US"/>
        </w:rPr>
        <w:br/>
        <w:t xml:space="preserve"> </w:t>
      </w:r>
      <w:r w:rsidRPr="00036788">
        <w:rPr>
          <w:rFonts w:ascii="Arial" w:eastAsia="Times New Roman" w:hAnsi="Arial" w:cs="Times New Roman"/>
          <w:sz w:val="22"/>
          <w:lang w:val="en-US"/>
        </w:rPr>
        <w:br/>
        <w:t xml:space="preserve"> Parks are common in cities but we still know too little about our emotional response to their features. This study will help us understand how different planting styles may generate different emotional responses.</w:t>
      </w:r>
      <w:r w:rsidRPr="00036788">
        <w:rPr>
          <w:rFonts w:ascii="Arial" w:eastAsia="Times New Roman" w:hAnsi="Arial" w:cs="Times New Roman"/>
          <w:sz w:val="22"/>
          <w:lang w:val="en-US"/>
        </w:rPr>
        <w:br/>
        <w:t xml:space="preserve">  </w:t>
      </w:r>
    </w:p>
    <w:p w14:paraId="350449B2" w14:textId="77777777" w:rsidR="00036788" w:rsidRPr="00036788" w:rsidRDefault="00036788" w:rsidP="00036788">
      <w:pPr>
        <w:spacing w:after="0" w:line="276" w:lineRule="auto"/>
        <w:jc w:val="left"/>
        <w:rPr>
          <w:rFonts w:ascii="Arial" w:eastAsia="Times New Roman" w:hAnsi="Arial" w:cs="Times New Roman"/>
          <w:sz w:val="22"/>
          <w:lang w:val="en-US"/>
        </w:rPr>
      </w:pPr>
    </w:p>
    <w:p w14:paraId="008BF195" w14:textId="77777777" w:rsidR="00036788" w:rsidRPr="00036788" w:rsidRDefault="00036788" w:rsidP="00036788">
      <w:pPr>
        <w:pBdr>
          <w:top w:val="dashed" w:sz="8" w:space="0" w:color="CCCCCC"/>
        </w:pBdr>
        <w:spacing w:before="120" w:after="120" w:line="120" w:lineRule="auto"/>
        <w:jc w:val="left"/>
        <w:rPr>
          <w:rFonts w:ascii="Arial" w:eastAsia="Times New Roman" w:hAnsi="Arial" w:cs="Times New Roman"/>
          <w:sz w:val="22"/>
          <w:lang w:val="en-US"/>
        </w:rPr>
      </w:pPr>
    </w:p>
    <w:tbl>
      <w:tblPr>
        <w:tblW w:w="0" w:type="auto"/>
        <w:tblInd w:w="10" w:type="dxa"/>
        <w:tblCellMar>
          <w:left w:w="10" w:type="dxa"/>
          <w:right w:w="10" w:type="dxa"/>
        </w:tblCellMar>
        <w:tblLook w:val="04A0" w:firstRow="1" w:lastRow="0" w:firstColumn="1" w:lastColumn="0" w:noHBand="0" w:noVBand="1"/>
      </w:tblPr>
      <w:tblGrid>
        <w:gridCol w:w="1368"/>
        <w:gridCol w:w="8208"/>
      </w:tblGrid>
      <w:tr w:rsidR="00036788" w:rsidRPr="00036788" w14:paraId="5414E277" w14:textId="77777777" w:rsidTr="005F7CE9">
        <w:trPr>
          <w:trHeight w:val="300"/>
        </w:trPr>
        <w:tc>
          <w:tcPr>
            <w:tcW w:w="1368" w:type="dxa"/>
            <w:tcBorders>
              <w:top w:val="nil"/>
              <w:left w:val="nil"/>
              <w:bottom w:val="nil"/>
              <w:right w:val="nil"/>
            </w:tcBorders>
          </w:tcPr>
          <w:p w14:paraId="13BF9249" w14:textId="77777777" w:rsidR="00036788" w:rsidRPr="00036788" w:rsidRDefault="00036788" w:rsidP="00036788">
            <w:pPr>
              <w:spacing w:after="0" w:line="276" w:lineRule="auto"/>
              <w:jc w:val="left"/>
              <w:rPr>
                <w:rFonts w:ascii="Arial" w:eastAsia="Times New Roman" w:hAnsi="Arial" w:cs="Times New Roman"/>
                <w:color w:val="CCCCCC"/>
                <w:sz w:val="22"/>
                <w:lang w:val="en-US"/>
              </w:rPr>
            </w:pPr>
            <w:r w:rsidRPr="00036788">
              <w:rPr>
                <w:rFonts w:ascii="Arial" w:eastAsia="Times New Roman" w:hAnsi="Arial" w:cs="Times New Roman"/>
                <w:color w:val="CCCCCC"/>
                <w:sz w:val="22"/>
                <w:lang w:val="en-US"/>
              </w:rPr>
              <w:t>Page Break</w:t>
            </w:r>
          </w:p>
        </w:tc>
        <w:tc>
          <w:tcPr>
            <w:tcW w:w="8208" w:type="dxa"/>
            <w:tcBorders>
              <w:top w:val="nil"/>
              <w:left w:val="nil"/>
              <w:bottom w:val="nil"/>
              <w:right w:val="nil"/>
            </w:tcBorders>
          </w:tcPr>
          <w:p w14:paraId="375BB3FE" w14:textId="77777777" w:rsidR="00036788" w:rsidRPr="00036788" w:rsidRDefault="00036788" w:rsidP="00036788">
            <w:pPr>
              <w:pBdr>
                <w:top w:val="single" w:sz="8" w:space="0" w:color="CCCCCC"/>
              </w:pBdr>
              <w:spacing w:before="120" w:after="120" w:line="120" w:lineRule="auto"/>
              <w:jc w:val="center"/>
              <w:rPr>
                <w:rFonts w:ascii="Arial" w:eastAsia="Times New Roman" w:hAnsi="Arial" w:cs="Times New Roman"/>
                <w:color w:val="CCCCCC"/>
                <w:sz w:val="22"/>
                <w:lang w:val="en-US"/>
              </w:rPr>
            </w:pPr>
          </w:p>
        </w:tc>
      </w:tr>
    </w:tbl>
    <w:p w14:paraId="0F23F816" w14:textId="103E64DA" w:rsidR="00036788" w:rsidRPr="00036788" w:rsidRDefault="00036788" w:rsidP="00036788">
      <w:pPr>
        <w:spacing w:after="0" w:line="276" w:lineRule="auto"/>
        <w:jc w:val="left"/>
        <w:rPr>
          <w:rFonts w:ascii="Arial" w:eastAsia="Times New Roman" w:hAnsi="Arial" w:cs="Times New Roman"/>
          <w:sz w:val="22"/>
          <w:lang w:val="en-US"/>
        </w:rPr>
      </w:pPr>
    </w:p>
    <w:p w14:paraId="71F12494" w14:textId="77777777" w:rsidR="00036788" w:rsidRPr="00036788" w:rsidRDefault="00036788" w:rsidP="00036788">
      <w:pPr>
        <w:keepNext/>
        <w:spacing w:after="0" w:line="276" w:lineRule="auto"/>
        <w:jc w:val="left"/>
        <w:rPr>
          <w:rFonts w:ascii="Arial" w:eastAsia="Times New Roman" w:hAnsi="Arial" w:cs="Times New Roman"/>
          <w:sz w:val="22"/>
          <w:lang w:val="en-US"/>
        </w:rPr>
      </w:pPr>
      <w:r w:rsidRPr="00036788">
        <w:rPr>
          <w:rFonts w:ascii="Arial" w:eastAsia="Times New Roman" w:hAnsi="Arial" w:cs="Times New Roman"/>
          <w:sz w:val="22"/>
          <w:lang w:val="en-US"/>
        </w:rPr>
        <w:br/>
      </w:r>
      <w:r w:rsidRPr="00036788">
        <w:rPr>
          <w:rFonts w:ascii="Arial" w:eastAsia="Times New Roman" w:hAnsi="Arial" w:cs="Times New Roman"/>
          <w:b/>
          <w:sz w:val="22"/>
          <w:lang w:val="en-US"/>
        </w:rPr>
        <w:t>What do I need to do?</w:t>
      </w:r>
      <w:r w:rsidRPr="00036788">
        <w:rPr>
          <w:rFonts w:ascii="Arial" w:eastAsia="Times New Roman" w:hAnsi="Arial" w:cs="Times New Roman"/>
          <w:sz w:val="22"/>
          <w:lang w:val="en-US"/>
        </w:rPr>
        <w:br/>
        <w:t xml:space="preserve"> You must be 18 or older to take part in this study.</w:t>
      </w:r>
      <w:r w:rsidRPr="00036788">
        <w:rPr>
          <w:rFonts w:ascii="Arial" w:eastAsia="Times New Roman" w:hAnsi="Arial" w:cs="Times New Roman"/>
          <w:sz w:val="22"/>
          <w:lang w:val="en-US"/>
        </w:rPr>
        <w:br/>
        <w:t xml:space="preserve"> You will be asked to fill out a questionnaire about your emotional state at the start of the survey and after completing a series of tasks. Firstly, we will ask you to rank some pictures of a park according to your preference. Then we will ask you to explore an urban park via a virtual tour for about 2 minutes. The third task is to listen to an audio file containing an annoying noise. All of this </w:t>
      </w:r>
      <w:r w:rsidRPr="00036788">
        <w:rPr>
          <w:rFonts w:ascii="Arial" w:eastAsia="Times New Roman" w:hAnsi="Arial" w:cs="Times New Roman"/>
          <w:sz w:val="22"/>
          <w:lang w:val="en-US"/>
        </w:rPr>
        <w:lastRenderedPageBreak/>
        <w:t>should take about 10 minutes.</w:t>
      </w:r>
      <w:r w:rsidRPr="00036788">
        <w:rPr>
          <w:rFonts w:ascii="Arial" w:eastAsia="Times New Roman" w:hAnsi="Arial" w:cs="Times New Roman"/>
          <w:sz w:val="22"/>
          <w:lang w:val="en-US"/>
        </w:rPr>
        <w:br/>
        <w:t xml:space="preserve">   </w:t>
      </w:r>
      <w:r w:rsidRPr="00036788">
        <w:rPr>
          <w:rFonts w:ascii="Arial" w:eastAsia="Times New Roman" w:hAnsi="Arial" w:cs="Times New Roman"/>
          <w:sz w:val="22"/>
          <w:lang w:val="en-US"/>
        </w:rPr>
        <w:br/>
      </w:r>
      <w:r w:rsidRPr="00036788">
        <w:rPr>
          <w:rFonts w:ascii="Arial" w:eastAsia="Times New Roman" w:hAnsi="Arial" w:cs="Times New Roman"/>
          <w:b/>
          <w:sz w:val="22"/>
          <w:lang w:val="en-US"/>
        </w:rPr>
        <w:t xml:space="preserve">Is this anonymous? </w:t>
      </w:r>
      <w:r w:rsidRPr="00036788">
        <w:rPr>
          <w:rFonts w:ascii="Arial" w:eastAsia="Times New Roman" w:hAnsi="Arial" w:cs="Times New Roman"/>
          <w:sz w:val="22"/>
          <w:lang w:val="en-US"/>
        </w:rPr>
        <w:br/>
        <w:t xml:space="preserve"> Yes! The survey is designed to be completely anonymous, but we will record your IP address. We will use this to check that only one response is submitted by each participant.  </w:t>
      </w:r>
      <w:r w:rsidRPr="00036788">
        <w:rPr>
          <w:rFonts w:ascii="Arial" w:eastAsia="Times New Roman" w:hAnsi="Arial" w:cs="Times New Roman"/>
          <w:sz w:val="22"/>
          <w:lang w:val="en-US"/>
        </w:rPr>
        <w:br/>
        <w:t xml:space="preserve">The only information about yourself that we will ask for will be demographics: age, gender, ethnicity and education level. We will also ask a few questions about your relationship with nature and if you have any difficulty in perceiving </w:t>
      </w:r>
      <w:proofErr w:type="spellStart"/>
      <w:r w:rsidRPr="00036788">
        <w:rPr>
          <w:rFonts w:ascii="Arial" w:eastAsia="Times New Roman" w:hAnsi="Arial" w:cs="Times New Roman"/>
          <w:sz w:val="22"/>
          <w:lang w:val="en-US"/>
        </w:rPr>
        <w:t>colours</w:t>
      </w:r>
      <w:proofErr w:type="spellEnd"/>
      <w:r w:rsidRPr="00036788">
        <w:rPr>
          <w:rFonts w:ascii="Arial" w:eastAsia="Times New Roman" w:hAnsi="Arial" w:cs="Times New Roman"/>
          <w:sz w:val="22"/>
          <w:lang w:val="en-US"/>
        </w:rPr>
        <w:t xml:space="preserve"> (e.g. </w:t>
      </w:r>
      <w:proofErr w:type="spellStart"/>
      <w:r w:rsidRPr="00036788">
        <w:rPr>
          <w:rFonts w:ascii="Arial" w:eastAsia="Times New Roman" w:hAnsi="Arial" w:cs="Times New Roman"/>
          <w:sz w:val="22"/>
          <w:lang w:val="en-US"/>
        </w:rPr>
        <w:t>colour</w:t>
      </w:r>
      <w:proofErr w:type="spellEnd"/>
      <w:r w:rsidRPr="00036788">
        <w:rPr>
          <w:rFonts w:ascii="Arial" w:eastAsia="Times New Roman" w:hAnsi="Arial" w:cs="Times New Roman"/>
          <w:sz w:val="22"/>
          <w:lang w:val="en-US"/>
        </w:rPr>
        <w:t xml:space="preserve"> blindness).</w:t>
      </w:r>
      <w:r w:rsidRPr="00036788">
        <w:rPr>
          <w:rFonts w:ascii="Arial" w:eastAsia="Times New Roman" w:hAnsi="Arial" w:cs="Times New Roman"/>
          <w:sz w:val="22"/>
          <w:lang w:val="en-US"/>
        </w:rPr>
        <w:br/>
        <w:t xml:space="preserve"> </w:t>
      </w:r>
      <w:r w:rsidRPr="00036788">
        <w:rPr>
          <w:rFonts w:ascii="Arial" w:eastAsia="Times New Roman" w:hAnsi="Arial" w:cs="Times New Roman"/>
          <w:sz w:val="22"/>
          <w:lang w:val="en-US"/>
        </w:rPr>
        <w:br/>
        <w:t xml:space="preserve"> This data will be only accessible to the research team. Later on, the anonymous data will be made available to other researchers via the UK Data Archive repository. We will delete the IP addresses from the data before this stage.</w:t>
      </w:r>
      <w:r w:rsidRPr="00036788">
        <w:rPr>
          <w:rFonts w:ascii="Arial" w:eastAsia="Times New Roman" w:hAnsi="Arial" w:cs="Times New Roman"/>
          <w:sz w:val="22"/>
          <w:lang w:val="en-US"/>
        </w:rPr>
        <w:br/>
        <w:t xml:space="preserve"> </w:t>
      </w:r>
      <w:r w:rsidRPr="00036788">
        <w:rPr>
          <w:rFonts w:ascii="Arial" w:eastAsia="Times New Roman" w:hAnsi="Arial" w:cs="Times New Roman"/>
          <w:sz w:val="22"/>
          <w:lang w:val="en-US"/>
        </w:rPr>
        <w:br/>
        <w:t xml:space="preserve"> </w:t>
      </w:r>
      <w:r w:rsidRPr="00036788">
        <w:rPr>
          <w:rFonts w:ascii="Arial" w:eastAsia="Times New Roman" w:hAnsi="Arial" w:cs="Times New Roman"/>
          <w:b/>
          <w:sz w:val="22"/>
          <w:lang w:val="en-US"/>
        </w:rPr>
        <w:t>Ethics and Data Protection</w:t>
      </w:r>
      <w:r w:rsidRPr="00036788">
        <w:rPr>
          <w:rFonts w:ascii="Arial" w:eastAsia="Times New Roman" w:hAnsi="Arial" w:cs="Times New Roman"/>
          <w:sz w:val="22"/>
          <w:lang w:val="en-US"/>
        </w:rPr>
        <w:br/>
        <w:t xml:space="preserve"> This study has been approved by the internal ethics committee of the Department of Landscape Architecture.</w:t>
      </w:r>
      <w:r w:rsidRPr="00036788">
        <w:rPr>
          <w:rFonts w:ascii="Arial" w:eastAsia="Times New Roman" w:hAnsi="Arial" w:cs="Times New Roman"/>
          <w:sz w:val="22"/>
          <w:lang w:val="en-US"/>
        </w:rPr>
        <w:br/>
        <w:t xml:space="preserve"> </w:t>
      </w:r>
      <w:r w:rsidRPr="00036788">
        <w:rPr>
          <w:rFonts w:ascii="Arial" w:eastAsia="Times New Roman" w:hAnsi="Arial" w:cs="Times New Roman"/>
          <w:sz w:val="22"/>
          <w:lang w:val="en-US"/>
        </w:rPr>
        <w:br/>
        <w:t xml:space="preserve"> According to data protection legislation, we are required to inform you that the legal basis we are applying to process your personal data is that ‘processing is necessary for the performance of a task carried out in the public interest’ (Article 6(1)(e)). Further information can be found in the University’s Privacy Notice </w:t>
      </w:r>
      <w:hyperlink>
        <w:r w:rsidRPr="00036788">
          <w:rPr>
            <w:rFonts w:ascii="Arial" w:eastAsia="Times New Roman" w:hAnsi="Arial" w:cs="Times New Roman"/>
            <w:color w:val="007AC0"/>
            <w:sz w:val="22"/>
            <w:u w:val="single"/>
            <w:lang w:val="en-US"/>
          </w:rPr>
          <w:t>here</w:t>
        </w:r>
      </w:hyperlink>
      <w:r w:rsidRPr="00036788">
        <w:rPr>
          <w:rFonts w:ascii="Arial" w:eastAsia="Times New Roman" w:hAnsi="Arial" w:cs="Times New Roman"/>
          <w:sz w:val="22"/>
          <w:lang w:val="en-US"/>
        </w:rPr>
        <w:br/>
        <w:t xml:space="preserve"> </w:t>
      </w:r>
      <w:r w:rsidRPr="00036788">
        <w:rPr>
          <w:rFonts w:ascii="Arial" w:eastAsia="Times New Roman" w:hAnsi="Arial" w:cs="Times New Roman"/>
          <w:sz w:val="22"/>
          <w:lang w:val="en-US"/>
        </w:rPr>
        <w:br/>
        <w:t xml:space="preserve"> </w:t>
      </w:r>
      <w:r w:rsidRPr="00036788">
        <w:rPr>
          <w:rFonts w:ascii="Arial" w:eastAsia="Times New Roman" w:hAnsi="Arial" w:cs="Times New Roman"/>
          <w:b/>
          <w:sz w:val="22"/>
          <w:lang w:val="en-US"/>
        </w:rPr>
        <w:t>Contacts</w:t>
      </w:r>
      <w:r w:rsidRPr="00036788">
        <w:rPr>
          <w:rFonts w:ascii="Arial" w:eastAsia="Times New Roman" w:hAnsi="Arial" w:cs="Times New Roman"/>
          <w:sz w:val="22"/>
          <w:lang w:val="en-US"/>
        </w:rPr>
        <w:br/>
        <w:t xml:space="preserve"> If you have any questions, concerns or complaints about this study you can contact the PhD students (</w:t>
      </w:r>
      <w:hyperlink>
        <w:r w:rsidRPr="00036788">
          <w:rPr>
            <w:rFonts w:ascii="Arial" w:eastAsia="Times New Roman" w:hAnsi="Arial" w:cs="Times New Roman"/>
            <w:color w:val="007AC0"/>
            <w:sz w:val="22"/>
            <w:u w:val="single"/>
            <w:lang w:val="en-US"/>
          </w:rPr>
          <w:t>sfarris1@sheffield.ac.uk</w:t>
        </w:r>
      </w:hyperlink>
      <w:r w:rsidRPr="00036788">
        <w:rPr>
          <w:rFonts w:ascii="Arial" w:eastAsia="Times New Roman" w:hAnsi="Arial" w:cs="Times New Roman"/>
          <w:sz w:val="22"/>
          <w:lang w:val="en-US"/>
        </w:rPr>
        <w:t xml:space="preserve">; </w:t>
      </w:r>
      <w:hyperlink>
        <w:r w:rsidRPr="00036788">
          <w:rPr>
            <w:rFonts w:ascii="Arial" w:eastAsia="Times New Roman" w:hAnsi="Arial" w:cs="Times New Roman"/>
            <w:color w:val="007AC0"/>
            <w:sz w:val="22"/>
            <w:u w:val="single"/>
            <w:lang w:val="en-US"/>
          </w:rPr>
          <w:t>lzhang73@sheffield.ac.uk</w:t>
        </w:r>
      </w:hyperlink>
      <w:r w:rsidRPr="00036788">
        <w:rPr>
          <w:rFonts w:ascii="Arial" w:eastAsia="Times New Roman" w:hAnsi="Arial" w:cs="Times New Roman"/>
          <w:sz w:val="22"/>
          <w:lang w:val="en-US"/>
        </w:rPr>
        <w:t>) or their supervisor (</w:t>
      </w:r>
      <w:hyperlink>
        <w:r w:rsidRPr="00036788">
          <w:rPr>
            <w:rFonts w:ascii="Arial" w:eastAsia="Times New Roman" w:hAnsi="Arial" w:cs="Times New Roman"/>
            <w:color w:val="007AC0"/>
            <w:sz w:val="22"/>
            <w:u w:val="single"/>
            <w:lang w:val="en-US"/>
          </w:rPr>
          <w:t>r.w.cameron@sheffield.ac.uk</w:t>
        </w:r>
      </w:hyperlink>
      <w:r w:rsidRPr="00036788">
        <w:rPr>
          <w:rFonts w:ascii="Arial" w:eastAsia="Times New Roman" w:hAnsi="Arial" w:cs="Times New Roman"/>
          <w:sz w:val="22"/>
          <w:lang w:val="en-US"/>
        </w:rPr>
        <w:t xml:space="preserve">). If the complaint relates to how your personal data has been handled, you can find information about how to raise a complaint in the University’s Privacy Notice </w:t>
      </w:r>
      <w:hyperlink>
        <w:r w:rsidRPr="00036788">
          <w:rPr>
            <w:rFonts w:ascii="Arial" w:eastAsia="Times New Roman" w:hAnsi="Arial" w:cs="Times New Roman"/>
            <w:color w:val="007AC0"/>
            <w:sz w:val="22"/>
            <w:u w:val="single"/>
            <w:lang w:val="en-US"/>
          </w:rPr>
          <w:t>here</w:t>
        </w:r>
      </w:hyperlink>
      <w:r w:rsidRPr="00036788">
        <w:rPr>
          <w:rFonts w:ascii="Arial" w:eastAsia="Times New Roman" w:hAnsi="Arial" w:cs="Times New Roman"/>
          <w:sz w:val="22"/>
          <w:lang w:val="en-US"/>
        </w:rPr>
        <w:t xml:space="preserve"> </w:t>
      </w:r>
    </w:p>
    <w:p w14:paraId="4B1531A2" w14:textId="77777777" w:rsidR="00036788" w:rsidRPr="00036788" w:rsidRDefault="00036788" w:rsidP="00036788">
      <w:pPr>
        <w:spacing w:after="0" w:line="276" w:lineRule="auto"/>
        <w:jc w:val="left"/>
        <w:rPr>
          <w:rFonts w:ascii="Arial" w:eastAsia="Times New Roman" w:hAnsi="Arial" w:cs="Times New Roman"/>
          <w:sz w:val="22"/>
          <w:lang w:val="en-US"/>
        </w:rPr>
      </w:pPr>
    </w:p>
    <w:p w14:paraId="071DF50A" w14:textId="77777777" w:rsidR="00036788" w:rsidRPr="00036788" w:rsidRDefault="00036788" w:rsidP="00036788">
      <w:pPr>
        <w:spacing w:before="120" w:after="0" w:line="240" w:lineRule="auto"/>
        <w:jc w:val="left"/>
        <w:rPr>
          <w:rFonts w:ascii="Arial" w:eastAsia="Times New Roman" w:hAnsi="Arial" w:cs="Times New Roman"/>
          <w:b/>
          <w:color w:val="CCCCCC"/>
          <w:sz w:val="22"/>
          <w:lang w:val="en-US"/>
        </w:rPr>
      </w:pPr>
      <w:r w:rsidRPr="00036788">
        <w:rPr>
          <w:rFonts w:ascii="Arial" w:eastAsia="Times New Roman" w:hAnsi="Arial" w:cs="Times New Roman"/>
          <w:b/>
          <w:color w:val="CCCCCC"/>
          <w:sz w:val="22"/>
          <w:lang w:val="en-US"/>
        </w:rPr>
        <w:t>End of Block: Participant Information</w:t>
      </w:r>
    </w:p>
    <w:p w14:paraId="234E244D" w14:textId="77777777" w:rsidR="00036788" w:rsidRPr="00036788" w:rsidRDefault="00036788" w:rsidP="00036788">
      <w:pPr>
        <w:pBdr>
          <w:bottom w:val="single" w:sz="8" w:space="0" w:color="CCCCCC"/>
        </w:pBdr>
        <w:spacing w:after="0" w:line="120" w:lineRule="auto"/>
        <w:jc w:val="center"/>
        <w:rPr>
          <w:rFonts w:ascii="Arial" w:eastAsia="Times New Roman" w:hAnsi="Arial" w:cs="Times New Roman"/>
          <w:b/>
          <w:color w:val="CCCCCC"/>
          <w:sz w:val="22"/>
          <w:lang w:val="en-US"/>
        </w:rPr>
      </w:pPr>
    </w:p>
    <w:p w14:paraId="538EDBED" w14:textId="77777777" w:rsidR="00036788" w:rsidRPr="00036788" w:rsidRDefault="00036788" w:rsidP="00036788">
      <w:pPr>
        <w:spacing w:before="120" w:after="120" w:line="240" w:lineRule="auto"/>
        <w:jc w:val="left"/>
        <w:rPr>
          <w:rFonts w:ascii="Arial" w:eastAsia="Times New Roman" w:hAnsi="Arial" w:cs="Times New Roman"/>
          <w:b/>
          <w:color w:val="CCCCCC"/>
          <w:sz w:val="22"/>
          <w:lang w:val="en-US"/>
        </w:rPr>
      </w:pPr>
      <w:r w:rsidRPr="00036788">
        <w:rPr>
          <w:rFonts w:ascii="Arial" w:eastAsia="Times New Roman" w:hAnsi="Arial" w:cs="Times New Roman"/>
          <w:b/>
          <w:color w:val="CCCCCC"/>
          <w:sz w:val="22"/>
          <w:lang w:val="en-US"/>
        </w:rPr>
        <w:t>Start of Block: Consent</w:t>
      </w:r>
    </w:p>
    <w:p w14:paraId="2A98055D" w14:textId="77777777" w:rsidR="00036788" w:rsidRPr="00036788" w:rsidRDefault="00036788" w:rsidP="00036788">
      <w:pPr>
        <w:spacing w:after="0" w:line="276" w:lineRule="auto"/>
        <w:jc w:val="left"/>
        <w:rPr>
          <w:rFonts w:ascii="Arial" w:eastAsia="Times New Roman" w:hAnsi="Arial" w:cs="Times New Roman"/>
          <w:sz w:val="22"/>
          <w:lang w:val="en-US"/>
        </w:rPr>
      </w:pPr>
    </w:p>
    <w:p w14:paraId="25129AB3" w14:textId="77777777" w:rsidR="00036788" w:rsidRPr="00036788" w:rsidRDefault="00036788" w:rsidP="00036788">
      <w:pPr>
        <w:keepNext/>
        <w:spacing w:after="0" w:line="276" w:lineRule="auto"/>
        <w:jc w:val="left"/>
        <w:rPr>
          <w:rFonts w:ascii="Arial" w:eastAsia="Times New Roman" w:hAnsi="Arial" w:cs="Times New Roman"/>
          <w:sz w:val="22"/>
          <w:lang w:val="en-US"/>
        </w:rPr>
      </w:pPr>
      <w:r w:rsidRPr="00036788">
        <w:rPr>
          <w:rFonts w:ascii="Arial" w:eastAsia="Times New Roman" w:hAnsi="Arial" w:cs="Times New Roman"/>
          <w:b/>
          <w:sz w:val="22"/>
          <w:lang w:val="en-US"/>
        </w:rPr>
        <w:t>Before the survey starts, please take a moment to read and fill this consent form.</w:t>
      </w:r>
    </w:p>
    <w:p w14:paraId="55C59DAB" w14:textId="77777777" w:rsidR="00036788" w:rsidRPr="00036788" w:rsidRDefault="00036788" w:rsidP="00036788">
      <w:pPr>
        <w:spacing w:after="0" w:line="276" w:lineRule="auto"/>
        <w:jc w:val="left"/>
        <w:rPr>
          <w:rFonts w:ascii="Arial" w:eastAsia="Times New Roman" w:hAnsi="Arial" w:cs="Times New Roman"/>
          <w:sz w:val="22"/>
          <w:lang w:val="en-US"/>
        </w:rPr>
      </w:pPr>
    </w:p>
    <w:p w14:paraId="193E7E64" w14:textId="77777777" w:rsidR="00036788" w:rsidRPr="00036788" w:rsidRDefault="00036788" w:rsidP="00036788">
      <w:pPr>
        <w:keepNext/>
        <w:spacing w:after="0" w:line="276" w:lineRule="auto"/>
        <w:jc w:val="left"/>
        <w:rPr>
          <w:rFonts w:ascii="Arial" w:eastAsia="Times New Roman" w:hAnsi="Arial" w:cs="Times New Roman"/>
          <w:sz w:val="22"/>
          <w:lang w:val="en-US"/>
        </w:rPr>
      </w:pPr>
      <w:r w:rsidRPr="00036788">
        <w:rPr>
          <w:rFonts w:ascii="Arial" w:eastAsia="Times New Roman" w:hAnsi="Arial" w:cs="Times New Roman"/>
          <w:sz w:val="22"/>
          <w:lang w:val="en-US"/>
        </w:rPr>
        <w:t>I have read and understood the project information.</w:t>
      </w:r>
    </w:p>
    <w:p w14:paraId="0D8390EE" w14:textId="77777777" w:rsidR="00036788" w:rsidRPr="00036788" w:rsidRDefault="00036788" w:rsidP="00036788">
      <w:pPr>
        <w:keepNext/>
        <w:numPr>
          <w:ilvl w:val="0"/>
          <w:numId w:val="32"/>
        </w:numPr>
        <w:spacing w:after="0" w:line="240" w:lineRule="auto"/>
        <w:jc w:val="left"/>
        <w:rPr>
          <w:rFonts w:ascii="Arial" w:eastAsia="Times New Roman" w:hAnsi="Arial" w:cs="Times New Roman"/>
          <w:sz w:val="22"/>
          <w:lang w:val="en-US"/>
        </w:rPr>
      </w:pPr>
      <w:proofErr w:type="gramStart"/>
      <w:r w:rsidRPr="00036788">
        <w:rPr>
          <w:rFonts w:ascii="Arial" w:eastAsia="Times New Roman" w:hAnsi="Arial" w:cs="Times New Roman"/>
          <w:sz w:val="22"/>
          <w:lang w:val="en-US"/>
        </w:rPr>
        <w:t>Yes  (</w:t>
      </w:r>
      <w:proofErr w:type="gramEnd"/>
      <w:r w:rsidRPr="00036788">
        <w:rPr>
          <w:rFonts w:ascii="Arial" w:eastAsia="Times New Roman" w:hAnsi="Arial" w:cs="Times New Roman"/>
          <w:sz w:val="22"/>
          <w:lang w:val="en-US"/>
        </w:rPr>
        <w:t xml:space="preserve">1) </w:t>
      </w:r>
    </w:p>
    <w:p w14:paraId="0B5BC2B2" w14:textId="77777777" w:rsidR="00036788" w:rsidRPr="00036788" w:rsidRDefault="00036788" w:rsidP="00036788">
      <w:pPr>
        <w:spacing w:after="0" w:line="276" w:lineRule="auto"/>
        <w:jc w:val="left"/>
        <w:rPr>
          <w:rFonts w:ascii="Arial" w:eastAsia="Times New Roman" w:hAnsi="Arial" w:cs="Times New Roman"/>
          <w:sz w:val="22"/>
          <w:lang w:val="en-US"/>
        </w:rPr>
      </w:pPr>
    </w:p>
    <w:p w14:paraId="5A48DE09" w14:textId="77777777" w:rsidR="00036788" w:rsidRPr="00036788" w:rsidRDefault="00036788" w:rsidP="00036788">
      <w:pPr>
        <w:keepNext/>
        <w:spacing w:after="0" w:line="276" w:lineRule="auto"/>
        <w:jc w:val="left"/>
        <w:rPr>
          <w:rFonts w:ascii="Arial" w:eastAsia="Times New Roman" w:hAnsi="Arial" w:cs="Times New Roman"/>
          <w:sz w:val="22"/>
          <w:lang w:val="en-US"/>
        </w:rPr>
      </w:pPr>
      <w:r w:rsidRPr="00036788">
        <w:rPr>
          <w:rFonts w:ascii="Arial" w:eastAsia="Times New Roman" w:hAnsi="Arial" w:cs="Times New Roman"/>
          <w:sz w:val="22"/>
          <w:lang w:val="en-US"/>
        </w:rPr>
        <w:t>I have been given a contact where I have the opportunity to ask questions about the project.</w:t>
      </w:r>
    </w:p>
    <w:p w14:paraId="387AE207" w14:textId="77777777" w:rsidR="00036788" w:rsidRPr="00036788" w:rsidRDefault="00036788" w:rsidP="00036788">
      <w:pPr>
        <w:keepNext/>
        <w:numPr>
          <w:ilvl w:val="0"/>
          <w:numId w:val="32"/>
        </w:numPr>
        <w:spacing w:after="0" w:line="240" w:lineRule="auto"/>
        <w:jc w:val="left"/>
        <w:rPr>
          <w:rFonts w:ascii="Arial" w:eastAsia="Times New Roman" w:hAnsi="Arial" w:cs="Times New Roman"/>
          <w:sz w:val="22"/>
          <w:lang w:val="en-US"/>
        </w:rPr>
      </w:pPr>
      <w:proofErr w:type="gramStart"/>
      <w:r w:rsidRPr="00036788">
        <w:rPr>
          <w:rFonts w:ascii="Arial" w:eastAsia="Times New Roman" w:hAnsi="Arial" w:cs="Times New Roman"/>
          <w:sz w:val="22"/>
          <w:lang w:val="en-US"/>
        </w:rPr>
        <w:t>Yes  (</w:t>
      </w:r>
      <w:proofErr w:type="gramEnd"/>
      <w:r w:rsidRPr="00036788">
        <w:rPr>
          <w:rFonts w:ascii="Arial" w:eastAsia="Times New Roman" w:hAnsi="Arial" w:cs="Times New Roman"/>
          <w:sz w:val="22"/>
          <w:lang w:val="en-US"/>
        </w:rPr>
        <w:t xml:space="preserve">1) </w:t>
      </w:r>
    </w:p>
    <w:p w14:paraId="5D3DE974" w14:textId="77777777" w:rsidR="00036788" w:rsidRPr="00036788" w:rsidRDefault="00036788" w:rsidP="00036788">
      <w:pPr>
        <w:spacing w:after="0" w:line="276" w:lineRule="auto"/>
        <w:jc w:val="left"/>
        <w:rPr>
          <w:rFonts w:ascii="Arial" w:eastAsia="Times New Roman" w:hAnsi="Arial" w:cs="Times New Roman"/>
          <w:sz w:val="22"/>
          <w:lang w:val="en-US"/>
        </w:rPr>
      </w:pPr>
    </w:p>
    <w:p w14:paraId="2B31E8D9" w14:textId="77777777" w:rsidR="00036788" w:rsidRPr="00036788" w:rsidRDefault="00036788" w:rsidP="00036788">
      <w:pPr>
        <w:keepNext/>
        <w:spacing w:after="0" w:line="276" w:lineRule="auto"/>
        <w:jc w:val="left"/>
        <w:rPr>
          <w:rFonts w:ascii="Arial" w:eastAsia="Times New Roman" w:hAnsi="Arial" w:cs="Times New Roman"/>
          <w:sz w:val="22"/>
          <w:lang w:val="en-US"/>
        </w:rPr>
      </w:pPr>
      <w:r w:rsidRPr="00036788">
        <w:rPr>
          <w:rFonts w:ascii="Arial" w:eastAsia="Times New Roman" w:hAnsi="Arial" w:cs="Times New Roman"/>
          <w:sz w:val="22"/>
          <w:lang w:val="en-US"/>
        </w:rPr>
        <w:lastRenderedPageBreak/>
        <w:t>I understand that my taking part is voluntary and that I can withdraw from the study any time before I submit the questionnaire. I do not have to give any reasons for why I no longer want to take part and there will be no adverse consequences if I choose to withdraw.</w:t>
      </w:r>
    </w:p>
    <w:p w14:paraId="34BEA147" w14:textId="77777777" w:rsidR="00036788" w:rsidRPr="00036788" w:rsidRDefault="00036788" w:rsidP="00036788">
      <w:pPr>
        <w:keepNext/>
        <w:numPr>
          <w:ilvl w:val="0"/>
          <w:numId w:val="32"/>
        </w:numPr>
        <w:spacing w:after="0" w:line="240" w:lineRule="auto"/>
        <w:jc w:val="left"/>
        <w:rPr>
          <w:rFonts w:ascii="Arial" w:eastAsia="Times New Roman" w:hAnsi="Arial" w:cs="Times New Roman"/>
          <w:sz w:val="22"/>
          <w:lang w:val="en-US"/>
        </w:rPr>
      </w:pPr>
      <w:proofErr w:type="gramStart"/>
      <w:r w:rsidRPr="00036788">
        <w:rPr>
          <w:rFonts w:ascii="Arial" w:eastAsia="Times New Roman" w:hAnsi="Arial" w:cs="Times New Roman"/>
          <w:sz w:val="22"/>
          <w:lang w:val="en-US"/>
        </w:rPr>
        <w:t>Yes  (</w:t>
      </w:r>
      <w:proofErr w:type="gramEnd"/>
      <w:r w:rsidRPr="00036788">
        <w:rPr>
          <w:rFonts w:ascii="Arial" w:eastAsia="Times New Roman" w:hAnsi="Arial" w:cs="Times New Roman"/>
          <w:sz w:val="22"/>
          <w:lang w:val="en-US"/>
        </w:rPr>
        <w:t xml:space="preserve">1) </w:t>
      </w:r>
    </w:p>
    <w:p w14:paraId="103DEF79" w14:textId="77777777" w:rsidR="00036788" w:rsidRPr="00036788" w:rsidRDefault="00036788" w:rsidP="00036788">
      <w:pPr>
        <w:spacing w:after="0" w:line="276" w:lineRule="auto"/>
        <w:jc w:val="left"/>
        <w:rPr>
          <w:rFonts w:ascii="Arial" w:eastAsia="Times New Roman" w:hAnsi="Arial" w:cs="Times New Roman"/>
          <w:sz w:val="22"/>
          <w:lang w:val="en-US"/>
        </w:rPr>
      </w:pPr>
    </w:p>
    <w:p w14:paraId="33189DCB" w14:textId="77777777" w:rsidR="00036788" w:rsidRPr="00036788" w:rsidRDefault="00036788" w:rsidP="00036788">
      <w:pPr>
        <w:keepNext/>
        <w:spacing w:after="0" w:line="276" w:lineRule="auto"/>
        <w:jc w:val="left"/>
        <w:rPr>
          <w:rFonts w:ascii="Arial" w:eastAsia="Times New Roman" w:hAnsi="Arial" w:cs="Times New Roman"/>
          <w:sz w:val="22"/>
          <w:lang w:val="en-US"/>
        </w:rPr>
      </w:pPr>
      <w:r w:rsidRPr="00036788">
        <w:rPr>
          <w:rFonts w:ascii="Arial" w:eastAsia="Times New Roman" w:hAnsi="Arial" w:cs="Times New Roman"/>
          <w:sz w:val="22"/>
          <w:lang w:val="en-US"/>
        </w:rPr>
        <w:t>I understand that my personal details will not be collected as part of the survey.</w:t>
      </w:r>
    </w:p>
    <w:p w14:paraId="526A4E5C" w14:textId="77777777" w:rsidR="00036788" w:rsidRPr="00036788" w:rsidRDefault="00036788" w:rsidP="00036788">
      <w:pPr>
        <w:keepNext/>
        <w:numPr>
          <w:ilvl w:val="0"/>
          <w:numId w:val="32"/>
        </w:numPr>
        <w:spacing w:after="0" w:line="240" w:lineRule="auto"/>
        <w:jc w:val="left"/>
        <w:rPr>
          <w:rFonts w:ascii="Arial" w:eastAsia="Times New Roman" w:hAnsi="Arial" w:cs="Times New Roman"/>
          <w:sz w:val="22"/>
          <w:lang w:val="en-US"/>
        </w:rPr>
      </w:pPr>
      <w:proofErr w:type="gramStart"/>
      <w:r w:rsidRPr="00036788">
        <w:rPr>
          <w:rFonts w:ascii="Arial" w:eastAsia="Times New Roman" w:hAnsi="Arial" w:cs="Times New Roman"/>
          <w:sz w:val="22"/>
          <w:lang w:val="en-US"/>
        </w:rPr>
        <w:t>Yes  (</w:t>
      </w:r>
      <w:proofErr w:type="gramEnd"/>
      <w:r w:rsidRPr="00036788">
        <w:rPr>
          <w:rFonts w:ascii="Arial" w:eastAsia="Times New Roman" w:hAnsi="Arial" w:cs="Times New Roman"/>
          <w:sz w:val="22"/>
          <w:lang w:val="en-US"/>
        </w:rPr>
        <w:t xml:space="preserve">1) </w:t>
      </w:r>
    </w:p>
    <w:p w14:paraId="534D028D" w14:textId="77777777" w:rsidR="00036788" w:rsidRPr="00036788" w:rsidRDefault="00036788" w:rsidP="00036788">
      <w:pPr>
        <w:spacing w:after="0" w:line="276" w:lineRule="auto"/>
        <w:jc w:val="left"/>
        <w:rPr>
          <w:rFonts w:ascii="Arial" w:eastAsia="Times New Roman" w:hAnsi="Arial" w:cs="Times New Roman"/>
          <w:sz w:val="22"/>
          <w:lang w:val="en-US"/>
        </w:rPr>
      </w:pPr>
    </w:p>
    <w:p w14:paraId="4C67C0FA" w14:textId="77777777" w:rsidR="00036788" w:rsidRPr="00036788" w:rsidRDefault="00036788" w:rsidP="00036788">
      <w:pPr>
        <w:keepNext/>
        <w:spacing w:after="0" w:line="276" w:lineRule="auto"/>
        <w:jc w:val="left"/>
        <w:rPr>
          <w:rFonts w:ascii="Arial" w:eastAsia="Times New Roman" w:hAnsi="Arial" w:cs="Times New Roman"/>
          <w:sz w:val="22"/>
          <w:lang w:val="en-US"/>
        </w:rPr>
      </w:pPr>
      <w:r w:rsidRPr="00036788">
        <w:rPr>
          <w:rFonts w:ascii="Arial" w:eastAsia="Times New Roman" w:hAnsi="Arial" w:cs="Times New Roman"/>
          <w:sz w:val="22"/>
          <w:lang w:val="en-US"/>
        </w:rPr>
        <w:t xml:space="preserve">I understand and agree that the collected </w:t>
      </w:r>
      <w:proofErr w:type="spellStart"/>
      <w:r w:rsidRPr="00036788">
        <w:rPr>
          <w:rFonts w:ascii="Arial" w:eastAsia="Times New Roman" w:hAnsi="Arial" w:cs="Times New Roman"/>
          <w:sz w:val="22"/>
          <w:lang w:val="en-US"/>
        </w:rPr>
        <w:t>anonymised</w:t>
      </w:r>
      <w:proofErr w:type="spellEnd"/>
      <w:r w:rsidRPr="00036788">
        <w:rPr>
          <w:rFonts w:ascii="Arial" w:eastAsia="Times New Roman" w:hAnsi="Arial" w:cs="Times New Roman"/>
          <w:sz w:val="22"/>
          <w:lang w:val="en-US"/>
        </w:rPr>
        <w:t xml:space="preserve"> data can be used in reports, research papers, and other research outputs and that the data will be later made available on the UK Data Archive repository</w:t>
      </w:r>
    </w:p>
    <w:p w14:paraId="436303EC" w14:textId="77777777" w:rsidR="00036788" w:rsidRPr="00036788" w:rsidRDefault="00036788" w:rsidP="00036788">
      <w:pPr>
        <w:keepNext/>
        <w:numPr>
          <w:ilvl w:val="0"/>
          <w:numId w:val="32"/>
        </w:numPr>
        <w:spacing w:after="0" w:line="240" w:lineRule="auto"/>
        <w:jc w:val="left"/>
        <w:rPr>
          <w:rFonts w:ascii="Arial" w:eastAsia="Times New Roman" w:hAnsi="Arial" w:cs="Times New Roman"/>
          <w:sz w:val="22"/>
          <w:lang w:val="en-US"/>
        </w:rPr>
      </w:pPr>
      <w:proofErr w:type="gramStart"/>
      <w:r w:rsidRPr="00036788">
        <w:rPr>
          <w:rFonts w:ascii="Arial" w:eastAsia="Times New Roman" w:hAnsi="Arial" w:cs="Times New Roman"/>
          <w:sz w:val="22"/>
          <w:lang w:val="en-US"/>
        </w:rPr>
        <w:t>Yes  (</w:t>
      </w:r>
      <w:proofErr w:type="gramEnd"/>
      <w:r w:rsidRPr="00036788">
        <w:rPr>
          <w:rFonts w:ascii="Arial" w:eastAsia="Times New Roman" w:hAnsi="Arial" w:cs="Times New Roman"/>
          <w:sz w:val="22"/>
          <w:lang w:val="en-US"/>
        </w:rPr>
        <w:t xml:space="preserve">1) </w:t>
      </w:r>
    </w:p>
    <w:p w14:paraId="489A4B0D" w14:textId="77777777" w:rsidR="00036788" w:rsidRPr="00036788" w:rsidRDefault="00036788" w:rsidP="00036788">
      <w:pPr>
        <w:spacing w:after="0" w:line="276" w:lineRule="auto"/>
        <w:jc w:val="left"/>
        <w:rPr>
          <w:rFonts w:ascii="Arial" w:eastAsia="Times New Roman" w:hAnsi="Arial" w:cs="Times New Roman"/>
          <w:sz w:val="22"/>
          <w:lang w:val="en-US"/>
        </w:rPr>
      </w:pPr>
    </w:p>
    <w:p w14:paraId="623E1527" w14:textId="77777777" w:rsidR="00036788" w:rsidRPr="00036788" w:rsidRDefault="00036788" w:rsidP="00036788">
      <w:pPr>
        <w:keepNext/>
        <w:spacing w:after="0" w:line="276" w:lineRule="auto"/>
        <w:jc w:val="left"/>
        <w:rPr>
          <w:rFonts w:ascii="Arial" w:eastAsia="Times New Roman" w:hAnsi="Arial" w:cs="Times New Roman"/>
          <w:sz w:val="22"/>
          <w:lang w:val="en-US"/>
        </w:rPr>
      </w:pPr>
      <w:r w:rsidRPr="00036788">
        <w:rPr>
          <w:rFonts w:ascii="Arial" w:eastAsia="Times New Roman" w:hAnsi="Arial" w:cs="Times New Roman"/>
          <w:sz w:val="22"/>
          <w:lang w:val="en-US"/>
        </w:rPr>
        <w:t xml:space="preserve">  I agree to take part in the project. I understand that taking part in the project will include filling a few questionnaires and completing a few tasks (Ranking some images, listening to an audio file and explore a couple of virtual tours).</w:t>
      </w:r>
    </w:p>
    <w:p w14:paraId="02BE546F" w14:textId="77777777" w:rsidR="00036788" w:rsidRPr="00036788" w:rsidRDefault="00036788" w:rsidP="00036788">
      <w:pPr>
        <w:keepNext/>
        <w:numPr>
          <w:ilvl w:val="0"/>
          <w:numId w:val="32"/>
        </w:numPr>
        <w:spacing w:after="0" w:line="240" w:lineRule="auto"/>
        <w:jc w:val="left"/>
        <w:rPr>
          <w:rFonts w:ascii="Arial" w:eastAsia="Times New Roman" w:hAnsi="Arial" w:cs="Times New Roman"/>
          <w:sz w:val="22"/>
          <w:lang w:val="en-US"/>
        </w:rPr>
      </w:pPr>
      <w:r w:rsidRPr="00036788">
        <w:rPr>
          <w:rFonts w:ascii="Arial" w:eastAsia="Times New Roman" w:hAnsi="Arial" w:cs="Times New Roman"/>
          <w:sz w:val="22"/>
          <w:lang w:val="en-US"/>
        </w:rPr>
        <w:t xml:space="preserve">I </w:t>
      </w:r>
      <w:proofErr w:type="gramStart"/>
      <w:r w:rsidRPr="00036788">
        <w:rPr>
          <w:rFonts w:ascii="Arial" w:eastAsia="Times New Roman" w:hAnsi="Arial" w:cs="Times New Roman"/>
          <w:sz w:val="22"/>
          <w:lang w:val="en-US"/>
        </w:rPr>
        <w:t>agree  (</w:t>
      </w:r>
      <w:proofErr w:type="gramEnd"/>
      <w:r w:rsidRPr="00036788">
        <w:rPr>
          <w:rFonts w:ascii="Arial" w:eastAsia="Times New Roman" w:hAnsi="Arial" w:cs="Times New Roman"/>
          <w:sz w:val="22"/>
          <w:lang w:val="en-US"/>
        </w:rPr>
        <w:t xml:space="preserve">1) </w:t>
      </w:r>
    </w:p>
    <w:p w14:paraId="5AB9E2F1" w14:textId="77777777" w:rsidR="00036788" w:rsidRPr="00036788" w:rsidRDefault="00036788" w:rsidP="00036788">
      <w:pPr>
        <w:spacing w:after="0" w:line="276" w:lineRule="auto"/>
        <w:jc w:val="left"/>
        <w:rPr>
          <w:rFonts w:ascii="Arial" w:eastAsia="Times New Roman" w:hAnsi="Arial" w:cs="Times New Roman"/>
          <w:sz w:val="22"/>
          <w:lang w:val="en-US"/>
        </w:rPr>
      </w:pPr>
    </w:p>
    <w:p w14:paraId="28440F5F" w14:textId="77777777" w:rsidR="00036788" w:rsidRPr="00036788" w:rsidRDefault="00036788" w:rsidP="00036788">
      <w:pPr>
        <w:spacing w:before="120" w:after="0" w:line="240" w:lineRule="auto"/>
        <w:jc w:val="left"/>
        <w:rPr>
          <w:rFonts w:ascii="Arial" w:eastAsia="Times New Roman" w:hAnsi="Arial" w:cs="Times New Roman"/>
          <w:b/>
          <w:color w:val="CCCCCC"/>
          <w:sz w:val="22"/>
          <w:lang w:val="en-US"/>
        </w:rPr>
      </w:pPr>
      <w:r w:rsidRPr="00036788">
        <w:rPr>
          <w:rFonts w:ascii="Arial" w:eastAsia="Times New Roman" w:hAnsi="Arial" w:cs="Times New Roman"/>
          <w:b/>
          <w:color w:val="CCCCCC"/>
          <w:sz w:val="22"/>
          <w:lang w:val="en-US"/>
        </w:rPr>
        <w:t>End of Block: Consent</w:t>
      </w:r>
    </w:p>
    <w:p w14:paraId="37E83983" w14:textId="77777777" w:rsidR="00036788" w:rsidRPr="00036788" w:rsidRDefault="00036788" w:rsidP="00036788">
      <w:pPr>
        <w:spacing w:before="120" w:after="120" w:line="240" w:lineRule="auto"/>
        <w:jc w:val="left"/>
        <w:rPr>
          <w:rFonts w:ascii="Arial" w:eastAsia="Times New Roman" w:hAnsi="Arial" w:cs="Times New Roman"/>
          <w:b/>
          <w:color w:val="CCCCCC"/>
          <w:sz w:val="22"/>
          <w:lang w:val="en-US"/>
        </w:rPr>
      </w:pPr>
      <w:r w:rsidRPr="00036788">
        <w:rPr>
          <w:rFonts w:ascii="Arial" w:eastAsia="Times New Roman" w:hAnsi="Arial" w:cs="Times New Roman"/>
          <w:b/>
          <w:color w:val="CCCCCC"/>
          <w:sz w:val="22"/>
          <w:lang w:val="en-US"/>
        </w:rPr>
        <w:t>Start of Block: Intro and flowchart Experiment_1&amp;3</w:t>
      </w:r>
    </w:p>
    <w:p w14:paraId="62F3349F" w14:textId="77777777" w:rsidR="00036788" w:rsidRPr="00036788" w:rsidRDefault="00036788" w:rsidP="00036788">
      <w:pPr>
        <w:spacing w:after="0" w:line="276" w:lineRule="auto"/>
        <w:jc w:val="left"/>
        <w:rPr>
          <w:rFonts w:ascii="Arial" w:eastAsia="Times New Roman" w:hAnsi="Arial" w:cs="Times New Roman"/>
          <w:sz w:val="22"/>
          <w:lang w:val="en-US"/>
        </w:rPr>
      </w:pPr>
    </w:p>
    <w:p w14:paraId="2736B664" w14:textId="77777777" w:rsidR="00036788" w:rsidRPr="00036788" w:rsidRDefault="00036788" w:rsidP="00036788">
      <w:pPr>
        <w:keepNext/>
        <w:spacing w:after="0" w:line="276" w:lineRule="auto"/>
        <w:jc w:val="left"/>
        <w:rPr>
          <w:rFonts w:ascii="Arial" w:eastAsia="Times New Roman" w:hAnsi="Arial" w:cs="Times New Roman"/>
          <w:sz w:val="22"/>
          <w:lang w:val="en-US"/>
        </w:rPr>
      </w:pPr>
      <w:r w:rsidRPr="00036788">
        <w:rPr>
          <w:rFonts w:ascii="Arial" w:eastAsia="Times New Roman" w:hAnsi="Arial" w:cs="Times New Roman"/>
          <w:b/>
          <w:sz w:val="22"/>
          <w:lang w:val="en-US"/>
        </w:rPr>
        <w:t>A few suggestions before we start</w:t>
      </w:r>
      <w:r w:rsidRPr="00036788">
        <w:rPr>
          <w:rFonts w:ascii="Arial" w:eastAsia="Times New Roman" w:hAnsi="Arial" w:cs="Times New Roman"/>
          <w:sz w:val="22"/>
          <w:lang w:val="en-US"/>
        </w:rPr>
        <w:t xml:space="preserve"> </w:t>
      </w:r>
      <w:r w:rsidRPr="00036788">
        <w:rPr>
          <w:rFonts w:ascii="Arial" w:eastAsia="Times New Roman" w:hAnsi="Arial" w:cs="Times New Roman"/>
          <w:sz w:val="22"/>
          <w:lang w:val="en-US"/>
        </w:rPr>
        <w:br/>
        <w:t xml:space="preserve">   </w:t>
      </w:r>
      <w:r w:rsidRPr="00036788">
        <w:rPr>
          <w:rFonts w:ascii="Arial" w:eastAsia="Times New Roman" w:hAnsi="Arial" w:cs="Times New Roman"/>
          <w:sz w:val="22"/>
          <w:lang w:val="en-US"/>
        </w:rPr>
        <w:br/>
        <w:t>Thank you for taking part in this study! The survey’s structure follows the flowchart below and should take less than 10 minutes to complete.</w:t>
      </w:r>
      <w:r w:rsidRPr="00036788">
        <w:rPr>
          <w:rFonts w:ascii="Arial" w:eastAsia="Times New Roman" w:hAnsi="Arial" w:cs="Times New Roman"/>
          <w:sz w:val="22"/>
          <w:lang w:val="en-US"/>
        </w:rPr>
        <w:br/>
        <w:t xml:space="preserve">   Before you start, here are a few suggestions to improve your survey experience:</w:t>
      </w:r>
      <w:r w:rsidRPr="00036788">
        <w:rPr>
          <w:rFonts w:ascii="Arial" w:eastAsia="Times New Roman" w:hAnsi="Arial" w:cs="Times New Roman"/>
          <w:sz w:val="22"/>
          <w:lang w:val="en-US"/>
        </w:rPr>
        <w:br/>
        <w:t xml:space="preserve"> </w:t>
      </w:r>
      <w:r w:rsidRPr="00036788">
        <w:rPr>
          <w:rFonts w:ascii="Arial" w:eastAsia="Times New Roman" w:hAnsi="Arial" w:cs="Times New Roman"/>
          <w:sz w:val="22"/>
          <w:lang w:val="en-US"/>
        </w:rPr>
        <w:br/>
        <w:t xml:space="preserve">    Check that you are connected via Wi-Fi. The virtual tour can take longer to load on slower connections.</w:t>
      </w:r>
      <w:r w:rsidRPr="00036788">
        <w:rPr>
          <w:rFonts w:ascii="Arial" w:eastAsia="Times New Roman" w:hAnsi="Arial" w:cs="Times New Roman"/>
          <w:sz w:val="22"/>
          <w:lang w:val="en-US"/>
        </w:rPr>
        <w:br/>
        <w:t xml:space="preserve"> </w:t>
      </w:r>
      <w:r w:rsidRPr="00036788">
        <w:rPr>
          <w:rFonts w:ascii="Arial" w:eastAsia="Times New Roman" w:hAnsi="Arial" w:cs="Times New Roman"/>
          <w:sz w:val="22"/>
          <w:lang w:val="en-US"/>
        </w:rPr>
        <w:br/>
        <w:t xml:space="preserve">    Wear earphones or headphones. One of the tasks will be about listening.</w:t>
      </w:r>
      <w:r w:rsidRPr="00036788">
        <w:rPr>
          <w:rFonts w:ascii="Arial" w:eastAsia="Times New Roman" w:hAnsi="Arial" w:cs="Times New Roman"/>
          <w:sz w:val="22"/>
          <w:lang w:val="en-US"/>
        </w:rPr>
        <w:br/>
        <w:t xml:space="preserve">   </w:t>
      </w:r>
      <w:r w:rsidRPr="00036788">
        <w:rPr>
          <w:rFonts w:ascii="Arial" w:eastAsia="Times New Roman" w:hAnsi="Arial" w:cs="Times New Roman"/>
          <w:sz w:val="22"/>
          <w:lang w:val="en-US"/>
        </w:rPr>
        <w:br/>
        <w:t xml:space="preserve">   Sit comfortably and avoid distractions for the duration of the survey (switching off notifications helps greatly). </w:t>
      </w:r>
      <w:r w:rsidRPr="00036788">
        <w:rPr>
          <w:rFonts w:ascii="Arial" w:eastAsia="Times New Roman" w:hAnsi="Arial" w:cs="Times New Roman"/>
          <w:sz w:val="22"/>
          <w:lang w:val="en-US"/>
        </w:rPr>
        <w:br/>
        <w:t xml:space="preserve"> This study is about your sensations, so there are no right or wrong answers. You should answer the questions quickly based on your first instincts. </w:t>
      </w:r>
      <w:r w:rsidRPr="00036788">
        <w:rPr>
          <w:rFonts w:ascii="Arial" w:eastAsia="Times New Roman" w:hAnsi="Arial" w:cs="Times New Roman"/>
          <w:sz w:val="22"/>
          <w:lang w:val="en-US"/>
        </w:rPr>
        <w:br/>
      </w:r>
      <w:r w:rsidRPr="00036788">
        <w:rPr>
          <w:rFonts w:ascii="Arial" w:eastAsia="Times New Roman" w:hAnsi="Arial" w:cs="Times New Roman"/>
          <w:sz w:val="22"/>
          <w:lang w:val="en-US"/>
        </w:rPr>
        <w:br/>
        <w:t xml:space="preserve"> </w:t>
      </w:r>
    </w:p>
    <w:p w14:paraId="494A372B" w14:textId="77777777" w:rsidR="00036788" w:rsidRPr="00036788" w:rsidRDefault="00036788" w:rsidP="00036788">
      <w:pPr>
        <w:spacing w:after="0" w:line="276" w:lineRule="auto"/>
        <w:jc w:val="left"/>
        <w:rPr>
          <w:rFonts w:ascii="Arial" w:eastAsia="Times New Roman" w:hAnsi="Arial" w:cs="Times New Roman"/>
          <w:sz w:val="22"/>
          <w:lang w:val="en-US"/>
        </w:rPr>
      </w:pPr>
    </w:p>
    <w:p w14:paraId="56694E48" w14:textId="24ABC74E" w:rsidR="00036788" w:rsidRPr="00036788" w:rsidRDefault="00036788" w:rsidP="005D7515">
      <w:pPr>
        <w:keepNext/>
        <w:spacing w:after="0" w:line="276" w:lineRule="auto"/>
        <w:jc w:val="left"/>
        <w:rPr>
          <w:rFonts w:ascii="Arial" w:eastAsia="Times New Roman" w:hAnsi="Arial" w:cs="Times New Roman"/>
          <w:sz w:val="22"/>
          <w:lang w:val="en-US"/>
        </w:rPr>
      </w:pPr>
      <w:r w:rsidRPr="00036788">
        <w:rPr>
          <w:rFonts w:ascii="Arial" w:eastAsia="Times New Roman" w:hAnsi="Arial" w:cs="Times New Roman"/>
          <w:sz w:val="22"/>
          <w:lang w:val="en-US"/>
        </w:rPr>
        <w:br/>
      </w:r>
      <w:r w:rsidRPr="00036788">
        <w:rPr>
          <w:rFonts w:ascii="Arial" w:eastAsia="Times New Roman" w:hAnsi="Arial" w:cs="Times New Roman"/>
          <w:b/>
          <w:sz w:val="22"/>
          <w:lang w:val="en-US"/>
        </w:rPr>
        <w:t xml:space="preserve">Sound </w:t>
      </w:r>
      <w:proofErr w:type="gramStart"/>
      <w:r w:rsidRPr="00036788">
        <w:rPr>
          <w:rFonts w:ascii="Arial" w:eastAsia="Times New Roman" w:hAnsi="Arial" w:cs="Times New Roman"/>
          <w:b/>
          <w:sz w:val="22"/>
          <w:lang w:val="en-US"/>
        </w:rPr>
        <w:t>check</w:t>
      </w:r>
      <w:proofErr w:type="gramEnd"/>
      <w:r w:rsidRPr="00036788">
        <w:rPr>
          <w:rFonts w:ascii="Arial" w:eastAsia="Times New Roman" w:hAnsi="Arial" w:cs="Times New Roman"/>
          <w:sz w:val="22"/>
          <w:lang w:val="en-US"/>
        </w:rPr>
        <w:t xml:space="preserve">  </w:t>
      </w:r>
      <w:r w:rsidRPr="00036788">
        <w:rPr>
          <w:rFonts w:ascii="Arial" w:eastAsia="Times New Roman" w:hAnsi="Arial" w:cs="Times New Roman"/>
          <w:sz w:val="22"/>
          <w:lang w:val="en-US"/>
        </w:rPr>
        <w:br/>
        <w:t xml:space="preserve">The audio is an important part of this study.  </w:t>
      </w:r>
      <w:r w:rsidRPr="00036788">
        <w:rPr>
          <w:rFonts w:ascii="Arial" w:eastAsia="Times New Roman" w:hAnsi="Arial" w:cs="Times New Roman"/>
          <w:sz w:val="22"/>
          <w:lang w:val="en-US"/>
        </w:rPr>
        <w:br/>
      </w:r>
      <w:r w:rsidRPr="00036788">
        <w:rPr>
          <w:rFonts w:ascii="Arial" w:eastAsia="Times New Roman" w:hAnsi="Arial" w:cs="Times New Roman"/>
          <w:sz w:val="22"/>
          <w:lang w:val="en-US"/>
        </w:rPr>
        <w:br/>
      </w:r>
      <w:r w:rsidRPr="00036788">
        <w:rPr>
          <w:rFonts w:ascii="Arial" w:eastAsia="Times New Roman" w:hAnsi="Arial" w:cs="Times New Roman"/>
          <w:sz w:val="22"/>
          <w:lang w:val="en-US"/>
        </w:rPr>
        <w:lastRenderedPageBreak/>
        <w:t xml:space="preserve"> Please listen to the audio file below and adjust your device volume at a comfortable level.</w:t>
      </w:r>
      <w:r w:rsidRPr="00036788">
        <w:rPr>
          <w:rFonts w:ascii="Arial" w:eastAsia="Times New Roman" w:hAnsi="Arial" w:cs="Times New Roman"/>
          <w:sz w:val="22"/>
          <w:lang w:val="en-US"/>
        </w:rPr>
        <w:br/>
        <w:t xml:space="preserve"> You can replay the file as much as you need.</w:t>
      </w:r>
      <w:r w:rsidRPr="00036788">
        <w:rPr>
          <w:rFonts w:ascii="Arial" w:eastAsia="Times New Roman" w:hAnsi="Arial" w:cs="Times New Roman"/>
          <w:sz w:val="22"/>
          <w:lang w:val="en-US"/>
        </w:rPr>
        <w:br/>
        <w:t xml:space="preserve"> </w:t>
      </w:r>
      <w:r w:rsidRPr="00036788">
        <w:rPr>
          <w:rFonts w:ascii="Arial" w:eastAsia="Times New Roman" w:hAnsi="Arial" w:cs="Times New Roman"/>
          <w:sz w:val="22"/>
          <w:lang w:val="en-US"/>
        </w:rPr>
        <w:br/>
        <w:t xml:space="preserve"> </w:t>
      </w:r>
    </w:p>
    <w:p w14:paraId="20ED0503" w14:textId="77777777" w:rsidR="00036788" w:rsidRPr="00036788" w:rsidRDefault="00036788" w:rsidP="00036788">
      <w:pPr>
        <w:spacing w:after="0" w:line="276" w:lineRule="auto"/>
        <w:jc w:val="left"/>
        <w:rPr>
          <w:rFonts w:ascii="Arial" w:eastAsia="Times New Roman" w:hAnsi="Arial" w:cs="Times New Roman"/>
          <w:sz w:val="22"/>
          <w:lang w:val="en-US"/>
        </w:rPr>
      </w:pPr>
    </w:p>
    <w:p w14:paraId="3FE60A4C" w14:textId="77777777" w:rsidR="00036788" w:rsidRPr="00036788" w:rsidRDefault="00036788" w:rsidP="00036788">
      <w:pPr>
        <w:spacing w:before="120" w:after="0" w:line="240" w:lineRule="auto"/>
        <w:jc w:val="left"/>
        <w:rPr>
          <w:rFonts w:ascii="Arial" w:eastAsia="Times New Roman" w:hAnsi="Arial" w:cs="Times New Roman"/>
          <w:b/>
          <w:color w:val="CCCCCC"/>
          <w:sz w:val="22"/>
          <w:lang w:val="en-US"/>
        </w:rPr>
      </w:pPr>
      <w:r w:rsidRPr="00036788">
        <w:rPr>
          <w:rFonts w:ascii="Arial" w:eastAsia="Times New Roman" w:hAnsi="Arial" w:cs="Times New Roman"/>
          <w:b/>
          <w:color w:val="CCCCCC"/>
          <w:sz w:val="22"/>
          <w:lang w:val="en-US"/>
        </w:rPr>
        <w:t>End of Block: Intro and flowchart Experiment_1&amp;3</w:t>
      </w:r>
    </w:p>
    <w:p w14:paraId="7725E703" w14:textId="77777777" w:rsidR="00036788" w:rsidRPr="00036788" w:rsidRDefault="00036788" w:rsidP="00036788">
      <w:pPr>
        <w:pBdr>
          <w:bottom w:val="single" w:sz="8" w:space="0" w:color="CCCCCC"/>
        </w:pBdr>
        <w:spacing w:after="0" w:line="120" w:lineRule="auto"/>
        <w:jc w:val="center"/>
        <w:rPr>
          <w:rFonts w:ascii="Arial" w:eastAsia="Times New Roman" w:hAnsi="Arial" w:cs="Times New Roman"/>
          <w:b/>
          <w:color w:val="CCCCCC"/>
          <w:sz w:val="22"/>
          <w:lang w:val="en-US"/>
        </w:rPr>
      </w:pPr>
    </w:p>
    <w:p w14:paraId="501DAC33" w14:textId="77777777" w:rsidR="00036788" w:rsidRPr="00036788" w:rsidRDefault="00036788" w:rsidP="00036788">
      <w:pPr>
        <w:spacing w:before="120" w:after="120" w:line="240" w:lineRule="auto"/>
        <w:jc w:val="left"/>
        <w:rPr>
          <w:rFonts w:ascii="Arial" w:eastAsia="Times New Roman" w:hAnsi="Arial" w:cs="Times New Roman"/>
          <w:b/>
          <w:color w:val="CCCCCC"/>
          <w:sz w:val="22"/>
          <w:lang w:val="en-US"/>
        </w:rPr>
      </w:pPr>
      <w:r w:rsidRPr="00036788">
        <w:rPr>
          <w:rFonts w:ascii="Arial" w:eastAsia="Times New Roman" w:hAnsi="Arial" w:cs="Times New Roman"/>
          <w:b/>
          <w:color w:val="CCCCCC"/>
          <w:sz w:val="22"/>
          <w:lang w:val="en-US"/>
        </w:rPr>
        <w:t>Start of Block: Demographic questions</w:t>
      </w:r>
    </w:p>
    <w:p w14:paraId="1D63F533" w14:textId="77777777" w:rsidR="00036788" w:rsidRPr="00036788" w:rsidRDefault="00036788" w:rsidP="00036788">
      <w:pPr>
        <w:spacing w:after="0" w:line="276" w:lineRule="auto"/>
        <w:jc w:val="left"/>
        <w:rPr>
          <w:rFonts w:ascii="Arial" w:eastAsia="Times New Roman" w:hAnsi="Arial" w:cs="Times New Roman"/>
          <w:sz w:val="22"/>
          <w:lang w:val="en-US"/>
        </w:rPr>
      </w:pPr>
    </w:p>
    <w:p w14:paraId="1EC262BF" w14:textId="77777777" w:rsidR="00036788" w:rsidRPr="00036788" w:rsidRDefault="00036788" w:rsidP="00036788">
      <w:pPr>
        <w:keepNext/>
        <w:spacing w:after="0" w:line="276" w:lineRule="auto"/>
        <w:jc w:val="left"/>
        <w:rPr>
          <w:rFonts w:ascii="Arial" w:eastAsia="Times New Roman" w:hAnsi="Arial" w:cs="Times New Roman"/>
          <w:sz w:val="22"/>
          <w:lang w:val="en-US"/>
        </w:rPr>
      </w:pPr>
      <w:r w:rsidRPr="00036788">
        <w:rPr>
          <w:rFonts w:ascii="Arial" w:eastAsia="Times New Roman" w:hAnsi="Arial" w:cs="Times New Roman"/>
          <w:sz w:val="22"/>
          <w:lang w:val="en-US"/>
        </w:rPr>
        <w:t>Please, answer these questions about yourself</w:t>
      </w:r>
    </w:p>
    <w:p w14:paraId="2252FC3A" w14:textId="77777777" w:rsidR="00036788" w:rsidRPr="00036788" w:rsidRDefault="00036788" w:rsidP="00036788">
      <w:pPr>
        <w:spacing w:after="0" w:line="276" w:lineRule="auto"/>
        <w:jc w:val="left"/>
        <w:rPr>
          <w:rFonts w:ascii="Arial" w:eastAsia="Times New Roman" w:hAnsi="Arial" w:cs="Times New Roman"/>
          <w:sz w:val="22"/>
          <w:lang w:val="en-US"/>
        </w:rPr>
      </w:pPr>
    </w:p>
    <w:p w14:paraId="64A2F171" w14:textId="77777777" w:rsidR="00036788" w:rsidRPr="00036788" w:rsidRDefault="00036788" w:rsidP="00036788">
      <w:pPr>
        <w:pBdr>
          <w:top w:val="dashed" w:sz="8" w:space="0" w:color="CCCCCC"/>
        </w:pBdr>
        <w:spacing w:before="120" w:after="120" w:line="120" w:lineRule="auto"/>
        <w:jc w:val="left"/>
        <w:rPr>
          <w:rFonts w:ascii="Arial" w:eastAsia="Times New Roman" w:hAnsi="Arial" w:cs="Times New Roman"/>
          <w:sz w:val="22"/>
          <w:lang w:val="en-US"/>
        </w:rPr>
      </w:pPr>
    </w:p>
    <w:p w14:paraId="5A157AFA" w14:textId="77777777" w:rsidR="00036788" w:rsidRPr="00036788" w:rsidRDefault="00036788" w:rsidP="00036788">
      <w:pPr>
        <w:spacing w:after="0" w:line="276" w:lineRule="auto"/>
        <w:jc w:val="left"/>
        <w:rPr>
          <w:rFonts w:ascii="Arial" w:eastAsia="Times New Roman" w:hAnsi="Arial" w:cs="Times New Roman"/>
          <w:sz w:val="22"/>
          <w:lang w:val="en-US"/>
        </w:rPr>
      </w:pPr>
    </w:p>
    <w:p w14:paraId="051BBD7D" w14:textId="77777777" w:rsidR="00036788" w:rsidRPr="00036788" w:rsidRDefault="00036788" w:rsidP="00036788">
      <w:pPr>
        <w:keepNext/>
        <w:spacing w:after="0" w:line="276" w:lineRule="auto"/>
        <w:jc w:val="left"/>
        <w:rPr>
          <w:rFonts w:ascii="Arial" w:eastAsia="Times New Roman" w:hAnsi="Arial" w:cs="Times New Roman"/>
          <w:sz w:val="22"/>
          <w:lang w:val="en-US"/>
        </w:rPr>
      </w:pPr>
      <w:r w:rsidRPr="00036788">
        <w:rPr>
          <w:rFonts w:ascii="Arial" w:eastAsia="Times New Roman" w:hAnsi="Arial" w:cs="Times New Roman"/>
          <w:sz w:val="22"/>
          <w:lang w:val="en-US"/>
        </w:rPr>
        <w:t>Have you ever used a virtual tour before? (maybe on Google Maps or renting agency)</w:t>
      </w:r>
    </w:p>
    <w:p w14:paraId="144110C5" w14:textId="77777777" w:rsidR="00036788" w:rsidRPr="00036788" w:rsidRDefault="00036788" w:rsidP="00036788">
      <w:pPr>
        <w:keepNext/>
        <w:numPr>
          <w:ilvl w:val="0"/>
          <w:numId w:val="32"/>
        </w:numPr>
        <w:spacing w:after="0" w:line="240" w:lineRule="auto"/>
        <w:jc w:val="left"/>
        <w:rPr>
          <w:rFonts w:ascii="Arial" w:eastAsia="Times New Roman" w:hAnsi="Arial" w:cs="Times New Roman"/>
          <w:sz w:val="22"/>
          <w:lang w:val="en-US"/>
        </w:rPr>
      </w:pPr>
      <w:proofErr w:type="gramStart"/>
      <w:r w:rsidRPr="00036788">
        <w:rPr>
          <w:rFonts w:ascii="Arial" w:eastAsia="Times New Roman" w:hAnsi="Arial" w:cs="Times New Roman"/>
          <w:sz w:val="22"/>
          <w:lang w:val="en-US"/>
        </w:rPr>
        <w:t>Yes  (</w:t>
      </w:r>
      <w:proofErr w:type="gramEnd"/>
      <w:r w:rsidRPr="00036788">
        <w:rPr>
          <w:rFonts w:ascii="Arial" w:eastAsia="Times New Roman" w:hAnsi="Arial" w:cs="Times New Roman"/>
          <w:sz w:val="22"/>
          <w:lang w:val="en-US"/>
        </w:rPr>
        <w:t xml:space="preserve">1) </w:t>
      </w:r>
    </w:p>
    <w:p w14:paraId="1F2D1D6D" w14:textId="77777777" w:rsidR="00036788" w:rsidRPr="00036788" w:rsidRDefault="00036788" w:rsidP="00036788">
      <w:pPr>
        <w:keepNext/>
        <w:numPr>
          <w:ilvl w:val="0"/>
          <w:numId w:val="32"/>
        </w:numPr>
        <w:spacing w:after="0" w:line="240" w:lineRule="auto"/>
        <w:jc w:val="left"/>
        <w:rPr>
          <w:rFonts w:ascii="Arial" w:eastAsia="Times New Roman" w:hAnsi="Arial" w:cs="Times New Roman"/>
          <w:sz w:val="22"/>
          <w:lang w:val="en-US"/>
        </w:rPr>
      </w:pPr>
      <w:proofErr w:type="gramStart"/>
      <w:r w:rsidRPr="00036788">
        <w:rPr>
          <w:rFonts w:ascii="Arial" w:eastAsia="Times New Roman" w:hAnsi="Arial" w:cs="Times New Roman"/>
          <w:sz w:val="22"/>
          <w:lang w:val="en-US"/>
        </w:rPr>
        <w:t>No  (</w:t>
      </w:r>
      <w:proofErr w:type="gramEnd"/>
      <w:r w:rsidRPr="00036788">
        <w:rPr>
          <w:rFonts w:ascii="Arial" w:eastAsia="Times New Roman" w:hAnsi="Arial" w:cs="Times New Roman"/>
          <w:sz w:val="22"/>
          <w:lang w:val="en-US"/>
        </w:rPr>
        <w:t xml:space="preserve">2) </w:t>
      </w:r>
    </w:p>
    <w:p w14:paraId="20CE997E" w14:textId="77777777" w:rsidR="00036788" w:rsidRPr="00036788" w:rsidRDefault="00036788" w:rsidP="00036788">
      <w:pPr>
        <w:spacing w:after="0" w:line="276" w:lineRule="auto"/>
        <w:jc w:val="left"/>
        <w:rPr>
          <w:rFonts w:ascii="Arial" w:eastAsia="Times New Roman" w:hAnsi="Arial" w:cs="Times New Roman"/>
          <w:sz w:val="22"/>
          <w:lang w:val="en-US"/>
        </w:rPr>
      </w:pPr>
    </w:p>
    <w:p w14:paraId="30E347C6" w14:textId="77777777" w:rsidR="00036788" w:rsidRPr="00036788" w:rsidRDefault="00036788" w:rsidP="00036788">
      <w:pPr>
        <w:keepNext/>
        <w:spacing w:after="0" w:line="276" w:lineRule="auto"/>
        <w:jc w:val="left"/>
        <w:rPr>
          <w:rFonts w:ascii="Arial" w:eastAsia="Times New Roman" w:hAnsi="Arial" w:cs="Times New Roman"/>
          <w:sz w:val="22"/>
          <w:lang w:val="en-US"/>
        </w:rPr>
      </w:pPr>
      <w:r w:rsidRPr="00036788">
        <w:rPr>
          <w:rFonts w:ascii="Arial" w:eastAsia="Times New Roman" w:hAnsi="Arial" w:cs="Times New Roman"/>
          <w:sz w:val="22"/>
          <w:lang w:val="en-US"/>
        </w:rPr>
        <w:t>What is your gender?</w:t>
      </w:r>
    </w:p>
    <w:p w14:paraId="1A4537F8" w14:textId="77777777" w:rsidR="00036788" w:rsidRPr="00036788" w:rsidRDefault="00036788" w:rsidP="00036788">
      <w:pPr>
        <w:keepNext/>
        <w:numPr>
          <w:ilvl w:val="0"/>
          <w:numId w:val="32"/>
        </w:numPr>
        <w:spacing w:after="0" w:line="240" w:lineRule="auto"/>
        <w:jc w:val="left"/>
        <w:rPr>
          <w:rFonts w:ascii="Arial" w:eastAsia="Times New Roman" w:hAnsi="Arial" w:cs="Times New Roman"/>
          <w:sz w:val="22"/>
          <w:lang w:val="en-US"/>
        </w:rPr>
      </w:pPr>
      <w:proofErr w:type="gramStart"/>
      <w:r w:rsidRPr="00036788">
        <w:rPr>
          <w:rFonts w:ascii="Arial" w:eastAsia="Times New Roman" w:hAnsi="Arial" w:cs="Times New Roman"/>
          <w:sz w:val="22"/>
          <w:lang w:val="en-US"/>
        </w:rPr>
        <w:t>Male  (</w:t>
      </w:r>
      <w:proofErr w:type="gramEnd"/>
      <w:r w:rsidRPr="00036788">
        <w:rPr>
          <w:rFonts w:ascii="Arial" w:eastAsia="Times New Roman" w:hAnsi="Arial" w:cs="Times New Roman"/>
          <w:sz w:val="22"/>
          <w:lang w:val="en-US"/>
        </w:rPr>
        <w:t xml:space="preserve">1) </w:t>
      </w:r>
    </w:p>
    <w:p w14:paraId="6C80F20B" w14:textId="77777777" w:rsidR="00036788" w:rsidRPr="00036788" w:rsidRDefault="00036788" w:rsidP="00036788">
      <w:pPr>
        <w:keepNext/>
        <w:numPr>
          <w:ilvl w:val="0"/>
          <w:numId w:val="32"/>
        </w:numPr>
        <w:spacing w:after="0" w:line="240" w:lineRule="auto"/>
        <w:jc w:val="left"/>
        <w:rPr>
          <w:rFonts w:ascii="Arial" w:eastAsia="Times New Roman" w:hAnsi="Arial" w:cs="Times New Roman"/>
          <w:sz w:val="22"/>
          <w:lang w:val="en-US"/>
        </w:rPr>
      </w:pPr>
      <w:proofErr w:type="gramStart"/>
      <w:r w:rsidRPr="00036788">
        <w:rPr>
          <w:rFonts w:ascii="Arial" w:eastAsia="Times New Roman" w:hAnsi="Arial" w:cs="Times New Roman"/>
          <w:sz w:val="22"/>
          <w:lang w:val="en-US"/>
        </w:rPr>
        <w:t>Female  (</w:t>
      </w:r>
      <w:proofErr w:type="gramEnd"/>
      <w:r w:rsidRPr="00036788">
        <w:rPr>
          <w:rFonts w:ascii="Arial" w:eastAsia="Times New Roman" w:hAnsi="Arial" w:cs="Times New Roman"/>
          <w:sz w:val="22"/>
          <w:lang w:val="en-US"/>
        </w:rPr>
        <w:t xml:space="preserve">2) </w:t>
      </w:r>
    </w:p>
    <w:p w14:paraId="29D27EBE" w14:textId="77777777" w:rsidR="00036788" w:rsidRPr="00036788" w:rsidRDefault="00036788" w:rsidP="00036788">
      <w:pPr>
        <w:keepNext/>
        <w:numPr>
          <w:ilvl w:val="0"/>
          <w:numId w:val="32"/>
        </w:numPr>
        <w:spacing w:after="0" w:line="240" w:lineRule="auto"/>
        <w:jc w:val="left"/>
        <w:rPr>
          <w:rFonts w:ascii="Arial" w:eastAsia="Times New Roman" w:hAnsi="Arial" w:cs="Times New Roman"/>
          <w:sz w:val="22"/>
          <w:lang w:val="en-US"/>
        </w:rPr>
      </w:pPr>
      <w:r w:rsidRPr="00036788">
        <w:rPr>
          <w:rFonts w:ascii="Arial" w:eastAsia="Times New Roman" w:hAnsi="Arial" w:cs="Times New Roman"/>
          <w:sz w:val="22"/>
          <w:lang w:val="en-US"/>
        </w:rPr>
        <w:t xml:space="preserve">Non-binary / third </w:t>
      </w:r>
      <w:proofErr w:type="gramStart"/>
      <w:r w:rsidRPr="00036788">
        <w:rPr>
          <w:rFonts w:ascii="Arial" w:eastAsia="Times New Roman" w:hAnsi="Arial" w:cs="Times New Roman"/>
          <w:sz w:val="22"/>
          <w:lang w:val="en-US"/>
        </w:rPr>
        <w:t>gender  (</w:t>
      </w:r>
      <w:proofErr w:type="gramEnd"/>
      <w:r w:rsidRPr="00036788">
        <w:rPr>
          <w:rFonts w:ascii="Arial" w:eastAsia="Times New Roman" w:hAnsi="Arial" w:cs="Times New Roman"/>
          <w:sz w:val="22"/>
          <w:lang w:val="en-US"/>
        </w:rPr>
        <w:t xml:space="preserve">3) </w:t>
      </w:r>
    </w:p>
    <w:p w14:paraId="0B55047C" w14:textId="77777777" w:rsidR="00036788" w:rsidRPr="00036788" w:rsidRDefault="00036788" w:rsidP="00036788">
      <w:pPr>
        <w:keepNext/>
        <w:numPr>
          <w:ilvl w:val="0"/>
          <w:numId w:val="32"/>
        </w:numPr>
        <w:spacing w:after="0" w:line="240" w:lineRule="auto"/>
        <w:jc w:val="left"/>
        <w:rPr>
          <w:rFonts w:ascii="Arial" w:eastAsia="Times New Roman" w:hAnsi="Arial" w:cs="Times New Roman"/>
          <w:sz w:val="22"/>
          <w:lang w:val="en-US"/>
        </w:rPr>
      </w:pPr>
      <w:r w:rsidRPr="00036788">
        <w:rPr>
          <w:rFonts w:ascii="Arial" w:eastAsia="Times New Roman" w:hAnsi="Arial" w:cs="Times New Roman"/>
          <w:sz w:val="22"/>
          <w:lang w:val="en-US"/>
        </w:rPr>
        <w:t xml:space="preserve">Prefer not to </w:t>
      </w:r>
      <w:proofErr w:type="gramStart"/>
      <w:r w:rsidRPr="00036788">
        <w:rPr>
          <w:rFonts w:ascii="Arial" w:eastAsia="Times New Roman" w:hAnsi="Arial" w:cs="Times New Roman"/>
          <w:sz w:val="22"/>
          <w:lang w:val="en-US"/>
        </w:rPr>
        <w:t>say  (</w:t>
      </w:r>
      <w:proofErr w:type="gramEnd"/>
      <w:r w:rsidRPr="00036788">
        <w:rPr>
          <w:rFonts w:ascii="Arial" w:eastAsia="Times New Roman" w:hAnsi="Arial" w:cs="Times New Roman"/>
          <w:sz w:val="22"/>
          <w:lang w:val="en-US"/>
        </w:rPr>
        <w:t xml:space="preserve">4) </w:t>
      </w:r>
    </w:p>
    <w:p w14:paraId="5799CB22" w14:textId="77777777" w:rsidR="00036788" w:rsidRPr="00036788" w:rsidRDefault="00036788" w:rsidP="00036788">
      <w:pPr>
        <w:keepNext/>
        <w:spacing w:after="0" w:line="276" w:lineRule="auto"/>
        <w:jc w:val="left"/>
        <w:rPr>
          <w:rFonts w:ascii="Arial" w:eastAsia="Times New Roman" w:hAnsi="Arial" w:cs="Times New Roman"/>
          <w:sz w:val="22"/>
          <w:lang w:val="en-US"/>
        </w:rPr>
      </w:pPr>
      <w:r w:rsidRPr="00036788">
        <w:rPr>
          <w:rFonts w:ascii="Arial" w:eastAsia="Times New Roman" w:hAnsi="Arial" w:cs="Times New Roman"/>
          <w:sz w:val="22"/>
          <w:lang w:val="en-US"/>
        </w:rPr>
        <w:br/>
        <w:t xml:space="preserve">What is your ethnic group? </w:t>
      </w:r>
      <w:r w:rsidRPr="00036788">
        <w:rPr>
          <w:rFonts w:ascii="Arial" w:eastAsia="Times New Roman" w:hAnsi="Arial" w:cs="Times New Roman"/>
          <w:sz w:val="22"/>
          <w:lang w:val="en-US"/>
        </w:rPr>
        <w:br/>
      </w:r>
      <w:r w:rsidRPr="00036788">
        <w:rPr>
          <w:rFonts w:ascii="Arial" w:eastAsia="Times New Roman" w:hAnsi="Arial" w:cs="Times New Roman"/>
          <w:sz w:val="22"/>
          <w:lang w:val="en-US"/>
        </w:rPr>
        <w:br/>
        <w:t>Choose one option that best describes your ethnic group or background</w:t>
      </w:r>
    </w:p>
    <w:p w14:paraId="4212B922" w14:textId="77777777" w:rsidR="00036788" w:rsidRPr="00036788" w:rsidRDefault="00036788" w:rsidP="00036788">
      <w:pPr>
        <w:keepNext/>
        <w:numPr>
          <w:ilvl w:val="0"/>
          <w:numId w:val="32"/>
        </w:numPr>
        <w:spacing w:after="0" w:line="240" w:lineRule="auto"/>
        <w:jc w:val="left"/>
        <w:rPr>
          <w:rFonts w:ascii="Arial" w:eastAsia="Times New Roman" w:hAnsi="Arial" w:cs="Times New Roman"/>
          <w:sz w:val="22"/>
          <w:lang w:val="en-US"/>
        </w:rPr>
      </w:pPr>
      <w:proofErr w:type="gramStart"/>
      <w:r w:rsidRPr="00036788">
        <w:rPr>
          <w:rFonts w:ascii="Arial" w:eastAsia="Times New Roman" w:hAnsi="Arial" w:cs="Times New Roman"/>
          <w:sz w:val="22"/>
          <w:lang w:val="en-US"/>
        </w:rPr>
        <w:t>White  (</w:t>
      </w:r>
      <w:proofErr w:type="gramEnd"/>
      <w:r w:rsidRPr="00036788">
        <w:rPr>
          <w:rFonts w:ascii="Arial" w:eastAsia="Times New Roman" w:hAnsi="Arial" w:cs="Times New Roman"/>
          <w:sz w:val="22"/>
          <w:lang w:val="en-US"/>
        </w:rPr>
        <w:t xml:space="preserve">1) </w:t>
      </w:r>
    </w:p>
    <w:p w14:paraId="635528C3" w14:textId="77777777" w:rsidR="00036788" w:rsidRPr="00036788" w:rsidRDefault="00036788" w:rsidP="00036788">
      <w:pPr>
        <w:keepNext/>
        <w:numPr>
          <w:ilvl w:val="0"/>
          <w:numId w:val="32"/>
        </w:numPr>
        <w:spacing w:after="0" w:line="240" w:lineRule="auto"/>
        <w:jc w:val="left"/>
        <w:rPr>
          <w:rFonts w:ascii="Arial" w:eastAsia="Times New Roman" w:hAnsi="Arial" w:cs="Times New Roman"/>
          <w:sz w:val="22"/>
          <w:lang w:val="en-US"/>
        </w:rPr>
      </w:pPr>
      <w:r w:rsidRPr="00036788">
        <w:rPr>
          <w:rFonts w:ascii="Arial" w:eastAsia="Times New Roman" w:hAnsi="Arial" w:cs="Times New Roman"/>
          <w:sz w:val="22"/>
          <w:lang w:val="en-US"/>
        </w:rPr>
        <w:t xml:space="preserve">Mixed/Multiple ethnic </w:t>
      </w:r>
      <w:proofErr w:type="gramStart"/>
      <w:r w:rsidRPr="00036788">
        <w:rPr>
          <w:rFonts w:ascii="Arial" w:eastAsia="Times New Roman" w:hAnsi="Arial" w:cs="Times New Roman"/>
          <w:sz w:val="22"/>
          <w:lang w:val="en-US"/>
        </w:rPr>
        <w:t>groups  (</w:t>
      </w:r>
      <w:proofErr w:type="gramEnd"/>
      <w:r w:rsidRPr="00036788">
        <w:rPr>
          <w:rFonts w:ascii="Arial" w:eastAsia="Times New Roman" w:hAnsi="Arial" w:cs="Times New Roman"/>
          <w:sz w:val="22"/>
          <w:lang w:val="en-US"/>
        </w:rPr>
        <w:t xml:space="preserve">2) </w:t>
      </w:r>
    </w:p>
    <w:p w14:paraId="5509B1C1" w14:textId="77777777" w:rsidR="00036788" w:rsidRPr="00036788" w:rsidRDefault="00036788" w:rsidP="00036788">
      <w:pPr>
        <w:keepNext/>
        <w:numPr>
          <w:ilvl w:val="0"/>
          <w:numId w:val="32"/>
        </w:numPr>
        <w:spacing w:after="0" w:line="240" w:lineRule="auto"/>
        <w:jc w:val="left"/>
        <w:rPr>
          <w:rFonts w:ascii="Arial" w:eastAsia="Times New Roman" w:hAnsi="Arial" w:cs="Times New Roman"/>
          <w:sz w:val="22"/>
          <w:lang w:val="en-US"/>
        </w:rPr>
      </w:pPr>
      <w:proofErr w:type="gramStart"/>
      <w:r w:rsidRPr="00036788">
        <w:rPr>
          <w:rFonts w:ascii="Arial" w:eastAsia="Times New Roman" w:hAnsi="Arial" w:cs="Times New Roman"/>
          <w:sz w:val="22"/>
          <w:lang w:val="en-US"/>
        </w:rPr>
        <w:t>Asian  (</w:t>
      </w:r>
      <w:proofErr w:type="gramEnd"/>
      <w:r w:rsidRPr="00036788">
        <w:rPr>
          <w:rFonts w:ascii="Arial" w:eastAsia="Times New Roman" w:hAnsi="Arial" w:cs="Times New Roman"/>
          <w:sz w:val="22"/>
          <w:lang w:val="en-US"/>
        </w:rPr>
        <w:t xml:space="preserve">3) </w:t>
      </w:r>
    </w:p>
    <w:p w14:paraId="6FF52F0C" w14:textId="77777777" w:rsidR="00036788" w:rsidRPr="00036788" w:rsidRDefault="00036788" w:rsidP="00036788">
      <w:pPr>
        <w:keepNext/>
        <w:numPr>
          <w:ilvl w:val="0"/>
          <w:numId w:val="32"/>
        </w:numPr>
        <w:spacing w:after="0" w:line="240" w:lineRule="auto"/>
        <w:jc w:val="left"/>
        <w:rPr>
          <w:rFonts w:ascii="Arial" w:eastAsia="Times New Roman" w:hAnsi="Arial" w:cs="Times New Roman"/>
          <w:sz w:val="22"/>
          <w:lang w:val="en-US"/>
        </w:rPr>
      </w:pPr>
      <w:r w:rsidRPr="00036788">
        <w:rPr>
          <w:rFonts w:ascii="Arial" w:eastAsia="Times New Roman" w:hAnsi="Arial" w:cs="Times New Roman"/>
          <w:sz w:val="22"/>
          <w:lang w:val="en-US"/>
        </w:rPr>
        <w:t>Black/African/</w:t>
      </w:r>
      <w:proofErr w:type="gramStart"/>
      <w:r w:rsidRPr="00036788">
        <w:rPr>
          <w:rFonts w:ascii="Arial" w:eastAsia="Times New Roman" w:hAnsi="Arial" w:cs="Times New Roman"/>
          <w:sz w:val="22"/>
          <w:lang w:val="en-US"/>
        </w:rPr>
        <w:t>Caribbean  (</w:t>
      </w:r>
      <w:proofErr w:type="gramEnd"/>
      <w:r w:rsidRPr="00036788">
        <w:rPr>
          <w:rFonts w:ascii="Arial" w:eastAsia="Times New Roman" w:hAnsi="Arial" w:cs="Times New Roman"/>
          <w:sz w:val="22"/>
          <w:lang w:val="en-US"/>
        </w:rPr>
        <w:t xml:space="preserve">4) </w:t>
      </w:r>
    </w:p>
    <w:p w14:paraId="2C1ADBD1" w14:textId="77777777" w:rsidR="00036788" w:rsidRPr="00036788" w:rsidRDefault="00036788" w:rsidP="00036788">
      <w:pPr>
        <w:keepNext/>
        <w:numPr>
          <w:ilvl w:val="0"/>
          <w:numId w:val="32"/>
        </w:numPr>
        <w:spacing w:after="0" w:line="240" w:lineRule="auto"/>
        <w:jc w:val="left"/>
        <w:rPr>
          <w:rFonts w:ascii="Arial" w:eastAsia="Times New Roman" w:hAnsi="Arial" w:cs="Times New Roman"/>
          <w:sz w:val="22"/>
          <w:lang w:val="en-US"/>
        </w:rPr>
      </w:pPr>
      <w:r w:rsidRPr="00036788">
        <w:rPr>
          <w:rFonts w:ascii="Arial" w:eastAsia="Times New Roman" w:hAnsi="Arial" w:cs="Times New Roman"/>
          <w:sz w:val="22"/>
          <w:lang w:val="en-US"/>
        </w:rPr>
        <w:t xml:space="preserve">Other ethnic group (please </w:t>
      </w:r>
      <w:proofErr w:type="gramStart"/>
      <w:r w:rsidRPr="00036788">
        <w:rPr>
          <w:rFonts w:ascii="Arial" w:eastAsia="Times New Roman" w:hAnsi="Arial" w:cs="Times New Roman"/>
          <w:sz w:val="22"/>
          <w:lang w:val="en-US"/>
        </w:rPr>
        <w:t>describe)  (</w:t>
      </w:r>
      <w:proofErr w:type="gramEnd"/>
      <w:r w:rsidRPr="00036788">
        <w:rPr>
          <w:rFonts w:ascii="Arial" w:eastAsia="Times New Roman" w:hAnsi="Arial" w:cs="Times New Roman"/>
          <w:sz w:val="22"/>
          <w:lang w:val="en-US"/>
        </w:rPr>
        <w:t>5) __________________________________________________</w:t>
      </w:r>
    </w:p>
    <w:p w14:paraId="1D6FAF87" w14:textId="77777777" w:rsidR="00036788" w:rsidRPr="00036788" w:rsidRDefault="00036788" w:rsidP="00036788">
      <w:pPr>
        <w:spacing w:after="0" w:line="276" w:lineRule="auto"/>
        <w:jc w:val="left"/>
        <w:rPr>
          <w:rFonts w:ascii="Arial" w:eastAsia="Times New Roman" w:hAnsi="Arial" w:cs="Times New Roman"/>
          <w:sz w:val="22"/>
          <w:lang w:val="en-US"/>
        </w:rPr>
      </w:pPr>
    </w:p>
    <w:p w14:paraId="60AD9646" w14:textId="77777777" w:rsidR="00036788" w:rsidRPr="00036788" w:rsidRDefault="00036788" w:rsidP="00036788">
      <w:pPr>
        <w:pBdr>
          <w:top w:val="dashed" w:sz="8" w:space="0" w:color="CCCCCC"/>
        </w:pBdr>
        <w:spacing w:before="120" w:after="120" w:line="120" w:lineRule="auto"/>
        <w:jc w:val="left"/>
        <w:rPr>
          <w:rFonts w:ascii="Arial" w:eastAsia="Times New Roman" w:hAnsi="Arial" w:cs="Times New Roman"/>
          <w:sz w:val="22"/>
          <w:lang w:val="en-US"/>
        </w:rPr>
      </w:pPr>
    </w:p>
    <w:p w14:paraId="7E6AD929" w14:textId="77777777" w:rsidR="00036788" w:rsidRPr="00036788" w:rsidRDefault="00036788" w:rsidP="00036788">
      <w:pPr>
        <w:spacing w:after="0" w:line="276" w:lineRule="auto"/>
        <w:jc w:val="left"/>
        <w:rPr>
          <w:rFonts w:ascii="Arial" w:eastAsia="Times New Roman" w:hAnsi="Arial" w:cs="Times New Roman"/>
          <w:sz w:val="22"/>
          <w:lang w:val="en-US"/>
        </w:rPr>
      </w:pPr>
    </w:p>
    <w:p w14:paraId="641A0303" w14:textId="77777777" w:rsidR="00036788" w:rsidRPr="00036788" w:rsidRDefault="00036788" w:rsidP="00036788">
      <w:pPr>
        <w:keepNext/>
        <w:spacing w:after="0" w:line="276" w:lineRule="auto"/>
        <w:jc w:val="left"/>
        <w:rPr>
          <w:rFonts w:ascii="Arial" w:eastAsia="Times New Roman" w:hAnsi="Arial" w:cs="Times New Roman"/>
          <w:sz w:val="22"/>
          <w:lang w:val="en-US"/>
        </w:rPr>
      </w:pPr>
      <w:r w:rsidRPr="00036788">
        <w:rPr>
          <w:rFonts w:ascii="Arial" w:eastAsia="Times New Roman" w:hAnsi="Arial" w:cs="Times New Roman"/>
          <w:sz w:val="22"/>
          <w:lang w:val="en-US"/>
        </w:rPr>
        <w:lastRenderedPageBreak/>
        <w:t>How old are you?</w:t>
      </w:r>
    </w:p>
    <w:p w14:paraId="54F27383" w14:textId="77777777" w:rsidR="00036788" w:rsidRPr="00036788" w:rsidRDefault="00036788" w:rsidP="00036788">
      <w:pPr>
        <w:keepNext/>
        <w:pBdr>
          <w:top w:val="single" w:sz="4" w:space="4" w:color="CCCCCC"/>
          <w:left w:val="single" w:sz="4" w:space="4" w:color="CCCCCC"/>
          <w:bottom w:val="single" w:sz="4" w:space="4" w:color="CCCCCC"/>
          <w:right w:val="single" w:sz="4" w:space="4" w:color="CCCCCC"/>
        </w:pBdr>
        <w:spacing w:before="120" w:after="120" w:line="240" w:lineRule="auto"/>
        <w:jc w:val="left"/>
        <w:rPr>
          <w:rFonts w:ascii="Arial" w:eastAsia="Times New Roman" w:hAnsi="Arial" w:cs="Times New Roman"/>
          <w:sz w:val="22"/>
          <w:lang w:val="en-US"/>
        </w:rPr>
      </w:pPr>
      <w:r w:rsidRPr="00036788">
        <w:rPr>
          <w:rFonts w:ascii="Arial" w:eastAsia="Times New Roman" w:hAnsi="Arial" w:cs="Times New Roman"/>
          <w:sz w:val="22"/>
          <w:lang w:val="en-US"/>
        </w:rPr>
        <w:t>▼ 18 - 24 (17) ... 85 or older (24)</w:t>
      </w:r>
    </w:p>
    <w:p w14:paraId="7446583B" w14:textId="77777777" w:rsidR="00036788" w:rsidRPr="00036788" w:rsidRDefault="00036788" w:rsidP="00036788">
      <w:pPr>
        <w:spacing w:after="0" w:line="276" w:lineRule="auto"/>
        <w:jc w:val="left"/>
        <w:rPr>
          <w:rFonts w:ascii="Arial" w:eastAsia="Times New Roman" w:hAnsi="Arial" w:cs="Times New Roman"/>
          <w:sz w:val="22"/>
          <w:lang w:val="en-US"/>
        </w:rPr>
      </w:pPr>
    </w:p>
    <w:p w14:paraId="49B3C200" w14:textId="77777777" w:rsidR="00036788" w:rsidRPr="00036788" w:rsidRDefault="00036788" w:rsidP="00036788">
      <w:pPr>
        <w:pBdr>
          <w:top w:val="dashed" w:sz="8" w:space="0" w:color="CCCCCC"/>
        </w:pBdr>
        <w:spacing w:before="120" w:after="120" w:line="120" w:lineRule="auto"/>
        <w:jc w:val="left"/>
        <w:rPr>
          <w:rFonts w:ascii="Arial" w:eastAsia="Times New Roman" w:hAnsi="Arial" w:cs="Times New Roman"/>
          <w:sz w:val="22"/>
          <w:lang w:val="en-US"/>
        </w:rPr>
      </w:pPr>
    </w:p>
    <w:p w14:paraId="10264981" w14:textId="77777777" w:rsidR="00036788" w:rsidRPr="00036788" w:rsidRDefault="00036788" w:rsidP="00036788">
      <w:pPr>
        <w:spacing w:after="0" w:line="276" w:lineRule="auto"/>
        <w:jc w:val="left"/>
        <w:rPr>
          <w:rFonts w:ascii="Arial" w:eastAsia="Times New Roman" w:hAnsi="Arial" w:cs="Times New Roman"/>
          <w:sz w:val="22"/>
          <w:lang w:val="en-US"/>
        </w:rPr>
      </w:pPr>
    </w:p>
    <w:p w14:paraId="27DE82A0" w14:textId="77777777" w:rsidR="00036788" w:rsidRPr="00036788" w:rsidRDefault="00036788" w:rsidP="00036788">
      <w:pPr>
        <w:keepNext/>
        <w:spacing w:after="0" w:line="276" w:lineRule="auto"/>
        <w:jc w:val="left"/>
        <w:rPr>
          <w:rFonts w:ascii="Arial" w:eastAsia="Times New Roman" w:hAnsi="Arial" w:cs="Times New Roman"/>
          <w:sz w:val="22"/>
          <w:lang w:val="en-US"/>
        </w:rPr>
      </w:pPr>
      <w:r w:rsidRPr="00036788">
        <w:rPr>
          <w:rFonts w:ascii="Arial" w:eastAsia="Times New Roman" w:hAnsi="Arial" w:cs="Times New Roman"/>
          <w:sz w:val="22"/>
          <w:lang w:val="en-US"/>
        </w:rPr>
        <w:t>What is the highest educational level that you have achieved?</w:t>
      </w:r>
    </w:p>
    <w:p w14:paraId="1E4606C6" w14:textId="77777777" w:rsidR="00036788" w:rsidRPr="00036788" w:rsidRDefault="00036788" w:rsidP="00036788">
      <w:pPr>
        <w:keepNext/>
        <w:numPr>
          <w:ilvl w:val="0"/>
          <w:numId w:val="32"/>
        </w:numPr>
        <w:spacing w:after="0" w:line="240" w:lineRule="auto"/>
        <w:jc w:val="left"/>
        <w:rPr>
          <w:rFonts w:ascii="Arial" w:eastAsia="Times New Roman" w:hAnsi="Arial" w:cs="Times New Roman"/>
          <w:sz w:val="22"/>
          <w:lang w:val="en-US"/>
        </w:rPr>
      </w:pPr>
      <w:r w:rsidRPr="00036788">
        <w:rPr>
          <w:rFonts w:ascii="Arial" w:eastAsia="Times New Roman" w:hAnsi="Arial" w:cs="Times New Roman"/>
          <w:sz w:val="22"/>
          <w:lang w:val="en-US"/>
        </w:rPr>
        <w:t xml:space="preserve">High school, GCSE or </w:t>
      </w:r>
      <w:proofErr w:type="gramStart"/>
      <w:r w:rsidRPr="00036788">
        <w:rPr>
          <w:rFonts w:ascii="Arial" w:eastAsia="Times New Roman" w:hAnsi="Arial" w:cs="Times New Roman"/>
          <w:sz w:val="22"/>
          <w:lang w:val="en-US"/>
        </w:rPr>
        <w:t>equivalent  (</w:t>
      </w:r>
      <w:proofErr w:type="gramEnd"/>
      <w:r w:rsidRPr="00036788">
        <w:rPr>
          <w:rFonts w:ascii="Arial" w:eastAsia="Times New Roman" w:hAnsi="Arial" w:cs="Times New Roman"/>
          <w:sz w:val="22"/>
          <w:lang w:val="en-US"/>
        </w:rPr>
        <w:t xml:space="preserve">3) </w:t>
      </w:r>
    </w:p>
    <w:p w14:paraId="7F7E9AD0" w14:textId="77777777" w:rsidR="00036788" w:rsidRPr="00036788" w:rsidRDefault="00036788" w:rsidP="00036788">
      <w:pPr>
        <w:keepNext/>
        <w:numPr>
          <w:ilvl w:val="0"/>
          <w:numId w:val="32"/>
        </w:numPr>
        <w:spacing w:after="0" w:line="240" w:lineRule="auto"/>
        <w:jc w:val="left"/>
        <w:rPr>
          <w:rFonts w:ascii="Arial" w:eastAsia="Times New Roman" w:hAnsi="Arial" w:cs="Times New Roman"/>
          <w:sz w:val="22"/>
          <w:lang w:val="en-US"/>
        </w:rPr>
      </w:pPr>
      <w:r w:rsidRPr="00036788">
        <w:rPr>
          <w:rFonts w:ascii="Arial" w:eastAsia="Times New Roman" w:hAnsi="Arial" w:cs="Times New Roman"/>
          <w:sz w:val="22"/>
          <w:lang w:val="en-US"/>
        </w:rPr>
        <w:t xml:space="preserve">Bachelor or </w:t>
      </w:r>
      <w:proofErr w:type="gramStart"/>
      <w:r w:rsidRPr="00036788">
        <w:rPr>
          <w:rFonts w:ascii="Arial" w:eastAsia="Times New Roman" w:hAnsi="Arial" w:cs="Times New Roman"/>
          <w:sz w:val="22"/>
          <w:lang w:val="en-US"/>
        </w:rPr>
        <w:t>equivalent  (</w:t>
      </w:r>
      <w:proofErr w:type="gramEnd"/>
      <w:r w:rsidRPr="00036788">
        <w:rPr>
          <w:rFonts w:ascii="Arial" w:eastAsia="Times New Roman" w:hAnsi="Arial" w:cs="Times New Roman"/>
          <w:sz w:val="22"/>
          <w:lang w:val="en-US"/>
        </w:rPr>
        <w:t xml:space="preserve">21) </w:t>
      </w:r>
    </w:p>
    <w:p w14:paraId="3706294E" w14:textId="77777777" w:rsidR="00036788" w:rsidRPr="00036788" w:rsidRDefault="00036788" w:rsidP="00036788">
      <w:pPr>
        <w:keepNext/>
        <w:numPr>
          <w:ilvl w:val="0"/>
          <w:numId w:val="32"/>
        </w:numPr>
        <w:spacing w:after="0" w:line="240" w:lineRule="auto"/>
        <w:jc w:val="left"/>
        <w:rPr>
          <w:rFonts w:ascii="Arial" w:eastAsia="Times New Roman" w:hAnsi="Arial" w:cs="Times New Roman"/>
          <w:sz w:val="22"/>
          <w:lang w:val="en-US"/>
        </w:rPr>
      </w:pPr>
      <w:r w:rsidRPr="00036788">
        <w:rPr>
          <w:rFonts w:ascii="Arial" w:eastAsia="Times New Roman" w:hAnsi="Arial" w:cs="Times New Roman"/>
          <w:sz w:val="22"/>
          <w:lang w:val="en-US"/>
        </w:rPr>
        <w:t xml:space="preserve">Masters or </w:t>
      </w:r>
      <w:proofErr w:type="gramStart"/>
      <w:r w:rsidRPr="00036788">
        <w:rPr>
          <w:rFonts w:ascii="Arial" w:eastAsia="Times New Roman" w:hAnsi="Arial" w:cs="Times New Roman"/>
          <w:sz w:val="22"/>
          <w:lang w:val="en-US"/>
        </w:rPr>
        <w:t>equivalent  (</w:t>
      </w:r>
      <w:proofErr w:type="gramEnd"/>
      <w:r w:rsidRPr="00036788">
        <w:rPr>
          <w:rFonts w:ascii="Arial" w:eastAsia="Times New Roman" w:hAnsi="Arial" w:cs="Times New Roman"/>
          <w:sz w:val="22"/>
          <w:lang w:val="en-US"/>
        </w:rPr>
        <w:t xml:space="preserve">22) </w:t>
      </w:r>
    </w:p>
    <w:p w14:paraId="026B660A" w14:textId="77777777" w:rsidR="00036788" w:rsidRPr="00036788" w:rsidRDefault="00036788" w:rsidP="00036788">
      <w:pPr>
        <w:keepNext/>
        <w:numPr>
          <w:ilvl w:val="0"/>
          <w:numId w:val="32"/>
        </w:numPr>
        <w:spacing w:after="0" w:line="240" w:lineRule="auto"/>
        <w:jc w:val="left"/>
        <w:rPr>
          <w:rFonts w:ascii="Arial" w:eastAsia="Times New Roman" w:hAnsi="Arial" w:cs="Times New Roman"/>
          <w:sz w:val="22"/>
          <w:lang w:val="en-US"/>
        </w:rPr>
      </w:pPr>
      <w:r w:rsidRPr="00036788">
        <w:rPr>
          <w:rFonts w:ascii="Arial" w:eastAsia="Times New Roman" w:hAnsi="Arial" w:cs="Times New Roman"/>
          <w:sz w:val="22"/>
          <w:lang w:val="en-US"/>
        </w:rPr>
        <w:t xml:space="preserve">Doctoral or </w:t>
      </w:r>
      <w:proofErr w:type="gramStart"/>
      <w:r w:rsidRPr="00036788">
        <w:rPr>
          <w:rFonts w:ascii="Arial" w:eastAsia="Times New Roman" w:hAnsi="Arial" w:cs="Times New Roman"/>
          <w:sz w:val="22"/>
          <w:lang w:val="en-US"/>
        </w:rPr>
        <w:t>equivalent  (</w:t>
      </w:r>
      <w:proofErr w:type="gramEnd"/>
      <w:r w:rsidRPr="00036788">
        <w:rPr>
          <w:rFonts w:ascii="Arial" w:eastAsia="Times New Roman" w:hAnsi="Arial" w:cs="Times New Roman"/>
          <w:sz w:val="22"/>
          <w:lang w:val="en-US"/>
        </w:rPr>
        <w:t xml:space="preserve">23) </w:t>
      </w:r>
    </w:p>
    <w:p w14:paraId="6D3632CB" w14:textId="77777777" w:rsidR="00036788" w:rsidRPr="00036788" w:rsidRDefault="00036788" w:rsidP="00036788">
      <w:pPr>
        <w:keepNext/>
        <w:numPr>
          <w:ilvl w:val="0"/>
          <w:numId w:val="32"/>
        </w:numPr>
        <w:spacing w:after="0" w:line="240" w:lineRule="auto"/>
        <w:jc w:val="left"/>
        <w:rPr>
          <w:rFonts w:ascii="Arial" w:eastAsia="Times New Roman" w:hAnsi="Arial" w:cs="Times New Roman"/>
          <w:sz w:val="22"/>
          <w:lang w:val="en-US"/>
        </w:rPr>
      </w:pPr>
      <w:r w:rsidRPr="00036788">
        <w:rPr>
          <w:rFonts w:ascii="Arial" w:eastAsia="Times New Roman" w:hAnsi="Arial" w:cs="Times New Roman"/>
          <w:sz w:val="22"/>
          <w:lang w:val="en-US"/>
        </w:rPr>
        <w:t xml:space="preserve">Other (please </w:t>
      </w:r>
      <w:proofErr w:type="gramStart"/>
      <w:r w:rsidRPr="00036788">
        <w:rPr>
          <w:rFonts w:ascii="Arial" w:eastAsia="Times New Roman" w:hAnsi="Arial" w:cs="Times New Roman"/>
          <w:sz w:val="22"/>
          <w:lang w:val="en-US"/>
        </w:rPr>
        <w:t>describe)  (</w:t>
      </w:r>
      <w:proofErr w:type="gramEnd"/>
      <w:r w:rsidRPr="00036788">
        <w:rPr>
          <w:rFonts w:ascii="Arial" w:eastAsia="Times New Roman" w:hAnsi="Arial" w:cs="Times New Roman"/>
          <w:sz w:val="22"/>
          <w:lang w:val="en-US"/>
        </w:rPr>
        <w:t>24) __________________________________________________</w:t>
      </w:r>
    </w:p>
    <w:p w14:paraId="5347998C" w14:textId="77777777" w:rsidR="00036788" w:rsidRPr="00036788" w:rsidRDefault="00036788" w:rsidP="00036788">
      <w:pPr>
        <w:spacing w:after="0" w:line="276" w:lineRule="auto"/>
        <w:jc w:val="left"/>
        <w:rPr>
          <w:rFonts w:ascii="Arial" w:eastAsia="Times New Roman" w:hAnsi="Arial" w:cs="Times New Roman"/>
          <w:sz w:val="22"/>
          <w:lang w:val="en-US"/>
        </w:rPr>
      </w:pPr>
    </w:p>
    <w:p w14:paraId="7CDA6DBE" w14:textId="77777777" w:rsidR="00036788" w:rsidRPr="00036788" w:rsidRDefault="00036788" w:rsidP="00036788">
      <w:pPr>
        <w:pBdr>
          <w:top w:val="dashed" w:sz="8" w:space="0" w:color="CCCCCC"/>
        </w:pBdr>
        <w:spacing w:before="120" w:after="120" w:line="120" w:lineRule="auto"/>
        <w:jc w:val="left"/>
        <w:rPr>
          <w:rFonts w:ascii="Arial" w:eastAsia="Times New Roman" w:hAnsi="Arial" w:cs="Times New Roman"/>
          <w:sz w:val="22"/>
          <w:lang w:val="en-US"/>
        </w:rPr>
      </w:pPr>
    </w:p>
    <w:p w14:paraId="62B102B7" w14:textId="77777777" w:rsidR="00036788" w:rsidRPr="00036788" w:rsidRDefault="00036788" w:rsidP="00036788">
      <w:pPr>
        <w:spacing w:after="0" w:line="276" w:lineRule="auto"/>
        <w:jc w:val="left"/>
        <w:rPr>
          <w:rFonts w:ascii="Arial" w:eastAsia="Times New Roman" w:hAnsi="Arial" w:cs="Times New Roman"/>
          <w:sz w:val="22"/>
          <w:lang w:val="en-US"/>
        </w:rPr>
      </w:pPr>
    </w:p>
    <w:p w14:paraId="3BC20783" w14:textId="77777777" w:rsidR="00036788" w:rsidRPr="00036788" w:rsidRDefault="00036788" w:rsidP="00036788">
      <w:pPr>
        <w:keepNext/>
        <w:spacing w:after="0" w:line="276" w:lineRule="auto"/>
        <w:jc w:val="left"/>
        <w:rPr>
          <w:rFonts w:ascii="Arial" w:eastAsia="Times New Roman" w:hAnsi="Arial" w:cs="Times New Roman"/>
          <w:sz w:val="22"/>
          <w:lang w:val="en-US"/>
        </w:rPr>
      </w:pPr>
      <w:r w:rsidRPr="00036788">
        <w:rPr>
          <w:rFonts w:ascii="Arial" w:eastAsia="Times New Roman" w:hAnsi="Arial" w:cs="Times New Roman"/>
          <w:sz w:val="22"/>
          <w:lang w:val="en-US"/>
        </w:rPr>
        <w:t>How much time did you spend outdoors as a child?</w:t>
      </w:r>
    </w:p>
    <w:p w14:paraId="1DA70F0C" w14:textId="77777777" w:rsidR="00036788" w:rsidRPr="00036788" w:rsidRDefault="00036788" w:rsidP="00036788">
      <w:pPr>
        <w:keepNext/>
        <w:numPr>
          <w:ilvl w:val="0"/>
          <w:numId w:val="32"/>
        </w:numPr>
        <w:spacing w:after="0" w:line="240" w:lineRule="auto"/>
        <w:jc w:val="left"/>
        <w:rPr>
          <w:rFonts w:ascii="Arial" w:eastAsia="Times New Roman" w:hAnsi="Arial" w:cs="Times New Roman"/>
          <w:sz w:val="22"/>
          <w:lang w:val="en-US"/>
        </w:rPr>
      </w:pPr>
      <w:r w:rsidRPr="00036788">
        <w:rPr>
          <w:rFonts w:ascii="Arial" w:eastAsia="Times New Roman" w:hAnsi="Arial" w:cs="Times New Roman"/>
          <w:sz w:val="22"/>
          <w:lang w:val="en-US"/>
        </w:rPr>
        <w:t xml:space="preserve">A </w:t>
      </w:r>
      <w:proofErr w:type="gramStart"/>
      <w:r w:rsidRPr="00036788">
        <w:rPr>
          <w:rFonts w:ascii="Arial" w:eastAsia="Times New Roman" w:hAnsi="Arial" w:cs="Times New Roman"/>
          <w:sz w:val="22"/>
          <w:lang w:val="en-US"/>
        </w:rPr>
        <w:t>lot  (</w:t>
      </w:r>
      <w:proofErr w:type="gramEnd"/>
      <w:r w:rsidRPr="00036788">
        <w:rPr>
          <w:rFonts w:ascii="Arial" w:eastAsia="Times New Roman" w:hAnsi="Arial" w:cs="Times New Roman"/>
          <w:sz w:val="22"/>
          <w:lang w:val="en-US"/>
        </w:rPr>
        <w:t xml:space="preserve">1) </w:t>
      </w:r>
    </w:p>
    <w:p w14:paraId="2CF90CC3" w14:textId="77777777" w:rsidR="00036788" w:rsidRPr="00036788" w:rsidRDefault="00036788" w:rsidP="00036788">
      <w:pPr>
        <w:keepNext/>
        <w:numPr>
          <w:ilvl w:val="0"/>
          <w:numId w:val="32"/>
        </w:numPr>
        <w:spacing w:after="0" w:line="240" w:lineRule="auto"/>
        <w:jc w:val="left"/>
        <w:rPr>
          <w:rFonts w:ascii="Arial" w:eastAsia="Times New Roman" w:hAnsi="Arial" w:cs="Times New Roman"/>
          <w:sz w:val="22"/>
          <w:lang w:val="en-US"/>
        </w:rPr>
      </w:pPr>
      <w:r w:rsidRPr="00036788">
        <w:rPr>
          <w:rFonts w:ascii="Arial" w:eastAsia="Times New Roman" w:hAnsi="Arial" w:cs="Times New Roman"/>
          <w:sz w:val="22"/>
          <w:lang w:val="en-US"/>
        </w:rPr>
        <w:t xml:space="preserve">A moderate </w:t>
      </w:r>
      <w:proofErr w:type="gramStart"/>
      <w:r w:rsidRPr="00036788">
        <w:rPr>
          <w:rFonts w:ascii="Arial" w:eastAsia="Times New Roman" w:hAnsi="Arial" w:cs="Times New Roman"/>
          <w:sz w:val="22"/>
          <w:lang w:val="en-US"/>
        </w:rPr>
        <w:t>amount  (</w:t>
      </w:r>
      <w:proofErr w:type="gramEnd"/>
      <w:r w:rsidRPr="00036788">
        <w:rPr>
          <w:rFonts w:ascii="Arial" w:eastAsia="Times New Roman" w:hAnsi="Arial" w:cs="Times New Roman"/>
          <w:sz w:val="22"/>
          <w:lang w:val="en-US"/>
        </w:rPr>
        <w:t xml:space="preserve">2) </w:t>
      </w:r>
    </w:p>
    <w:p w14:paraId="696B60AA" w14:textId="77777777" w:rsidR="00036788" w:rsidRPr="00036788" w:rsidRDefault="00036788" w:rsidP="00036788">
      <w:pPr>
        <w:keepNext/>
        <w:numPr>
          <w:ilvl w:val="0"/>
          <w:numId w:val="32"/>
        </w:numPr>
        <w:spacing w:after="0" w:line="240" w:lineRule="auto"/>
        <w:jc w:val="left"/>
        <w:rPr>
          <w:rFonts w:ascii="Arial" w:eastAsia="Times New Roman" w:hAnsi="Arial" w:cs="Times New Roman"/>
          <w:sz w:val="22"/>
          <w:lang w:val="en-US"/>
        </w:rPr>
      </w:pPr>
      <w:r w:rsidRPr="00036788">
        <w:rPr>
          <w:rFonts w:ascii="Arial" w:eastAsia="Times New Roman" w:hAnsi="Arial" w:cs="Times New Roman"/>
          <w:sz w:val="22"/>
          <w:lang w:val="en-US"/>
        </w:rPr>
        <w:t xml:space="preserve">A </w:t>
      </w:r>
      <w:proofErr w:type="gramStart"/>
      <w:r w:rsidRPr="00036788">
        <w:rPr>
          <w:rFonts w:ascii="Arial" w:eastAsia="Times New Roman" w:hAnsi="Arial" w:cs="Times New Roman"/>
          <w:sz w:val="22"/>
          <w:lang w:val="en-US"/>
        </w:rPr>
        <w:t>little  (</w:t>
      </w:r>
      <w:proofErr w:type="gramEnd"/>
      <w:r w:rsidRPr="00036788">
        <w:rPr>
          <w:rFonts w:ascii="Arial" w:eastAsia="Times New Roman" w:hAnsi="Arial" w:cs="Times New Roman"/>
          <w:sz w:val="22"/>
          <w:lang w:val="en-US"/>
        </w:rPr>
        <w:t xml:space="preserve">3) </w:t>
      </w:r>
    </w:p>
    <w:p w14:paraId="57685311" w14:textId="77777777" w:rsidR="00036788" w:rsidRPr="00036788" w:rsidRDefault="00036788" w:rsidP="00036788">
      <w:pPr>
        <w:keepNext/>
        <w:numPr>
          <w:ilvl w:val="0"/>
          <w:numId w:val="32"/>
        </w:numPr>
        <w:spacing w:after="0" w:line="240" w:lineRule="auto"/>
        <w:jc w:val="left"/>
        <w:rPr>
          <w:rFonts w:ascii="Arial" w:eastAsia="Times New Roman" w:hAnsi="Arial" w:cs="Times New Roman"/>
          <w:sz w:val="22"/>
          <w:lang w:val="en-US"/>
        </w:rPr>
      </w:pPr>
      <w:r w:rsidRPr="00036788">
        <w:rPr>
          <w:rFonts w:ascii="Arial" w:eastAsia="Times New Roman" w:hAnsi="Arial" w:cs="Times New Roman"/>
          <w:sz w:val="22"/>
          <w:lang w:val="en-US"/>
        </w:rPr>
        <w:t xml:space="preserve">None at </w:t>
      </w:r>
      <w:proofErr w:type="gramStart"/>
      <w:r w:rsidRPr="00036788">
        <w:rPr>
          <w:rFonts w:ascii="Arial" w:eastAsia="Times New Roman" w:hAnsi="Arial" w:cs="Times New Roman"/>
          <w:sz w:val="22"/>
          <w:lang w:val="en-US"/>
        </w:rPr>
        <w:t>all  (</w:t>
      </w:r>
      <w:proofErr w:type="gramEnd"/>
      <w:r w:rsidRPr="00036788">
        <w:rPr>
          <w:rFonts w:ascii="Arial" w:eastAsia="Times New Roman" w:hAnsi="Arial" w:cs="Times New Roman"/>
          <w:sz w:val="22"/>
          <w:lang w:val="en-US"/>
        </w:rPr>
        <w:t xml:space="preserve">4) </w:t>
      </w:r>
    </w:p>
    <w:p w14:paraId="58478FF0" w14:textId="77777777" w:rsidR="00036788" w:rsidRPr="00036788" w:rsidRDefault="00036788" w:rsidP="00036788">
      <w:pPr>
        <w:spacing w:after="0" w:line="276" w:lineRule="auto"/>
        <w:jc w:val="left"/>
        <w:rPr>
          <w:rFonts w:ascii="Arial" w:eastAsia="Times New Roman" w:hAnsi="Arial" w:cs="Times New Roman"/>
          <w:sz w:val="22"/>
          <w:lang w:val="en-US"/>
        </w:rPr>
      </w:pPr>
    </w:p>
    <w:p w14:paraId="4C69BF15" w14:textId="77777777" w:rsidR="00036788" w:rsidRPr="00036788" w:rsidRDefault="00036788" w:rsidP="00036788">
      <w:pPr>
        <w:pBdr>
          <w:top w:val="dashed" w:sz="8" w:space="0" w:color="CCCCCC"/>
        </w:pBdr>
        <w:spacing w:before="120" w:after="120" w:line="120" w:lineRule="auto"/>
        <w:jc w:val="left"/>
        <w:rPr>
          <w:rFonts w:ascii="Arial" w:eastAsia="Times New Roman" w:hAnsi="Arial" w:cs="Times New Roman"/>
          <w:sz w:val="22"/>
          <w:lang w:val="en-US"/>
        </w:rPr>
      </w:pPr>
    </w:p>
    <w:p w14:paraId="0FD45AC1" w14:textId="77777777" w:rsidR="00036788" w:rsidRPr="00036788" w:rsidRDefault="00036788" w:rsidP="00036788">
      <w:pPr>
        <w:spacing w:after="0" w:line="276" w:lineRule="auto"/>
        <w:jc w:val="left"/>
        <w:rPr>
          <w:rFonts w:ascii="Arial" w:eastAsia="Times New Roman" w:hAnsi="Arial" w:cs="Times New Roman"/>
          <w:sz w:val="22"/>
          <w:lang w:val="en-US"/>
        </w:rPr>
      </w:pPr>
    </w:p>
    <w:p w14:paraId="60AA5496" w14:textId="77777777" w:rsidR="00036788" w:rsidRPr="00036788" w:rsidRDefault="00036788" w:rsidP="00036788">
      <w:pPr>
        <w:keepNext/>
        <w:spacing w:after="0" w:line="276" w:lineRule="auto"/>
        <w:jc w:val="left"/>
        <w:rPr>
          <w:rFonts w:ascii="Arial" w:eastAsia="Times New Roman" w:hAnsi="Arial" w:cs="Times New Roman"/>
          <w:sz w:val="22"/>
          <w:lang w:val="en-US"/>
        </w:rPr>
      </w:pPr>
      <w:r w:rsidRPr="00036788">
        <w:rPr>
          <w:rFonts w:ascii="Arial" w:eastAsia="Times New Roman" w:hAnsi="Arial" w:cs="Times New Roman"/>
          <w:sz w:val="22"/>
          <w:lang w:val="en-US"/>
        </w:rPr>
        <w:t xml:space="preserve">Do you have any difficulty perceiving </w:t>
      </w:r>
      <w:proofErr w:type="spellStart"/>
      <w:r w:rsidRPr="00036788">
        <w:rPr>
          <w:rFonts w:ascii="Arial" w:eastAsia="Times New Roman" w:hAnsi="Arial" w:cs="Times New Roman"/>
          <w:sz w:val="22"/>
          <w:lang w:val="en-US"/>
        </w:rPr>
        <w:t>colours</w:t>
      </w:r>
      <w:proofErr w:type="spellEnd"/>
      <w:r w:rsidRPr="00036788">
        <w:rPr>
          <w:rFonts w:ascii="Arial" w:eastAsia="Times New Roman" w:hAnsi="Arial" w:cs="Times New Roman"/>
          <w:sz w:val="22"/>
          <w:lang w:val="en-US"/>
        </w:rPr>
        <w:t xml:space="preserve">?  (e.g. </w:t>
      </w:r>
      <w:proofErr w:type="spellStart"/>
      <w:r w:rsidRPr="00036788">
        <w:rPr>
          <w:rFonts w:ascii="Arial" w:eastAsia="Times New Roman" w:hAnsi="Arial" w:cs="Times New Roman"/>
          <w:sz w:val="22"/>
          <w:lang w:val="en-US"/>
        </w:rPr>
        <w:t>Colour</w:t>
      </w:r>
      <w:proofErr w:type="spellEnd"/>
      <w:r w:rsidRPr="00036788">
        <w:rPr>
          <w:rFonts w:ascii="Arial" w:eastAsia="Times New Roman" w:hAnsi="Arial" w:cs="Times New Roman"/>
          <w:sz w:val="22"/>
          <w:lang w:val="en-US"/>
        </w:rPr>
        <w:t xml:space="preserve"> blindness, </w:t>
      </w:r>
      <w:proofErr w:type="spellStart"/>
      <w:r w:rsidRPr="00036788">
        <w:rPr>
          <w:rFonts w:ascii="Arial" w:eastAsia="Times New Roman" w:hAnsi="Arial" w:cs="Times New Roman"/>
          <w:sz w:val="22"/>
          <w:lang w:val="en-US"/>
        </w:rPr>
        <w:t>Colour</w:t>
      </w:r>
      <w:proofErr w:type="spellEnd"/>
      <w:r w:rsidRPr="00036788">
        <w:rPr>
          <w:rFonts w:ascii="Arial" w:eastAsia="Times New Roman" w:hAnsi="Arial" w:cs="Times New Roman"/>
          <w:sz w:val="22"/>
          <w:lang w:val="en-US"/>
        </w:rPr>
        <w:t xml:space="preserve"> vision deficiency)</w:t>
      </w:r>
    </w:p>
    <w:p w14:paraId="017BDA5C" w14:textId="77777777" w:rsidR="00036788" w:rsidRPr="00036788" w:rsidRDefault="00036788" w:rsidP="00036788">
      <w:pPr>
        <w:keepNext/>
        <w:numPr>
          <w:ilvl w:val="0"/>
          <w:numId w:val="32"/>
        </w:numPr>
        <w:spacing w:after="0" w:line="240" w:lineRule="auto"/>
        <w:jc w:val="left"/>
        <w:rPr>
          <w:rFonts w:ascii="Arial" w:eastAsia="Times New Roman" w:hAnsi="Arial" w:cs="Times New Roman"/>
          <w:sz w:val="22"/>
          <w:lang w:val="en-US"/>
        </w:rPr>
      </w:pPr>
      <w:proofErr w:type="gramStart"/>
      <w:r w:rsidRPr="00036788">
        <w:rPr>
          <w:rFonts w:ascii="Arial" w:eastAsia="Times New Roman" w:hAnsi="Arial" w:cs="Times New Roman"/>
          <w:sz w:val="22"/>
          <w:lang w:val="en-US"/>
        </w:rPr>
        <w:t>Yes  (</w:t>
      </w:r>
      <w:proofErr w:type="gramEnd"/>
      <w:r w:rsidRPr="00036788">
        <w:rPr>
          <w:rFonts w:ascii="Arial" w:eastAsia="Times New Roman" w:hAnsi="Arial" w:cs="Times New Roman"/>
          <w:sz w:val="22"/>
          <w:lang w:val="en-US"/>
        </w:rPr>
        <w:t xml:space="preserve">1) </w:t>
      </w:r>
    </w:p>
    <w:p w14:paraId="0774A310" w14:textId="77777777" w:rsidR="00036788" w:rsidRPr="00036788" w:rsidRDefault="00036788" w:rsidP="00036788">
      <w:pPr>
        <w:keepNext/>
        <w:numPr>
          <w:ilvl w:val="0"/>
          <w:numId w:val="32"/>
        </w:numPr>
        <w:spacing w:after="0" w:line="240" w:lineRule="auto"/>
        <w:jc w:val="left"/>
        <w:rPr>
          <w:rFonts w:ascii="Arial" w:eastAsia="Times New Roman" w:hAnsi="Arial" w:cs="Times New Roman"/>
          <w:sz w:val="22"/>
          <w:lang w:val="en-US"/>
        </w:rPr>
      </w:pPr>
      <w:proofErr w:type="gramStart"/>
      <w:r w:rsidRPr="00036788">
        <w:rPr>
          <w:rFonts w:ascii="Arial" w:eastAsia="Times New Roman" w:hAnsi="Arial" w:cs="Times New Roman"/>
          <w:sz w:val="22"/>
          <w:lang w:val="en-US"/>
        </w:rPr>
        <w:t>No  (</w:t>
      </w:r>
      <w:proofErr w:type="gramEnd"/>
      <w:r w:rsidRPr="00036788">
        <w:rPr>
          <w:rFonts w:ascii="Arial" w:eastAsia="Times New Roman" w:hAnsi="Arial" w:cs="Times New Roman"/>
          <w:sz w:val="22"/>
          <w:lang w:val="en-US"/>
        </w:rPr>
        <w:t xml:space="preserve">2) </w:t>
      </w:r>
    </w:p>
    <w:p w14:paraId="20A053AA" w14:textId="77777777" w:rsidR="00036788" w:rsidRPr="00036788" w:rsidRDefault="00036788" w:rsidP="00036788">
      <w:pPr>
        <w:spacing w:after="0" w:line="276" w:lineRule="auto"/>
        <w:jc w:val="left"/>
        <w:rPr>
          <w:rFonts w:ascii="Arial" w:eastAsia="Times New Roman" w:hAnsi="Arial" w:cs="Times New Roman"/>
          <w:sz w:val="22"/>
          <w:lang w:val="en-US"/>
        </w:rPr>
      </w:pPr>
    </w:p>
    <w:p w14:paraId="41B65E3D" w14:textId="77777777" w:rsidR="00036788" w:rsidRPr="00036788" w:rsidRDefault="00036788" w:rsidP="00036788">
      <w:pPr>
        <w:spacing w:before="120" w:after="0" w:line="240" w:lineRule="auto"/>
        <w:jc w:val="left"/>
        <w:rPr>
          <w:rFonts w:ascii="Arial" w:eastAsia="Times New Roman" w:hAnsi="Arial" w:cs="Times New Roman"/>
          <w:b/>
          <w:color w:val="CCCCCC"/>
          <w:sz w:val="22"/>
          <w:lang w:val="en-US"/>
        </w:rPr>
      </w:pPr>
      <w:r w:rsidRPr="00036788">
        <w:rPr>
          <w:rFonts w:ascii="Arial" w:eastAsia="Times New Roman" w:hAnsi="Arial" w:cs="Times New Roman"/>
          <w:b/>
          <w:color w:val="CCCCCC"/>
          <w:sz w:val="22"/>
          <w:lang w:val="en-US"/>
        </w:rPr>
        <w:t>End of Block: Demographic questions</w:t>
      </w:r>
    </w:p>
    <w:p w14:paraId="0C4A1235" w14:textId="77777777" w:rsidR="00036788" w:rsidRPr="00036788" w:rsidRDefault="00036788" w:rsidP="00036788">
      <w:pPr>
        <w:pBdr>
          <w:bottom w:val="single" w:sz="8" w:space="0" w:color="CCCCCC"/>
        </w:pBdr>
        <w:spacing w:after="0" w:line="120" w:lineRule="auto"/>
        <w:jc w:val="center"/>
        <w:rPr>
          <w:rFonts w:ascii="Arial" w:eastAsia="Times New Roman" w:hAnsi="Arial" w:cs="Times New Roman"/>
          <w:b/>
          <w:color w:val="CCCCCC"/>
          <w:sz w:val="22"/>
          <w:lang w:val="en-US"/>
        </w:rPr>
      </w:pPr>
    </w:p>
    <w:p w14:paraId="10A9345A" w14:textId="77777777" w:rsidR="00036788" w:rsidRPr="00036788" w:rsidRDefault="00036788" w:rsidP="00036788">
      <w:pPr>
        <w:spacing w:after="0" w:line="276" w:lineRule="auto"/>
        <w:jc w:val="left"/>
        <w:rPr>
          <w:rFonts w:ascii="Arial" w:eastAsia="Times New Roman" w:hAnsi="Arial" w:cs="Times New Roman"/>
          <w:b/>
          <w:color w:val="CCCCCC"/>
          <w:sz w:val="22"/>
          <w:lang w:val="en-US"/>
        </w:rPr>
      </w:pPr>
      <w:r w:rsidRPr="00036788">
        <w:rPr>
          <w:rFonts w:ascii="Arial" w:eastAsia="Times New Roman" w:hAnsi="Arial" w:cs="Times New Roman"/>
          <w:sz w:val="22"/>
          <w:lang w:val="en-US"/>
        </w:rPr>
        <w:br w:type="page"/>
      </w:r>
    </w:p>
    <w:p w14:paraId="464A23E8" w14:textId="77777777" w:rsidR="00036788" w:rsidRPr="00036788" w:rsidRDefault="00036788" w:rsidP="00036788">
      <w:pPr>
        <w:spacing w:before="120" w:after="120" w:line="240" w:lineRule="auto"/>
        <w:jc w:val="left"/>
        <w:rPr>
          <w:rFonts w:ascii="Arial" w:eastAsia="Times New Roman" w:hAnsi="Arial" w:cs="Times New Roman"/>
          <w:b/>
          <w:color w:val="CCCCCC"/>
          <w:sz w:val="22"/>
          <w:lang w:val="en-US"/>
        </w:rPr>
      </w:pPr>
      <w:r w:rsidRPr="00036788">
        <w:rPr>
          <w:rFonts w:ascii="Arial" w:eastAsia="Times New Roman" w:hAnsi="Arial" w:cs="Times New Roman"/>
          <w:b/>
          <w:color w:val="CCCCCC"/>
          <w:sz w:val="22"/>
          <w:lang w:val="en-US"/>
        </w:rPr>
        <w:lastRenderedPageBreak/>
        <w:t>Start of Block: INS</w:t>
      </w:r>
    </w:p>
    <w:tbl>
      <w:tblPr>
        <w:tblStyle w:val="QQuestionIconTable"/>
        <w:tblW w:w="50" w:type="auto"/>
        <w:tblLook w:val="07E0" w:firstRow="1" w:lastRow="1" w:firstColumn="1" w:lastColumn="1" w:noHBand="1" w:noVBand="1"/>
      </w:tblPr>
      <w:tblGrid>
        <w:gridCol w:w="380"/>
      </w:tblGrid>
      <w:tr w:rsidR="00036788" w:rsidRPr="00036788" w14:paraId="1579BC76" w14:textId="77777777" w:rsidTr="005F7CE9">
        <w:tc>
          <w:tcPr>
            <w:tcW w:w="50" w:type="dxa"/>
          </w:tcPr>
          <w:p w14:paraId="25505280" w14:textId="77777777" w:rsidR="00036788" w:rsidRPr="00036788" w:rsidRDefault="00036788" w:rsidP="00036788">
            <w:pPr>
              <w:keepNext/>
              <w:spacing w:line="240" w:lineRule="auto"/>
              <w:jc w:val="center"/>
              <w:rPr>
                <w:rFonts w:ascii="Arial" w:eastAsia="Times New Roman" w:hAnsi="Arial" w:cs="Times New Roman"/>
                <w:sz w:val="22"/>
                <w:lang w:val="en-US"/>
              </w:rPr>
            </w:pPr>
            <w:r w:rsidRPr="00036788">
              <w:rPr>
                <w:rFonts w:ascii="Arial" w:eastAsia="Times New Roman" w:hAnsi="Arial" w:cs="Times New Roman"/>
                <w:noProof/>
                <w:sz w:val="22"/>
                <w:lang w:val="en-US"/>
              </w:rPr>
              <w:drawing>
                <wp:inline distT="0" distB="0" distL="0" distR="0" wp14:anchorId="1AF8F08E" wp14:editId="5B31351A">
                  <wp:extent cx="228600" cy="228600"/>
                  <wp:effectExtent l="0" t="0" r="0" b="0"/>
                  <wp:docPr id="1513056949" name="WordQuestionJavaScrip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WordQuestionJavaScript.png"/>
                          <pic:cNvPicPr/>
                        </pic:nvPicPr>
                        <pic:blipFill>
                          <a:blip r:embed="rId69"/>
                          <a:stretch>
                            <a:fillRect/>
                          </a:stretch>
                        </pic:blipFill>
                        <pic:spPr>
                          <a:xfrm>
                            <a:off x="0" y="0"/>
                            <a:ext cx="228600" cy="228600"/>
                          </a:xfrm>
                          <a:prstGeom prst="rect">
                            <a:avLst/>
                          </a:prstGeom>
                        </pic:spPr>
                      </pic:pic>
                    </a:graphicData>
                  </a:graphic>
                </wp:inline>
              </w:drawing>
            </w:r>
          </w:p>
        </w:tc>
      </w:tr>
    </w:tbl>
    <w:p w14:paraId="7A3FCB0A" w14:textId="77777777" w:rsidR="00036788" w:rsidRPr="00036788" w:rsidRDefault="00036788" w:rsidP="00036788">
      <w:pPr>
        <w:spacing w:after="0" w:line="276" w:lineRule="auto"/>
        <w:jc w:val="left"/>
        <w:rPr>
          <w:rFonts w:ascii="Arial" w:eastAsia="Times New Roman" w:hAnsi="Arial" w:cs="Times New Roman"/>
          <w:sz w:val="22"/>
          <w:lang w:val="en-US"/>
        </w:rPr>
      </w:pPr>
    </w:p>
    <w:p w14:paraId="7C5D261B" w14:textId="3D119C1C" w:rsidR="00036788" w:rsidRPr="00036788" w:rsidRDefault="00036788" w:rsidP="00036788">
      <w:pPr>
        <w:keepNext/>
        <w:spacing w:after="0" w:line="276" w:lineRule="auto"/>
        <w:jc w:val="left"/>
        <w:rPr>
          <w:rFonts w:ascii="Arial" w:eastAsia="Times New Roman" w:hAnsi="Arial" w:cs="Times New Roman"/>
          <w:sz w:val="22"/>
          <w:lang w:val="en-US"/>
        </w:rPr>
      </w:pPr>
      <w:r w:rsidRPr="00036788">
        <w:rPr>
          <w:rFonts w:ascii="Arial" w:eastAsia="Times New Roman" w:hAnsi="Arial" w:cs="Times New Roman"/>
          <w:sz w:val="22"/>
          <w:lang w:val="en-US"/>
        </w:rPr>
        <w:br/>
        <w:t>The two circles below represent your own concepts of self and nature.</w:t>
      </w:r>
      <w:r w:rsidRPr="00036788">
        <w:rPr>
          <w:rFonts w:ascii="Arial" w:eastAsia="Times New Roman" w:hAnsi="Arial" w:cs="Times New Roman"/>
          <w:sz w:val="22"/>
          <w:lang w:val="en-US"/>
        </w:rPr>
        <w:br/>
        <w:t xml:space="preserve"> </w:t>
      </w:r>
      <w:r w:rsidRPr="00036788">
        <w:rPr>
          <w:rFonts w:ascii="Arial" w:eastAsia="Times New Roman" w:hAnsi="Arial" w:cs="Times New Roman"/>
          <w:i/>
          <w:sz w:val="22"/>
          <w:lang w:val="en-US"/>
        </w:rPr>
        <w:t>(If you don't see the circles, try moving the slider and they should appear)</w:t>
      </w:r>
      <w:r w:rsidRPr="00036788">
        <w:rPr>
          <w:rFonts w:ascii="Arial" w:eastAsia="Times New Roman" w:hAnsi="Arial" w:cs="Times New Roman"/>
          <w:sz w:val="22"/>
          <w:lang w:val="en-US"/>
        </w:rPr>
        <w:t xml:space="preserve">  </w:t>
      </w:r>
      <w:r w:rsidRPr="00036788">
        <w:rPr>
          <w:rFonts w:ascii="Arial" w:eastAsia="Times New Roman" w:hAnsi="Arial" w:cs="Times New Roman"/>
          <w:sz w:val="22"/>
          <w:lang w:val="en-US"/>
        </w:rPr>
        <w:br/>
        <w:t xml:space="preserve">   </w:t>
      </w:r>
      <w:r w:rsidRPr="00036788">
        <w:rPr>
          <w:rFonts w:ascii="Arial" w:eastAsia="Times New Roman" w:hAnsi="Arial" w:cs="Times New Roman"/>
          <w:sz w:val="22"/>
          <w:lang w:val="en-US"/>
        </w:rPr>
        <w:br/>
        <w:t xml:space="preserve">Please use the slider below to describe your relationship with the natural environment.  </w:t>
      </w:r>
      <w:r w:rsidRPr="00036788">
        <w:rPr>
          <w:rFonts w:ascii="Arial" w:eastAsia="Times New Roman" w:hAnsi="Arial" w:cs="Times New Roman"/>
          <w:sz w:val="22"/>
          <w:lang w:val="en-US"/>
        </w:rPr>
        <w:br/>
        <w:t xml:space="preserve">   </w:t>
      </w:r>
      <w:r w:rsidRPr="00036788">
        <w:rPr>
          <w:rFonts w:ascii="Arial" w:eastAsia="Times New Roman" w:hAnsi="Arial" w:cs="Times New Roman"/>
          <w:sz w:val="22"/>
          <w:lang w:val="en-US"/>
        </w:rPr>
        <w:br/>
      </w:r>
      <w:r w:rsidRPr="00036788">
        <w:rPr>
          <w:rFonts w:ascii="Arial" w:eastAsia="Times New Roman" w:hAnsi="Arial" w:cs="Times New Roman"/>
          <w:sz w:val="22"/>
          <w:u w:val="single"/>
          <w:lang w:val="en-US"/>
        </w:rPr>
        <w:t>How interconnected are you with nature?</w:t>
      </w:r>
      <w:r w:rsidRPr="00036788">
        <w:rPr>
          <w:rFonts w:ascii="Arial" w:eastAsia="Times New Roman" w:hAnsi="Arial" w:cs="Times New Roman"/>
          <w:sz w:val="22"/>
          <w:lang w:val="en-US"/>
        </w:rPr>
        <w:t xml:space="preserve"> The more the circles overlap, the more connected you are.  </w:t>
      </w:r>
      <w:r w:rsidRPr="00036788">
        <w:rPr>
          <w:rFonts w:ascii="Arial" w:eastAsia="Times New Roman" w:hAnsi="Arial" w:cs="Times New Roman"/>
          <w:sz w:val="22"/>
          <w:lang w:val="en-US"/>
        </w:rPr>
        <w:br/>
      </w:r>
      <w:r w:rsidRPr="006E7714">
        <w:rPr>
          <w:rFonts w:ascii="Arial" w:eastAsia="Times New Roman" w:hAnsi="Arial" w:cs="Times New Roman"/>
          <w:noProof/>
          <w:sz w:val="22"/>
          <w:lang w:val="en-US"/>
        </w:rPr>
        <w:drawing>
          <wp:inline distT="0" distB="0" distL="0" distR="0" wp14:anchorId="679EA74D" wp14:editId="4C85199A">
            <wp:extent cx="5943600" cy="2867025"/>
            <wp:effectExtent l="0" t="0" r="0" b="0"/>
            <wp:docPr id="120788524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943600" cy="2867025"/>
                    </a:xfrm>
                    <a:prstGeom prst="rect">
                      <a:avLst/>
                    </a:prstGeom>
                    <a:noFill/>
                    <a:ln>
                      <a:noFill/>
                    </a:ln>
                  </pic:spPr>
                </pic:pic>
              </a:graphicData>
            </a:graphic>
          </wp:inline>
        </w:drawing>
      </w:r>
    </w:p>
    <w:tbl>
      <w:tblPr>
        <w:tblStyle w:val="QSliderLabelsTable3"/>
        <w:tblW w:w="9576" w:type="auto"/>
        <w:tblInd w:w="0" w:type="dxa"/>
        <w:tblLook w:val="07E0" w:firstRow="1" w:lastRow="1" w:firstColumn="1" w:lastColumn="1" w:noHBand="1" w:noVBand="1"/>
      </w:tblPr>
      <w:tblGrid>
        <w:gridCol w:w="4788"/>
        <w:gridCol w:w="684"/>
        <w:gridCol w:w="684"/>
        <w:gridCol w:w="684"/>
        <w:gridCol w:w="684"/>
        <w:gridCol w:w="684"/>
        <w:gridCol w:w="684"/>
        <w:gridCol w:w="684"/>
      </w:tblGrid>
      <w:tr w:rsidR="00036788" w:rsidRPr="00036788" w14:paraId="68BE1100" w14:textId="77777777" w:rsidTr="005F7CE9">
        <w:tc>
          <w:tcPr>
            <w:tcW w:w="4788" w:type="dxa"/>
          </w:tcPr>
          <w:p w14:paraId="1C8BD42B" w14:textId="77777777" w:rsidR="00036788" w:rsidRPr="00036788" w:rsidRDefault="00036788" w:rsidP="00036788">
            <w:pPr>
              <w:spacing w:line="240" w:lineRule="auto"/>
              <w:jc w:val="center"/>
              <w:rPr>
                <w:rFonts w:ascii="Arial" w:hAnsi="Arial" w:cs="Times New Roman"/>
                <w:sz w:val="22"/>
                <w:lang w:val="en-US"/>
              </w:rPr>
            </w:pPr>
          </w:p>
        </w:tc>
        <w:tc>
          <w:tcPr>
            <w:tcW w:w="684" w:type="dxa"/>
          </w:tcPr>
          <w:p w14:paraId="3B5740ED" w14:textId="77777777" w:rsidR="00036788" w:rsidRPr="00036788" w:rsidRDefault="00036788" w:rsidP="00036788">
            <w:pPr>
              <w:spacing w:line="240" w:lineRule="auto"/>
              <w:jc w:val="center"/>
              <w:rPr>
                <w:rFonts w:ascii="Arial" w:hAnsi="Arial" w:cs="Times New Roman"/>
                <w:sz w:val="22"/>
                <w:lang w:val="en-US"/>
              </w:rPr>
            </w:pPr>
            <w:r w:rsidRPr="00036788">
              <w:rPr>
                <w:rFonts w:ascii="Arial" w:hAnsi="Arial" w:cs="Times New Roman"/>
                <w:sz w:val="22"/>
                <w:lang w:val="en-US"/>
              </w:rPr>
              <w:t>1</w:t>
            </w:r>
          </w:p>
        </w:tc>
        <w:tc>
          <w:tcPr>
            <w:tcW w:w="684" w:type="dxa"/>
          </w:tcPr>
          <w:p w14:paraId="1D628CA1" w14:textId="77777777" w:rsidR="00036788" w:rsidRPr="00036788" w:rsidRDefault="00036788" w:rsidP="00036788">
            <w:pPr>
              <w:spacing w:line="240" w:lineRule="auto"/>
              <w:jc w:val="center"/>
              <w:rPr>
                <w:rFonts w:ascii="Arial" w:hAnsi="Arial" w:cs="Times New Roman"/>
                <w:sz w:val="22"/>
                <w:lang w:val="en-US"/>
              </w:rPr>
            </w:pPr>
            <w:r w:rsidRPr="00036788">
              <w:rPr>
                <w:rFonts w:ascii="Arial" w:hAnsi="Arial" w:cs="Times New Roman"/>
                <w:sz w:val="22"/>
                <w:lang w:val="en-US"/>
              </w:rPr>
              <w:t>2</w:t>
            </w:r>
          </w:p>
        </w:tc>
        <w:tc>
          <w:tcPr>
            <w:tcW w:w="684" w:type="dxa"/>
          </w:tcPr>
          <w:p w14:paraId="68B9CFBB" w14:textId="77777777" w:rsidR="00036788" w:rsidRPr="00036788" w:rsidRDefault="00036788" w:rsidP="00036788">
            <w:pPr>
              <w:spacing w:line="240" w:lineRule="auto"/>
              <w:jc w:val="center"/>
              <w:rPr>
                <w:rFonts w:ascii="Arial" w:hAnsi="Arial" w:cs="Times New Roman"/>
                <w:sz w:val="22"/>
                <w:lang w:val="en-US"/>
              </w:rPr>
            </w:pPr>
            <w:r w:rsidRPr="00036788">
              <w:rPr>
                <w:rFonts w:ascii="Arial" w:hAnsi="Arial" w:cs="Times New Roman"/>
                <w:sz w:val="22"/>
                <w:lang w:val="en-US"/>
              </w:rPr>
              <w:t>3</w:t>
            </w:r>
          </w:p>
        </w:tc>
        <w:tc>
          <w:tcPr>
            <w:tcW w:w="684" w:type="dxa"/>
          </w:tcPr>
          <w:p w14:paraId="3B633192" w14:textId="77777777" w:rsidR="00036788" w:rsidRPr="00036788" w:rsidRDefault="00036788" w:rsidP="00036788">
            <w:pPr>
              <w:spacing w:line="240" w:lineRule="auto"/>
              <w:jc w:val="center"/>
              <w:rPr>
                <w:rFonts w:ascii="Arial" w:hAnsi="Arial" w:cs="Times New Roman"/>
                <w:sz w:val="22"/>
                <w:lang w:val="en-US"/>
              </w:rPr>
            </w:pPr>
            <w:r w:rsidRPr="00036788">
              <w:rPr>
                <w:rFonts w:ascii="Arial" w:hAnsi="Arial" w:cs="Times New Roman"/>
                <w:sz w:val="22"/>
                <w:lang w:val="en-US"/>
              </w:rPr>
              <w:t>4</w:t>
            </w:r>
          </w:p>
        </w:tc>
        <w:tc>
          <w:tcPr>
            <w:tcW w:w="684" w:type="dxa"/>
          </w:tcPr>
          <w:p w14:paraId="67717272" w14:textId="77777777" w:rsidR="00036788" w:rsidRPr="00036788" w:rsidRDefault="00036788" w:rsidP="00036788">
            <w:pPr>
              <w:spacing w:line="240" w:lineRule="auto"/>
              <w:jc w:val="center"/>
              <w:rPr>
                <w:rFonts w:ascii="Arial" w:hAnsi="Arial" w:cs="Times New Roman"/>
                <w:sz w:val="22"/>
                <w:lang w:val="en-US"/>
              </w:rPr>
            </w:pPr>
            <w:r w:rsidRPr="00036788">
              <w:rPr>
                <w:rFonts w:ascii="Arial" w:hAnsi="Arial" w:cs="Times New Roman"/>
                <w:sz w:val="22"/>
                <w:lang w:val="en-US"/>
              </w:rPr>
              <w:t>5</w:t>
            </w:r>
          </w:p>
        </w:tc>
        <w:tc>
          <w:tcPr>
            <w:tcW w:w="684" w:type="dxa"/>
          </w:tcPr>
          <w:p w14:paraId="06407967" w14:textId="77777777" w:rsidR="00036788" w:rsidRPr="00036788" w:rsidRDefault="00036788" w:rsidP="00036788">
            <w:pPr>
              <w:spacing w:line="240" w:lineRule="auto"/>
              <w:jc w:val="center"/>
              <w:rPr>
                <w:rFonts w:ascii="Arial" w:hAnsi="Arial" w:cs="Times New Roman"/>
                <w:sz w:val="22"/>
                <w:lang w:val="en-US"/>
              </w:rPr>
            </w:pPr>
            <w:r w:rsidRPr="00036788">
              <w:rPr>
                <w:rFonts w:ascii="Arial" w:hAnsi="Arial" w:cs="Times New Roman"/>
                <w:sz w:val="22"/>
                <w:lang w:val="en-US"/>
              </w:rPr>
              <w:t>6</w:t>
            </w:r>
          </w:p>
        </w:tc>
        <w:tc>
          <w:tcPr>
            <w:tcW w:w="684" w:type="dxa"/>
          </w:tcPr>
          <w:p w14:paraId="727E0CCD" w14:textId="77777777" w:rsidR="00036788" w:rsidRPr="00036788" w:rsidRDefault="00036788" w:rsidP="00036788">
            <w:pPr>
              <w:spacing w:line="240" w:lineRule="auto"/>
              <w:jc w:val="center"/>
              <w:rPr>
                <w:rFonts w:ascii="Arial" w:hAnsi="Arial" w:cs="Times New Roman"/>
                <w:sz w:val="22"/>
                <w:lang w:val="en-US"/>
              </w:rPr>
            </w:pPr>
            <w:r w:rsidRPr="00036788">
              <w:rPr>
                <w:rFonts w:ascii="Arial" w:hAnsi="Arial" w:cs="Times New Roman"/>
                <w:sz w:val="22"/>
                <w:lang w:val="en-US"/>
              </w:rPr>
              <w:t>7</w:t>
            </w:r>
          </w:p>
        </w:tc>
      </w:tr>
    </w:tbl>
    <w:p w14:paraId="5E9F2901" w14:textId="77777777" w:rsidR="00036788" w:rsidRPr="00036788" w:rsidRDefault="00036788" w:rsidP="00036788">
      <w:pPr>
        <w:spacing w:after="0" w:line="276" w:lineRule="auto"/>
        <w:jc w:val="left"/>
        <w:rPr>
          <w:rFonts w:ascii="Arial" w:eastAsia="Times New Roman" w:hAnsi="Arial" w:cs="Times New Roman"/>
          <w:sz w:val="22"/>
          <w:lang w:val="en-US"/>
        </w:rPr>
      </w:pPr>
    </w:p>
    <w:tbl>
      <w:tblPr>
        <w:tblStyle w:val="QStandardSliderTable4"/>
        <w:tblW w:w="9576" w:type="auto"/>
        <w:tblLook w:val="07E0" w:firstRow="1" w:lastRow="1" w:firstColumn="1" w:lastColumn="1" w:noHBand="1" w:noVBand="1"/>
      </w:tblPr>
      <w:tblGrid>
        <w:gridCol w:w="4788"/>
        <w:gridCol w:w="4788"/>
      </w:tblGrid>
      <w:tr w:rsidR="00036788" w:rsidRPr="00036788" w14:paraId="03C43244" w14:textId="77777777" w:rsidTr="005F7CE9">
        <w:tc>
          <w:tcPr>
            <w:cnfStyle w:val="001000000000" w:firstRow="0" w:lastRow="0" w:firstColumn="1" w:lastColumn="0" w:oddVBand="0" w:evenVBand="0" w:oddHBand="0" w:evenHBand="0" w:firstRowFirstColumn="0" w:firstRowLastColumn="0" w:lastRowFirstColumn="0" w:lastRowLastColumn="0"/>
            <w:tcW w:w="4788" w:type="dxa"/>
          </w:tcPr>
          <w:p w14:paraId="1AF4FCCF" w14:textId="77777777" w:rsidR="00036788" w:rsidRPr="00036788" w:rsidRDefault="00036788" w:rsidP="00036788">
            <w:pPr>
              <w:keepNext/>
              <w:spacing w:line="240" w:lineRule="auto"/>
              <w:jc w:val="right"/>
              <w:rPr>
                <w:rFonts w:ascii="Arial" w:hAnsi="Arial" w:cs="Times New Roman"/>
                <w:sz w:val="22"/>
                <w:lang w:val="en-US"/>
              </w:rPr>
            </w:pPr>
            <w:r w:rsidRPr="00036788">
              <w:rPr>
                <w:rFonts w:ascii="Arial" w:hAnsi="Arial" w:cs="Times New Roman"/>
                <w:sz w:val="22"/>
                <w:lang w:val="en-US"/>
              </w:rPr>
              <w:t>  ()</w:t>
            </w:r>
          </w:p>
        </w:tc>
        <w:tc>
          <w:tcPr>
            <w:tcW w:w="4788" w:type="dxa"/>
          </w:tcPr>
          <w:p w14:paraId="439344D3" w14:textId="77777777" w:rsidR="00036788" w:rsidRPr="00036788" w:rsidRDefault="00036788" w:rsidP="00036788">
            <w:pPr>
              <w:keepNext/>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r w:rsidRPr="00036788">
              <w:rPr>
                <w:rFonts w:ascii="Arial" w:hAnsi="Arial" w:cs="Times New Roman"/>
                <w:noProof/>
                <w:sz w:val="22"/>
                <w:lang w:val="en-US"/>
              </w:rPr>
              <w:drawing>
                <wp:inline distT="0" distB="0" distL="0" distR="0" wp14:anchorId="09CF0529" wp14:editId="660599C8">
                  <wp:extent cx="1905000" cy="304800"/>
                  <wp:effectExtent l="0" t="0" r="0" b="0"/>
                  <wp:docPr id="1899105398" name="WordSliderHorizont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WordSliderHorizontal.png"/>
                          <pic:cNvPicPr/>
                        </pic:nvPicPr>
                        <pic:blipFill>
                          <a:blip r:embed="rId71"/>
                          <a:stretch>
                            <a:fillRect/>
                          </a:stretch>
                        </pic:blipFill>
                        <pic:spPr>
                          <a:xfrm>
                            <a:off x="0" y="0"/>
                            <a:ext cx="1905000" cy="304800"/>
                          </a:xfrm>
                          <a:prstGeom prst="rect">
                            <a:avLst/>
                          </a:prstGeom>
                        </pic:spPr>
                      </pic:pic>
                    </a:graphicData>
                  </a:graphic>
                </wp:inline>
              </w:drawing>
            </w:r>
          </w:p>
        </w:tc>
      </w:tr>
    </w:tbl>
    <w:p w14:paraId="18C9057D" w14:textId="77777777" w:rsidR="00036788" w:rsidRPr="00036788" w:rsidRDefault="00036788" w:rsidP="00036788">
      <w:pPr>
        <w:spacing w:after="0" w:line="276" w:lineRule="auto"/>
        <w:jc w:val="left"/>
        <w:rPr>
          <w:rFonts w:ascii="Arial" w:eastAsia="Times New Roman" w:hAnsi="Arial" w:cs="Times New Roman"/>
          <w:sz w:val="22"/>
          <w:lang w:val="en-US"/>
        </w:rPr>
      </w:pPr>
    </w:p>
    <w:p w14:paraId="72E45B62" w14:textId="77777777" w:rsidR="00036788" w:rsidRPr="00036788" w:rsidRDefault="00036788" w:rsidP="00036788">
      <w:pPr>
        <w:spacing w:after="0" w:line="276" w:lineRule="auto"/>
        <w:jc w:val="left"/>
        <w:rPr>
          <w:rFonts w:ascii="Arial" w:eastAsia="Times New Roman" w:hAnsi="Arial" w:cs="Times New Roman"/>
          <w:sz w:val="22"/>
          <w:lang w:val="en-US"/>
        </w:rPr>
      </w:pPr>
    </w:p>
    <w:p w14:paraId="3D92A9AD" w14:textId="77777777" w:rsidR="00036788" w:rsidRPr="00036788" w:rsidRDefault="00036788" w:rsidP="00036788">
      <w:pPr>
        <w:spacing w:before="120" w:after="0" w:line="240" w:lineRule="auto"/>
        <w:jc w:val="left"/>
        <w:rPr>
          <w:rFonts w:ascii="Arial" w:eastAsia="Times New Roman" w:hAnsi="Arial" w:cs="Times New Roman"/>
          <w:b/>
          <w:color w:val="CCCCCC"/>
          <w:sz w:val="22"/>
          <w:lang w:val="en-US"/>
        </w:rPr>
      </w:pPr>
      <w:r w:rsidRPr="00036788">
        <w:rPr>
          <w:rFonts w:ascii="Arial" w:eastAsia="Times New Roman" w:hAnsi="Arial" w:cs="Times New Roman"/>
          <w:b/>
          <w:color w:val="CCCCCC"/>
          <w:sz w:val="22"/>
          <w:lang w:val="en-US"/>
        </w:rPr>
        <w:t>End of Block: INS</w:t>
      </w:r>
    </w:p>
    <w:p w14:paraId="3E841B0E" w14:textId="77777777" w:rsidR="00036788" w:rsidRPr="00036788" w:rsidRDefault="00036788" w:rsidP="00036788">
      <w:pPr>
        <w:pBdr>
          <w:bottom w:val="single" w:sz="8" w:space="0" w:color="CCCCCC"/>
        </w:pBdr>
        <w:spacing w:after="0" w:line="120" w:lineRule="auto"/>
        <w:jc w:val="center"/>
        <w:rPr>
          <w:rFonts w:ascii="Arial" w:eastAsia="Times New Roman" w:hAnsi="Arial" w:cs="Times New Roman"/>
          <w:b/>
          <w:color w:val="CCCCCC"/>
          <w:sz w:val="22"/>
          <w:lang w:val="en-US"/>
        </w:rPr>
      </w:pPr>
    </w:p>
    <w:p w14:paraId="6D0EAD51" w14:textId="77777777" w:rsidR="00036788" w:rsidRPr="00036788" w:rsidRDefault="00036788" w:rsidP="00036788">
      <w:pPr>
        <w:spacing w:before="120" w:after="120" w:line="240" w:lineRule="auto"/>
        <w:jc w:val="left"/>
        <w:rPr>
          <w:rFonts w:ascii="Arial" w:eastAsia="Times New Roman" w:hAnsi="Arial" w:cs="Times New Roman"/>
          <w:b/>
          <w:color w:val="CCCCCC"/>
          <w:sz w:val="22"/>
          <w:lang w:val="en-US"/>
        </w:rPr>
      </w:pPr>
      <w:r w:rsidRPr="00036788">
        <w:rPr>
          <w:rFonts w:ascii="Arial" w:eastAsia="Times New Roman" w:hAnsi="Arial" w:cs="Times New Roman"/>
          <w:b/>
          <w:color w:val="CCCCCC"/>
          <w:sz w:val="22"/>
          <w:lang w:val="en-US"/>
        </w:rPr>
        <w:t>Start of Block: PanasX_Experiment_1&amp;3_Base</w:t>
      </w:r>
    </w:p>
    <w:p w14:paraId="671BF655" w14:textId="77777777" w:rsidR="00036788" w:rsidRPr="00036788" w:rsidRDefault="00036788" w:rsidP="00036788">
      <w:pPr>
        <w:spacing w:after="0" w:line="276" w:lineRule="auto"/>
        <w:jc w:val="left"/>
        <w:rPr>
          <w:rFonts w:ascii="Arial" w:eastAsia="Times New Roman" w:hAnsi="Arial" w:cs="Times New Roman"/>
          <w:sz w:val="22"/>
          <w:lang w:val="en-US"/>
        </w:rPr>
      </w:pPr>
    </w:p>
    <w:p w14:paraId="36C60919" w14:textId="77777777" w:rsidR="00036788" w:rsidRPr="00036788" w:rsidRDefault="00036788" w:rsidP="00036788">
      <w:pPr>
        <w:keepNext/>
        <w:spacing w:after="0" w:line="276" w:lineRule="auto"/>
        <w:jc w:val="left"/>
        <w:rPr>
          <w:rFonts w:ascii="Arial" w:eastAsia="Times New Roman" w:hAnsi="Arial" w:cs="Times New Roman"/>
          <w:sz w:val="22"/>
          <w:lang w:val="en-US"/>
        </w:rPr>
      </w:pPr>
      <w:r w:rsidRPr="00036788">
        <w:rPr>
          <w:rFonts w:ascii="Arial" w:eastAsia="Times New Roman" w:hAnsi="Arial" w:cs="Times New Roman"/>
          <w:sz w:val="22"/>
          <w:lang w:val="en-US"/>
        </w:rPr>
        <w:t>At the start of the survey, we are interested to record how you feel.</w:t>
      </w:r>
    </w:p>
    <w:p w14:paraId="6657E556" w14:textId="77777777" w:rsidR="00036788" w:rsidRPr="00036788" w:rsidRDefault="00036788" w:rsidP="00036788">
      <w:pPr>
        <w:spacing w:after="0" w:line="276" w:lineRule="auto"/>
        <w:jc w:val="left"/>
        <w:rPr>
          <w:rFonts w:ascii="Arial" w:eastAsia="Times New Roman" w:hAnsi="Arial" w:cs="Times New Roman"/>
          <w:sz w:val="22"/>
          <w:lang w:val="en-US"/>
        </w:rPr>
      </w:pPr>
    </w:p>
    <w:p w14:paraId="55060B9A" w14:textId="77777777" w:rsidR="00036788" w:rsidRPr="00036788" w:rsidRDefault="00036788" w:rsidP="00036788">
      <w:pPr>
        <w:pBdr>
          <w:top w:val="dashed" w:sz="8" w:space="0" w:color="CCCCCC"/>
        </w:pBdr>
        <w:spacing w:before="120" w:after="120" w:line="120" w:lineRule="auto"/>
        <w:jc w:val="left"/>
        <w:rPr>
          <w:rFonts w:ascii="Arial" w:eastAsia="Times New Roman" w:hAnsi="Arial" w:cs="Times New Roman"/>
          <w:sz w:val="22"/>
          <w:lang w:val="en-US"/>
        </w:rPr>
      </w:pPr>
    </w:p>
    <w:tbl>
      <w:tblPr>
        <w:tblStyle w:val="QQuestionIconTable"/>
        <w:tblW w:w="50" w:type="auto"/>
        <w:tblLook w:val="07E0" w:firstRow="1" w:lastRow="1" w:firstColumn="1" w:lastColumn="1" w:noHBand="1" w:noVBand="1"/>
      </w:tblPr>
      <w:tblGrid>
        <w:gridCol w:w="380"/>
      </w:tblGrid>
      <w:tr w:rsidR="00036788" w:rsidRPr="00036788" w14:paraId="3B4BF549" w14:textId="77777777" w:rsidTr="005F7CE9">
        <w:tc>
          <w:tcPr>
            <w:tcW w:w="50" w:type="dxa"/>
          </w:tcPr>
          <w:p w14:paraId="63F7FA58" w14:textId="77777777" w:rsidR="00036788" w:rsidRPr="00036788" w:rsidRDefault="00036788" w:rsidP="00036788">
            <w:pPr>
              <w:keepNext/>
              <w:spacing w:line="240" w:lineRule="auto"/>
              <w:jc w:val="center"/>
              <w:rPr>
                <w:rFonts w:ascii="Arial" w:eastAsia="Times New Roman" w:hAnsi="Arial" w:cs="Times New Roman"/>
                <w:sz w:val="22"/>
                <w:lang w:val="en-US"/>
              </w:rPr>
            </w:pPr>
            <w:r w:rsidRPr="00036788">
              <w:rPr>
                <w:rFonts w:ascii="Arial" w:eastAsia="Times New Roman" w:hAnsi="Arial" w:cs="Times New Roman"/>
                <w:noProof/>
                <w:sz w:val="22"/>
                <w:lang w:val="en-US"/>
              </w:rPr>
              <w:drawing>
                <wp:inline distT="0" distB="0" distL="0" distR="0" wp14:anchorId="7FE98E14" wp14:editId="3DFCA235">
                  <wp:extent cx="228600" cy="228600"/>
                  <wp:effectExtent l="0" t="0" r="0" b="0"/>
                  <wp:docPr id="756315891" name="WordQuestionRandomiza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WordQuestionRandomization.png"/>
                          <pic:cNvPicPr/>
                        </pic:nvPicPr>
                        <pic:blipFill>
                          <a:blip r:embed="rId68"/>
                          <a:stretch>
                            <a:fillRect/>
                          </a:stretch>
                        </pic:blipFill>
                        <pic:spPr>
                          <a:xfrm>
                            <a:off x="0" y="0"/>
                            <a:ext cx="228600" cy="228600"/>
                          </a:xfrm>
                          <a:prstGeom prst="rect">
                            <a:avLst/>
                          </a:prstGeom>
                        </pic:spPr>
                      </pic:pic>
                    </a:graphicData>
                  </a:graphic>
                </wp:inline>
              </w:drawing>
            </w:r>
          </w:p>
        </w:tc>
      </w:tr>
    </w:tbl>
    <w:p w14:paraId="6C0DB9E6" w14:textId="77777777" w:rsidR="00036788" w:rsidRPr="00036788" w:rsidRDefault="00036788" w:rsidP="00036788">
      <w:pPr>
        <w:spacing w:after="0" w:line="276" w:lineRule="auto"/>
        <w:jc w:val="left"/>
        <w:rPr>
          <w:rFonts w:ascii="Arial" w:eastAsia="Times New Roman" w:hAnsi="Arial" w:cs="Times New Roman"/>
          <w:sz w:val="22"/>
          <w:lang w:val="en-US"/>
        </w:rPr>
      </w:pPr>
    </w:p>
    <w:p w14:paraId="65A1983A" w14:textId="77777777" w:rsidR="00036788" w:rsidRPr="00036788" w:rsidRDefault="00036788" w:rsidP="00036788">
      <w:pPr>
        <w:keepNext/>
        <w:spacing w:after="0" w:line="276" w:lineRule="auto"/>
        <w:jc w:val="left"/>
        <w:rPr>
          <w:rFonts w:ascii="Arial" w:eastAsia="Times New Roman" w:hAnsi="Arial" w:cs="Times New Roman"/>
          <w:sz w:val="22"/>
          <w:lang w:val="en-US"/>
        </w:rPr>
      </w:pPr>
      <w:r w:rsidRPr="00036788">
        <w:rPr>
          <w:rFonts w:ascii="Arial" w:eastAsia="Times New Roman" w:hAnsi="Arial" w:cs="Times New Roman"/>
          <w:sz w:val="22"/>
          <w:lang w:val="en-US"/>
        </w:rPr>
        <w:lastRenderedPageBreak/>
        <w:t>Please rate according to how you feel RIGHT NOW. You should answer this quickly based on your first instincts</w:t>
      </w:r>
    </w:p>
    <w:tbl>
      <w:tblPr>
        <w:tblStyle w:val="QQuestionTable4"/>
        <w:tblW w:w="9576" w:type="auto"/>
        <w:tblLook w:val="07E0" w:firstRow="1" w:lastRow="1" w:firstColumn="1" w:lastColumn="1" w:noHBand="1" w:noVBand="1"/>
      </w:tblPr>
      <w:tblGrid>
        <w:gridCol w:w="1596"/>
        <w:gridCol w:w="1596"/>
        <w:gridCol w:w="1596"/>
        <w:gridCol w:w="1596"/>
        <w:gridCol w:w="1596"/>
        <w:gridCol w:w="1596"/>
      </w:tblGrid>
      <w:tr w:rsidR="00036788" w:rsidRPr="00036788" w14:paraId="2BD0E28C" w14:textId="77777777" w:rsidTr="005F7CE9">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596" w:type="dxa"/>
          </w:tcPr>
          <w:p w14:paraId="0359C3AA" w14:textId="77777777" w:rsidR="00036788" w:rsidRPr="00036788" w:rsidRDefault="00036788" w:rsidP="00036788">
            <w:pPr>
              <w:keepNext/>
              <w:spacing w:line="240" w:lineRule="auto"/>
              <w:jc w:val="center"/>
              <w:rPr>
                <w:rFonts w:ascii="Arial" w:hAnsi="Arial" w:cs="Times New Roman"/>
                <w:sz w:val="22"/>
                <w:lang w:val="en-US"/>
              </w:rPr>
            </w:pPr>
          </w:p>
        </w:tc>
        <w:tc>
          <w:tcPr>
            <w:tcW w:w="1596" w:type="dxa"/>
          </w:tcPr>
          <w:p w14:paraId="25B3F506" w14:textId="77777777" w:rsidR="00036788" w:rsidRPr="00036788" w:rsidRDefault="00036788" w:rsidP="00036788">
            <w:pPr>
              <w:spacing w:line="240" w:lineRule="auto"/>
              <w:jc w:val="center"/>
              <w:cnfStyle w:val="100000000000" w:firstRow="1" w:lastRow="0" w:firstColumn="0" w:lastColumn="0" w:oddVBand="0" w:evenVBand="0" w:oddHBand="0" w:evenHBand="0" w:firstRowFirstColumn="0" w:firstRowLastColumn="0" w:lastRowFirstColumn="0" w:lastRowLastColumn="0"/>
              <w:rPr>
                <w:rFonts w:ascii="Arial" w:hAnsi="Arial" w:cs="Times New Roman"/>
                <w:sz w:val="22"/>
                <w:lang w:val="en-US"/>
              </w:rPr>
            </w:pPr>
            <w:r w:rsidRPr="00036788">
              <w:rPr>
                <w:rFonts w:ascii="Arial" w:hAnsi="Arial" w:cs="Times New Roman"/>
                <w:sz w:val="22"/>
                <w:lang w:val="en-US"/>
              </w:rPr>
              <w:t>Not at all (1)</w:t>
            </w:r>
          </w:p>
        </w:tc>
        <w:tc>
          <w:tcPr>
            <w:tcW w:w="1596" w:type="dxa"/>
          </w:tcPr>
          <w:p w14:paraId="03CBBDBA" w14:textId="77777777" w:rsidR="00036788" w:rsidRPr="00036788" w:rsidRDefault="00036788" w:rsidP="00036788">
            <w:pPr>
              <w:spacing w:line="240" w:lineRule="auto"/>
              <w:jc w:val="center"/>
              <w:cnfStyle w:val="100000000000" w:firstRow="1" w:lastRow="0" w:firstColumn="0" w:lastColumn="0" w:oddVBand="0" w:evenVBand="0" w:oddHBand="0" w:evenHBand="0" w:firstRowFirstColumn="0" w:firstRowLastColumn="0" w:lastRowFirstColumn="0" w:lastRowLastColumn="0"/>
              <w:rPr>
                <w:rFonts w:ascii="Arial" w:hAnsi="Arial" w:cs="Times New Roman"/>
                <w:sz w:val="22"/>
                <w:lang w:val="en-US"/>
              </w:rPr>
            </w:pPr>
            <w:r w:rsidRPr="00036788">
              <w:rPr>
                <w:rFonts w:ascii="Arial" w:hAnsi="Arial" w:cs="Times New Roman"/>
                <w:sz w:val="22"/>
                <w:lang w:val="en-US"/>
              </w:rPr>
              <w:t>A little (2)</w:t>
            </w:r>
          </w:p>
        </w:tc>
        <w:tc>
          <w:tcPr>
            <w:tcW w:w="1596" w:type="dxa"/>
          </w:tcPr>
          <w:p w14:paraId="3A3A342E" w14:textId="77777777" w:rsidR="00036788" w:rsidRPr="00036788" w:rsidRDefault="00036788" w:rsidP="00036788">
            <w:pPr>
              <w:spacing w:line="240" w:lineRule="auto"/>
              <w:jc w:val="center"/>
              <w:cnfStyle w:val="100000000000" w:firstRow="1" w:lastRow="0" w:firstColumn="0" w:lastColumn="0" w:oddVBand="0" w:evenVBand="0" w:oddHBand="0" w:evenHBand="0" w:firstRowFirstColumn="0" w:firstRowLastColumn="0" w:lastRowFirstColumn="0" w:lastRowLastColumn="0"/>
              <w:rPr>
                <w:rFonts w:ascii="Arial" w:hAnsi="Arial" w:cs="Times New Roman"/>
                <w:sz w:val="22"/>
                <w:lang w:val="en-US"/>
              </w:rPr>
            </w:pPr>
            <w:r w:rsidRPr="00036788">
              <w:rPr>
                <w:rFonts w:ascii="Arial" w:hAnsi="Arial" w:cs="Times New Roman"/>
                <w:sz w:val="22"/>
                <w:lang w:val="en-US"/>
              </w:rPr>
              <w:t>Moderately (3)</w:t>
            </w:r>
          </w:p>
        </w:tc>
        <w:tc>
          <w:tcPr>
            <w:tcW w:w="1596" w:type="dxa"/>
          </w:tcPr>
          <w:p w14:paraId="65F0979C" w14:textId="77777777" w:rsidR="00036788" w:rsidRPr="00036788" w:rsidRDefault="00036788" w:rsidP="00036788">
            <w:pPr>
              <w:spacing w:line="240" w:lineRule="auto"/>
              <w:jc w:val="center"/>
              <w:cnfStyle w:val="100000000000" w:firstRow="1" w:lastRow="0" w:firstColumn="0" w:lastColumn="0" w:oddVBand="0" w:evenVBand="0" w:oddHBand="0" w:evenHBand="0" w:firstRowFirstColumn="0" w:firstRowLastColumn="0" w:lastRowFirstColumn="0" w:lastRowLastColumn="0"/>
              <w:rPr>
                <w:rFonts w:ascii="Arial" w:hAnsi="Arial" w:cs="Times New Roman"/>
                <w:sz w:val="22"/>
                <w:lang w:val="en-US"/>
              </w:rPr>
            </w:pPr>
            <w:r w:rsidRPr="00036788">
              <w:rPr>
                <w:rFonts w:ascii="Arial" w:hAnsi="Arial" w:cs="Times New Roman"/>
                <w:sz w:val="22"/>
                <w:lang w:val="en-US"/>
              </w:rPr>
              <w:t>Quite a bit (4)</w:t>
            </w:r>
          </w:p>
        </w:tc>
        <w:tc>
          <w:tcPr>
            <w:tcW w:w="1596" w:type="dxa"/>
          </w:tcPr>
          <w:p w14:paraId="59F51FC6" w14:textId="77777777" w:rsidR="00036788" w:rsidRPr="00036788" w:rsidRDefault="00036788" w:rsidP="00036788">
            <w:pPr>
              <w:spacing w:line="240" w:lineRule="auto"/>
              <w:jc w:val="center"/>
              <w:cnfStyle w:val="100000000000" w:firstRow="1" w:lastRow="0" w:firstColumn="0" w:lastColumn="0" w:oddVBand="0" w:evenVBand="0" w:oddHBand="0" w:evenHBand="0" w:firstRowFirstColumn="0" w:firstRowLastColumn="0" w:lastRowFirstColumn="0" w:lastRowLastColumn="0"/>
              <w:rPr>
                <w:rFonts w:ascii="Arial" w:hAnsi="Arial" w:cs="Times New Roman"/>
                <w:sz w:val="22"/>
                <w:lang w:val="en-US"/>
              </w:rPr>
            </w:pPr>
            <w:r w:rsidRPr="00036788">
              <w:rPr>
                <w:rFonts w:ascii="Arial" w:hAnsi="Arial" w:cs="Times New Roman"/>
                <w:sz w:val="22"/>
                <w:lang w:val="en-US"/>
              </w:rPr>
              <w:t>Extremely (5)</w:t>
            </w:r>
          </w:p>
        </w:tc>
      </w:tr>
      <w:tr w:rsidR="00036788" w:rsidRPr="00036788" w14:paraId="1ADC3802" w14:textId="77777777" w:rsidTr="005F7CE9">
        <w:trPr>
          <w:trHeight w:val="20"/>
        </w:trPr>
        <w:tc>
          <w:tcPr>
            <w:cnfStyle w:val="001000000000" w:firstRow="0" w:lastRow="0" w:firstColumn="1" w:lastColumn="0" w:oddVBand="0" w:evenVBand="0" w:oddHBand="0" w:evenHBand="0" w:firstRowFirstColumn="0" w:firstRowLastColumn="0" w:lastRowFirstColumn="0" w:lastRowLastColumn="0"/>
            <w:tcW w:w="1596" w:type="dxa"/>
          </w:tcPr>
          <w:p w14:paraId="078FD2C1" w14:textId="77777777" w:rsidR="00036788" w:rsidRPr="00036788" w:rsidRDefault="00036788" w:rsidP="00036788">
            <w:pPr>
              <w:keepNext/>
              <w:spacing w:line="240" w:lineRule="auto"/>
              <w:jc w:val="center"/>
              <w:rPr>
                <w:rFonts w:ascii="Arial" w:hAnsi="Arial" w:cs="Times New Roman"/>
                <w:sz w:val="22"/>
                <w:lang w:val="en-US"/>
              </w:rPr>
            </w:pPr>
            <w:r w:rsidRPr="00036788">
              <w:rPr>
                <w:rFonts w:ascii="Arial" w:hAnsi="Arial" w:cs="Times New Roman"/>
                <w:sz w:val="22"/>
                <w:lang w:val="en-US"/>
              </w:rPr>
              <w:t xml:space="preserve">Happy (1) </w:t>
            </w:r>
          </w:p>
        </w:tc>
        <w:tc>
          <w:tcPr>
            <w:tcW w:w="1596" w:type="dxa"/>
          </w:tcPr>
          <w:p w14:paraId="3394EAF0"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7305D532"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41D0E177"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05666747"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4494C87D"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r>
      <w:tr w:rsidR="00036788" w:rsidRPr="00036788" w14:paraId="6057E72F" w14:textId="77777777" w:rsidTr="005F7CE9">
        <w:trPr>
          <w:trHeight w:val="20"/>
        </w:trPr>
        <w:tc>
          <w:tcPr>
            <w:cnfStyle w:val="001000000000" w:firstRow="0" w:lastRow="0" w:firstColumn="1" w:lastColumn="0" w:oddVBand="0" w:evenVBand="0" w:oddHBand="0" w:evenHBand="0" w:firstRowFirstColumn="0" w:firstRowLastColumn="0" w:lastRowFirstColumn="0" w:lastRowLastColumn="0"/>
            <w:tcW w:w="1596" w:type="dxa"/>
          </w:tcPr>
          <w:p w14:paraId="0D5D5AFA" w14:textId="77777777" w:rsidR="00036788" w:rsidRPr="00036788" w:rsidRDefault="00036788" w:rsidP="00036788">
            <w:pPr>
              <w:keepNext/>
              <w:spacing w:line="240" w:lineRule="auto"/>
              <w:jc w:val="center"/>
              <w:rPr>
                <w:rFonts w:ascii="Arial" w:hAnsi="Arial" w:cs="Times New Roman"/>
                <w:sz w:val="22"/>
                <w:lang w:val="en-US"/>
              </w:rPr>
            </w:pPr>
            <w:r w:rsidRPr="00036788">
              <w:rPr>
                <w:rFonts w:ascii="Arial" w:hAnsi="Arial" w:cs="Times New Roman"/>
                <w:sz w:val="22"/>
                <w:lang w:val="en-US"/>
              </w:rPr>
              <w:t xml:space="preserve">Joyful (2) </w:t>
            </w:r>
          </w:p>
        </w:tc>
        <w:tc>
          <w:tcPr>
            <w:tcW w:w="1596" w:type="dxa"/>
          </w:tcPr>
          <w:p w14:paraId="5177EFC7"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01367FA9"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22CC2C1F"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0DC55DCF"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67AC842F"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r>
      <w:tr w:rsidR="00036788" w:rsidRPr="00036788" w14:paraId="29B4FC60" w14:textId="77777777" w:rsidTr="005F7CE9">
        <w:trPr>
          <w:trHeight w:val="20"/>
        </w:trPr>
        <w:tc>
          <w:tcPr>
            <w:cnfStyle w:val="001000000000" w:firstRow="0" w:lastRow="0" w:firstColumn="1" w:lastColumn="0" w:oddVBand="0" w:evenVBand="0" w:oddHBand="0" w:evenHBand="0" w:firstRowFirstColumn="0" w:firstRowLastColumn="0" w:lastRowFirstColumn="0" w:lastRowLastColumn="0"/>
            <w:tcW w:w="1596" w:type="dxa"/>
          </w:tcPr>
          <w:p w14:paraId="274CF202" w14:textId="77777777" w:rsidR="00036788" w:rsidRPr="00036788" w:rsidRDefault="00036788" w:rsidP="00036788">
            <w:pPr>
              <w:keepNext/>
              <w:spacing w:line="240" w:lineRule="auto"/>
              <w:jc w:val="center"/>
              <w:rPr>
                <w:rFonts w:ascii="Arial" w:hAnsi="Arial" w:cs="Times New Roman"/>
                <w:sz w:val="22"/>
                <w:lang w:val="en-US"/>
              </w:rPr>
            </w:pPr>
            <w:r w:rsidRPr="00036788">
              <w:rPr>
                <w:rFonts w:ascii="Arial" w:hAnsi="Arial" w:cs="Times New Roman"/>
                <w:sz w:val="22"/>
                <w:lang w:val="en-US"/>
              </w:rPr>
              <w:t xml:space="preserve">Delighted (3) </w:t>
            </w:r>
          </w:p>
        </w:tc>
        <w:tc>
          <w:tcPr>
            <w:tcW w:w="1596" w:type="dxa"/>
          </w:tcPr>
          <w:p w14:paraId="4DECFAD6"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175FC1DB"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4F9CA76E"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47CFFBA1"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10F53312"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r>
      <w:tr w:rsidR="00036788" w:rsidRPr="00036788" w14:paraId="5C79541E" w14:textId="77777777" w:rsidTr="005F7CE9">
        <w:trPr>
          <w:trHeight w:val="20"/>
        </w:trPr>
        <w:tc>
          <w:tcPr>
            <w:cnfStyle w:val="001000000000" w:firstRow="0" w:lastRow="0" w:firstColumn="1" w:lastColumn="0" w:oddVBand="0" w:evenVBand="0" w:oddHBand="0" w:evenHBand="0" w:firstRowFirstColumn="0" w:firstRowLastColumn="0" w:lastRowFirstColumn="0" w:lastRowLastColumn="0"/>
            <w:tcW w:w="1596" w:type="dxa"/>
          </w:tcPr>
          <w:p w14:paraId="1F42C99E" w14:textId="77777777" w:rsidR="00036788" w:rsidRPr="00036788" w:rsidRDefault="00036788" w:rsidP="00036788">
            <w:pPr>
              <w:keepNext/>
              <w:spacing w:line="240" w:lineRule="auto"/>
              <w:jc w:val="center"/>
              <w:rPr>
                <w:rFonts w:ascii="Arial" w:hAnsi="Arial" w:cs="Times New Roman"/>
                <w:sz w:val="22"/>
                <w:lang w:val="en-US"/>
              </w:rPr>
            </w:pPr>
            <w:r w:rsidRPr="00036788">
              <w:rPr>
                <w:rFonts w:ascii="Arial" w:hAnsi="Arial" w:cs="Times New Roman"/>
                <w:sz w:val="22"/>
                <w:lang w:val="en-US"/>
              </w:rPr>
              <w:t xml:space="preserve">Cheerful (4) </w:t>
            </w:r>
          </w:p>
        </w:tc>
        <w:tc>
          <w:tcPr>
            <w:tcW w:w="1596" w:type="dxa"/>
          </w:tcPr>
          <w:p w14:paraId="603D6499"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2E49363F"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49B2E19B"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6E85E587"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21C34D4D"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r>
      <w:tr w:rsidR="00036788" w:rsidRPr="00036788" w14:paraId="18745F22" w14:textId="77777777" w:rsidTr="005F7CE9">
        <w:trPr>
          <w:trHeight w:val="20"/>
        </w:trPr>
        <w:tc>
          <w:tcPr>
            <w:cnfStyle w:val="001000000000" w:firstRow="0" w:lastRow="0" w:firstColumn="1" w:lastColumn="0" w:oddVBand="0" w:evenVBand="0" w:oddHBand="0" w:evenHBand="0" w:firstRowFirstColumn="0" w:firstRowLastColumn="0" w:lastRowFirstColumn="0" w:lastRowLastColumn="0"/>
            <w:tcW w:w="1596" w:type="dxa"/>
          </w:tcPr>
          <w:p w14:paraId="359CF83D" w14:textId="77777777" w:rsidR="00036788" w:rsidRPr="00036788" w:rsidRDefault="00036788" w:rsidP="00036788">
            <w:pPr>
              <w:keepNext/>
              <w:spacing w:line="240" w:lineRule="auto"/>
              <w:jc w:val="center"/>
              <w:rPr>
                <w:rFonts w:ascii="Arial" w:hAnsi="Arial" w:cs="Times New Roman"/>
                <w:sz w:val="22"/>
                <w:lang w:val="en-US"/>
              </w:rPr>
            </w:pPr>
            <w:r w:rsidRPr="00036788">
              <w:rPr>
                <w:rFonts w:ascii="Arial" w:hAnsi="Arial" w:cs="Times New Roman"/>
                <w:sz w:val="22"/>
                <w:lang w:val="en-US"/>
              </w:rPr>
              <w:t xml:space="preserve">Excited (5) </w:t>
            </w:r>
          </w:p>
        </w:tc>
        <w:tc>
          <w:tcPr>
            <w:tcW w:w="1596" w:type="dxa"/>
          </w:tcPr>
          <w:p w14:paraId="61EC00DE"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35EA3425"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74DF2DB4"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30E9506C"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01BF06CC"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r>
      <w:tr w:rsidR="00036788" w:rsidRPr="00036788" w14:paraId="6313C70E" w14:textId="77777777" w:rsidTr="005F7CE9">
        <w:trPr>
          <w:trHeight w:val="20"/>
        </w:trPr>
        <w:tc>
          <w:tcPr>
            <w:cnfStyle w:val="001000000000" w:firstRow="0" w:lastRow="0" w:firstColumn="1" w:lastColumn="0" w:oddVBand="0" w:evenVBand="0" w:oddHBand="0" w:evenHBand="0" w:firstRowFirstColumn="0" w:firstRowLastColumn="0" w:lastRowFirstColumn="0" w:lastRowLastColumn="0"/>
            <w:tcW w:w="1596" w:type="dxa"/>
          </w:tcPr>
          <w:p w14:paraId="43725679" w14:textId="77777777" w:rsidR="00036788" w:rsidRPr="00036788" w:rsidRDefault="00036788" w:rsidP="00036788">
            <w:pPr>
              <w:keepNext/>
              <w:spacing w:line="240" w:lineRule="auto"/>
              <w:jc w:val="center"/>
              <w:rPr>
                <w:rFonts w:ascii="Arial" w:hAnsi="Arial" w:cs="Times New Roman"/>
                <w:sz w:val="22"/>
                <w:lang w:val="en-US"/>
              </w:rPr>
            </w:pPr>
            <w:r w:rsidRPr="00036788">
              <w:rPr>
                <w:rFonts w:ascii="Arial" w:hAnsi="Arial" w:cs="Times New Roman"/>
                <w:sz w:val="22"/>
                <w:lang w:val="en-US"/>
              </w:rPr>
              <w:t xml:space="preserve">Enthusiastic (6) </w:t>
            </w:r>
          </w:p>
        </w:tc>
        <w:tc>
          <w:tcPr>
            <w:tcW w:w="1596" w:type="dxa"/>
          </w:tcPr>
          <w:p w14:paraId="146C3681"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16739E79"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6C9356DB"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6B77F3A9"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73CB8E02"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r>
      <w:tr w:rsidR="00036788" w:rsidRPr="00036788" w14:paraId="1AE6B5B1" w14:textId="77777777" w:rsidTr="005F7CE9">
        <w:trPr>
          <w:trHeight w:val="20"/>
        </w:trPr>
        <w:tc>
          <w:tcPr>
            <w:cnfStyle w:val="001000000000" w:firstRow="0" w:lastRow="0" w:firstColumn="1" w:lastColumn="0" w:oddVBand="0" w:evenVBand="0" w:oddHBand="0" w:evenHBand="0" w:firstRowFirstColumn="0" w:firstRowLastColumn="0" w:lastRowFirstColumn="0" w:lastRowLastColumn="0"/>
            <w:tcW w:w="1596" w:type="dxa"/>
          </w:tcPr>
          <w:p w14:paraId="08C84652" w14:textId="77777777" w:rsidR="00036788" w:rsidRPr="00036788" w:rsidRDefault="00036788" w:rsidP="00036788">
            <w:pPr>
              <w:keepNext/>
              <w:spacing w:line="240" w:lineRule="auto"/>
              <w:jc w:val="center"/>
              <w:rPr>
                <w:rFonts w:ascii="Arial" w:hAnsi="Arial" w:cs="Times New Roman"/>
                <w:sz w:val="22"/>
                <w:lang w:val="en-US"/>
              </w:rPr>
            </w:pPr>
            <w:r w:rsidRPr="00036788">
              <w:rPr>
                <w:rFonts w:ascii="Arial" w:hAnsi="Arial" w:cs="Times New Roman"/>
                <w:sz w:val="22"/>
                <w:lang w:val="en-US"/>
              </w:rPr>
              <w:t xml:space="preserve">Lively (7) </w:t>
            </w:r>
          </w:p>
        </w:tc>
        <w:tc>
          <w:tcPr>
            <w:tcW w:w="1596" w:type="dxa"/>
          </w:tcPr>
          <w:p w14:paraId="063E704A"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246678B6"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0A31AFF1"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2F377184"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7D0A9AEF"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r>
      <w:tr w:rsidR="00036788" w:rsidRPr="00036788" w14:paraId="31BBD9D3" w14:textId="77777777" w:rsidTr="005F7CE9">
        <w:trPr>
          <w:trHeight w:val="20"/>
        </w:trPr>
        <w:tc>
          <w:tcPr>
            <w:cnfStyle w:val="001000000000" w:firstRow="0" w:lastRow="0" w:firstColumn="1" w:lastColumn="0" w:oddVBand="0" w:evenVBand="0" w:oddHBand="0" w:evenHBand="0" w:firstRowFirstColumn="0" w:firstRowLastColumn="0" w:lastRowFirstColumn="0" w:lastRowLastColumn="0"/>
            <w:tcW w:w="1596" w:type="dxa"/>
          </w:tcPr>
          <w:p w14:paraId="1FD50C50" w14:textId="77777777" w:rsidR="00036788" w:rsidRPr="00036788" w:rsidRDefault="00036788" w:rsidP="00036788">
            <w:pPr>
              <w:keepNext/>
              <w:spacing w:line="240" w:lineRule="auto"/>
              <w:jc w:val="center"/>
              <w:rPr>
                <w:rFonts w:ascii="Arial" w:hAnsi="Arial" w:cs="Times New Roman"/>
                <w:sz w:val="22"/>
                <w:lang w:val="en-US"/>
              </w:rPr>
            </w:pPr>
            <w:r w:rsidRPr="00036788">
              <w:rPr>
                <w:rFonts w:ascii="Arial" w:hAnsi="Arial" w:cs="Times New Roman"/>
                <w:sz w:val="22"/>
                <w:lang w:val="en-US"/>
              </w:rPr>
              <w:t xml:space="preserve">Energetic (8) </w:t>
            </w:r>
          </w:p>
        </w:tc>
        <w:tc>
          <w:tcPr>
            <w:tcW w:w="1596" w:type="dxa"/>
          </w:tcPr>
          <w:p w14:paraId="4B4617B4"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5B082889"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6307E8EF"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417FF882"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656D6B57"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r>
      <w:tr w:rsidR="00036788" w:rsidRPr="00036788" w14:paraId="55730EC4" w14:textId="77777777" w:rsidTr="005F7CE9">
        <w:trPr>
          <w:trHeight w:val="20"/>
        </w:trPr>
        <w:tc>
          <w:tcPr>
            <w:cnfStyle w:val="001000000000" w:firstRow="0" w:lastRow="0" w:firstColumn="1" w:lastColumn="0" w:oddVBand="0" w:evenVBand="0" w:oddHBand="0" w:evenHBand="0" w:firstRowFirstColumn="0" w:firstRowLastColumn="0" w:lastRowFirstColumn="0" w:lastRowLastColumn="0"/>
            <w:tcW w:w="1596" w:type="dxa"/>
          </w:tcPr>
          <w:p w14:paraId="0EA038BD" w14:textId="77777777" w:rsidR="00036788" w:rsidRPr="00036788" w:rsidRDefault="00036788" w:rsidP="00036788">
            <w:pPr>
              <w:keepNext/>
              <w:spacing w:line="240" w:lineRule="auto"/>
              <w:jc w:val="center"/>
              <w:rPr>
                <w:rFonts w:ascii="Arial" w:hAnsi="Arial" w:cs="Times New Roman"/>
                <w:sz w:val="22"/>
                <w:lang w:val="en-US"/>
              </w:rPr>
            </w:pPr>
            <w:r w:rsidRPr="00036788">
              <w:rPr>
                <w:rFonts w:ascii="Arial" w:hAnsi="Arial" w:cs="Times New Roman"/>
                <w:sz w:val="22"/>
                <w:lang w:val="en-US"/>
              </w:rPr>
              <w:t xml:space="preserve">Calm (9) </w:t>
            </w:r>
          </w:p>
        </w:tc>
        <w:tc>
          <w:tcPr>
            <w:tcW w:w="1596" w:type="dxa"/>
          </w:tcPr>
          <w:p w14:paraId="33AD7045"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1FB8D718"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112066E6"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23183B5B"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73A9D591"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r>
      <w:tr w:rsidR="00036788" w:rsidRPr="00036788" w14:paraId="0BC4B053" w14:textId="77777777" w:rsidTr="005F7CE9">
        <w:trPr>
          <w:trHeight w:val="20"/>
        </w:trPr>
        <w:tc>
          <w:tcPr>
            <w:cnfStyle w:val="001000000000" w:firstRow="0" w:lastRow="0" w:firstColumn="1" w:lastColumn="0" w:oddVBand="0" w:evenVBand="0" w:oddHBand="0" w:evenHBand="0" w:firstRowFirstColumn="0" w:firstRowLastColumn="0" w:lastRowFirstColumn="0" w:lastRowLastColumn="0"/>
            <w:tcW w:w="1596" w:type="dxa"/>
          </w:tcPr>
          <w:p w14:paraId="3A0A4F0B" w14:textId="77777777" w:rsidR="00036788" w:rsidRPr="00036788" w:rsidRDefault="00036788" w:rsidP="00036788">
            <w:pPr>
              <w:keepNext/>
              <w:spacing w:line="240" w:lineRule="auto"/>
              <w:jc w:val="center"/>
              <w:rPr>
                <w:rFonts w:ascii="Arial" w:hAnsi="Arial" w:cs="Times New Roman"/>
                <w:sz w:val="22"/>
                <w:lang w:val="en-US"/>
              </w:rPr>
            </w:pPr>
            <w:r w:rsidRPr="00036788">
              <w:rPr>
                <w:rFonts w:ascii="Arial" w:hAnsi="Arial" w:cs="Times New Roman"/>
                <w:sz w:val="22"/>
                <w:lang w:val="en-US"/>
              </w:rPr>
              <w:t xml:space="preserve">Relaxed (10) </w:t>
            </w:r>
          </w:p>
        </w:tc>
        <w:tc>
          <w:tcPr>
            <w:tcW w:w="1596" w:type="dxa"/>
          </w:tcPr>
          <w:p w14:paraId="38872AAB"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347CBB83"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30325ED1"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176C43AE"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2F6D3631"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r>
      <w:tr w:rsidR="00036788" w:rsidRPr="00036788" w14:paraId="1A291869" w14:textId="77777777" w:rsidTr="005F7CE9">
        <w:trPr>
          <w:trHeight w:val="20"/>
        </w:trPr>
        <w:tc>
          <w:tcPr>
            <w:cnfStyle w:val="001000000000" w:firstRow="0" w:lastRow="0" w:firstColumn="1" w:lastColumn="0" w:oddVBand="0" w:evenVBand="0" w:oddHBand="0" w:evenHBand="0" w:firstRowFirstColumn="0" w:firstRowLastColumn="0" w:lastRowFirstColumn="0" w:lastRowLastColumn="0"/>
            <w:tcW w:w="1596" w:type="dxa"/>
          </w:tcPr>
          <w:p w14:paraId="13AD0E50" w14:textId="77777777" w:rsidR="00036788" w:rsidRPr="00036788" w:rsidRDefault="00036788" w:rsidP="00036788">
            <w:pPr>
              <w:keepNext/>
              <w:spacing w:line="240" w:lineRule="auto"/>
              <w:jc w:val="center"/>
              <w:rPr>
                <w:rFonts w:ascii="Arial" w:hAnsi="Arial" w:cs="Times New Roman"/>
                <w:sz w:val="22"/>
                <w:lang w:val="en-US"/>
              </w:rPr>
            </w:pPr>
            <w:r w:rsidRPr="00036788">
              <w:rPr>
                <w:rFonts w:ascii="Arial" w:hAnsi="Arial" w:cs="Times New Roman"/>
                <w:sz w:val="22"/>
                <w:lang w:val="en-US"/>
              </w:rPr>
              <w:t xml:space="preserve">At ease (11) </w:t>
            </w:r>
          </w:p>
        </w:tc>
        <w:tc>
          <w:tcPr>
            <w:tcW w:w="1596" w:type="dxa"/>
          </w:tcPr>
          <w:p w14:paraId="710AC257"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44CE750C"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3F6D2780"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599120AE"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2F9FA27B"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r>
      <w:tr w:rsidR="00036788" w:rsidRPr="00036788" w14:paraId="4645E5DF" w14:textId="77777777" w:rsidTr="005F7CE9">
        <w:trPr>
          <w:trHeight w:val="20"/>
        </w:trPr>
        <w:tc>
          <w:tcPr>
            <w:cnfStyle w:val="001000000000" w:firstRow="0" w:lastRow="0" w:firstColumn="1" w:lastColumn="0" w:oddVBand="0" w:evenVBand="0" w:oddHBand="0" w:evenHBand="0" w:firstRowFirstColumn="0" w:firstRowLastColumn="0" w:lastRowFirstColumn="0" w:lastRowLastColumn="0"/>
            <w:tcW w:w="1596" w:type="dxa"/>
          </w:tcPr>
          <w:p w14:paraId="359A31D0" w14:textId="77777777" w:rsidR="00036788" w:rsidRPr="00036788" w:rsidRDefault="00036788" w:rsidP="00036788">
            <w:pPr>
              <w:keepNext/>
              <w:spacing w:line="240" w:lineRule="auto"/>
              <w:jc w:val="center"/>
              <w:rPr>
                <w:rFonts w:ascii="Arial" w:hAnsi="Arial" w:cs="Times New Roman"/>
                <w:sz w:val="22"/>
                <w:lang w:val="en-US"/>
              </w:rPr>
            </w:pPr>
            <w:r w:rsidRPr="00036788">
              <w:rPr>
                <w:rFonts w:ascii="Arial" w:hAnsi="Arial" w:cs="Times New Roman"/>
                <w:sz w:val="22"/>
                <w:lang w:val="en-US"/>
              </w:rPr>
              <w:t xml:space="preserve">Afraid (12) </w:t>
            </w:r>
          </w:p>
        </w:tc>
        <w:tc>
          <w:tcPr>
            <w:tcW w:w="1596" w:type="dxa"/>
          </w:tcPr>
          <w:p w14:paraId="7775BED8"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7B274CD7"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2DBBD55C"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19F4EAA3"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63DA3C3D"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r>
      <w:tr w:rsidR="00036788" w:rsidRPr="00036788" w14:paraId="319D44FF" w14:textId="77777777" w:rsidTr="005F7CE9">
        <w:trPr>
          <w:trHeight w:val="20"/>
        </w:trPr>
        <w:tc>
          <w:tcPr>
            <w:cnfStyle w:val="001000000000" w:firstRow="0" w:lastRow="0" w:firstColumn="1" w:lastColumn="0" w:oddVBand="0" w:evenVBand="0" w:oddHBand="0" w:evenHBand="0" w:firstRowFirstColumn="0" w:firstRowLastColumn="0" w:lastRowFirstColumn="0" w:lastRowLastColumn="0"/>
            <w:tcW w:w="1596" w:type="dxa"/>
          </w:tcPr>
          <w:p w14:paraId="02908391" w14:textId="77777777" w:rsidR="00036788" w:rsidRPr="00036788" w:rsidRDefault="00036788" w:rsidP="00036788">
            <w:pPr>
              <w:keepNext/>
              <w:spacing w:line="240" w:lineRule="auto"/>
              <w:jc w:val="center"/>
              <w:rPr>
                <w:rFonts w:ascii="Arial" w:hAnsi="Arial" w:cs="Times New Roman"/>
                <w:sz w:val="22"/>
                <w:lang w:val="en-US"/>
              </w:rPr>
            </w:pPr>
            <w:r w:rsidRPr="00036788">
              <w:rPr>
                <w:rFonts w:ascii="Arial" w:hAnsi="Arial" w:cs="Times New Roman"/>
                <w:sz w:val="22"/>
                <w:lang w:val="en-US"/>
              </w:rPr>
              <w:t xml:space="preserve">Upset (13) </w:t>
            </w:r>
          </w:p>
        </w:tc>
        <w:tc>
          <w:tcPr>
            <w:tcW w:w="1596" w:type="dxa"/>
          </w:tcPr>
          <w:p w14:paraId="7D140632"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043EB909"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754D450A"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305E885F"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35A2622E"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r>
      <w:tr w:rsidR="00036788" w:rsidRPr="00036788" w14:paraId="2B3D7AD3" w14:textId="77777777" w:rsidTr="005F7CE9">
        <w:trPr>
          <w:trHeight w:val="20"/>
        </w:trPr>
        <w:tc>
          <w:tcPr>
            <w:cnfStyle w:val="001000000000" w:firstRow="0" w:lastRow="0" w:firstColumn="1" w:lastColumn="0" w:oddVBand="0" w:evenVBand="0" w:oddHBand="0" w:evenHBand="0" w:firstRowFirstColumn="0" w:firstRowLastColumn="0" w:lastRowFirstColumn="0" w:lastRowLastColumn="0"/>
            <w:tcW w:w="1596" w:type="dxa"/>
          </w:tcPr>
          <w:p w14:paraId="796CACA5" w14:textId="77777777" w:rsidR="00036788" w:rsidRPr="00036788" w:rsidRDefault="00036788" w:rsidP="00036788">
            <w:pPr>
              <w:keepNext/>
              <w:spacing w:line="240" w:lineRule="auto"/>
              <w:jc w:val="center"/>
              <w:rPr>
                <w:rFonts w:ascii="Arial" w:hAnsi="Arial" w:cs="Times New Roman"/>
                <w:sz w:val="22"/>
                <w:lang w:val="en-US"/>
              </w:rPr>
            </w:pPr>
            <w:r w:rsidRPr="00036788">
              <w:rPr>
                <w:rFonts w:ascii="Arial" w:hAnsi="Arial" w:cs="Times New Roman"/>
                <w:sz w:val="22"/>
                <w:lang w:val="en-US"/>
              </w:rPr>
              <w:t xml:space="preserve">Hostile (14) </w:t>
            </w:r>
          </w:p>
        </w:tc>
        <w:tc>
          <w:tcPr>
            <w:tcW w:w="1596" w:type="dxa"/>
          </w:tcPr>
          <w:p w14:paraId="5928371E"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76D7596E"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3E8EC181"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05A2451D"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3D421572"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r>
      <w:tr w:rsidR="00036788" w:rsidRPr="00036788" w14:paraId="1D6B094E" w14:textId="77777777" w:rsidTr="005F7CE9">
        <w:trPr>
          <w:trHeight w:val="20"/>
        </w:trPr>
        <w:tc>
          <w:tcPr>
            <w:cnfStyle w:val="001000000000" w:firstRow="0" w:lastRow="0" w:firstColumn="1" w:lastColumn="0" w:oddVBand="0" w:evenVBand="0" w:oddHBand="0" w:evenHBand="0" w:firstRowFirstColumn="0" w:firstRowLastColumn="0" w:lastRowFirstColumn="0" w:lastRowLastColumn="0"/>
            <w:tcW w:w="1596" w:type="dxa"/>
          </w:tcPr>
          <w:p w14:paraId="709DC445" w14:textId="77777777" w:rsidR="00036788" w:rsidRPr="00036788" w:rsidRDefault="00036788" w:rsidP="00036788">
            <w:pPr>
              <w:keepNext/>
              <w:spacing w:line="240" w:lineRule="auto"/>
              <w:jc w:val="center"/>
              <w:rPr>
                <w:rFonts w:ascii="Arial" w:hAnsi="Arial" w:cs="Times New Roman"/>
                <w:sz w:val="22"/>
                <w:lang w:val="en-US"/>
              </w:rPr>
            </w:pPr>
            <w:r w:rsidRPr="00036788">
              <w:rPr>
                <w:rFonts w:ascii="Arial" w:hAnsi="Arial" w:cs="Times New Roman"/>
                <w:sz w:val="22"/>
                <w:lang w:val="en-US"/>
              </w:rPr>
              <w:t xml:space="preserve">Ashamed (15) </w:t>
            </w:r>
          </w:p>
        </w:tc>
        <w:tc>
          <w:tcPr>
            <w:tcW w:w="1596" w:type="dxa"/>
          </w:tcPr>
          <w:p w14:paraId="6F7F802D"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09653AF5"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0B937F2E"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3482C7B3"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1833FC84"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r>
      <w:tr w:rsidR="00036788" w:rsidRPr="00036788" w14:paraId="748A9E81" w14:textId="77777777" w:rsidTr="005F7CE9">
        <w:trPr>
          <w:trHeight w:val="20"/>
        </w:trPr>
        <w:tc>
          <w:tcPr>
            <w:cnfStyle w:val="001000000000" w:firstRow="0" w:lastRow="0" w:firstColumn="1" w:lastColumn="0" w:oddVBand="0" w:evenVBand="0" w:oddHBand="0" w:evenHBand="0" w:firstRowFirstColumn="0" w:firstRowLastColumn="0" w:lastRowFirstColumn="0" w:lastRowLastColumn="0"/>
            <w:tcW w:w="1596" w:type="dxa"/>
          </w:tcPr>
          <w:p w14:paraId="2E50B567" w14:textId="77777777" w:rsidR="00036788" w:rsidRPr="00036788" w:rsidRDefault="00036788" w:rsidP="00036788">
            <w:pPr>
              <w:keepNext/>
              <w:spacing w:line="240" w:lineRule="auto"/>
              <w:jc w:val="center"/>
              <w:rPr>
                <w:rFonts w:ascii="Arial" w:hAnsi="Arial" w:cs="Times New Roman"/>
                <w:sz w:val="22"/>
                <w:lang w:val="en-US"/>
              </w:rPr>
            </w:pPr>
            <w:r w:rsidRPr="00036788">
              <w:rPr>
                <w:rFonts w:ascii="Arial" w:hAnsi="Arial" w:cs="Times New Roman"/>
                <w:sz w:val="22"/>
                <w:lang w:val="en-US"/>
              </w:rPr>
              <w:t xml:space="preserve">Nervous (16) </w:t>
            </w:r>
          </w:p>
        </w:tc>
        <w:tc>
          <w:tcPr>
            <w:tcW w:w="1596" w:type="dxa"/>
          </w:tcPr>
          <w:p w14:paraId="694BEF81"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213025D2"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4F27A9BA"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3FA72680"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0A7CE5DA"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r>
    </w:tbl>
    <w:p w14:paraId="04EFB18E" w14:textId="77777777" w:rsidR="00036788" w:rsidRPr="00036788" w:rsidRDefault="00036788" w:rsidP="00036788">
      <w:pPr>
        <w:spacing w:after="0" w:line="276" w:lineRule="auto"/>
        <w:jc w:val="left"/>
        <w:rPr>
          <w:rFonts w:ascii="Arial" w:eastAsia="Times New Roman" w:hAnsi="Arial" w:cs="Times New Roman"/>
          <w:sz w:val="22"/>
          <w:lang w:val="en-US"/>
        </w:rPr>
      </w:pPr>
    </w:p>
    <w:p w14:paraId="7A7B3D45" w14:textId="77777777" w:rsidR="00036788" w:rsidRPr="00036788" w:rsidRDefault="00036788" w:rsidP="00036788">
      <w:pPr>
        <w:spacing w:after="0" w:line="276" w:lineRule="auto"/>
        <w:jc w:val="left"/>
        <w:rPr>
          <w:rFonts w:ascii="Arial" w:eastAsia="Times New Roman" w:hAnsi="Arial" w:cs="Times New Roman"/>
          <w:sz w:val="22"/>
          <w:lang w:val="en-US"/>
        </w:rPr>
      </w:pPr>
    </w:p>
    <w:p w14:paraId="64EA721B" w14:textId="77777777" w:rsidR="00036788" w:rsidRPr="00036788" w:rsidRDefault="00036788" w:rsidP="00036788">
      <w:pPr>
        <w:pBdr>
          <w:top w:val="dashed" w:sz="8" w:space="0" w:color="CCCCCC"/>
        </w:pBdr>
        <w:spacing w:before="120" w:after="120" w:line="120" w:lineRule="auto"/>
        <w:jc w:val="left"/>
        <w:rPr>
          <w:rFonts w:ascii="Arial" w:eastAsia="Times New Roman" w:hAnsi="Arial" w:cs="Times New Roman"/>
          <w:sz w:val="22"/>
          <w:lang w:val="en-US"/>
        </w:rPr>
      </w:pPr>
    </w:p>
    <w:p w14:paraId="11286155" w14:textId="77777777" w:rsidR="00036788" w:rsidRPr="00036788" w:rsidRDefault="00036788" w:rsidP="00036788">
      <w:pPr>
        <w:spacing w:after="0" w:line="276" w:lineRule="auto"/>
        <w:jc w:val="left"/>
        <w:rPr>
          <w:rFonts w:ascii="Arial" w:eastAsia="Times New Roman" w:hAnsi="Arial" w:cs="Times New Roman"/>
          <w:sz w:val="22"/>
          <w:lang w:val="en-US"/>
        </w:rPr>
      </w:pPr>
    </w:p>
    <w:p w14:paraId="552AC674" w14:textId="77777777" w:rsidR="00036788" w:rsidRPr="00036788" w:rsidRDefault="00036788" w:rsidP="00036788">
      <w:pPr>
        <w:spacing w:before="120" w:after="0" w:line="240" w:lineRule="auto"/>
        <w:jc w:val="left"/>
        <w:rPr>
          <w:rFonts w:ascii="Arial" w:eastAsia="Times New Roman" w:hAnsi="Arial" w:cs="Times New Roman"/>
          <w:b/>
          <w:color w:val="CCCCCC"/>
          <w:sz w:val="22"/>
          <w:lang w:val="en-US"/>
        </w:rPr>
      </w:pPr>
      <w:r w:rsidRPr="00036788">
        <w:rPr>
          <w:rFonts w:ascii="Arial" w:eastAsia="Times New Roman" w:hAnsi="Arial" w:cs="Times New Roman"/>
          <w:b/>
          <w:color w:val="CCCCCC"/>
          <w:sz w:val="22"/>
          <w:lang w:val="en-US"/>
        </w:rPr>
        <w:t>End of Block: PanasX_Experiment_1&amp;3_Base</w:t>
      </w:r>
    </w:p>
    <w:p w14:paraId="650C4268" w14:textId="77777777" w:rsidR="00036788" w:rsidRPr="00036788" w:rsidRDefault="00036788" w:rsidP="00036788">
      <w:pPr>
        <w:pBdr>
          <w:bottom w:val="single" w:sz="8" w:space="0" w:color="CCCCCC"/>
        </w:pBdr>
        <w:spacing w:after="0" w:line="120" w:lineRule="auto"/>
        <w:jc w:val="center"/>
        <w:rPr>
          <w:rFonts w:ascii="Arial" w:eastAsia="Times New Roman" w:hAnsi="Arial" w:cs="Times New Roman"/>
          <w:b/>
          <w:color w:val="CCCCCC"/>
          <w:sz w:val="22"/>
          <w:lang w:val="en-US"/>
        </w:rPr>
      </w:pPr>
    </w:p>
    <w:p w14:paraId="225C69B3" w14:textId="77777777" w:rsidR="00036788" w:rsidRPr="00036788" w:rsidRDefault="00036788" w:rsidP="00036788">
      <w:pPr>
        <w:spacing w:before="120" w:after="120" w:line="240" w:lineRule="auto"/>
        <w:jc w:val="left"/>
        <w:rPr>
          <w:rFonts w:ascii="Arial" w:eastAsia="Times New Roman" w:hAnsi="Arial" w:cs="Times New Roman"/>
          <w:b/>
          <w:color w:val="CCCCCC"/>
          <w:sz w:val="22"/>
          <w:lang w:val="en-US"/>
        </w:rPr>
      </w:pPr>
      <w:r w:rsidRPr="00036788">
        <w:rPr>
          <w:rFonts w:ascii="Arial" w:eastAsia="Times New Roman" w:hAnsi="Arial" w:cs="Times New Roman"/>
          <w:b/>
          <w:color w:val="CCCCCC"/>
          <w:sz w:val="22"/>
          <w:lang w:val="en-US"/>
        </w:rPr>
        <w:t>Start of Block: Ranking_Experiment_1&amp;3</w:t>
      </w:r>
    </w:p>
    <w:p w14:paraId="4E4FAA4E" w14:textId="77777777" w:rsidR="00036788" w:rsidRPr="00036788" w:rsidRDefault="00036788" w:rsidP="00036788">
      <w:pPr>
        <w:spacing w:after="0" w:line="276" w:lineRule="auto"/>
        <w:jc w:val="left"/>
        <w:rPr>
          <w:rFonts w:ascii="Arial" w:eastAsia="Times New Roman" w:hAnsi="Arial" w:cs="Times New Roman"/>
          <w:sz w:val="22"/>
          <w:lang w:val="en-US"/>
        </w:rPr>
      </w:pPr>
    </w:p>
    <w:p w14:paraId="6145479A" w14:textId="77777777" w:rsidR="00036788" w:rsidRPr="00036788" w:rsidRDefault="00036788" w:rsidP="00036788">
      <w:pPr>
        <w:keepNext/>
        <w:spacing w:after="0" w:line="276" w:lineRule="auto"/>
        <w:jc w:val="left"/>
        <w:rPr>
          <w:rFonts w:ascii="Arial" w:eastAsia="Times New Roman" w:hAnsi="Arial" w:cs="Times New Roman"/>
          <w:sz w:val="22"/>
          <w:lang w:val="en-US"/>
        </w:rPr>
      </w:pPr>
      <w:r w:rsidRPr="00036788">
        <w:rPr>
          <w:rFonts w:ascii="Arial" w:eastAsia="Times New Roman" w:hAnsi="Arial" w:cs="Times New Roman"/>
          <w:sz w:val="22"/>
          <w:lang w:val="en-US"/>
        </w:rPr>
        <w:br/>
        <w:t xml:space="preserve">Ranking task  </w:t>
      </w:r>
      <w:r w:rsidRPr="00036788">
        <w:rPr>
          <w:rFonts w:ascii="Arial" w:eastAsia="Times New Roman" w:hAnsi="Arial" w:cs="Times New Roman"/>
          <w:sz w:val="22"/>
          <w:lang w:val="en-US"/>
        </w:rPr>
        <w:br/>
        <w:t xml:space="preserve">In this section of the survey, we will show you some pictures and ask you to rank them according to your preference.  </w:t>
      </w:r>
      <w:r w:rsidRPr="00036788">
        <w:rPr>
          <w:rFonts w:ascii="Arial" w:eastAsia="Times New Roman" w:hAnsi="Arial" w:cs="Times New Roman"/>
          <w:sz w:val="22"/>
          <w:lang w:val="en-US"/>
        </w:rPr>
        <w:br/>
        <w:t>There are no right or wrong answers. You should answer this quickly based on your first instincts.</w:t>
      </w:r>
    </w:p>
    <w:p w14:paraId="39D8D3E9" w14:textId="77777777" w:rsidR="00036788" w:rsidRPr="00036788" w:rsidRDefault="00036788" w:rsidP="00036788">
      <w:pPr>
        <w:spacing w:after="0" w:line="276" w:lineRule="auto"/>
        <w:jc w:val="left"/>
        <w:rPr>
          <w:rFonts w:ascii="Arial" w:eastAsia="Times New Roman" w:hAnsi="Arial" w:cs="Times New Roman"/>
          <w:sz w:val="22"/>
          <w:lang w:val="en-US"/>
        </w:rPr>
      </w:pPr>
    </w:p>
    <w:p w14:paraId="4E4659E0" w14:textId="77777777" w:rsidR="00036788" w:rsidRPr="00036788" w:rsidRDefault="00036788" w:rsidP="00036788">
      <w:pPr>
        <w:pBdr>
          <w:top w:val="dashed" w:sz="8" w:space="0" w:color="CCCCCC"/>
        </w:pBdr>
        <w:spacing w:before="120" w:after="120" w:line="120" w:lineRule="auto"/>
        <w:jc w:val="left"/>
        <w:rPr>
          <w:rFonts w:ascii="Arial" w:eastAsia="Times New Roman" w:hAnsi="Arial" w:cs="Times New Roman"/>
          <w:sz w:val="22"/>
          <w:lang w:val="en-US"/>
        </w:rPr>
      </w:pPr>
    </w:p>
    <w:p w14:paraId="7FC15B8C" w14:textId="77777777" w:rsidR="00036788" w:rsidRPr="00036788" w:rsidRDefault="00036788" w:rsidP="00036788">
      <w:pPr>
        <w:keepNext/>
        <w:shd w:val="clear" w:color="auto" w:fill="6898BB"/>
        <w:spacing w:before="120" w:after="120" w:line="240" w:lineRule="auto"/>
        <w:jc w:val="left"/>
        <w:rPr>
          <w:rFonts w:ascii="Arial" w:eastAsia="Times New Roman" w:hAnsi="Arial" w:cs="Times New Roman"/>
          <w:i/>
          <w:color w:val="FFFFFF"/>
          <w:sz w:val="20"/>
          <w:lang w:val="en-US"/>
        </w:rPr>
      </w:pPr>
      <w:r w:rsidRPr="00036788">
        <w:rPr>
          <w:rFonts w:ascii="Arial" w:eastAsia="Times New Roman" w:hAnsi="Arial" w:cs="Times New Roman"/>
          <w:i/>
          <w:color w:val="FFFFFF"/>
          <w:sz w:val="20"/>
          <w:lang w:val="en-US"/>
        </w:rPr>
        <w:t>Display This Question:</w:t>
      </w:r>
    </w:p>
    <w:p w14:paraId="37E2111B" w14:textId="77777777" w:rsidR="00036788" w:rsidRPr="00036788" w:rsidRDefault="00036788" w:rsidP="00036788">
      <w:pPr>
        <w:keepNext/>
        <w:shd w:val="clear" w:color="auto" w:fill="6898BB"/>
        <w:spacing w:before="120" w:after="120" w:line="240" w:lineRule="auto"/>
        <w:ind w:firstLine="400"/>
        <w:jc w:val="left"/>
        <w:rPr>
          <w:rFonts w:ascii="Arial" w:eastAsia="Times New Roman" w:hAnsi="Arial" w:cs="Times New Roman"/>
          <w:i/>
          <w:color w:val="FFFFFF"/>
          <w:sz w:val="20"/>
          <w:lang w:val="en-US"/>
        </w:rPr>
      </w:pPr>
      <w:r w:rsidRPr="00036788">
        <w:rPr>
          <w:rFonts w:ascii="Arial" w:eastAsia="Times New Roman" w:hAnsi="Arial" w:cs="Times New Roman"/>
          <w:i/>
          <w:color w:val="FFFFFF"/>
          <w:sz w:val="20"/>
          <w:lang w:val="en-US"/>
        </w:rPr>
        <w:t>If Device Type Is Not Mobile</w:t>
      </w:r>
    </w:p>
    <w:tbl>
      <w:tblPr>
        <w:tblStyle w:val="QQuestionIconTable"/>
        <w:tblW w:w="50" w:type="auto"/>
        <w:tblLook w:val="07E0" w:firstRow="1" w:lastRow="1" w:firstColumn="1" w:lastColumn="1" w:noHBand="1" w:noVBand="1"/>
      </w:tblPr>
      <w:tblGrid>
        <w:gridCol w:w="380"/>
      </w:tblGrid>
      <w:tr w:rsidR="00036788" w:rsidRPr="00036788" w14:paraId="678A0507" w14:textId="77777777" w:rsidTr="005F7CE9">
        <w:tc>
          <w:tcPr>
            <w:tcW w:w="50" w:type="dxa"/>
          </w:tcPr>
          <w:p w14:paraId="76B70D66" w14:textId="77777777" w:rsidR="00036788" w:rsidRPr="00036788" w:rsidRDefault="00036788" w:rsidP="00036788">
            <w:pPr>
              <w:keepNext/>
              <w:spacing w:line="240" w:lineRule="auto"/>
              <w:jc w:val="center"/>
              <w:rPr>
                <w:rFonts w:ascii="Arial" w:eastAsia="Times New Roman" w:hAnsi="Arial" w:cs="Times New Roman"/>
                <w:sz w:val="22"/>
                <w:lang w:val="en-US"/>
              </w:rPr>
            </w:pPr>
            <w:r w:rsidRPr="00036788">
              <w:rPr>
                <w:rFonts w:ascii="Arial" w:eastAsia="Times New Roman" w:hAnsi="Arial" w:cs="Times New Roman"/>
                <w:noProof/>
                <w:sz w:val="22"/>
                <w:lang w:val="en-US"/>
              </w:rPr>
              <w:drawing>
                <wp:inline distT="0" distB="0" distL="0" distR="0" wp14:anchorId="51BD934E" wp14:editId="70C8F299">
                  <wp:extent cx="228600" cy="228600"/>
                  <wp:effectExtent l="0" t="0" r="0" b="0"/>
                  <wp:docPr id="1804759721" name="WordQuestionRandomiza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WordQuestionRandomization.png"/>
                          <pic:cNvPicPr/>
                        </pic:nvPicPr>
                        <pic:blipFill>
                          <a:blip r:embed="rId68"/>
                          <a:stretch>
                            <a:fillRect/>
                          </a:stretch>
                        </pic:blipFill>
                        <pic:spPr>
                          <a:xfrm>
                            <a:off x="0" y="0"/>
                            <a:ext cx="228600" cy="228600"/>
                          </a:xfrm>
                          <a:prstGeom prst="rect">
                            <a:avLst/>
                          </a:prstGeom>
                        </pic:spPr>
                      </pic:pic>
                    </a:graphicData>
                  </a:graphic>
                </wp:inline>
              </w:drawing>
            </w:r>
          </w:p>
        </w:tc>
      </w:tr>
    </w:tbl>
    <w:p w14:paraId="34EFCADD" w14:textId="77777777" w:rsidR="00036788" w:rsidRPr="00036788" w:rsidRDefault="00036788" w:rsidP="00036788">
      <w:pPr>
        <w:spacing w:after="0" w:line="276" w:lineRule="auto"/>
        <w:jc w:val="left"/>
        <w:rPr>
          <w:rFonts w:ascii="Arial" w:eastAsia="Times New Roman" w:hAnsi="Arial" w:cs="Times New Roman"/>
          <w:sz w:val="22"/>
          <w:lang w:val="en-US"/>
        </w:rPr>
      </w:pPr>
    </w:p>
    <w:p w14:paraId="6E465AA5" w14:textId="77777777" w:rsidR="00036788" w:rsidRPr="00036788" w:rsidRDefault="00036788" w:rsidP="00036788">
      <w:pPr>
        <w:keepNext/>
        <w:spacing w:after="0" w:line="276" w:lineRule="auto"/>
        <w:jc w:val="left"/>
        <w:rPr>
          <w:rFonts w:ascii="Arial" w:eastAsia="Times New Roman" w:hAnsi="Arial" w:cs="Times New Roman"/>
          <w:sz w:val="22"/>
          <w:lang w:val="en-US"/>
        </w:rPr>
      </w:pPr>
      <w:r w:rsidRPr="00036788">
        <w:rPr>
          <w:rFonts w:ascii="Arial" w:eastAsia="Times New Roman" w:hAnsi="Arial" w:cs="Times New Roman"/>
          <w:sz w:val="22"/>
          <w:lang w:val="en-US"/>
        </w:rPr>
        <w:t>Please look at these four pictures below</w:t>
      </w:r>
    </w:p>
    <w:p w14:paraId="7E85092D" w14:textId="634CC8D3" w:rsidR="00036788" w:rsidRPr="00036788" w:rsidRDefault="00093347" w:rsidP="00036788">
      <w:pPr>
        <w:spacing w:after="0" w:line="276" w:lineRule="auto"/>
        <w:jc w:val="left"/>
        <w:rPr>
          <w:rFonts w:ascii="Arial" w:eastAsia="Times New Roman" w:hAnsi="Arial" w:cs="Times New Roman"/>
          <w:sz w:val="22"/>
          <w:lang w:val="en-US"/>
        </w:rPr>
      </w:pPr>
      <w:r w:rsidRPr="00093347">
        <w:rPr>
          <w:rFonts w:ascii="Arial" w:eastAsia="Times New Roman" w:hAnsi="Arial" w:cs="Times New Roman"/>
          <w:noProof/>
          <w:sz w:val="22"/>
          <w:lang w:val="en-US"/>
        </w:rPr>
        <w:drawing>
          <wp:inline distT="0" distB="0" distL="0" distR="0" wp14:anchorId="13C127B0" wp14:editId="2349F26F">
            <wp:extent cx="6120130" cy="3498215"/>
            <wp:effectExtent l="0" t="0" r="0" b="6985"/>
            <wp:docPr id="9472147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7214736" name=""/>
                    <pic:cNvPicPr/>
                  </pic:nvPicPr>
                  <pic:blipFill>
                    <a:blip r:embed="rId74"/>
                    <a:stretch>
                      <a:fillRect/>
                    </a:stretch>
                  </pic:blipFill>
                  <pic:spPr>
                    <a:xfrm>
                      <a:off x="0" y="0"/>
                      <a:ext cx="6120130" cy="3498215"/>
                    </a:xfrm>
                    <a:prstGeom prst="rect">
                      <a:avLst/>
                    </a:prstGeom>
                  </pic:spPr>
                </pic:pic>
              </a:graphicData>
            </a:graphic>
          </wp:inline>
        </w:drawing>
      </w:r>
    </w:p>
    <w:p w14:paraId="50BDEDD2" w14:textId="77777777" w:rsidR="00036788" w:rsidRPr="00036788" w:rsidRDefault="00036788" w:rsidP="00036788">
      <w:pPr>
        <w:pBdr>
          <w:top w:val="dashed" w:sz="8" w:space="0" w:color="CCCCCC"/>
        </w:pBdr>
        <w:spacing w:before="120" w:after="120" w:line="120" w:lineRule="auto"/>
        <w:jc w:val="left"/>
        <w:rPr>
          <w:rFonts w:ascii="Arial" w:eastAsia="Times New Roman" w:hAnsi="Arial" w:cs="Times New Roman"/>
          <w:sz w:val="22"/>
          <w:lang w:val="en-US"/>
        </w:rPr>
      </w:pPr>
    </w:p>
    <w:tbl>
      <w:tblPr>
        <w:tblStyle w:val="QQuestionIconTable"/>
        <w:tblW w:w="50" w:type="auto"/>
        <w:tblLook w:val="07E0" w:firstRow="1" w:lastRow="1" w:firstColumn="1" w:lastColumn="1" w:noHBand="1" w:noVBand="1"/>
      </w:tblPr>
      <w:tblGrid>
        <w:gridCol w:w="380"/>
      </w:tblGrid>
      <w:tr w:rsidR="00036788" w:rsidRPr="00036788" w14:paraId="7F165B28" w14:textId="77777777" w:rsidTr="005F7CE9">
        <w:tc>
          <w:tcPr>
            <w:tcW w:w="50" w:type="dxa"/>
          </w:tcPr>
          <w:p w14:paraId="21596F7A" w14:textId="77777777" w:rsidR="00036788" w:rsidRPr="00036788" w:rsidRDefault="00036788" w:rsidP="00036788">
            <w:pPr>
              <w:keepNext/>
              <w:spacing w:line="240" w:lineRule="auto"/>
              <w:jc w:val="center"/>
              <w:rPr>
                <w:rFonts w:ascii="Arial" w:eastAsia="Times New Roman" w:hAnsi="Arial" w:cs="Times New Roman"/>
                <w:sz w:val="22"/>
                <w:lang w:val="en-US"/>
              </w:rPr>
            </w:pPr>
            <w:r w:rsidRPr="00036788">
              <w:rPr>
                <w:rFonts w:ascii="Arial" w:eastAsia="Times New Roman" w:hAnsi="Arial" w:cs="Times New Roman"/>
                <w:noProof/>
                <w:sz w:val="22"/>
                <w:lang w:val="en-US"/>
              </w:rPr>
              <w:drawing>
                <wp:inline distT="0" distB="0" distL="0" distR="0" wp14:anchorId="680FBA8F" wp14:editId="3E74FE34">
                  <wp:extent cx="228600" cy="228600"/>
                  <wp:effectExtent l="0" t="0" r="0" b="0"/>
                  <wp:docPr id="383483107" name="WordQuestionValida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WordQuestionValidation.png"/>
                          <pic:cNvPicPr/>
                        </pic:nvPicPr>
                        <pic:blipFill>
                          <a:blip r:embed="rId75"/>
                          <a:stretch>
                            <a:fillRect/>
                          </a:stretch>
                        </pic:blipFill>
                        <pic:spPr>
                          <a:xfrm>
                            <a:off x="0" y="0"/>
                            <a:ext cx="228600" cy="228600"/>
                          </a:xfrm>
                          <a:prstGeom prst="rect">
                            <a:avLst/>
                          </a:prstGeom>
                        </pic:spPr>
                      </pic:pic>
                    </a:graphicData>
                  </a:graphic>
                </wp:inline>
              </w:drawing>
            </w:r>
          </w:p>
        </w:tc>
      </w:tr>
    </w:tbl>
    <w:p w14:paraId="17B40472" w14:textId="77777777" w:rsidR="00036788" w:rsidRPr="00036788" w:rsidRDefault="00036788" w:rsidP="00036788">
      <w:pPr>
        <w:spacing w:after="0" w:line="276" w:lineRule="auto"/>
        <w:jc w:val="left"/>
        <w:rPr>
          <w:rFonts w:ascii="Arial" w:eastAsia="Times New Roman" w:hAnsi="Arial" w:cs="Times New Roman"/>
          <w:sz w:val="22"/>
          <w:lang w:val="en-US"/>
        </w:rPr>
      </w:pPr>
    </w:p>
    <w:p w14:paraId="701B4714" w14:textId="77777777" w:rsidR="00036788" w:rsidRPr="00036788" w:rsidRDefault="00036788" w:rsidP="00036788">
      <w:pPr>
        <w:keepNext/>
        <w:spacing w:after="0" w:line="276" w:lineRule="auto"/>
        <w:jc w:val="left"/>
        <w:rPr>
          <w:rFonts w:ascii="Arial" w:eastAsia="Times New Roman" w:hAnsi="Arial" w:cs="Times New Roman"/>
          <w:sz w:val="22"/>
          <w:lang w:val="en-US"/>
        </w:rPr>
      </w:pPr>
      <w:r w:rsidRPr="00036788">
        <w:rPr>
          <w:rFonts w:ascii="Arial" w:eastAsia="Times New Roman" w:hAnsi="Arial" w:cs="Times New Roman"/>
          <w:sz w:val="22"/>
          <w:lang w:val="en-US"/>
        </w:rPr>
        <w:t>Please, now rank the pictures in order of MOST PREFERRED (you can order all four or just name one) e.g. CDAB or A</w:t>
      </w:r>
    </w:p>
    <w:p w14:paraId="6182B6E9" w14:textId="77777777" w:rsidR="00036788" w:rsidRPr="00036788" w:rsidRDefault="00036788" w:rsidP="00036788">
      <w:pPr>
        <w:spacing w:before="240" w:after="0" w:line="240" w:lineRule="auto"/>
        <w:ind w:firstLine="400"/>
        <w:jc w:val="left"/>
        <w:rPr>
          <w:rFonts w:ascii="Arial" w:eastAsia="Times New Roman" w:hAnsi="Arial" w:cs="Times New Roman"/>
          <w:sz w:val="22"/>
          <w:lang w:val="en-US"/>
        </w:rPr>
      </w:pPr>
      <w:r w:rsidRPr="00036788">
        <w:rPr>
          <w:rFonts w:ascii="Arial" w:eastAsia="Times New Roman" w:hAnsi="Arial" w:cs="Times New Roman"/>
          <w:sz w:val="22"/>
          <w:lang w:val="en-US"/>
        </w:rPr>
        <w:t>________________________________________________________________</w:t>
      </w:r>
    </w:p>
    <w:p w14:paraId="6EAFF12B" w14:textId="77777777" w:rsidR="00036788" w:rsidRPr="00036788" w:rsidRDefault="00036788" w:rsidP="00036788">
      <w:pPr>
        <w:spacing w:after="0" w:line="276" w:lineRule="auto"/>
        <w:jc w:val="left"/>
        <w:rPr>
          <w:rFonts w:ascii="Arial" w:eastAsia="Times New Roman" w:hAnsi="Arial" w:cs="Times New Roman"/>
          <w:sz w:val="22"/>
          <w:lang w:val="en-US"/>
        </w:rPr>
      </w:pPr>
    </w:p>
    <w:p w14:paraId="6EC3E75E" w14:textId="77777777" w:rsidR="00036788" w:rsidRPr="00036788" w:rsidRDefault="00036788" w:rsidP="00036788">
      <w:pPr>
        <w:pBdr>
          <w:top w:val="dashed" w:sz="8" w:space="0" w:color="CCCCCC"/>
        </w:pBdr>
        <w:spacing w:before="120" w:after="120" w:line="120" w:lineRule="auto"/>
        <w:jc w:val="left"/>
        <w:rPr>
          <w:rFonts w:ascii="Arial" w:eastAsia="Times New Roman" w:hAnsi="Arial" w:cs="Times New Roman"/>
          <w:sz w:val="22"/>
          <w:lang w:val="en-US"/>
        </w:rPr>
      </w:pPr>
    </w:p>
    <w:p w14:paraId="6C8FFEF3" w14:textId="77777777" w:rsidR="00036788" w:rsidRPr="00036788" w:rsidRDefault="00036788" w:rsidP="00036788">
      <w:pPr>
        <w:spacing w:after="0" w:line="276" w:lineRule="auto"/>
        <w:jc w:val="left"/>
        <w:rPr>
          <w:rFonts w:ascii="Arial" w:eastAsia="Times New Roman" w:hAnsi="Arial" w:cs="Times New Roman"/>
          <w:sz w:val="22"/>
          <w:lang w:val="en-US"/>
        </w:rPr>
      </w:pPr>
    </w:p>
    <w:p w14:paraId="6B34AF94" w14:textId="77777777" w:rsidR="00036788" w:rsidRPr="00036788" w:rsidRDefault="00036788" w:rsidP="00036788">
      <w:pPr>
        <w:spacing w:before="120" w:after="0" w:line="240" w:lineRule="auto"/>
        <w:jc w:val="left"/>
        <w:rPr>
          <w:rFonts w:ascii="Arial" w:eastAsia="Times New Roman" w:hAnsi="Arial" w:cs="Times New Roman"/>
          <w:b/>
          <w:color w:val="CCCCCC"/>
          <w:sz w:val="22"/>
          <w:lang w:val="en-US"/>
        </w:rPr>
      </w:pPr>
      <w:r w:rsidRPr="00036788">
        <w:rPr>
          <w:rFonts w:ascii="Arial" w:eastAsia="Times New Roman" w:hAnsi="Arial" w:cs="Times New Roman"/>
          <w:b/>
          <w:color w:val="CCCCCC"/>
          <w:sz w:val="22"/>
          <w:lang w:val="en-US"/>
        </w:rPr>
        <w:t>End of Block: Ranking_Experiment_1&amp;3</w:t>
      </w:r>
    </w:p>
    <w:p w14:paraId="5F40B1FB" w14:textId="77777777" w:rsidR="00036788" w:rsidRPr="00036788" w:rsidRDefault="00036788" w:rsidP="00036788">
      <w:pPr>
        <w:pBdr>
          <w:bottom w:val="single" w:sz="8" w:space="0" w:color="CCCCCC"/>
        </w:pBdr>
        <w:spacing w:after="0" w:line="120" w:lineRule="auto"/>
        <w:jc w:val="center"/>
        <w:rPr>
          <w:rFonts w:ascii="Arial" w:eastAsia="Times New Roman" w:hAnsi="Arial" w:cs="Times New Roman"/>
          <w:b/>
          <w:color w:val="CCCCCC"/>
          <w:sz w:val="22"/>
          <w:lang w:val="en-US"/>
        </w:rPr>
      </w:pPr>
    </w:p>
    <w:p w14:paraId="4FF8D5B4" w14:textId="77777777" w:rsidR="00036788" w:rsidRPr="00036788" w:rsidRDefault="00036788" w:rsidP="00036788">
      <w:pPr>
        <w:spacing w:before="120" w:after="120" w:line="240" w:lineRule="auto"/>
        <w:jc w:val="left"/>
        <w:rPr>
          <w:rFonts w:ascii="Arial" w:eastAsia="Times New Roman" w:hAnsi="Arial" w:cs="Times New Roman"/>
          <w:b/>
          <w:color w:val="CCCCCC"/>
          <w:sz w:val="22"/>
          <w:lang w:val="en-US"/>
        </w:rPr>
      </w:pPr>
      <w:r w:rsidRPr="00036788">
        <w:rPr>
          <w:rFonts w:ascii="Arial" w:eastAsia="Times New Roman" w:hAnsi="Arial" w:cs="Times New Roman"/>
          <w:b/>
          <w:color w:val="CCCCCC"/>
          <w:sz w:val="22"/>
          <w:lang w:val="en-US"/>
        </w:rPr>
        <w:t>Start of Block: Uplift_tour1</w:t>
      </w:r>
    </w:p>
    <w:p w14:paraId="182B4D55" w14:textId="77777777" w:rsidR="00036788" w:rsidRPr="00036788" w:rsidRDefault="00036788" w:rsidP="00036788">
      <w:pPr>
        <w:spacing w:after="0" w:line="276" w:lineRule="auto"/>
        <w:jc w:val="left"/>
        <w:rPr>
          <w:rFonts w:ascii="Arial" w:eastAsia="Times New Roman" w:hAnsi="Arial" w:cs="Times New Roman"/>
          <w:sz w:val="22"/>
          <w:lang w:val="en-US"/>
        </w:rPr>
      </w:pPr>
    </w:p>
    <w:p w14:paraId="504281C8" w14:textId="383CB89A" w:rsidR="00036788" w:rsidRPr="00036788" w:rsidRDefault="00036788" w:rsidP="00036788">
      <w:pPr>
        <w:keepNext/>
        <w:spacing w:after="0" w:line="276" w:lineRule="auto"/>
        <w:jc w:val="left"/>
        <w:rPr>
          <w:rFonts w:ascii="Arial" w:eastAsia="Times New Roman" w:hAnsi="Arial" w:cs="Times New Roman"/>
          <w:sz w:val="22"/>
          <w:lang w:val="en-US"/>
        </w:rPr>
      </w:pPr>
      <w:r w:rsidRPr="00036788">
        <w:rPr>
          <w:rFonts w:ascii="Arial" w:eastAsia="Times New Roman" w:hAnsi="Arial" w:cs="Times New Roman"/>
          <w:sz w:val="22"/>
          <w:lang w:val="en-US"/>
        </w:rPr>
        <w:br/>
        <w:t xml:space="preserve">This page contains your second task. You will explore an urban park through a virtual tour for a few minutes.  </w:t>
      </w:r>
      <w:r w:rsidRPr="00036788">
        <w:rPr>
          <w:rFonts w:ascii="Arial" w:eastAsia="Times New Roman" w:hAnsi="Arial" w:cs="Times New Roman"/>
          <w:sz w:val="22"/>
          <w:lang w:val="en-US"/>
        </w:rPr>
        <w:br/>
        <w:t xml:space="preserve">   </w:t>
      </w:r>
      <w:r w:rsidRPr="00036788">
        <w:rPr>
          <w:rFonts w:ascii="Arial" w:eastAsia="Times New Roman" w:hAnsi="Arial" w:cs="Times New Roman"/>
          <w:sz w:val="22"/>
          <w:lang w:val="en-US"/>
        </w:rPr>
        <w:br/>
        <w:t xml:space="preserve">Your tour will start in the </w:t>
      </w:r>
      <w:proofErr w:type="spellStart"/>
      <w:r w:rsidRPr="00036788">
        <w:rPr>
          <w:rFonts w:ascii="Arial" w:eastAsia="Times New Roman" w:hAnsi="Arial" w:cs="Times New Roman"/>
          <w:sz w:val="22"/>
          <w:lang w:val="en-US"/>
        </w:rPr>
        <w:t>centre</w:t>
      </w:r>
      <w:proofErr w:type="spellEnd"/>
      <w:r w:rsidRPr="00036788">
        <w:rPr>
          <w:rFonts w:ascii="Arial" w:eastAsia="Times New Roman" w:hAnsi="Arial" w:cs="Times New Roman"/>
          <w:sz w:val="22"/>
          <w:lang w:val="en-US"/>
        </w:rPr>
        <w:t xml:space="preserve"> of the park, but you are free to "walk" in any direction.</w:t>
      </w:r>
      <w:r w:rsidRPr="00036788">
        <w:rPr>
          <w:rFonts w:ascii="Arial" w:eastAsia="Times New Roman" w:hAnsi="Arial" w:cs="Times New Roman"/>
          <w:sz w:val="22"/>
          <w:lang w:val="en-US"/>
        </w:rPr>
        <w:br/>
        <w:t xml:space="preserve">Click and drag to move the camera around. This works just like </w:t>
      </w:r>
      <w:proofErr w:type="gramStart"/>
      <w:r w:rsidRPr="00036788">
        <w:rPr>
          <w:rFonts w:ascii="Arial" w:eastAsia="Times New Roman" w:hAnsi="Arial" w:cs="Times New Roman"/>
          <w:sz w:val="22"/>
          <w:lang w:val="en-US"/>
        </w:rPr>
        <w:t>Google street</w:t>
      </w:r>
      <w:proofErr w:type="gramEnd"/>
      <w:r w:rsidRPr="00036788">
        <w:rPr>
          <w:rFonts w:ascii="Arial" w:eastAsia="Times New Roman" w:hAnsi="Arial" w:cs="Times New Roman"/>
          <w:sz w:val="22"/>
          <w:lang w:val="en-US"/>
        </w:rPr>
        <w:t xml:space="preserve"> view!</w:t>
      </w:r>
      <w:r w:rsidRPr="00036788">
        <w:rPr>
          <w:rFonts w:ascii="Arial" w:eastAsia="Times New Roman" w:hAnsi="Arial" w:cs="Times New Roman"/>
          <w:sz w:val="22"/>
          <w:lang w:val="en-US"/>
        </w:rPr>
        <w:br/>
      </w:r>
      <w:r w:rsidRPr="00036788">
        <w:rPr>
          <w:rFonts w:ascii="Arial" w:eastAsia="Times New Roman" w:hAnsi="Arial" w:cs="Times New Roman"/>
          <w:sz w:val="22"/>
          <w:lang w:val="en-US"/>
        </w:rPr>
        <w:br/>
      </w:r>
      <w:r w:rsidR="00093347" w:rsidRPr="00093347">
        <w:rPr>
          <w:noProof/>
        </w:rPr>
        <w:drawing>
          <wp:inline distT="0" distB="0" distL="0" distR="0" wp14:anchorId="03422088" wp14:editId="33CE6744">
            <wp:extent cx="2886075" cy="2466975"/>
            <wp:effectExtent l="0" t="0" r="9525" b="9525"/>
            <wp:docPr id="9783675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886075" cy="2466975"/>
                    </a:xfrm>
                    <a:prstGeom prst="rect">
                      <a:avLst/>
                    </a:prstGeom>
                    <a:noFill/>
                    <a:ln>
                      <a:noFill/>
                    </a:ln>
                  </pic:spPr>
                </pic:pic>
              </a:graphicData>
            </a:graphic>
          </wp:inline>
        </w:drawing>
      </w:r>
      <w:r w:rsidRPr="00036788">
        <w:rPr>
          <w:rFonts w:ascii="Arial" w:eastAsia="Times New Roman" w:hAnsi="Arial" w:cs="Times New Roman"/>
          <w:sz w:val="22"/>
          <w:lang w:val="en-US"/>
        </w:rPr>
        <w:br/>
      </w:r>
      <w:r w:rsidRPr="00036788">
        <w:rPr>
          <w:rFonts w:ascii="Arial" w:eastAsia="Times New Roman" w:hAnsi="Arial" w:cs="Times New Roman"/>
          <w:sz w:val="22"/>
          <w:lang w:val="en-US"/>
        </w:rPr>
        <w:br/>
      </w:r>
      <w:r w:rsidRPr="00036788">
        <w:rPr>
          <w:rFonts w:ascii="Arial" w:eastAsia="Times New Roman" w:hAnsi="Arial" w:cs="Times New Roman"/>
          <w:sz w:val="22"/>
          <w:lang w:val="en-US"/>
        </w:rPr>
        <w:br/>
        <w:t xml:space="preserve">   The button to move on with the survey will appear after you have spent two minutes exploring.</w:t>
      </w:r>
      <w:r w:rsidRPr="00036788">
        <w:rPr>
          <w:rFonts w:ascii="Arial" w:eastAsia="Times New Roman" w:hAnsi="Arial" w:cs="Times New Roman"/>
          <w:sz w:val="22"/>
          <w:lang w:val="en-US"/>
        </w:rPr>
        <w:br/>
        <w:t xml:space="preserve"> </w:t>
      </w:r>
      <w:r w:rsidRPr="00036788">
        <w:rPr>
          <w:rFonts w:ascii="Arial" w:eastAsia="Times New Roman" w:hAnsi="Arial" w:cs="Times New Roman"/>
          <w:i/>
          <w:sz w:val="22"/>
          <w:lang w:val="en-US"/>
        </w:rPr>
        <w:t>(Don't worry if the button does not appear. This page will turn automatically after 6 minutes)</w:t>
      </w:r>
    </w:p>
    <w:p w14:paraId="2279AF93" w14:textId="77777777" w:rsidR="00036788" w:rsidRPr="00036788" w:rsidRDefault="00036788" w:rsidP="00036788">
      <w:pPr>
        <w:spacing w:after="0" w:line="276" w:lineRule="auto"/>
        <w:jc w:val="left"/>
        <w:rPr>
          <w:rFonts w:ascii="Arial" w:eastAsia="Times New Roman" w:hAnsi="Arial" w:cs="Times New Roman"/>
          <w:sz w:val="22"/>
          <w:lang w:val="en-US"/>
        </w:rPr>
      </w:pPr>
    </w:p>
    <w:p w14:paraId="31514CAE" w14:textId="77777777" w:rsidR="00036788" w:rsidRPr="00036788" w:rsidRDefault="00036788" w:rsidP="00036788">
      <w:pPr>
        <w:pBdr>
          <w:top w:val="dashed" w:sz="8" w:space="0" w:color="CCCCCC"/>
        </w:pBdr>
        <w:spacing w:before="120" w:after="120" w:line="120" w:lineRule="auto"/>
        <w:jc w:val="left"/>
        <w:rPr>
          <w:rFonts w:ascii="Arial" w:eastAsia="Times New Roman" w:hAnsi="Arial" w:cs="Times New Roman"/>
          <w:sz w:val="22"/>
          <w:lang w:val="en-US"/>
        </w:rPr>
      </w:pPr>
    </w:p>
    <w:p w14:paraId="16F7847B" w14:textId="77777777" w:rsidR="00036788" w:rsidRPr="00036788" w:rsidRDefault="00036788" w:rsidP="00036788">
      <w:pPr>
        <w:keepNext/>
        <w:shd w:val="clear" w:color="auto" w:fill="6898BB"/>
        <w:spacing w:before="120" w:after="120" w:line="240" w:lineRule="auto"/>
        <w:jc w:val="left"/>
        <w:rPr>
          <w:rFonts w:ascii="Arial" w:eastAsia="Times New Roman" w:hAnsi="Arial" w:cs="Times New Roman"/>
          <w:i/>
          <w:color w:val="FFFFFF"/>
          <w:sz w:val="20"/>
          <w:lang w:val="en-US"/>
        </w:rPr>
      </w:pPr>
      <w:r w:rsidRPr="00036788">
        <w:rPr>
          <w:rFonts w:ascii="Arial" w:eastAsia="Times New Roman" w:hAnsi="Arial" w:cs="Times New Roman"/>
          <w:i/>
          <w:color w:val="FFFFFF"/>
          <w:sz w:val="20"/>
          <w:lang w:val="en-US"/>
        </w:rPr>
        <w:t>Display This Question:</w:t>
      </w:r>
    </w:p>
    <w:p w14:paraId="30A23149" w14:textId="77777777" w:rsidR="00036788" w:rsidRPr="00036788" w:rsidRDefault="00036788" w:rsidP="00036788">
      <w:pPr>
        <w:keepNext/>
        <w:shd w:val="clear" w:color="auto" w:fill="6898BB"/>
        <w:spacing w:before="120" w:after="120" w:line="240" w:lineRule="auto"/>
        <w:ind w:firstLine="400"/>
        <w:jc w:val="left"/>
        <w:rPr>
          <w:rFonts w:ascii="Arial" w:eastAsia="Times New Roman" w:hAnsi="Arial" w:cs="Times New Roman"/>
          <w:i/>
          <w:color w:val="FFFFFF"/>
          <w:sz w:val="20"/>
          <w:lang w:val="en-US"/>
        </w:rPr>
      </w:pPr>
      <w:r w:rsidRPr="00036788">
        <w:rPr>
          <w:rFonts w:ascii="Arial" w:eastAsia="Times New Roman" w:hAnsi="Arial" w:cs="Times New Roman"/>
          <w:i/>
          <w:color w:val="FFFFFF"/>
          <w:sz w:val="20"/>
          <w:lang w:val="en-US"/>
        </w:rPr>
        <w:t>If Device Type Is Not Mobile</w:t>
      </w:r>
    </w:p>
    <w:p w14:paraId="594985C0" w14:textId="77777777" w:rsidR="00036788" w:rsidRPr="00036788" w:rsidRDefault="00036788" w:rsidP="00036788">
      <w:pPr>
        <w:spacing w:after="0" w:line="276" w:lineRule="auto"/>
        <w:jc w:val="left"/>
        <w:rPr>
          <w:rFonts w:ascii="Arial" w:eastAsia="Times New Roman" w:hAnsi="Arial" w:cs="Times New Roman"/>
          <w:sz w:val="22"/>
          <w:lang w:val="en-US"/>
        </w:rPr>
      </w:pPr>
    </w:p>
    <w:p w14:paraId="749CF47B" w14:textId="77777777" w:rsidR="00036788" w:rsidRPr="00036788" w:rsidRDefault="00036788" w:rsidP="00036788">
      <w:pPr>
        <w:keepNext/>
        <w:spacing w:after="0" w:line="276" w:lineRule="auto"/>
        <w:jc w:val="left"/>
        <w:rPr>
          <w:rFonts w:ascii="Arial" w:eastAsia="Times New Roman" w:hAnsi="Arial" w:cs="Times New Roman"/>
          <w:sz w:val="22"/>
          <w:lang w:val="en-US"/>
        </w:rPr>
      </w:pPr>
      <w:r w:rsidRPr="00036788">
        <w:rPr>
          <w:rFonts w:ascii="Arial" w:eastAsia="Times New Roman" w:hAnsi="Arial" w:cs="Times New Roman"/>
          <w:sz w:val="22"/>
          <w:lang w:val="en-US"/>
        </w:rPr>
        <w:br/>
        <w:t xml:space="preserve">Please, use the player below to start your exploration.  </w:t>
      </w:r>
      <w:r w:rsidRPr="00036788">
        <w:rPr>
          <w:rFonts w:ascii="Arial" w:eastAsia="Times New Roman" w:hAnsi="Arial" w:cs="Times New Roman"/>
          <w:sz w:val="22"/>
          <w:lang w:val="en-US"/>
        </w:rPr>
        <w:br/>
        <w:t xml:space="preserve">It is essential that you activate the full screen (you can do this by clicking on this button   on the top right of the video frame)  </w:t>
      </w:r>
      <w:r w:rsidRPr="00036788">
        <w:rPr>
          <w:rFonts w:ascii="Arial" w:eastAsia="Times New Roman" w:hAnsi="Arial" w:cs="Times New Roman"/>
          <w:sz w:val="22"/>
          <w:lang w:val="en-US"/>
        </w:rPr>
        <w:br/>
        <w:t xml:space="preserve"> </w:t>
      </w:r>
      <w:r w:rsidRPr="00036788">
        <w:rPr>
          <w:rFonts w:ascii="Arial" w:eastAsia="Times New Roman" w:hAnsi="Arial" w:cs="Times New Roman"/>
          <w:sz w:val="22"/>
          <w:lang w:val="en-US"/>
        </w:rPr>
        <w:br/>
      </w:r>
    </w:p>
    <w:p w14:paraId="445C1BCD" w14:textId="77777777" w:rsidR="00036788" w:rsidRPr="00036788" w:rsidRDefault="00036788" w:rsidP="00036788">
      <w:pPr>
        <w:spacing w:after="0" w:line="276" w:lineRule="auto"/>
        <w:jc w:val="left"/>
        <w:rPr>
          <w:rFonts w:ascii="Arial" w:eastAsia="Times New Roman" w:hAnsi="Arial" w:cs="Times New Roman"/>
          <w:sz w:val="22"/>
          <w:lang w:val="en-US"/>
        </w:rPr>
      </w:pPr>
    </w:p>
    <w:p w14:paraId="1CA370E6" w14:textId="77777777" w:rsidR="00036788" w:rsidRPr="00036788" w:rsidRDefault="00036788" w:rsidP="00036788">
      <w:pPr>
        <w:pBdr>
          <w:top w:val="dashed" w:sz="8" w:space="0" w:color="CCCCCC"/>
        </w:pBdr>
        <w:spacing w:before="120" w:after="120" w:line="120" w:lineRule="auto"/>
        <w:jc w:val="left"/>
        <w:rPr>
          <w:rFonts w:ascii="Arial" w:eastAsia="Times New Roman" w:hAnsi="Arial" w:cs="Times New Roman"/>
          <w:sz w:val="22"/>
          <w:lang w:val="en-US"/>
        </w:rPr>
      </w:pPr>
    </w:p>
    <w:p w14:paraId="452EF0D6" w14:textId="77777777" w:rsidR="00036788" w:rsidRPr="00036788" w:rsidRDefault="00036788" w:rsidP="00036788">
      <w:pPr>
        <w:keepNext/>
        <w:shd w:val="clear" w:color="auto" w:fill="6898BB"/>
        <w:spacing w:before="120" w:after="120" w:line="240" w:lineRule="auto"/>
        <w:jc w:val="left"/>
        <w:rPr>
          <w:rFonts w:ascii="Arial" w:eastAsia="Times New Roman" w:hAnsi="Arial" w:cs="Times New Roman"/>
          <w:i/>
          <w:color w:val="FFFFFF"/>
          <w:sz w:val="20"/>
          <w:lang w:val="en-US"/>
        </w:rPr>
      </w:pPr>
      <w:r w:rsidRPr="00036788">
        <w:rPr>
          <w:rFonts w:ascii="Arial" w:eastAsia="Times New Roman" w:hAnsi="Arial" w:cs="Times New Roman"/>
          <w:i/>
          <w:color w:val="FFFFFF"/>
          <w:sz w:val="20"/>
          <w:lang w:val="en-US"/>
        </w:rPr>
        <w:t>Display This Question:</w:t>
      </w:r>
    </w:p>
    <w:p w14:paraId="34DA0DF2" w14:textId="77777777" w:rsidR="00036788" w:rsidRPr="00036788" w:rsidRDefault="00036788" w:rsidP="00036788">
      <w:pPr>
        <w:keepNext/>
        <w:shd w:val="clear" w:color="auto" w:fill="6898BB"/>
        <w:spacing w:before="120" w:after="120" w:line="240" w:lineRule="auto"/>
        <w:ind w:firstLine="400"/>
        <w:jc w:val="left"/>
        <w:rPr>
          <w:rFonts w:ascii="Arial" w:eastAsia="Times New Roman" w:hAnsi="Arial" w:cs="Times New Roman"/>
          <w:i/>
          <w:color w:val="FFFFFF"/>
          <w:sz w:val="20"/>
          <w:lang w:val="en-US"/>
        </w:rPr>
      </w:pPr>
      <w:r w:rsidRPr="00036788">
        <w:rPr>
          <w:rFonts w:ascii="Arial" w:eastAsia="Times New Roman" w:hAnsi="Arial" w:cs="Times New Roman"/>
          <w:i/>
          <w:color w:val="FFFFFF"/>
          <w:sz w:val="20"/>
          <w:lang w:val="en-US"/>
        </w:rPr>
        <w:t>If Device Type Is Mobile</w:t>
      </w:r>
    </w:p>
    <w:p w14:paraId="2C55CC57" w14:textId="77777777" w:rsidR="00036788" w:rsidRPr="00036788" w:rsidRDefault="00036788" w:rsidP="00036788">
      <w:pPr>
        <w:spacing w:after="0" w:line="276" w:lineRule="auto"/>
        <w:jc w:val="left"/>
        <w:rPr>
          <w:rFonts w:ascii="Arial" w:eastAsia="Times New Roman" w:hAnsi="Arial" w:cs="Times New Roman"/>
          <w:sz w:val="22"/>
          <w:lang w:val="en-US"/>
        </w:rPr>
      </w:pPr>
    </w:p>
    <w:p w14:paraId="728CEDC2" w14:textId="77777777" w:rsidR="00036788" w:rsidRPr="00036788" w:rsidRDefault="00036788" w:rsidP="00036788">
      <w:pPr>
        <w:keepNext/>
        <w:spacing w:after="0" w:line="276" w:lineRule="auto"/>
        <w:jc w:val="left"/>
        <w:rPr>
          <w:rFonts w:ascii="Arial" w:eastAsia="Times New Roman" w:hAnsi="Arial" w:cs="Times New Roman"/>
          <w:sz w:val="22"/>
          <w:lang w:val="en-US"/>
        </w:rPr>
      </w:pPr>
      <w:r w:rsidRPr="00036788">
        <w:rPr>
          <w:rFonts w:ascii="Arial" w:eastAsia="Times New Roman" w:hAnsi="Arial" w:cs="Times New Roman"/>
          <w:sz w:val="22"/>
          <w:lang w:val="en-US"/>
        </w:rPr>
        <w:lastRenderedPageBreak/>
        <w:br/>
        <w:t xml:space="preserve">Please, use the player below to start your exploration.  </w:t>
      </w:r>
      <w:r w:rsidRPr="00036788">
        <w:rPr>
          <w:rFonts w:ascii="Arial" w:eastAsia="Times New Roman" w:hAnsi="Arial" w:cs="Times New Roman"/>
          <w:sz w:val="22"/>
          <w:lang w:val="en-US"/>
        </w:rPr>
        <w:br/>
        <w:t xml:space="preserve">It is essential that you activate the full screen (you can do this by clicking on this button   on the top right of the video </w:t>
      </w:r>
      <w:proofErr w:type="gramStart"/>
      <w:r w:rsidRPr="00036788">
        <w:rPr>
          <w:rFonts w:ascii="Arial" w:eastAsia="Times New Roman" w:hAnsi="Arial" w:cs="Times New Roman"/>
          <w:sz w:val="22"/>
          <w:lang w:val="en-US"/>
        </w:rPr>
        <w:t xml:space="preserve">frame)   </w:t>
      </w:r>
      <w:proofErr w:type="gramEnd"/>
      <w:r w:rsidRPr="00036788">
        <w:rPr>
          <w:rFonts w:ascii="Arial" w:eastAsia="Times New Roman" w:hAnsi="Arial" w:cs="Times New Roman"/>
          <w:sz w:val="22"/>
          <w:lang w:val="en-US"/>
        </w:rPr>
        <w:t xml:space="preserve"> </w:t>
      </w:r>
      <w:r w:rsidRPr="00036788">
        <w:rPr>
          <w:rFonts w:ascii="Arial" w:eastAsia="Times New Roman" w:hAnsi="Arial" w:cs="Times New Roman"/>
          <w:sz w:val="22"/>
          <w:lang w:val="en-US"/>
        </w:rPr>
        <w:br/>
        <w:t xml:space="preserve">  </w:t>
      </w:r>
    </w:p>
    <w:p w14:paraId="238A289C" w14:textId="77777777" w:rsidR="00036788" w:rsidRPr="00036788" w:rsidRDefault="00036788" w:rsidP="00036788">
      <w:pPr>
        <w:spacing w:after="0" w:line="276" w:lineRule="auto"/>
        <w:jc w:val="left"/>
        <w:rPr>
          <w:rFonts w:ascii="Arial" w:eastAsia="Times New Roman" w:hAnsi="Arial" w:cs="Times New Roman"/>
          <w:sz w:val="22"/>
          <w:lang w:val="en-US"/>
        </w:rPr>
      </w:pPr>
    </w:p>
    <w:p w14:paraId="0644A957" w14:textId="77777777" w:rsidR="00036788" w:rsidRPr="00036788" w:rsidRDefault="00036788" w:rsidP="00036788">
      <w:pPr>
        <w:pBdr>
          <w:top w:val="dashed" w:sz="8" w:space="0" w:color="CCCCCC"/>
        </w:pBdr>
        <w:spacing w:before="120" w:after="120" w:line="120" w:lineRule="auto"/>
        <w:jc w:val="left"/>
        <w:rPr>
          <w:rFonts w:ascii="Arial" w:eastAsia="Times New Roman" w:hAnsi="Arial" w:cs="Times New Roman"/>
          <w:sz w:val="22"/>
          <w:lang w:val="en-US"/>
        </w:rPr>
      </w:pPr>
    </w:p>
    <w:p w14:paraId="132118B8" w14:textId="77777777" w:rsidR="00036788" w:rsidRPr="00036788" w:rsidRDefault="00036788" w:rsidP="00036788">
      <w:pPr>
        <w:spacing w:before="120" w:after="0" w:line="240" w:lineRule="auto"/>
        <w:jc w:val="left"/>
        <w:rPr>
          <w:rFonts w:ascii="Arial" w:eastAsia="Times New Roman" w:hAnsi="Arial" w:cs="Times New Roman"/>
          <w:b/>
          <w:color w:val="CCCCCC"/>
          <w:sz w:val="22"/>
          <w:lang w:val="en-US"/>
        </w:rPr>
      </w:pPr>
      <w:r w:rsidRPr="00036788">
        <w:rPr>
          <w:rFonts w:ascii="Arial" w:eastAsia="Times New Roman" w:hAnsi="Arial" w:cs="Times New Roman"/>
          <w:b/>
          <w:color w:val="CCCCCC"/>
          <w:sz w:val="22"/>
          <w:lang w:val="en-US"/>
        </w:rPr>
        <w:t>End of Block: Uplift_tour1</w:t>
      </w:r>
    </w:p>
    <w:p w14:paraId="77BE0177" w14:textId="77777777" w:rsidR="00036788" w:rsidRPr="00036788" w:rsidRDefault="00036788" w:rsidP="00036788">
      <w:pPr>
        <w:pBdr>
          <w:bottom w:val="single" w:sz="8" w:space="0" w:color="CCCCCC"/>
        </w:pBdr>
        <w:spacing w:after="0" w:line="120" w:lineRule="auto"/>
        <w:jc w:val="center"/>
        <w:rPr>
          <w:rFonts w:ascii="Arial" w:eastAsia="Times New Roman" w:hAnsi="Arial" w:cs="Times New Roman"/>
          <w:b/>
          <w:color w:val="CCCCCC"/>
          <w:sz w:val="22"/>
          <w:lang w:val="en-US"/>
        </w:rPr>
      </w:pPr>
    </w:p>
    <w:p w14:paraId="4F4B1C07" w14:textId="77777777" w:rsidR="00036788" w:rsidRPr="00036788" w:rsidRDefault="00036788" w:rsidP="00036788">
      <w:pPr>
        <w:pBdr>
          <w:bottom w:val="single" w:sz="8" w:space="0" w:color="CCCCCC"/>
        </w:pBdr>
        <w:spacing w:after="0" w:line="120" w:lineRule="auto"/>
        <w:jc w:val="center"/>
        <w:rPr>
          <w:rFonts w:ascii="Arial" w:eastAsia="Times New Roman" w:hAnsi="Arial" w:cs="Times New Roman"/>
          <w:b/>
          <w:color w:val="CCCCCC"/>
          <w:sz w:val="22"/>
          <w:lang w:val="en-US"/>
        </w:rPr>
      </w:pPr>
    </w:p>
    <w:p w14:paraId="0F7F24AB" w14:textId="77777777" w:rsidR="00036788" w:rsidRPr="00036788" w:rsidRDefault="00036788" w:rsidP="00036788">
      <w:pPr>
        <w:spacing w:before="120" w:after="120" w:line="240" w:lineRule="auto"/>
        <w:jc w:val="left"/>
        <w:rPr>
          <w:rFonts w:ascii="Arial" w:eastAsia="Times New Roman" w:hAnsi="Arial" w:cs="Times New Roman"/>
          <w:b/>
          <w:color w:val="CCCCCC"/>
          <w:sz w:val="22"/>
          <w:lang w:val="en-US"/>
        </w:rPr>
      </w:pPr>
      <w:r w:rsidRPr="00036788">
        <w:rPr>
          <w:rFonts w:ascii="Arial" w:eastAsia="Times New Roman" w:hAnsi="Arial" w:cs="Times New Roman"/>
          <w:b/>
          <w:color w:val="CCCCCC"/>
          <w:sz w:val="22"/>
          <w:lang w:val="en-US"/>
        </w:rPr>
        <w:t>Start of Block: PanasX_Experiment_1&amp;3_Post</w:t>
      </w:r>
    </w:p>
    <w:tbl>
      <w:tblPr>
        <w:tblStyle w:val="QQuestionIconTable"/>
        <w:tblW w:w="50" w:type="auto"/>
        <w:tblLook w:val="07E0" w:firstRow="1" w:lastRow="1" w:firstColumn="1" w:lastColumn="1" w:noHBand="1" w:noVBand="1"/>
      </w:tblPr>
      <w:tblGrid>
        <w:gridCol w:w="380"/>
      </w:tblGrid>
      <w:tr w:rsidR="00036788" w:rsidRPr="00036788" w14:paraId="0D674325" w14:textId="77777777" w:rsidTr="005F7CE9">
        <w:tc>
          <w:tcPr>
            <w:tcW w:w="50" w:type="dxa"/>
          </w:tcPr>
          <w:p w14:paraId="1BAE6BB8" w14:textId="77777777" w:rsidR="00036788" w:rsidRPr="00036788" w:rsidRDefault="00036788" w:rsidP="00036788">
            <w:pPr>
              <w:keepNext/>
              <w:spacing w:line="240" w:lineRule="auto"/>
              <w:jc w:val="center"/>
              <w:rPr>
                <w:rFonts w:ascii="Arial" w:eastAsia="Times New Roman" w:hAnsi="Arial" w:cs="Times New Roman"/>
                <w:sz w:val="22"/>
                <w:lang w:val="en-US"/>
              </w:rPr>
            </w:pPr>
            <w:r w:rsidRPr="00036788">
              <w:rPr>
                <w:rFonts w:ascii="Arial" w:eastAsia="Times New Roman" w:hAnsi="Arial" w:cs="Times New Roman"/>
                <w:noProof/>
                <w:sz w:val="22"/>
                <w:lang w:val="en-US"/>
              </w:rPr>
              <w:drawing>
                <wp:inline distT="0" distB="0" distL="0" distR="0" wp14:anchorId="2948ED34" wp14:editId="6DC0B556">
                  <wp:extent cx="228600" cy="228600"/>
                  <wp:effectExtent l="0" t="0" r="0" b="0"/>
                  <wp:docPr id="7" name="WordQuestionRandomiza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WordQuestionRandomization.png"/>
                          <pic:cNvPicPr/>
                        </pic:nvPicPr>
                        <pic:blipFill>
                          <a:blip r:embed="rId68"/>
                          <a:stretch>
                            <a:fillRect/>
                          </a:stretch>
                        </pic:blipFill>
                        <pic:spPr>
                          <a:xfrm>
                            <a:off x="0" y="0"/>
                            <a:ext cx="228600" cy="228600"/>
                          </a:xfrm>
                          <a:prstGeom prst="rect">
                            <a:avLst/>
                          </a:prstGeom>
                        </pic:spPr>
                      </pic:pic>
                    </a:graphicData>
                  </a:graphic>
                </wp:inline>
              </w:drawing>
            </w:r>
          </w:p>
        </w:tc>
      </w:tr>
    </w:tbl>
    <w:p w14:paraId="4D8798FD" w14:textId="77777777" w:rsidR="00036788" w:rsidRPr="00036788" w:rsidRDefault="00036788" w:rsidP="00036788">
      <w:pPr>
        <w:spacing w:after="0" w:line="276" w:lineRule="auto"/>
        <w:jc w:val="left"/>
        <w:rPr>
          <w:rFonts w:ascii="Arial" w:eastAsia="Times New Roman" w:hAnsi="Arial" w:cs="Times New Roman"/>
          <w:sz w:val="22"/>
          <w:lang w:val="en-US"/>
        </w:rPr>
      </w:pPr>
    </w:p>
    <w:p w14:paraId="660504BD" w14:textId="77777777" w:rsidR="00036788" w:rsidRPr="00036788" w:rsidRDefault="00036788" w:rsidP="00036788">
      <w:pPr>
        <w:keepNext/>
        <w:spacing w:after="0" w:line="276" w:lineRule="auto"/>
        <w:jc w:val="left"/>
        <w:rPr>
          <w:rFonts w:ascii="Arial" w:eastAsia="Times New Roman" w:hAnsi="Arial" w:cs="Times New Roman"/>
          <w:sz w:val="22"/>
          <w:lang w:val="en-US"/>
        </w:rPr>
      </w:pPr>
      <w:r w:rsidRPr="00036788">
        <w:rPr>
          <w:rFonts w:ascii="Arial" w:eastAsia="Times New Roman" w:hAnsi="Arial" w:cs="Times New Roman"/>
          <w:sz w:val="22"/>
          <w:lang w:val="en-US"/>
        </w:rPr>
        <w:lastRenderedPageBreak/>
        <w:t>Please rate according to how you feel RIGHT NOW. You should answer this quickly based on your first instincts</w:t>
      </w:r>
    </w:p>
    <w:tbl>
      <w:tblPr>
        <w:tblStyle w:val="QQuestionTable4"/>
        <w:tblW w:w="9576" w:type="auto"/>
        <w:tblLook w:val="07E0" w:firstRow="1" w:lastRow="1" w:firstColumn="1" w:lastColumn="1" w:noHBand="1" w:noVBand="1"/>
      </w:tblPr>
      <w:tblGrid>
        <w:gridCol w:w="1596"/>
        <w:gridCol w:w="1596"/>
        <w:gridCol w:w="1596"/>
        <w:gridCol w:w="1596"/>
        <w:gridCol w:w="1596"/>
        <w:gridCol w:w="1596"/>
      </w:tblGrid>
      <w:tr w:rsidR="00036788" w:rsidRPr="00036788" w14:paraId="116222EE" w14:textId="77777777" w:rsidTr="005F7CE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96" w:type="dxa"/>
          </w:tcPr>
          <w:p w14:paraId="6993B6E7" w14:textId="77777777" w:rsidR="00036788" w:rsidRPr="00036788" w:rsidRDefault="00036788" w:rsidP="00036788">
            <w:pPr>
              <w:keepNext/>
              <w:spacing w:line="240" w:lineRule="auto"/>
              <w:jc w:val="center"/>
              <w:rPr>
                <w:rFonts w:ascii="Arial" w:hAnsi="Arial" w:cs="Times New Roman"/>
                <w:sz w:val="22"/>
                <w:lang w:val="en-US"/>
              </w:rPr>
            </w:pPr>
          </w:p>
        </w:tc>
        <w:tc>
          <w:tcPr>
            <w:tcW w:w="1596" w:type="dxa"/>
          </w:tcPr>
          <w:p w14:paraId="62DC9980" w14:textId="77777777" w:rsidR="00036788" w:rsidRPr="00036788" w:rsidRDefault="00036788" w:rsidP="00036788">
            <w:pPr>
              <w:spacing w:line="240" w:lineRule="auto"/>
              <w:jc w:val="center"/>
              <w:cnfStyle w:val="100000000000" w:firstRow="1" w:lastRow="0" w:firstColumn="0" w:lastColumn="0" w:oddVBand="0" w:evenVBand="0" w:oddHBand="0" w:evenHBand="0" w:firstRowFirstColumn="0" w:firstRowLastColumn="0" w:lastRowFirstColumn="0" w:lastRowLastColumn="0"/>
              <w:rPr>
                <w:rFonts w:ascii="Arial" w:hAnsi="Arial" w:cs="Times New Roman"/>
                <w:sz w:val="22"/>
                <w:lang w:val="en-US"/>
              </w:rPr>
            </w:pPr>
            <w:r w:rsidRPr="00036788">
              <w:rPr>
                <w:rFonts w:ascii="Arial" w:hAnsi="Arial" w:cs="Times New Roman"/>
                <w:sz w:val="22"/>
                <w:lang w:val="en-US"/>
              </w:rPr>
              <w:t>Not at all (1)</w:t>
            </w:r>
          </w:p>
        </w:tc>
        <w:tc>
          <w:tcPr>
            <w:tcW w:w="1596" w:type="dxa"/>
          </w:tcPr>
          <w:p w14:paraId="43F9BEAF" w14:textId="77777777" w:rsidR="00036788" w:rsidRPr="00036788" w:rsidRDefault="00036788" w:rsidP="00036788">
            <w:pPr>
              <w:spacing w:line="240" w:lineRule="auto"/>
              <w:jc w:val="center"/>
              <w:cnfStyle w:val="100000000000" w:firstRow="1" w:lastRow="0" w:firstColumn="0" w:lastColumn="0" w:oddVBand="0" w:evenVBand="0" w:oddHBand="0" w:evenHBand="0" w:firstRowFirstColumn="0" w:firstRowLastColumn="0" w:lastRowFirstColumn="0" w:lastRowLastColumn="0"/>
              <w:rPr>
                <w:rFonts w:ascii="Arial" w:hAnsi="Arial" w:cs="Times New Roman"/>
                <w:sz w:val="22"/>
                <w:lang w:val="en-US"/>
              </w:rPr>
            </w:pPr>
            <w:r w:rsidRPr="00036788">
              <w:rPr>
                <w:rFonts w:ascii="Arial" w:hAnsi="Arial" w:cs="Times New Roman"/>
                <w:sz w:val="22"/>
                <w:lang w:val="en-US"/>
              </w:rPr>
              <w:t>A little (2)</w:t>
            </w:r>
          </w:p>
        </w:tc>
        <w:tc>
          <w:tcPr>
            <w:tcW w:w="1596" w:type="dxa"/>
          </w:tcPr>
          <w:p w14:paraId="5F150ABA" w14:textId="77777777" w:rsidR="00036788" w:rsidRPr="00036788" w:rsidRDefault="00036788" w:rsidP="00036788">
            <w:pPr>
              <w:spacing w:line="240" w:lineRule="auto"/>
              <w:jc w:val="center"/>
              <w:cnfStyle w:val="100000000000" w:firstRow="1" w:lastRow="0" w:firstColumn="0" w:lastColumn="0" w:oddVBand="0" w:evenVBand="0" w:oddHBand="0" w:evenHBand="0" w:firstRowFirstColumn="0" w:firstRowLastColumn="0" w:lastRowFirstColumn="0" w:lastRowLastColumn="0"/>
              <w:rPr>
                <w:rFonts w:ascii="Arial" w:hAnsi="Arial" w:cs="Times New Roman"/>
                <w:sz w:val="22"/>
                <w:lang w:val="en-US"/>
              </w:rPr>
            </w:pPr>
            <w:r w:rsidRPr="00036788">
              <w:rPr>
                <w:rFonts w:ascii="Arial" w:hAnsi="Arial" w:cs="Times New Roman"/>
                <w:sz w:val="22"/>
                <w:lang w:val="en-US"/>
              </w:rPr>
              <w:t>Moderately (3)</w:t>
            </w:r>
          </w:p>
        </w:tc>
        <w:tc>
          <w:tcPr>
            <w:tcW w:w="1596" w:type="dxa"/>
          </w:tcPr>
          <w:p w14:paraId="45496287" w14:textId="77777777" w:rsidR="00036788" w:rsidRPr="00036788" w:rsidRDefault="00036788" w:rsidP="00036788">
            <w:pPr>
              <w:spacing w:line="240" w:lineRule="auto"/>
              <w:jc w:val="center"/>
              <w:cnfStyle w:val="100000000000" w:firstRow="1" w:lastRow="0" w:firstColumn="0" w:lastColumn="0" w:oddVBand="0" w:evenVBand="0" w:oddHBand="0" w:evenHBand="0" w:firstRowFirstColumn="0" w:firstRowLastColumn="0" w:lastRowFirstColumn="0" w:lastRowLastColumn="0"/>
              <w:rPr>
                <w:rFonts w:ascii="Arial" w:hAnsi="Arial" w:cs="Times New Roman"/>
                <w:sz w:val="22"/>
                <w:lang w:val="en-US"/>
              </w:rPr>
            </w:pPr>
            <w:r w:rsidRPr="00036788">
              <w:rPr>
                <w:rFonts w:ascii="Arial" w:hAnsi="Arial" w:cs="Times New Roman"/>
                <w:sz w:val="22"/>
                <w:lang w:val="en-US"/>
              </w:rPr>
              <w:t>Quite a bit (4)</w:t>
            </w:r>
          </w:p>
        </w:tc>
        <w:tc>
          <w:tcPr>
            <w:tcW w:w="1596" w:type="dxa"/>
          </w:tcPr>
          <w:p w14:paraId="2B55B088" w14:textId="77777777" w:rsidR="00036788" w:rsidRPr="00036788" w:rsidRDefault="00036788" w:rsidP="00036788">
            <w:pPr>
              <w:spacing w:line="240" w:lineRule="auto"/>
              <w:jc w:val="center"/>
              <w:cnfStyle w:val="100000000000" w:firstRow="1" w:lastRow="0" w:firstColumn="0" w:lastColumn="0" w:oddVBand="0" w:evenVBand="0" w:oddHBand="0" w:evenHBand="0" w:firstRowFirstColumn="0" w:firstRowLastColumn="0" w:lastRowFirstColumn="0" w:lastRowLastColumn="0"/>
              <w:rPr>
                <w:rFonts w:ascii="Arial" w:hAnsi="Arial" w:cs="Times New Roman"/>
                <w:sz w:val="22"/>
                <w:lang w:val="en-US"/>
              </w:rPr>
            </w:pPr>
            <w:r w:rsidRPr="00036788">
              <w:rPr>
                <w:rFonts w:ascii="Arial" w:hAnsi="Arial" w:cs="Times New Roman"/>
                <w:sz w:val="22"/>
                <w:lang w:val="en-US"/>
              </w:rPr>
              <w:t>Extremely (5)</w:t>
            </w:r>
          </w:p>
        </w:tc>
      </w:tr>
      <w:tr w:rsidR="00036788" w:rsidRPr="00036788" w14:paraId="4A4BDED9" w14:textId="77777777" w:rsidTr="005F7CE9">
        <w:tc>
          <w:tcPr>
            <w:cnfStyle w:val="001000000000" w:firstRow="0" w:lastRow="0" w:firstColumn="1" w:lastColumn="0" w:oddVBand="0" w:evenVBand="0" w:oddHBand="0" w:evenHBand="0" w:firstRowFirstColumn="0" w:firstRowLastColumn="0" w:lastRowFirstColumn="0" w:lastRowLastColumn="0"/>
            <w:tcW w:w="1596" w:type="dxa"/>
          </w:tcPr>
          <w:p w14:paraId="7CE2CFE9" w14:textId="77777777" w:rsidR="00036788" w:rsidRPr="00036788" w:rsidRDefault="00036788" w:rsidP="00036788">
            <w:pPr>
              <w:keepNext/>
              <w:spacing w:line="240" w:lineRule="auto"/>
              <w:jc w:val="center"/>
              <w:rPr>
                <w:rFonts w:ascii="Arial" w:hAnsi="Arial" w:cs="Times New Roman"/>
                <w:sz w:val="22"/>
                <w:lang w:val="en-US"/>
              </w:rPr>
            </w:pPr>
            <w:r w:rsidRPr="00036788">
              <w:rPr>
                <w:rFonts w:ascii="Arial" w:hAnsi="Arial" w:cs="Times New Roman"/>
                <w:sz w:val="22"/>
                <w:lang w:val="en-US"/>
              </w:rPr>
              <w:t xml:space="preserve">Happy (1) </w:t>
            </w:r>
          </w:p>
        </w:tc>
        <w:tc>
          <w:tcPr>
            <w:tcW w:w="1596" w:type="dxa"/>
          </w:tcPr>
          <w:p w14:paraId="244F1A7A"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09B7857A"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608853EA"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6908137E"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75E0C0A8"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r>
      <w:tr w:rsidR="00036788" w:rsidRPr="00036788" w14:paraId="49B3363F" w14:textId="77777777" w:rsidTr="005F7CE9">
        <w:tc>
          <w:tcPr>
            <w:cnfStyle w:val="001000000000" w:firstRow="0" w:lastRow="0" w:firstColumn="1" w:lastColumn="0" w:oddVBand="0" w:evenVBand="0" w:oddHBand="0" w:evenHBand="0" w:firstRowFirstColumn="0" w:firstRowLastColumn="0" w:lastRowFirstColumn="0" w:lastRowLastColumn="0"/>
            <w:tcW w:w="1596" w:type="dxa"/>
          </w:tcPr>
          <w:p w14:paraId="5BB1015F" w14:textId="77777777" w:rsidR="00036788" w:rsidRPr="00036788" w:rsidRDefault="00036788" w:rsidP="00036788">
            <w:pPr>
              <w:keepNext/>
              <w:spacing w:line="240" w:lineRule="auto"/>
              <w:jc w:val="center"/>
              <w:rPr>
                <w:rFonts w:ascii="Arial" w:hAnsi="Arial" w:cs="Times New Roman"/>
                <w:sz w:val="22"/>
                <w:lang w:val="en-US"/>
              </w:rPr>
            </w:pPr>
            <w:r w:rsidRPr="00036788">
              <w:rPr>
                <w:rFonts w:ascii="Arial" w:hAnsi="Arial" w:cs="Times New Roman"/>
                <w:sz w:val="22"/>
                <w:lang w:val="en-US"/>
              </w:rPr>
              <w:t xml:space="preserve">Joyful (2) </w:t>
            </w:r>
          </w:p>
        </w:tc>
        <w:tc>
          <w:tcPr>
            <w:tcW w:w="1596" w:type="dxa"/>
          </w:tcPr>
          <w:p w14:paraId="308E91D9"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687E00BB"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44EEEA0A"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1C954EE3"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2700185C"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r>
      <w:tr w:rsidR="00036788" w:rsidRPr="00036788" w14:paraId="49B45E21" w14:textId="77777777" w:rsidTr="005F7CE9">
        <w:tc>
          <w:tcPr>
            <w:cnfStyle w:val="001000000000" w:firstRow="0" w:lastRow="0" w:firstColumn="1" w:lastColumn="0" w:oddVBand="0" w:evenVBand="0" w:oddHBand="0" w:evenHBand="0" w:firstRowFirstColumn="0" w:firstRowLastColumn="0" w:lastRowFirstColumn="0" w:lastRowLastColumn="0"/>
            <w:tcW w:w="1596" w:type="dxa"/>
          </w:tcPr>
          <w:p w14:paraId="7B34EAE5" w14:textId="77777777" w:rsidR="00036788" w:rsidRPr="00036788" w:rsidRDefault="00036788" w:rsidP="00036788">
            <w:pPr>
              <w:keepNext/>
              <w:spacing w:line="240" w:lineRule="auto"/>
              <w:jc w:val="center"/>
              <w:rPr>
                <w:rFonts w:ascii="Arial" w:hAnsi="Arial" w:cs="Times New Roman"/>
                <w:sz w:val="22"/>
                <w:lang w:val="en-US"/>
              </w:rPr>
            </w:pPr>
            <w:r w:rsidRPr="00036788">
              <w:rPr>
                <w:rFonts w:ascii="Arial" w:hAnsi="Arial" w:cs="Times New Roman"/>
                <w:sz w:val="22"/>
                <w:lang w:val="en-US"/>
              </w:rPr>
              <w:t xml:space="preserve">Delighted (3) </w:t>
            </w:r>
          </w:p>
        </w:tc>
        <w:tc>
          <w:tcPr>
            <w:tcW w:w="1596" w:type="dxa"/>
          </w:tcPr>
          <w:p w14:paraId="3824557E"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64F097D1"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7CFD0CFB"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12E7F425"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678DE5C3"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r>
      <w:tr w:rsidR="00036788" w:rsidRPr="00036788" w14:paraId="3C39DEAF" w14:textId="77777777" w:rsidTr="005F7CE9">
        <w:tc>
          <w:tcPr>
            <w:cnfStyle w:val="001000000000" w:firstRow="0" w:lastRow="0" w:firstColumn="1" w:lastColumn="0" w:oddVBand="0" w:evenVBand="0" w:oddHBand="0" w:evenHBand="0" w:firstRowFirstColumn="0" w:firstRowLastColumn="0" w:lastRowFirstColumn="0" w:lastRowLastColumn="0"/>
            <w:tcW w:w="1596" w:type="dxa"/>
          </w:tcPr>
          <w:p w14:paraId="278BEE3C" w14:textId="77777777" w:rsidR="00036788" w:rsidRPr="00036788" w:rsidRDefault="00036788" w:rsidP="00036788">
            <w:pPr>
              <w:keepNext/>
              <w:spacing w:line="240" w:lineRule="auto"/>
              <w:jc w:val="center"/>
              <w:rPr>
                <w:rFonts w:ascii="Arial" w:hAnsi="Arial" w:cs="Times New Roman"/>
                <w:sz w:val="22"/>
                <w:lang w:val="en-US"/>
              </w:rPr>
            </w:pPr>
            <w:r w:rsidRPr="00036788">
              <w:rPr>
                <w:rFonts w:ascii="Arial" w:hAnsi="Arial" w:cs="Times New Roman"/>
                <w:sz w:val="22"/>
                <w:lang w:val="en-US"/>
              </w:rPr>
              <w:t xml:space="preserve">Cheerful (4) </w:t>
            </w:r>
          </w:p>
        </w:tc>
        <w:tc>
          <w:tcPr>
            <w:tcW w:w="1596" w:type="dxa"/>
          </w:tcPr>
          <w:p w14:paraId="3E3F29E5"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18371594"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14438B03"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7E38A710"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5E6DFAC2"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r>
      <w:tr w:rsidR="00036788" w:rsidRPr="00036788" w14:paraId="685B97D4" w14:textId="77777777" w:rsidTr="005F7CE9">
        <w:tc>
          <w:tcPr>
            <w:cnfStyle w:val="001000000000" w:firstRow="0" w:lastRow="0" w:firstColumn="1" w:lastColumn="0" w:oddVBand="0" w:evenVBand="0" w:oddHBand="0" w:evenHBand="0" w:firstRowFirstColumn="0" w:firstRowLastColumn="0" w:lastRowFirstColumn="0" w:lastRowLastColumn="0"/>
            <w:tcW w:w="1596" w:type="dxa"/>
          </w:tcPr>
          <w:p w14:paraId="1320C33B" w14:textId="77777777" w:rsidR="00036788" w:rsidRPr="00036788" w:rsidRDefault="00036788" w:rsidP="00036788">
            <w:pPr>
              <w:keepNext/>
              <w:spacing w:line="240" w:lineRule="auto"/>
              <w:jc w:val="center"/>
              <w:rPr>
                <w:rFonts w:ascii="Arial" w:hAnsi="Arial" w:cs="Times New Roman"/>
                <w:sz w:val="22"/>
                <w:lang w:val="en-US"/>
              </w:rPr>
            </w:pPr>
            <w:r w:rsidRPr="00036788">
              <w:rPr>
                <w:rFonts w:ascii="Arial" w:hAnsi="Arial" w:cs="Times New Roman"/>
                <w:sz w:val="22"/>
                <w:lang w:val="en-US"/>
              </w:rPr>
              <w:t xml:space="preserve">Excited (5) </w:t>
            </w:r>
          </w:p>
        </w:tc>
        <w:tc>
          <w:tcPr>
            <w:tcW w:w="1596" w:type="dxa"/>
          </w:tcPr>
          <w:p w14:paraId="6AEE783C"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598792C7"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4116B53C"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1F338994"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1731B0E2"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r>
      <w:tr w:rsidR="00036788" w:rsidRPr="00036788" w14:paraId="399E18B5" w14:textId="77777777" w:rsidTr="005F7CE9">
        <w:tc>
          <w:tcPr>
            <w:cnfStyle w:val="001000000000" w:firstRow="0" w:lastRow="0" w:firstColumn="1" w:lastColumn="0" w:oddVBand="0" w:evenVBand="0" w:oddHBand="0" w:evenHBand="0" w:firstRowFirstColumn="0" w:firstRowLastColumn="0" w:lastRowFirstColumn="0" w:lastRowLastColumn="0"/>
            <w:tcW w:w="1596" w:type="dxa"/>
          </w:tcPr>
          <w:p w14:paraId="1CDC9608" w14:textId="77777777" w:rsidR="00036788" w:rsidRPr="00036788" w:rsidRDefault="00036788" w:rsidP="00036788">
            <w:pPr>
              <w:keepNext/>
              <w:spacing w:line="240" w:lineRule="auto"/>
              <w:jc w:val="center"/>
              <w:rPr>
                <w:rFonts w:ascii="Arial" w:hAnsi="Arial" w:cs="Times New Roman"/>
                <w:sz w:val="22"/>
                <w:lang w:val="en-US"/>
              </w:rPr>
            </w:pPr>
            <w:r w:rsidRPr="00036788">
              <w:rPr>
                <w:rFonts w:ascii="Arial" w:hAnsi="Arial" w:cs="Times New Roman"/>
                <w:sz w:val="22"/>
                <w:lang w:val="en-US"/>
              </w:rPr>
              <w:t xml:space="preserve">Enthusiastic (6) </w:t>
            </w:r>
          </w:p>
        </w:tc>
        <w:tc>
          <w:tcPr>
            <w:tcW w:w="1596" w:type="dxa"/>
          </w:tcPr>
          <w:p w14:paraId="5574679A"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6DB76FB6"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3145811E"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52773A3B"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4301DD93"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r>
      <w:tr w:rsidR="00036788" w:rsidRPr="00036788" w14:paraId="4C3D8561" w14:textId="77777777" w:rsidTr="005F7CE9">
        <w:tc>
          <w:tcPr>
            <w:cnfStyle w:val="001000000000" w:firstRow="0" w:lastRow="0" w:firstColumn="1" w:lastColumn="0" w:oddVBand="0" w:evenVBand="0" w:oddHBand="0" w:evenHBand="0" w:firstRowFirstColumn="0" w:firstRowLastColumn="0" w:lastRowFirstColumn="0" w:lastRowLastColumn="0"/>
            <w:tcW w:w="1596" w:type="dxa"/>
          </w:tcPr>
          <w:p w14:paraId="0126BC76" w14:textId="77777777" w:rsidR="00036788" w:rsidRPr="00036788" w:rsidRDefault="00036788" w:rsidP="00036788">
            <w:pPr>
              <w:keepNext/>
              <w:spacing w:line="240" w:lineRule="auto"/>
              <w:jc w:val="center"/>
              <w:rPr>
                <w:rFonts w:ascii="Arial" w:hAnsi="Arial" w:cs="Times New Roman"/>
                <w:sz w:val="22"/>
                <w:lang w:val="en-US"/>
              </w:rPr>
            </w:pPr>
            <w:r w:rsidRPr="00036788">
              <w:rPr>
                <w:rFonts w:ascii="Arial" w:hAnsi="Arial" w:cs="Times New Roman"/>
                <w:sz w:val="22"/>
                <w:lang w:val="en-US"/>
              </w:rPr>
              <w:t xml:space="preserve">Lively (7) </w:t>
            </w:r>
          </w:p>
        </w:tc>
        <w:tc>
          <w:tcPr>
            <w:tcW w:w="1596" w:type="dxa"/>
          </w:tcPr>
          <w:p w14:paraId="4618B323"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3C9D2F5E"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752EEC6E"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24313C83"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0FEB2D82"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r>
      <w:tr w:rsidR="00036788" w:rsidRPr="00036788" w14:paraId="3C38B04C" w14:textId="77777777" w:rsidTr="005F7CE9">
        <w:tc>
          <w:tcPr>
            <w:cnfStyle w:val="001000000000" w:firstRow="0" w:lastRow="0" w:firstColumn="1" w:lastColumn="0" w:oddVBand="0" w:evenVBand="0" w:oddHBand="0" w:evenHBand="0" w:firstRowFirstColumn="0" w:firstRowLastColumn="0" w:lastRowFirstColumn="0" w:lastRowLastColumn="0"/>
            <w:tcW w:w="1596" w:type="dxa"/>
          </w:tcPr>
          <w:p w14:paraId="6F32BA12" w14:textId="77777777" w:rsidR="00036788" w:rsidRPr="00036788" w:rsidRDefault="00036788" w:rsidP="00036788">
            <w:pPr>
              <w:keepNext/>
              <w:spacing w:line="240" w:lineRule="auto"/>
              <w:jc w:val="center"/>
              <w:rPr>
                <w:rFonts w:ascii="Arial" w:hAnsi="Arial" w:cs="Times New Roman"/>
                <w:sz w:val="22"/>
                <w:lang w:val="en-US"/>
              </w:rPr>
            </w:pPr>
            <w:r w:rsidRPr="00036788">
              <w:rPr>
                <w:rFonts w:ascii="Arial" w:hAnsi="Arial" w:cs="Times New Roman"/>
                <w:sz w:val="22"/>
                <w:lang w:val="en-US"/>
              </w:rPr>
              <w:t xml:space="preserve">Energetic (8) </w:t>
            </w:r>
          </w:p>
        </w:tc>
        <w:tc>
          <w:tcPr>
            <w:tcW w:w="1596" w:type="dxa"/>
          </w:tcPr>
          <w:p w14:paraId="08192A98"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4883CBFB"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03352FF5"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2A7D8054"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2BB0E472"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r>
      <w:tr w:rsidR="00036788" w:rsidRPr="00036788" w14:paraId="2D27AB79" w14:textId="77777777" w:rsidTr="005F7CE9">
        <w:tc>
          <w:tcPr>
            <w:cnfStyle w:val="001000000000" w:firstRow="0" w:lastRow="0" w:firstColumn="1" w:lastColumn="0" w:oddVBand="0" w:evenVBand="0" w:oddHBand="0" w:evenHBand="0" w:firstRowFirstColumn="0" w:firstRowLastColumn="0" w:lastRowFirstColumn="0" w:lastRowLastColumn="0"/>
            <w:tcW w:w="1596" w:type="dxa"/>
          </w:tcPr>
          <w:p w14:paraId="65D02701" w14:textId="77777777" w:rsidR="00036788" w:rsidRPr="00036788" w:rsidRDefault="00036788" w:rsidP="00036788">
            <w:pPr>
              <w:keepNext/>
              <w:spacing w:line="240" w:lineRule="auto"/>
              <w:jc w:val="center"/>
              <w:rPr>
                <w:rFonts w:ascii="Arial" w:hAnsi="Arial" w:cs="Times New Roman"/>
                <w:sz w:val="22"/>
                <w:lang w:val="en-US"/>
              </w:rPr>
            </w:pPr>
            <w:r w:rsidRPr="00036788">
              <w:rPr>
                <w:rFonts w:ascii="Arial" w:hAnsi="Arial" w:cs="Times New Roman"/>
                <w:sz w:val="22"/>
                <w:lang w:val="en-US"/>
              </w:rPr>
              <w:t xml:space="preserve">Calm (9) </w:t>
            </w:r>
          </w:p>
        </w:tc>
        <w:tc>
          <w:tcPr>
            <w:tcW w:w="1596" w:type="dxa"/>
          </w:tcPr>
          <w:p w14:paraId="7D753191"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13FB9093"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34E6057C"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776D34B8"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338C6C68"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r>
      <w:tr w:rsidR="00036788" w:rsidRPr="00036788" w14:paraId="7C87F899" w14:textId="77777777" w:rsidTr="005F7CE9">
        <w:tc>
          <w:tcPr>
            <w:cnfStyle w:val="001000000000" w:firstRow="0" w:lastRow="0" w:firstColumn="1" w:lastColumn="0" w:oddVBand="0" w:evenVBand="0" w:oddHBand="0" w:evenHBand="0" w:firstRowFirstColumn="0" w:firstRowLastColumn="0" w:lastRowFirstColumn="0" w:lastRowLastColumn="0"/>
            <w:tcW w:w="1596" w:type="dxa"/>
          </w:tcPr>
          <w:p w14:paraId="65EA04B1" w14:textId="77777777" w:rsidR="00036788" w:rsidRPr="00036788" w:rsidRDefault="00036788" w:rsidP="00036788">
            <w:pPr>
              <w:keepNext/>
              <w:spacing w:line="240" w:lineRule="auto"/>
              <w:jc w:val="center"/>
              <w:rPr>
                <w:rFonts w:ascii="Arial" w:hAnsi="Arial" w:cs="Times New Roman"/>
                <w:sz w:val="22"/>
                <w:lang w:val="en-US"/>
              </w:rPr>
            </w:pPr>
            <w:r w:rsidRPr="00036788">
              <w:rPr>
                <w:rFonts w:ascii="Arial" w:hAnsi="Arial" w:cs="Times New Roman"/>
                <w:sz w:val="22"/>
                <w:lang w:val="en-US"/>
              </w:rPr>
              <w:t xml:space="preserve">Relaxed (10) </w:t>
            </w:r>
          </w:p>
        </w:tc>
        <w:tc>
          <w:tcPr>
            <w:tcW w:w="1596" w:type="dxa"/>
          </w:tcPr>
          <w:p w14:paraId="5DC2DBEE"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177C2D4E"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11E2B5C6"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41641564"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37957A77"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r>
      <w:tr w:rsidR="00036788" w:rsidRPr="00036788" w14:paraId="1AE7C07B" w14:textId="77777777" w:rsidTr="005F7CE9">
        <w:tc>
          <w:tcPr>
            <w:cnfStyle w:val="001000000000" w:firstRow="0" w:lastRow="0" w:firstColumn="1" w:lastColumn="0" w:oddVBand="0" w:evenVBand="0" w:oddHBand="0" w:evenHBand="0" w:firstRowFirstColumn="0" w:firstRowLastColumn="0" w:lastRowFirstColumn="0" w:lastRowLastColumn="0"/>
            <w:tcW w:w="1596" w:type="dxa"/>
          </w:tcPr>
          <w:p w14:paraId="07590FD4" w14:textId="77777777" w:rsidR="00036788" w:rsidRPr="00036788" w:rsidRDefault="00036788" w:rsidP="00036788">
            <w:pPr>
              <w:keepNext/>
              <w:spacing w:line="240" w:lineRule="auto"/>
              <w:jc w:val="center"/>
              <w:rPr>
                <w:rFonts w:ascii="Arial" w:hAnsi="Arial" w:cs="Times New Roman"/>
                <w:sz w:val="22"/>
                <w:lang w:val="en-US"/>
              </w:rPr>
            </w:pPr>
            <w:r w:rsidRPr="00036788">
              <w:rPr>
                <w:rFonts w:ascii="Arial" w:hAnsi="Arial" w:cs="Times New Roman"/>
                <w:sz w:val="22"/>
                <w:lang w:val="en-US"/>
              </w:rPr>
              <w:t xml:space="preserve">At ease (11) </w:t>
            </w:r>
          </w:p>
        </w:tc>
        <w:tc>
          <w:tcPr>
            <w:tcW w:w="1596" w:type="dxa"/>
          </w:tcPr>
          <w:p w14:paraId="7EC0F06F"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4AD4C9E9"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6052C596"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6272F271"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6ECBC8EB"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r>
      <w:tr w:rsidR="00036788" w:rsidRPr="00036788" w14:paraId="430A8E87" w14:textId="77777777" w:rsidTr="005F7CE9">
        <w:tc>
          <w:tcPr>
            <w:cnfStyle w:val="001000000000" w:firstRow="0" w:lastRow="0" w:firstColumn="1" w:lastColumn="0" w:oddVBand="0" w:evenVBand="0" w:oddHBand="0" w:evenHBand="0" w:firstRowFirstColumn="0" w:firstRowLastColumn="0" w:lastRowFirstColumn="0" w:lastRowLastColumn="0"/>
            <w:tcW w:w="1596" w:type="dxa"/>
          </w:tcPr>
          <w:p w14:paraId="47CFF1BF" w14:textId="77777777" w:rsidR="00036788" w:rsidRPr="00036788" w:rsidRDefault="00036788" w:rsidP="00036788">
            <w:pPr>
              <w:keepNext/>
              <w:spacing w:line="240" w:lineRule="auto"/>
              <w:jc w:val="center"/>
              <w:rPr>
                <w:rFonts w:ascii="Arial" w:hAnsi="Arial" w:cs="Times New Roman"/>
                <w:sz w:val="22"/>
                <w:lang w:val="en-US"/>
              </w:rPr>
            </w:pPr>
            <w:r w:rsidRPr="00036788">
              <w:rPr>
                <w:rFonts w:ascii="Arial" w:hAnsi="Arial" w:cs="Times New Roman"/>
                <w:sz w:val="22"/>
                <w:lang w:val="en-US"/>
              </w:rPr>
              <w:t xml:space="preserve">Afraid (12) </w:t>
            </w:r>
          </w:p>
        </w:tc>
        <w:tc>
          <w:tcPr>
            <w:tcW w:w="1596" w:type="dxa"/>
          </w:tcPr>
          <w:p w14:paraId="0F79F5AB"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54D26D52"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27B8D894"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79596DEB"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76DACD80"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r>
      <w:tr w:rsidR="00036788" w:rsidRPr="00036788" w14:paraId="48124550" w14:textId="77777777" w:rsidTr="005F7CE9">
        <w:tc>
          <w:tcPr>
            <w:cnfStyle w:val="001000000000" w:firstRow="0" w:lastRow="0" w:firstColumn="1" w:lastColumn="0" w:oddVBand="0" w:evenVBand="0" w:oddHBand="0" w:evenHBand="0" w:firstRowFirstColumn="0" w:firstRowLastColumn="0" w:lastRowFirstColumn="0" w:lastRowLastColumn="0"/>
            <w:tcW w:w="1596" w:type="dxa"/>
          </w:tcPr>
          <w:p w14:paraId="070AA198" w14:textId="77777777" w:rsidR="00036788" w:rsidRPr="00036788" w:rsidRDefault="00036788" w:rsidP="00036788">
            <w:pPr>
              <w:keepNext/>
              <w:spacing w:line="240" w:lineRule="auto"/>
              <w:jc w:val="center"/>
              <w:rPr>
                <w:rFonts w:ascii="Arial" w:hAnsi="Arial" w:cs="Times New Roman"/>
                <w:sz w:val="22"/>
                <w:lang w:val="en-US"/>
              </w:rPr>
            </w:pPr>
            <w:r w:rsidRPr="00036788">
              <w:rPr>
                <w:rFonts w:ascii="Arial" w:hAnsi="Arial" w:cs="Times New Roman"/>
                <w:sz w:val="22"/>
                <w:lang w:val="en-US"/>
              </w:rPr>
              <w:t xml:space="preserve">Upset (13) </w:t>
            </w:r>
          </w:p>
        </w:tc>
        <w:tc>
          <w:tcPr>
            <w:tcW w:w="1596" w:type="dxa"/>
          </w:tcPr>
          <w:p w14:paraId="3DE601CF"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3BE047E1"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263248E0"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72226D73"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2DCDB7D6"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r>
      <w:tr w:rsidR="00036788" w:rsidRPr="00036788" w14:paraId="700E6002" w14:textId="77777777" w:rsidTr="005F7CE9">
        <w:tc>
          <w:tcPr>
            <w:cnfStyle w:val="001000000000" w:firstRow="0" w:lastRow="0" w:firstColumn="1" w:lastColumn="0" w:oddVBand="0" w:evenVBand="0" w:oddHBand="0" w:evenHBand="0" w:firstRowFirstColumn="0" w:firstRowLastColumn="0" w:lastRowFirstColumn="0" w:lastRowLastColumn="0"/>
            <w:tcW w:w="1596" w:type="dxa"/>
          </w:tcPr>
          <w:p w14:paraId="7FF9ED38" w14:textId="77777777" w:rsidR="00036788" w:rsidRPr="00036788" w:rsidRDefault="00036788" w:rsidP="00036788">
            <w:pPr>
              <w:keepNext/>
              <w:spacing w:line="240" w:lineRule="auto"/>
              <w:jc w:val="center"/>
              <w:rPr>
                <w:rFonts w:ascii="Arial" w:hAnsi="Arial" w:cs="Times New Roman"/>
                <w:sz w:val="22"/>
                <w:lang w:val="en-US"/>
              </w:rPr>
            </w:pPr>
            <w:r w:rsidRPr="00036788">
              <w:rPr>
                <w:rFonts w:ascii="Arial" w:hAnsi="Arial" w:cs="Times New Roman"/>
                <w:sz w:val="22"/>
                <w:lang w:val="en-US"/>
              </w:rPr>
              <w:t xml:space="preserve">Hostile (14) </w:t>
            </w:r>
          </w:p>
        </w:tc>
        <w:tc>
          <w:tcPr>
            <w:tcW w:w="1596" w:type="dxa"/>
          </w:tcPr>
          <w:p w14:paraId="320E7169"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6F218A8E"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74CD5960"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04EAB862"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3BB0287F"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r>
      <w:tr w:rsidR="00036788" w:rsidRPr="00036788" w14:paraId="54B5486A" w14:textId="77777777" w:rsidTr="005F7CE9">
        <w:tc>
          <w:tcPr>
            <w:cnfStyle w:val="001000000000" w:firstRow="0" w:lastRow="0" w:firstColumn="1" w:lastColumn="0" w:oddVBand="0" w:evenVBand="0" w:oddHBand="0" w:evenHBand="0" w:firstRowFirstColumn="0" w:firstRowLastColumn="0" w:lastRowFirstColumn="0" w:lastRowLastColumn="0"/>
            <w:tcW w:w="1596" w:type="dxa"/>
          </w:tcPr>
          <w:p w14:paraId="72861EB1" w14:textId="77777777" w:rsidR="00036788" w:rsidRPr="00036788" w:rsidRDefault="00036788" w:rsidP="00036788">
            <w:pPr>
              <w:keepNext/>
              <w:spacing w:line="240" w:lineRule="auto"/>
              <w:jc w:val="center"/>
              <w:rPr>
                <w:rFonts w:ascii="Arial" w:hAnsi="Arial" w:cs="Times New Roman"/>
                <w:sz w:val="22"/>
                <w:lang w:val="en-US"/>
              </w:rPr>
            </w:pPr>
            <w:r w:rsidRPr="00036788">
              <w:rPr>
                <w:rFonts w:ascii="Arial" w:hAnsi="Arial" w:cs="Times New Roman"/>
                <w:sz w:val="22"/>
                <w:lang w:val="en-US"/>
              </w:rPr>
              <w:t xml:space="preserve">Ashamed (15) </w:t>
            </w:r>
          </w:p>
        </w:tc>
        <w:tc>
          <w:tcPr>
            <w:tcW w:w="1596" w:type="dxa"/>
          </w:tcPr>
          <w:p w14:paraId="1E5450C8"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23ABD276"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11B5CF7D"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06E5A0FE"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325DD4B1"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r>
      <w:tr w:rsidR="00036788" w:rsidRPr="00036788" w14:paraId="201092D0" w14:textId="77777777" w:rsidTr="005F7CE9">
        <w:tc>
          <w:tcPr>
            <w:cnfStyle w:val="001000000000" w:firstRow="0" w:lastRow="0" w:firstColumn="1" w:lastColumn="0" w:oddVBand="0" w:evenVBand="0" w:oddHBand="0" w:evenHBand="0" w:firstRowFirstColumn="0" w:firstRowLastColumn="0" w:lastRowFirstColumn="0" w:lastRowLastColumn="0"/>
            <w:tcW w:w="1596" w:type="dxa"/>
          </w:tcPr>
          <w:p w14:paraId="49A7FA9A" w14:textId="77777777" w:rsidR="00036788" w:rsidRPr="00036788" w:rsidRDefault="00036788" w:rsidP="00036788">
            <w:pPr>
              <w:keepNext/>
              <w:spacing w:line="240" w:lineRule="auto"/>
              <w:jc w:val="center"/>
              <w:rPr>
                <w:rFonts w:ascii="Arial" w:hAnsi="Arial" w:cs="Times New Roman"/>
                <w:sz w:val="22"/>
                <w:lang w:val="en-US"/>
              </w:rPr>
            </w:pPr>
            <w:r w:rsidRPr="00036788">
              <w:rPr>
                <w:rFonts w:ascii="Arial" w:hAnsi="Arial" w:cs="Times New Roman"/>
                <w:sz w:val="22"/>
                <w:lang w:val="en-US"/>
              </w:rPr>
              <w:t xml:space="preserve">Nervous (16) </w:t>
            </w:r>
          </w:p>
        </w:tc>
        <w:tc>
          <w:tcPr>
            <w:tcW w:w="1596" w:type="dxa"/>
          </w:tcPr>
          <w:p w14:paraId="4C45B598"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29546548"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25BE4590"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0F7F66F4"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259D569D"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r>
    </w:tbl>
    <w:p w14:paraId="36DCFDDF" w14:textId="77777777" w:rsidR="00036788" w:rsidRPr="00036788" w:rsidRDefault="00036788" w:rsidP="00036788">
      <w:pPr>
        <w:spacing w:after="0" w:line="276" w:lineRule="auto"/>
        <w:jc w:val="left"/>
        <w:rPr>
          <w:rFonts w:ascii="Arial" w:eastAsia="Times New Roman" w:hAnsi="Arial" w:cs="Times New Roman"/>
          <w:sz w:val="22"/>
          <w:lang w:val="en-US"/>
        </w:rPr>
      </w:pPr>
    </w:p>
    <w:p w14:paraId="5704125A" w14:textId="77777777" w:rsidR="00036788" w:rsidRPr="00036788" w:rsidRDefault="00036788" w:rsidP="00036788">
      <w:pPr>
        <w:spacing w:after="0" w:line="276" w:lineRule="auto"/>
        <w:jc w:val="left"/>
        <w:rPr>
          <w:rFonts w:ascii="Arial" w:eastAsia="Times New Roman" w:hAnsi="Arial" w:cs="Times New Roman"/>
          <w:sz w:val="22"/>
          <w:lang w:val="en-US"/>
        </w:rPr>
      </w:pPr>
    </w:p>
    <w:p w14:paraId="5240E554" w14:textId="77777777" w:rsidR="00036788" w:rsidRPr="00036788" w:rsidRDefault="00036788" w:rsidP="00036788">
      <w:pPr>
        <w:pBdr>
          <w:top w:val="dashed" w:sz="8" w:space="0" w:color="CCCCCC"/>
        </w:pBdr>
        <w:spacing w:before="120" w:after="120" w:line="120" w:lineRule="auto"/>
        <w:jc w:val="left"/>
        <w:rPr>
          <w:rFonts w:ascii="Arial" w:eastAsia="Times New Roman" w:hAnsi="Arial" w:cs="Times New Roman"/>
          <w:sz w:val="22"/>
          <w:lang w:val="en-US"/>
        </w:rPr>
      </w:pPr>
    </w:p>
    <w:p w14:paraId="1EAAB12B" w14:textId="77777777" w:rsidR="00036788" w:rsidRPr="00036788" w:rsidRDefault="00036788" w:rsidP="00036788">
      <w:pPr>
        <w:spacing w:after="0" w:line="276" w:lineRule="auto"/>
        <w:jc w:val="left"/>
        <w:rPr>
          <w:rFonts w:ascii="Arial" w:eastAsia="Times New Roman" w:hAnsi="Arial" w:cs="Times New Roman"/>
          <w:sz w:val="22"/>
          <w:lang w:val="en-US"/>
        </w:rPr>
      </w:pPr>
    </w:p>
    <w:p w14:paraId="155B7672" w14:textId="77777777" w:rsidR="00036788" w:rsidRPr="00036788" w:rsidRDefault="00036788" w:rsidP="00036788">
      <w:pPr>
        <w:keepNext/>
        <w:spacing w:after="0" w:line="276" w:lineRule="auto"/>
        <w:jc w:val="left"/>
        <w:rPr>
          <w:rFonts w:ascii="Arial" w:eastAsia="Times New Roman" w:hAnsi="Arial" w:cs="Times New Roman"/>
          <w:sz w:val="22"/>
          <w:lang w:val="en-US"/>
        </w:rPr>
      </w:pPr>
      <w:r w:rsidRPr="00036788">
        <w:rPr>
          <w:rFonts w:ascii="Arial" w:eastAsia="Times New Roman" w:hAnsi="Arial" w:cs="Times New Roman"/>
          <w:sz w:val="22"/>
          <w:lang w:val="en-US"/>
        </w:rPr>
        <w:t xml:space="preserve">How many types of plants/trees/animals would you guess there were in the </w:t>
      </w:r>
      <w:proofErr w:type="gramStart"/>
      <w:r w:rsidRPr="00036788">
        <w:rPr>
          <w:rFonts w:ascii="Arial" w:eastAsia="Times New Roman" w:hAnsi="Arial" w:cs="Times New Roman"/>
          <w:sz w:val="22"/>
          <w:lang w:val="en-US"/>
        </w:rPr>
        <w:t>Park</w:t>
      </w:r>
      <w:proofErr w:type="gramEnd"/>
      <w:r w:rsidRPr="00036788">
        <w:rPr>
          <w:rFonts w:ascii="Arial" w:eastAsia="Times New Roman" w:hAnsi="Arial" w:cs="Times New Roman"/>
          <w:sz w:val="22"/>
          <w:lang w:val="en-US"/>
        </w:rPr>
        <w:t>?</w:t>
      </w:r>
    </w:p>
    <w:tbl>
      <w:tblPr>
        <w:tblStyle w:val="QSliderLabelsTable3"/>
        <w:tblW w:w="9576" w:type="auto"/>
        <w:tblInd w:w="0" w:type="dxa"/>
        <w:tblLook w:val="07E0" w:firstRow="1" w:lastRow="1" w:firstColumn="1" w:lastColumn="1" w:noHBand="1" w:noVBand="1"/>
      </w:tblPr>
      <w:tblGrid>
        <w:gridCol w:w="4788"/>
        <w:gridCol w:w="2394"/>
        <w:gridCol w:w="2394"/>
      </w:tblGrid>
      <w:tr w:rsidR="00036788" w:rsidRPr="00036788" w14:paraId="02F82F62" w14:textId="77777777" w:rsidTr="005F7CE9">
        <w:tc>
          <w:tcPr>
            <w:tcW w:w="4788" w:type="dxa"/>
          </w:tcPr>
          <w:p w14:paraId="70DBB340" w14:textId="77777777" w:rsidR="00036788" w:rsidRPr="00036788" w:rsidRDefault="00036788" w:rsidP="00036788">
            <w:pPr>
              <w:keepNext/>
              <w:spacing w:line="240" w:lineRule="auto"/>
              <w:jc w:val="center"/>
              <w:rPr>
                <w:rFonts w:ascii="Arial" w:hAnsi="Arial" w:cs="Times New Roman"/>
                <w:sz w:val="22"/>
                <w:lang w:val="en-US"/>
              </w:rPr>
            </w:pPr>
          </w:p>
        </w:tc>
        <w:tc>
          <w:tcPr>
            <w:tcW w:w="2394" w:type="dxa"/>
          </w:tcPr>
          <w:p w14:paraId="37789529" w14:textId="77777777" w:rsidR="00036788" w:rsidRPr="00036788" w:rsidRDefault="00036788" w:rsidP="00036788">
            <w:pPr>
              <w:spacing w:line="240" w:lineRule="auto"/>
              <w:jc w:val="center"/>
              <w:rPr>
                <w:rFonts w:ascii="Arial" w:hAnsi="Arial" w:cs="Times New Roman"/>
                <w:sz w:val="22"/>
                <w:lang w:val="en-US"/>
              </w:rPr>
            </w:pPr>
            <w:r w:rsidRPr="00036788">
              <w:rPr>
                <w:rFonts w:ascii="Arial" w:hAnsi="Arial" w:cs="Times New Roman"/>
                <w:sz w:val="22"/>
                <w:lang w:val="en-US"/>
              </w:rPr>
              <w:t>Not many</w:t>
            </w:r>
          </w:p>
        </w:tc>
        <w:tc>
          <w:tcPr>
            <w:tcW w:w="2394" w:type="dxa"/>
          </w:tcPr>
          <w:p w14:paraId="27FF29ED" w14:textId="77777777" w:rsidR="00036788" w:rsidRPr="00036788" w:rsidRDefault="00036788" w:rsidP="00036788">
            <w:pPr>
              <w:spacing w:line="240" w:lineRule="auto"/>
              <w:jc w:val="center"/>
              <w:rPr>
                <w:rFonts w:ascii="Arial" w:hAnsi="Arial" w:cs="Times New Roman"/>
                <w:sz w:val="22"/>
                <w:lang w:val="en-US"/>
              </w:rPr>
            </w:pPr>
            <w:r w:rsidRPr="00036788">
              <w:rPr>
                <w:rFonts w:ascii="Arial" w:hAnsi="Arial" w:cs="Times New Roman"/>
                <w:sz w:val="22"/>
                <w:lang w:val="en-US"/>
              </w:rPr>
              <w:t>A lot</w:t>
            </w:r>
          </w:p>
        </w:tc>
      </w:tr>
    </w:tbl>
    <w:p w14:paraId="063E849E" w14:textId="77777777" w:rsidR="00036788" w:rsidRPr="00036788" w:rsidRDefault="00036788" w:rsidP="00036788">
      <w:pPr>
        <w:spacing w:after="0" w:line="276" w:lineRule="auto"/>
        <w:jc w:val="left"/>
        <w:rPr>
          <w:rFonts w:ascii="Arial" w:eastAsia="Times New Roman" w:hAnsi="Arial" w:cs="Times New Roman"/>
          <w:sz w:val="22"/>
          <w:lang w:val="en-US"/>
        </w:rPr>
      </w:pPr>
    </w:p>
    <w:tbl>
      <w:tblPr>
        <w:tblStyle w:val="QSliderLabelsTable3"/>
        <w:tblW w:w="9576" w:type="auto"/>
        <w:tblInd w:w="0" w:type="dxa"/>
        <w:tblLook w:val="07E0" w:firstRow="1" w:lastRow="1" w:firstColumn="1" w:lastColumn="1" w:noHBand="1" w:noVBand="1"/>
      </w:tblPr>
      <w:tblGrid>
        <w:gridCol w:w="4788"/>
        <w:gridCol w:w="1197"/>
        <w:gridCol w:w="1197"/>
        <w:gridCol w:w="1197"/>
        <w:gridCol w:w="1197"/>
      </w:tblGrid>
      <w:tr w:rsidR="00036788" w:rsidRPr="00036788" w14:paraId="414EEE9B" w14:textId="77777777" w:rsidTr="005F7CE9">
        <w:tc>
          <w:tcPr>
            <w:tcW w:w="4788" w:type="dxa"/>
          </w:tcPr>
          <w:p w14:paraId="277255DA" w14:textId="77777777" w:rsidR="00036788" w:rsidRPr="00036788" w:rsidRDefault="00036788" w:rsidP="00036788">
            <w:pPr>
              <w:spacing w:line="240" w:lineRule="auto"/>
              <w:jc w:val="center"/>
              <w:rPr>
                <w:rFonts w:ascii="Arial" w:hAnsi="Arial" w:cs="Times New Roman"/>
                <w:sz w:val="22"/>
                <w:lang w:val="en-US"/>
              </w:rPr>
            </w:pPr>
          </w:p>
        </w:tc>
        <w:tc>
          <w:tcPr>
            <w:tcW w:w="1197" w:type="dxa"/>
          </w:tcPr>
          <w:p w14:paraId="68545C5B" w14:textId="77777777" w:rsidR="00036788" w:rsidRPr="00036788" w:rsidRDefault="00036788" w:rsidP="00036788">
            <w:pPr>
              <w:spacing w:line="240" w:lineRule="auto"/>
              <w:jc w:val="center"/>
              <w:rPr>
                <w:rFonts w:ascii="Arial" w:hAnsi="Arial" w:cs="Times New Roman"/>
                <w:sz w:val="22"/>
                <w:lang w:val="en-US"/>
              </w:rPr>
            </w:pPr>
            <w:r w:rsidRPr="00036788">
              <w:rPr>
                <w:rFonts w:ascii="Arial" w:hAnsi="Arial" w:cs="Times New Roman"/>
                <w:sz w:val="22"/>
                <w:lang w:val="en-US"/>
              </w:rPr>
              <w:t>1</w:t>
            </w:r>
          </w:p>
        </w:tc>
        <w:tc>
          <w:tcPr>
            <w:tcW w:w="1197" w:type="dxa"/>
          </w:tcPr>
          <w:p w14:paraId="07680DA7" w14:textId="77777777" w:rsidR="00036788" w:rsidRPr="00036788" w:rsidRDefault="00036788" w:rsidP="00036788">
            <w:pPr>
              <w:spacing w:line="240" w:lineRule="auto"/>
              <w:jc w:val="center"/>
              <w:rPr>
                <w:rFonts w:ascii="Arial" w:hAnsi="Arial" w:cs="Times New Roman"/>
                <w:sz w:val="22"/>
                <w:lang w:val="en-US"/>
              </w:rPr>
            </w:pPr>
            <w:r w:rsidRPr="00036788">
              <w:rPr>
                <w:rFonts w:ascii="Arial" w:hAnsi="Arial" w:cs="Times New Roman"/>
                <w:sz w:val="22"/>
                <w:lang w:val="en-US"/>
              </w:rPr>
              <w:t>2</w:t>
            </w:r>
          </w:p>
        </w:tc>
        <w:tc>
          <w:tcPr>
            <w:tcW w:w="1197" w:type="dxa"/>
          </w:tcPr>
          <w:p w14:paraId="3DE081C1" w14:textId="77777777" w:rsidR="00036788" w:rsidRPr="00036788" w:rsidRDefault="00036788" w:rsidP="00036788">
            <w:pPr>
              <w:spacing w:line="240" w:lineRule="auto"/>
              <w:jc w:val="center"/>
              <w:rPr>
                <w:rFonts w:ascii="Arial" w:hAnsi="Arial" w:cs="Times New Roman"/>
                <w:sz w:val="22"/>
                <w:lang w:val="en-US"/>
              </w:rPr>
            </w:pPr>
            <w:r w:rsidRPr="00036788">
              <w:rPr>
                <w:rFonts w:ascii="Arial" w:hAnsi="Arial" w:cs="Times New Roman"/>
                <w:sz w:val="22"/>
                <w:lang w:val="en-US"/>
              </w:rPr>
              <w:t>3</w:t>
            </w:r>
          </w:p>
        </w:tc>
        <w:tc>
          <w:tcPr>
            <w:tcW w:w="1197" w:type="dxa"/>
          </w:tcPr>
          <w:p w14:paraId="68DEAAE4" w14:textId="77777777" w:rsidR="00036788" w:rsidRPr="00036788" w:rsidRDefault="00036788" w:rsidP="00036788">
            <w:pPr>
              <w:spacing w:line="240" w:lineRule="auto"/>
              <w:jc w:val="center"/>
              <w:rPr>
                <w:rFonts w:ascii="Arial" w:hAnsi="Arial" w:cs="Times New Roman"/>
                <w:sz w:val="22"/>
                <w:lang w:val="en-US"/>
              </w:rPr>
            </w:pPr>
            <w:r w:rsidRPr="00036788">
              <w:rPr>
                <w:rFonts w:ascii="Arial" w:hAnsi="Arial" w:cs="Times New Roman"/>
                <w:sz w:val="22"/>
                <w:lang w:val="en-US"/>
              </w:rPr>
              <w:t>4</w:t>
            </w:r>
          </w:p>
        </w:tc>
      </w:tr>
    </w:tbl>
    <w:p w14:paraId="0C247ADE" w14:textId="77777777" w:rsidR="00036788" w:rsidRPr="00036788" w:rsidRDefault="00036788" w:rsidP="00036788">
      <w:pPr>
        <w:spacing w:after="0" w:line="276" w:lineRule="auto"/>
        <w:jc w:val="left"/>
        <w:rPr>
          <w:rFonts w:ascii="Arial" w:eastAsia="Times New Roman" w:hAnsi="Arial" w:cs="Times New Roman"/>
          <w:sz w:val="22"/>
          <w:lang w:val="en-US"/>
        </w:rPr>
      </w:pPr>
    </w:p>
    <w:tbl>
      <w:tblPr>
        <w:tblStyle w:val="QStandardSliderTable4"/>
        <w:tblW w:w="9576" w:type="auto"/>
        <w:tblLook w:val="07E0" w:firstRow="1" w:lastRow="1" w:firstColumn="1" w:lastColumn="1" w:noHBand="1" w:noVBand="1"/>
      </w:tblPr>
      <w:tblGrid>
        <w:gridCol w:w="4788"/>
        <w:gridCol w:w="4788"/>
      </w:tblGrid>
      <w:tr w:rsidR="00036788" w:rsidRPr="00036788" w14:paraId="2353B50E" w14:textId="77777777" w:rsidTr="005F7CE9">
        <w:tc>
          <w:tcPr>
            <w:cnfStyle w:val="001000000000" w:firstRow="0" w:lastRow="0" w:firstColumn="1" w:lastColumn="0" w:oddVBand="0" w:evenVBand="0" w:oddHBand="0" w:evenHBand="0" w:firstRowFirstColumn="0" w:firstRowLastColumn="0" w:lastRowFirstColumn="0" w:lastRowLastColumn="0"/>
            <w:tcW w:w="4788" w:type="dxa"/>
          </w:tcPr>
          <w:p w14:paraId="6E8A3FDB" w14:textId="77777777" w:rsidR="00036788" w:rsidRPr="00036788" w:rsidRDefault="00036788" w:rsidP="00036788">
            <w:pPr>
              <w:keepNext/>
              <w:spacing w:line="240" w:lineRule="auto"/>
              <w:jc w:val="right"/>
              <w:rPr>
                <w:rFonts w:ascii="Arial" w:hAnsi="Arial" w:cs="Times New Roman"/>
                <w:sz w:val="22"/>
                <w:lang w:val="en-US"/>
              </w:rPr>
            </w:pPr>
            <w:r w:rsidRPr="00036788">
              <w:rPr>
                <w:rFonts w:ascii="Arial" w:hAnsi="Arial" w:cs="Times New Roman"/>
                <w:sz w:val="22"/>
                <w:lang w:val="en-US"/>
              </w:rPr>
              <w:t>Click to write Choice 1 ()</w:t>
            </w:r>
          </w:p>
        </w:tc>
        <w:tc>
          <w:tcPr>
            <w:tcW w:w="4788" w:type="dxa"/>
          </w:tcPr>
          <w:p w14:paraId="48C0B104" w14:textId="77777777" w:rsidR="00036788" w:rsidRPr="00036788" w:rsidRDefault="00036788" w:rsidP="00036788">
            <w:pPr>
              <w:keepNext/>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r w:rsidRPr="00036788">
              <w:rPr>
                <w:rFonts w:ascii="Arial" w:hAnsi="Arial" w:cs="Times New Roman"/>
                <w:noProof/>
                <w:sz w:val="22"/>
                <w:lang w:val="en-US"/>
              </w:rPr>
              <w:drawing>
                <wp:inline distT="0" distB="0" distL="0" distR="0" wp14:anchorId="14F98F18" wp14:editId="44F34018">
                  <wp:extent cx="1905000" cy="304800"/>
                  <wp:effectExtent l="0" t="0" r="0" b="0"/>
                  <wp:docPr id="8" name="WordSliderHorizont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WordSliderHorizontal.png"/>
                          <pic:cNvPicPr/>
                        </pic:nvPicPr>
                        <pic:blipFill>
                          <a:blip r:embed="rId71"/>
                          <a:stretch>
                            <a:fillRect/>
                          </a:stretch>
                        </pic:blipFill>
                        <pic:spPr>
                          <a:xfrm>
                            <a:off x="0" y="0"/>
                            <a:ext cx="1905000" cy="304800"/>
                          </a:xfrm>
                          <a:prstGeom prst="rect">
                            <a:avLst/>
                          </a:prstGeom>
                        </pic:spPr>
                      </pic:pic>
                    </a:graphicData>
                  </a:graphic>
                </wp:inline>
              </w:drawing>
            </w:r>
          </w:p>
        </w:tc>
      </w:tr>
    </w:tbl>
    <w:p w14:paraId="5D55A251" w14:textId="77777777" w:rsidR="00036788" w:rsidRPr="00036788" w:rsidRDefault="00036788" w:rsidP="00036788">
      <w:pPr>
        <w:spacing w:after="0" w:line="276" w:lineRule="auto"/>
        <w:jc w:val="left"/>
        <w:rPr>
          <w:rFonts w:ascii="Arial" w:eastAsia="Times New Roman" w:hAnsi="Arial" w:cs="Times New Roman"/>
          <w:sz w:val="22"/>
          <w:lang w:val="en-US"/>
        </w:rPr>
      </w:pPr>
    </w:p>
    <w:p w14:paraId="3940DB29" w14:textId="77777777" w:rsidR="00036788" w:rsidRPr="00036788" w:rsidRDefault="00036788" w:rsidP="00036788">
      <w:pPr>
        <w:spacing w:after="0" w:line="276" w:lineRule="auto"/>
        <w:jc w:val="left"/>
        <w:rPr>
          <w:rFonts w:ascii="Arial" w:eastAsia="Times New Roman" w:hAnsi="Arial" w:cs="Times New Roman"/>
          <w:sz w:val="22"/>
          <w:lang w:val="en-US"/>
        </w:rPr>
      </w:pPr>
    </w:p>
    <w:p w14:paraId="082496A7" w14:textId="77777777" w:rsidR="00036788" w:rsidRPr="00036788" w:rsidRDefault="00036788" w:rsidP="00036788">
      <w:pPr>
        <w:pBdr>
          <w:top w:val="dashed" w:sz="8" w:space="0" w:color="CCCCCC"/>
        </w:pBdr>
        <w:spacing w:before="120" w:after="120" w:line="120" w:lineRule="auto"/>
        <w:jc w:val="left"/>
        <w:rPr>
          <w:rFonts w:ascii="Arial" w:eastAsia="Times New Roman" w:hAnsi="Arial" w:cs="Times New Roman"/>
          <w:sz w:val="22"/>
          <w:lang w:val="en-US"/>
        </w:rPr>
      </w:pPr>
    </w:p>
    <w:p w14:paraId="7EB44793" w14:textId="77777777" w:rsidR="00036788" w:rsidRPr="00036788" w:rsidRDefault="00036788" w:rsidP="00036788">
      <w:pPr>
        <w:spacing w:after="0" w:line="276" w:lineRule="auto"/>
        <w:jc w:val="left"/>
        <w:rPr>
          <w:rFonts w:ascii="Arial" w:eastAsia="Times New Roman" w:hAnsi="Arial" w:cs="Times New Roman"/>
          <w:sz w:val="22"/>
          <w:lang w:val="en-US"/>
        </w:rPr>
      </w:pPr>
    </w:p>
    <w:p w14:paraId="652ADA78" w14:textId="77777777" w:rsidR="00036788" w:rsidRPr="00036788" w:rsidRDefault="00036788" w:rsidP="00036788">
      <w:pPr>
        <w:keepNext/>
        <w:spacing w:after="0" w:line="276" w:lineRule="auto"/>
        <w:jc w:val="left"/>
        <w:rPr>
          <w:rFonts w:ascii="Arial" w:eastAsia="Times New Roman" w:hAnsi="Arial" w:cs="Times New Roman"/>
          <w:sz w:val="22"/>
          <w:lang w:val="en-US"/>
        </w:rPr>
      </w:pPr>
      <w:r w:rsidRPr="00036788">
        <w:rPr>
          <w:rFonts w:ascii="Arial" w:eastAsia="Times New Roman" w:hAnsi="Arial" w:cs="Times New Roman"/>
          <w:sz w:val="22"/>
          <w:lang w:val="en-US"/>
        </w:rPr>
        <w:t xml:space="preserve">How </w:t>
      </w:r>
      <w:proofErr w:type="spellStart"/>
      <w:r w:rsidRPr="00036788">
        <w:rPr>
          <w:rFonts w:ascii="Arial" w:eastAsia="Times New Roman" w:hAnsi="Arial" w:cs="Times New Roman"/>
          <w:sz w:val="22"/>
          <w:lang w:val="en-US"/>
        </w:rPr>
        <w:t>colourful</w:t>
      </w:r>
      <w:proofErr w:type="spellEnd"/>
      <w:r w:rsidRPr="00036788">
        <w:rPr>
          <w:rFonts w:ascii="Arial" w:eastAsia="Times New Roman" w:hAnsi="Arial" w:cs="Times New Roman"/>
          <w:sz w:val="22"/>
          <w:lang w:val="en-US"/>
        </w:rPr>
        <w:t xml:space="preserve"> would say the planting was?</w:t>
      </w:r>
    </w:p>
    <w:tbl>
      <w:tblPr>
        <w:tblStyle w:val="QSliderLabelsTable3"/>
        <w:tblW w:w="9576" w:type="auto"/>
        <w:tblInd w:w="0" w:type="dxa"/>
        <w:tblLook w:val="07E0" w:firstRow="1" w:lastRow="1" w:firstColumn="1" w:lastColumn="1" w:noHBand="1" w:noVBand="1"/>
      </w:tblPr>
      <w:tblGrid>
        <w:gridCol w:w="4788"/>
        <w:gridCol w:w="2394"/>
        <w:gridCol w:w="2394"/>
      </w:tblGrid>
      <w:tr w:rsidR="00036788" w:rsidRPr="00036788" w14:paraId="53DEF1FC" w14:textId="77777777" w:rsidTr="005F7CE9">
        <w:tc>
          <w:tcPr>
            <w:tcW w:w="4788" w:type="dxa"/>
          </w:tcPr>
          <w:p w14:paraId="380C2867" w14:textId="77777777" w:rsidR="00036788" w:rsidRPr="00036788" w:rsidRDefault="00036788" w:rsidP="00036788">
            <w:pPr>
              <w:keepNext/>
              <w:spacing w:line="240" w:lineRule="auto"/>
              <w:jc w:val="center"/>
              <w:rPr>
                <w:rFonts w:ascii="Arial" w:hAnsi="Arial" w:cs="Times New Roman"/>
                <w:sz w:val="22"/>
                <w:lang w:val="en-US"/>
              </w:rPr>
            </w:pPr>
          </w:p>
        </w:tc>
        <w:tc>
          <w:tcPr>
            <w:tcW w:w="2394" w:type="dxa"/>
          </w:tcPr>
          <w:p w14:paraId="4576C618" w14:textId="77777777" w:rsidR="00036788" w:rsidRPr="00036788" w:rsidRDefault="00036788" w:rsidP="00036788">
            <w:pPr>
              <w:spacing w:line="240" w:lineRule="auto"/>
              <w:jc w:val="center"/>
              <w:rPr>
                <w:rFonts w:ascii="Arial" w:hAnsi="Arial" w:cs="Times New Roman"/>
                <w:sz w:val="22"/>
                <w:lang w:val="en-US"/>
              </w:rPr>
            </w:pPr>
            <w:r w:rsidRPr="00036788">
              <w:rPr>
                <w:rFonts w:ascii="Arial" w:hAnsi="Arial" w:cs="Times New Roman"/>
                <w:sz w:val="22"/>
                <w:lang w:val="en-US"/>
              </w:rPr>
              <w:t>Not very</w:t>
            </w:r>
          </w:p>
        </w:tc>
        <w:tc>
          <w:tcPr>
            <w:tcW w:w="2394" w:type="dxa"/>
          </w:tcPr>
          <w:p w14:paraId="789A55EA" w14:textId="77777777" w:rsidR="00036788" w:rsidRPr="00036788" w:rsidRDefault="00036788" w:rsidP="00036788">
            <w:pPr>
              <w:spacing w:line="240" w:lineRule="auto"/>
              <w:jc w:val="center"/>
              <w:rPr>
                <w:rFonts w:ascii="Arial" w:hAnsi="Arial" w:cs="Times New Roman"/>
                <w:sz w:val="22"/>
                <w:lang w:val="en-US"/>
              </w:rPr>
            </w:pPr>
            <w:r w:rsidRPr="00036788">
              <w:rPr>
                <w:rFonts w:ascii="Arial" w:hAnsi="Arial" w:cs="Times New Roman"/>
                <w:sz w:val="22"/>
                <w:lang w:val="en-US"/>
              </w:rPr>
              <w:t>Very</w:t>
            </w:r>
          </w:p>
        </w:tc>
      </w:tr>
    </w:tbl>
    <w:p w14:paraId="2AF633AE" w14:textId="77777777" w:rsidR="00036788" w:rsidRPr="00036788" w:rsidRDefault="00036788" w:rsidP="00036788">
      <w:pPr>
        <w:spacing w:after="0" w:line="276" w:lineRule="auto"/>
        <w:jc w:val="left"/>
        <w:rPr>
          <w:rFonts w:ascii="Arial" w:eastAsia="Times New Roman" w:hAnsi="Arial" w:cs="Times New Roman"/>
          <w:sz w:val="22"/>
          <w:lang w:val="en-US"/>
        </w:rPr>
      </w:pPr>
    </w:p>
    <w:tbl>
      <w:tblPr>
        <w:tblStyle w:val="QSliderLabelsTable3"/>
        <w:tblW w:w="9576" w:type="auto"/>
        <w:tblInd w:w="0" w:type="dxa"/>
        <w:tblLook w:val="07E0" w:firstRow="1" w:lastRow="1" w:firstColumn="1" w:lastColumn="1" w:noHBand="1" w:noVBand="1"/>
      </w:tblPr>
      <w:tblGrid>
        <w:gridCol w:w="4788"/>
        <w:gridCol w:w="1197"/>
        <w:gridCol w:w="1197"/>
        <w:gridCol w:w="1197"/>
        <w:gridCol w:w="1197"/>
      </w:tblGrid>
      <w:tr w:rsidR="00036788" w:rsidRPr="00036788" w14:paraId="67C9AF10" w14:textId="77777777" w:rsidTr="005F7CE9">
        <w:tc>
          <w:tcPr>
            <w:tcW w:w="4788" w:type="dxa"/>
          </w:tcPr>
          <w:p w14:paraId="4229599A" w14:textId="77777777" w:rsidR="00036788" w:rsidRPr="00036788" w:rsidRDefault="00036788" w:rsidP="00036788">
            <w:pPr>
              <w:spacing w:line="240" w:lineRule="auto"/>
              <w:jc w:val="center"/>
              <w:rPr>
                <w:rFonts w:ascii="Arial" w:hAnsi="Arial" w:cs="Times New Roman"/>
                <w:sz w:val="22"/>
                <w:lang w:val="en-US"/>
              </w:rPr>
            </w:pPr>
          </w:p>
        </w:tc>
        <w:tc>
          <w:tcPr>
            <w:tcW w:w="1197" w:type="dxa"/>
          </w:tcPr>
          <w:p w14:paraId="475F360C" w14:textId="77777777" w:rsidR="00036788" w:rsidRPr="00036788" w:rsidRDefault="00036788" w:rsidP="00036788">
            <w:pPr>
              <w:spacing w:line="240" w:lineRule="auto"/>
              <w:jc w:val="center"/>
              <w:rPr>
                <w:rFonts w:ascii="Arial" w:hAnsi="Arial" w:cs="Times New Roman"/>
                <w:sz w:val="22"/>
                <w:lang w:val="en-US"/>
              </w:rPr>
            </w:pPr>
            <w:r w:rsidRPr="00036788">
              <w:rPr>
                <w:rFonts w:ascii="Arial" w:hAnsi="Arial" w:cs="Times New Roman"/>
                <w:sz w:val="22"/>
                <w:lang w:val="en-US"/>
              </w:rPr>
              <w:t>1</w:t>
            </w:r>
          </w:p>
        </w:tc>
        <w:tc>
          <w:tcPr>
            <w:tcW w:w="1197" w:type="dxa"/>
          </w:tcPr>
          <w:p w14:paraId="2AA940AE" w14:textId="77777777" w:rsidR="00036788" w:rsidRPr="00036788" w:rsidRDefault="00036788" w:rsidP="00036788">
            <w:pPr>
              <w:spacing w:line="240" w:lineRule="auto"/>
              <w:jc w:val="center"/>
              <w:rPr>
                <w:rFonts w:ascii="Arial" w:hAnsi="Arial" w:cs="Times New Roman"/>
                <w:sz w:val="22"/>
                <w:lang w:val="en-US"/>
              </w:rPr>
            </w:pPr>
            <w:r w:rsidRPr="00036788">
              <w:rPr>
                <w:rFonts w:ascii="Arial" w:hAnsi="Arial" w:cs="Times New Roman"/>
                <w:sz w:val="22"/>
                <w:lang w:val="en-US"/>
              </w:rPr>
              <w:t>2</w:t>
            </w:r>
          </w:p>
        </w:tc>
        <w:tc>
          <w:tcPr>
            <w:tcW w:w="1197" w:type="dxa"/>
          </w:tcPr>
          <w:p w14:paraId="3A231047" w14:textId="77777777" w:rsidR="00036788" w:rsidRPr="00036788" w:rsidRDefault="00036788" w:rsidP="00036788">
            <w:pPr>
              <w:spacing w:line="240" w:lineRule="auto"/>
              <w:jc w:val="center"/>
              <w:rPr>
                <w:rFonts w:ascii="Arial" w:hAnsi="Arial" w:cs="Times New Roman"/>
                <w:sz w:val="22"/>
                <w:lang w:val="en-US"/>
              </w:rPr>
            </w:pPr>
            <w:r w:rsidRPr="00036788">
              <w:rPr>
                <w:rFonts w:ascii="Arial" w:hAnsi="Arial" w:cs="Times New Roman"/>
                <w:sz w:val="22"/>
                <w:lang w:val="en-US"/>
              </w:rPr>
              <w:t>3</w:t>
            </w:r>
          </w:p>
        </w:tc>
        <w:tc>
          <w:tcPr>
            <w:tcW w:w="1197" w:type="dxa"/>
          </w:tcPr>
          <w:p w14:paraId="6E344F0E" w14:textId="77777777" w:rsidR="00036788" w:rsidRPr="00036788" w:rsidRDefault="00036788" w:rsidP="00036788">
            <w:pPr>
              <w:spacing w:line="240" w:lineRule="auto"/>
              <w:jc w:val="center"/>
              <w:rPr>
                <w:rFonts w:ascii="Arial" w:hAnsi="Arial" w:cs="Times New Roman"/>
                <w:sz w:val="22"/>
                <w:lang w:val="en-US"/>
              </w:rPr>
            </w:pPr>
            <w:r w:rsidRPr="00036788">
              <w:rPr>
                <w:rFonts w:ascii="Arial" w:hAnsi="Arial" w:cs="Times New Roman"/>
                <w:sz w:val="22"/>
                <w:lang w:val="en-US"/>
              </w:rPr>
              <w:t>4</w:t>
            </w:r>
          </w:p>
        </w:tc>
      </w:tr>
    </w:tbl>
    <w:p w14:paraId="3F4DF711" w14:textId="77777777" w:rsidR="00036788" w:rsidRPr="00036788" w:rsidRDefault="00036788" w:rsidP="00036788">
      <w:pPr>
        <w:spacing w:after="0" w:line="276" w:lineRule="auto"/>
        <w:jc w:val="left"/>
        <w:rPr>
          <w:rFonts w:ascii="Arial" w:eastAsia="Times New Roman" w:hAnsi="Arial" w:cs="Times New Roman"/>
          <w:sz w:val="22"/>
          <w:lang w:val="en-US"/>
        </w:rPr>
      </w:pPr>
    </w:p>
    <w:tbl>
      <w:tblPr>
        <w:tblStyle w:val="QStandardSliderTable4"/>
        <w:tblW w:w="9576" w:type="auto"/>
        <w:tblLook w:val="07E0" w:firstRow="1" w:lastRow="1" w:firstColumn="1" w:lastColumn="1" w:noHBand="1" w:noVBand="1"/>
      </w:tblPr>
      <w:tblGrid>
        <w:gridCol w:w="4788"/>
        <w:gridCol w:w="4788"/>
      </w:tblGrid>
      <w:tr w:rsidR="00036788" w:rsidRPr="00036788" w14:paraId="15CA1369" w14:textId="77777777" w:rsidTr="005F7CE9">
        <w:tc>
          <w:tcPr>
            <w:cnfStyle w:val="001000000000" w:firstRow="0" w:lastRow="0" w:firstColumn="1" w:lastColumn="0" w:oddVBand="0" w:evenVBand="0" w:oddHBand="0" w:evenHBand="0" w:firstRowFirstColumn="0" w:firstRowLastColumn="0" w:lastRowFirstColumn="0" w:lastRowLastColumn="0"/>
            <w:tcW w:w="4788" w:type="dxa"/>
          </w:tcPr>
          <w:p w14:paraId="2D0C237D" w14:textId="77777777" w:rsidR="00036788" w:rsidRPr="00036788" w:rsidRDefault="00036788" w:rsidP="00036788">
            <w:pPr>
              <w:keepNext/>
              <w:spacing w:line="240" w:lineRule="auto"/>
              <w:jc w:val="right"/>
              <w:rPr>
                <w:rFonts w:ascii="Arial" w:hAnsi="Arial" w:cs="Times New Roman"/>
                <w:sz w:val="22"/>
                <w:lang w:val="en-US"/>
              </w:rPr>
            </w:pPr>
            <w:r w:rsidRPr="00036788">
              <w:rPr>
                <w:rFonts w:ascii="Arial" w:hAnsi="Arial" w:cs="Times New Roman"/>
                <w:sz w:val="22"/>
                <w:lang w:val="en-US"/>
              </w:rPr>
              <w:t>Click to write Choice 1 ()</w:t>
            </w:r>
          </w:p>
        </w:tc>
        <w:tc>
          <w:tcPr>
            <w:tcW w:w="4788" w:type="dxa"/>
          </w:tcPr>
          <w:p w14:paraId="45BA43DB" w14:textId="77777777" w:rsidR="00036788" w:rsidRPr="00036788" w:rsidRDefault="00036788" w:rsidP="00036788">
            <w:pPr>
              <w:keepNext/>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r w:rsidRPr="00036788">
              <w:rPr>
                <w:rFonts w:ascii="Arial" w:hAnsi="Arial" w:cs="Times New Roman"/>
                <w:noProof/>
                <w:sz w:val="22"/>
                <w:lang w:val="en-US"/>
              </w:rPr>
              <w:drawing>
                <wp:inline distT="0" distB="0" distL="0" distR="0" wp14:anchorId="42EEB149" wp14:editId="5A140BD1">
                  <wp:extent cx="1905000" cy="304800"/>
                  <wp:effectExtent l="0" t="0" r="0" b="0"/>
                  <wp:docPr id="9" name="WordSliderHorizont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WordSliderHorizontal.png"/>
                          <pic:cNvPicPr/>
                        </pic:nvPicPr>
                        <pic:blipFill>
                          <a:blip r:embed="rId71"/>
                          <a:stretch>
                            <a:fillRect/>
                          </a:stretch>
                        </pic:blipFill>
                        <pic:spPr>
                          <a:xfrm>
                            <a:off x="0" y="0"/>
                            <a:ext cx="1905000" cy="304800"/>
                          </a:xfrm>
                          <a:prstGeom prst="rect">
                            <a:avLst/>
                          </a:prstGeom>
                        </pic:spPr>
                      </pic:pic>
                    </a:graphicData>
                  </a:graphic>
                </wp:inline>
              </w:drawing>
            </w:r>
          </w:p>
        </w:tc>
      </w:tr>
    </w:tbl>
    <w:p w14:paraId="04575760" w14:textId="77777777" w:rsidR="00036788" w:rsidRPr="00036788" w:rsidRDefault="00036788" w:rsidP="00036788">
      <w:pPr>
        <w:spacing w:after="0" w:line="276" w:lineRule="auto"/>
        <w:jc w:val="left"/>
        <w:rPr>
          <w:rFonts w:ascii="Arial" w:eastAsia="Times New Roman" w:hAnsi="Arial" w:cs="Times New Roman"/>
          <w:sz w:val="22"/>
          <w:lang w:val="en-US"/>
        </w:rPr>
      </w:pPr>
    </w:p>
    <w:p w14:paraId="25BFA224" w14:textId="77777777" w:rsidR="00036788" w:rsidRPr="00036788" w:rsidRDefault="00036788" w:rsidP="00036788">
      <w:pPr>
        <w:spacing w:after="0" w:line="276" w:lineRule="auto"/>
        <w:jc w:val="left"/>
        <w:rPr>
          <w:rFonts w:ascii="Arial" w:eastAsia="Times New Roman" w:hAnsi="Arial" w:cs="Times New Roman"/>
          <w:sz w:val="22"/>
          <w:lang w:val="en-US"/>
        </w:rPr>
      </w:pPr>
    </w:p>
    <w:p w14:paraId="43BC159F" w14:textId="77777777" w:rsidR="00036788" w:rsidRPr="00036788" w:rsidRDefault="00036788" w:rsidP="00036788">
      <w:pPr>
        <w:pBdr>
          <w:top w:val="dashed" w:sz="8" w:space="0" w:color="CCCCCC"/>
        </w:pBdr>
        <w:spacing w:before="120" w:after="120" w:line="120" w:lineRule="auto"/>
        <w:jc w:val="left"/>
        <w:rPr>
          <w:rFonts w:ascii="Arial" w:eastAsia="Times New Roman" w:hAnsi="Arial" w:cs="Times New Roman"/>
          <w:sz w:val="22"/>
          <w:lang w:val="en-US"/>
        </w:rPr>
      </w:pPr>
    </w:p>
    <w:p w14:paraId="219646BC" w14:textId="77777777" w:rsidR="00036788" w:rsidRPr="00036788" w:rsidRDefault="00036788" w:rsidP="00036788">
      <w:pPr>
        <w:spacing w:before="120" w:after="0" w:line="240" w:lineRule="auto"/>
        <w:jc w:val="left"/>
        <w:rPr>
          <w:rFonts w:ascii="Arial" w:eastAsia="Times New Roman" w:hAnsi="Arial" w:cs="Times New Roman"/>
          <w:b/>
          <w:color w:val="CCCCCC"/>
          <w:sz w:val="22"/>
          <w:lang w:val="en-US"/>
        </w:rPr>
      </w:pPr>
      <w:r w:rsidRPr="00036788">
        <w:rPr>
          <w:rFonts w:ascii="Arial" w:eastAsia="Times New Roman" w:hAnsi="Arial" w:cs="Times New Roman"/>
          <w:b/>
          <w:color w:val="CCCCCC"/>
          <w:sz w:val="22"/>
          <w:lang w:val="en-US"/>
        </w:rPr>
        <w:t>End of Block: PanasX_Experiment_1&amp;3_Post</w:t>
      </w:r>
    </w:p>
    <w:p w14:paraId="1D246933" w14:textId="77777777" w:rsidR="00036788" w:rsidRPr="00036788" w:rsidRDefault="00036788" w:rsidP="00036788">
      <w:pPr>
        <w:pBdr>
          <w:bottom w:val="single" w:sz="8" w:space="0" w:color="CCCCCC"/>
        </w:pBdr>
        <w:spacing w:after="0" w:line="120" w:lineRule="auto"/>
        <w:jc w:val="center"/>
        <w:rPr>
          <w:rFonts w:ascii="Arial" w:eastAsia="Times New Roman" w:hAnsi="Arial" w:cs="Times New Roman"/>
          <w:b/>
          <w:color w:val="CCCCCC"/>
          <w:sz w:val="22"/>
          <w:lang w:val="en-US"/>
        </w:rPr>
      </w:pPr>
    </w:p>
    <w:p w14:paraId="18E48745" w14:textId="77777777" w:rsidR="00036788" w:rsidRPr="00036788" w:rsidRDefault="00036788" w:rsidP="00036788">
      <w:pPr>
        <w:spacing w:after="0" w:line="276" w:lineRule="auto"/>
        <w:jc w:val="left"/>
        <w:rPr>
          <w:rFonts w:ascii="Arial" w:eastAsia="Times New Roman" w:hAnsi="Arial" w:cs="Times New Roman"/>
          <w:sz w:val="22"/>
          <w:lang w:val="en-US"/>
        </w:rPr>
      </w:pPr>
    </w:p>
    <w:p w14:paraId="2BF66066" w14:textId="628B2C83" w:rsidR="00036788" w:rsidRPr="00036788" w:rsidRDefault="00036788" w:rsidP="005D7515">
      <w:pPr>
        <w:keepNext/>
        <w:spacing w:after="0" w:line="276" w:lineRule="auto"/>
        <w:jc w:val="left"/>
        <w:rPr>
          <w:rFonts w:ascii="Arial" w:eastAsia="Times New Roman" w:hAnsi="Arial" w:cs="Times New Roman"/>
          <w:sz w:val="22"/>
          <w:lang w:val="en-US"/>
        </w:rPr>
      </w:pPr>
      <w:r w:rsidRPr="00036788">
        <w:rPr>
          <w:rFonts w:ascii="Arial" w:eastAsia="Times New Roman" w:hAnsi="Arial" w:cs="Times New Roman"/>
          <w:sz w:val="22"/>
          <w:lang w:val="en-US"/>
        </w:rPr>
        <w:br/>
        <w:t xml:space="preserve">Thank you so much for taking part in this study!  </w:t>
      </w:r>
      <w:r w:rsidRPr="00036788">
        <w:rPr>
          <w:rFonts w:ascii="Arial" w:eastAsia="Times New Roman" w:hAnsi="Arial" w:cs="Times New Roman"/>
          <w:sz w:val="22"/>
          <w:lang w:val="en-US"/>
        </w:rPr>
        <w:br/>
        <w:t xml:space="preserve">   </w:t>
      </w:r>
      <w:r w:rsidRPr="00036788">
        <w:rPr>
          <w:rFonts w:ascii="Arial" w:eastAsia="Times New Roman" w:hAnsi="Arial" w:cs="Times New Roman"/>
          <w:sz w:val="22"/>
          <w:lang w:val="en-US"/>
        </w:rPr>
        <w:br/>
        <w:t>If you have time, you may use the spaces below to tell us more about your experience.</w:t>
      </w:r>
    </w:p>
    <w:p w14:paraId="25DD0512" w14:textId="77777777" w:rsidR="00036788" w:rsidRPr="00036788" w:rsidRDefault="00036788" w:rsidP="00036788">
      <w:pPr>
        <w:spacing w:after="0" w:line="276" w:lineRule="auto"/>
        <w:jc w:val="left"/>
        <w:rPr>
          <w:rFonts w:ascii="Arial" w:eastAsia="Times New Roman" w:hAnsi="Arial" w:cs="Times New Roman"/>
          <w:sz w:val="22"/>
          <w:lang w:val="en-US"/>
        </w:rPr>
      </w:pPr>
    </w:p>
    <w:p w14:paraId="2B18391D" w14:textId="77777777" w:rsidR="00036788" w:rsidRPr="00036788" w:rsidRDefault="00036788" w:rsidP="00036788">
      <w:pPr>
        <w:keepNext/>
        <w:spacing w:after="0" w:line="276" w:lineRule="auto"/>
        <w:jc w:val="left"/>
        <w:rPr>
          <w:rFonts w:ascii="Arial" w:eastAsia="Times New Roman" w:hAnsi="Arial" w:cs="Times New Roman"/>
          <w:sz w:val="22"/>
          <w:lang w:val="en-US"/>
        </w:rPr>
      </w:pPr>
      <w:r w:rsidRPr="00036788">
        <w:rPr>
          <w:rFonts w:ascii="Arial" w:eastAsia="Times New Roman" w:hAnsi="Arial" w:cs="Times New Roman"/>
          <w:sz w:val="22"/>
          <w:lang w:val="en-US"/>
        </w:rPr>
        <w:t>OPTIONAL- Was there anything that you noticed or liked in particular in any of the tours?</w:t>
      </w:r>
    </w:p>
    <w:p w14:paraId="7D46345A" w14:textId="70840322" w:rsidR="00036788" w:rsidRPr="00036788" w:rsidRDefault="00036788" w:rsidP="005D7515">
      <w:pPr>
        <w:spacing w:before="240" w:after="0" w:line="240" w:lineRule="auto"/>
        <w:ind w:firstLine="400"/>
        <w:jc w:val="left"/>
        <w:rPr>
          <w:rFonts w:ascii="Arial" w:eastAsia="Times New Roman" w:hAnsi="Arial" w:cs="Times New Roman"/>
          <w:sz w:val="22"/>
          <w:lang w:val="en-US"/>
        </w:rPr>
      </w:pPr>
      <w:r w:rsidRPr="00036788">
        <w:rPr>
          <w:rFonts w:ascii="Arial" w:eastAsia="Times New Roman" w:hAnsi="Arial" w:cs="Times New Roman"/>
          <w:sz w:val="22"/>
          <w:lang w:val="en-US"/>
        </w:rPr>
        <w:t>________________________________________________________________</w:t>
      </w:r>
    </w:p>
    <w:p w14:paraId="0953634D" w14:textId="77777777" w:rsidR="00036788" w:rsidRPr="00036788" w:rsidRDefault="00036788" w:rsidP="00036788">
      <w:pPr>
        <w:spacing w:after="0" w:line="276" w:lineRule="auto"/>
        <w:jc w:val="left"/>
        <w:rPr>
          <w:rFonts w:ascii="Arial" w:eastAsia="Times New Roman" w:hAnsi="Arial" w:cs="Times New Roman"/>
          <w:sz w:val="22"/>
          <w:lang w:val="en-US"/>
        </w:rPr>
      </w:pPr>
    </w:p>
    <w:p w14:paraId="5F152529" w14:textId="77777777" w:rsidR="00036788" w:rsidRPr="00036788" w:rsidRDefault="00036788" w:rsidP="00036788">
      <w:pPr>
        <w:keepNext/>
        <w:spacing w:after="0" w:line="276" w:lineRule="auto"/>
        <w:jc w:val="left"/>
        <w:rPr>
          <w:rFonts w:ascii="Arial" w:eastAsia="Times New Roman" w:hAnsi="Arial" w:cs="Times New Roman"/>
          <w:sz w:val="22"/>
          <w:lang w:val="en-US"/>
        </w:rPr>
      </w:pPr>
      <w:r w:rsidRPr="00036788">
        <w:rPr>
          <w:rFonts w:ascii="Arial" w:eastAsia="Times New Roman" w:hAnsi="Arial" w:cs="Times New Roman"/>
          <w:sz w:val="22"/>
          <w:lang w:val="en-US"/>
        </w:rPr>
        <w:t>OPTIONAL - Was there anything that you didn’t like or that made you feel uneasy in any of the tours?</w:t>
      </w:r>
    </w:p>
    <w:p w14:paraId="408A307B" w14:textId="1EE897D2" w:rsidR="00036788" w:rsidRPr="00036788" w:rsidRDefault="00036788" w:rsidP="005D7515">
      <w:pPr>
        <w:spacing w:before="240" w:after="0" w:line="240" w:lineRule="auto"/>
        <w:ind w:firstLine="400"/>
        <w:jc w:val="left"/>
        <w:rPr>
          <w:rFonts w:ascii="Arial" w:eastAsia="Times New Roman" w:hAnsi="Arial" w:cs="Times New Roman"/>
          <w:sz w:val="22"/>
          <w:lang w:val="en-US"/>
        </w:rPr>
      </w:pPr>
      <w:r w:rsidRPr="00036788">
        <w:rPr>
          <w:rFonts w:ascii="Arial" w:eastAsia="Times New Roman" w:hAnsi="Arial" w:cs="Times New Roman"/>
          <w:sz w:val="22"/>
          <w:lang w:val="en-US"/>
        </w:rPr>
        <w:t>________________________________________________________________</w:t>
      </w:r>
    </w:p>
    <w:p w14:paraId="1072C650" w14:textId="77777777" w:rsidR="00036788" w:rsidRPr="00036788" w:rsidRDefault="00036788" w:rsidP="00036788">
      <w:pPr>
        <w:spacing w:after="0" w:line="276" w:lineRule="auto"/>
        <w:jc w:val="left"/>
        <w:rPr>
          <w:rFonts w:ascii="Arial" w:eastAsia="Times New Roman" w:hAnsi="Arial" w:cs="Times New Roman"/>
          <w:sz w:val="22"/>
          <w:lang w:val="en-US"/>
        </w:rPr>
      </w:pPr>
    </w:p>
    <w:p w14:paraId="1E2EA68F" w14:textId="77777777" w:rsidR="00036788" w:rsidRPr="00036788" w:rsidRDefault="00036788" w:rsidP="00036788">
      <w:pPr>
        <w:keepNext/>
        <w:spacing w:after="0" w:line="276" w:lineRule="auto"/>
        <w:jc w:val="left"/>
        <w:rPr>
          <w:rFonts w:ascii="Arial" w:eastAsia="Times New Roman" w:hAnsi="Arial" w:cs="Times New Roman"/>
          <w:sz w:val="22"/>
          <w:lang w:val="en-US"/>
        </w:rPr>
      </w:pPr>
      <w:r w:rsidRPr="00036788">
        <w:rPr>
          <w:rFonts w:ascii="Arial" w:eastAsia="Times New Roman" w:hAnsi="Arial" w:cs="Times New Roman"/>
          <w:sz w:val="22"/>
          <w:lang w:val="en-US"/>
        </w:rPr>
        <w:t>OPTIONAL - Is there anything else that you would like to share?</w:t>
      </w:r>
    </w:p>
    <w:p w14:paraId="7EB877F7" w14:textId="77777777" w:rsidR="00036788" w:rsidRPr="00036788" w:rsidRDefault="00036788" w:rsidP="00036788">
      <w:pPr>
        <w:spacing w:before="240" w:after="0" w:line="240" w:lineRule="auto"/>
        <w:ind w:firstLine="400"/>
        <w:jc w:val="left"/>
        <w:rPr>
          <w:rFonts w:ascii="Arial" w:eastAsia="Times New Roman" w:hAnsi="Arial" w:cs="Times New Roman"/>
          <w:sz w:val="22"/>
          <w:lang w:val="en-US"/>
        </w:rPr>
      </w:pPr>
      <w:r w:rsidRPr="00036788">
        <w:rPr>
          <w:rFonts w:ascii="Arial" w:eastAsia="Times New Roman" w:hAnsi="Arial" w:cs="Times New Roman"/>
          <w:sz w:val="22"/>
          <w:lang w:val="en-US"/>
        </w:rPr>
        <w:t>________________________________________________________________</w:t>
      </w:r>
    </w:p>
    <w:p w14:paraId="05DF2B88" w14:textId="77777777" w:rsidR="00036788" w:rsidRPr="00036788" w:rsidRDefault="00036788" w:rsidP="00036788">
      <w:pPr>
        <w:spacing w:after="0" w:line="276" w:lineRule="auto"/>
        <w:jc w:val="left"/>
        <w:rPr>
          <w:rFonts w:ascii="Arial" w:eastAsia="Times New Roman" w:hAnsi="Arial" w:cs="Times New Roman"/>
          <w:sz w:val="22"/>
          <w:lang w:val="en-US"/>
        </w:rPr>
      </w:pPr>
    </w:p>
    <w:p w14:paraId="5D95A9FD" w14:textId="77777777" w:rsidR="00036788" w:rsidRPr="00036788" w:rsidRDefault="00036788" w:rsidP="00036788">
      <w:pPr>
        <w:pBdr>
          <w:top w:val="dashed" w:sz="8" w:space="0" w:color="CCCCCC"/>
        </w:pBdr>
        <w:spacing w:before="120" w:after="120" w:line="120" w:lineRule="auto"/>
        <w:jc w:val="left"/>
        <w:rPr>
          <w:rFonts w:ascii="Arial" w:eastAsia="Times New Roman" w:hAnsi="Arial" w:cs="Times New Roman"/>
          <w:sz w:val="22"/>
          <w:lang w:val="en-US"/>
        </w:rPr>
      </w:pPr>
    </w:p>
    <w:p w14:paraId="51A747D8" w14:textId="77777777" w:rsidR="00036788" w:rsidRPr="00036788" w:rsidRDefault="00036788" w:rsidP="00036788">
      <w:pPr>
        <w:spacing w:after="0" w:line="276" w:lineRule="auto"/>
        <w:jc w:val="left"/>
        <w:rPr>
          <w:rFonts w:ascii="Arial" w:eastAsia="Times New Roman" w:hAnsi="Arial" w:cs="Times New Roman"/>
          <w:sz w:val="22"/>
          <w:lang w:val="en-US"/>
        </w:rPr>
      </w:pPr>
    </w:p>
    <w:p w14:paraId="197C09C1" w14:textId="77777777" w:rsidR="00036788" w:rsidRPr="00036788" w:rsidRDefault="00036788" w:rsidP="00036788">
      <w:pPr>
        <w:spacing w:before="120" w:after="0" w:line="240" w:lineRule="auto"/>
        <w:jc w:val="left"/>
        <w:rPr>
          <w:rFonts w:ascii="Arial" w:eastAsia="Times New Roman" w:hAnsi="Arial" w:cs="Times New Roman"/>
          <w:b/>
          <w:color w:val="CCCCCC"/>
          <w:sz w:val="22"/>
          <w:lang w:val="en-US"/>
        </w:rPr>
      </w:pPr>
      <w:r w:rsidRPr="00036788">
        <w:rPr>
          <w:rFonts w:ascii="Arial" w:eastAsia="Times New Roman" w:hAnsi="Arial" w:cs="Times New Roman"/>
          <w:b/>
          <w:color w:val="CCCCCC"/>
          <w:sz w:val="22"/>
          <w:lang w:val="en-US"/>
        </w:rPr>
        <w:t>End of Block: Feedback and comments</w:t>
      </w:r>
    </w:p>
    <w:p w14:paraId="468EF440" w14:textId="77777777" w:rsidR="00036788" w:rsidRPr="00036788" w:rsidRDefault="00036788" w:rsidP="00036788">
      <w:pPr>
        <w:pBdr>
          <w:bottom w:val="single" w:sz="8" w:space="0" w:color="CCCCCC"/>
        </w:pBdr>
        <w:spacing w:after="0" w:line="120" w:lineRule="auto"/>
        <w:jc w:val="center"/>
        <w:rPr>
          <w:rFonts w:ascii="Arial" w:eastAsia="Times New Roman" w:hAnsi="Arial" w:cs="Times New Roman"/>
          <w:b/>
          <w:color w:val="CCCCCC"/>
          <w:sz w:val="22"/>
          <w:lang w:val="en-US"/>
        </w:rPr>
      </w:pPr>
    </w:p>
    <w:p w14:paraId="753D0B7F" w14:textId="77777777" w:rsidR="00036788" w:rsidRPr="00036788" w:rsidRDefault="00036788" w:rsidP="00036788">
      <w:pPr>
        <w:spacing w:before="120" w:after="120" w:line="240" w:lineRule="auto"/>
        <w:jc w:val="left"/>
        <w:rPr>
          <w:rFonts w:ascii="Arial" w:eastAsia="Times New Roman" w:hAnsi="Arial" w:cs="Times New Roman"/>
          <w:b/>
          <w:color w:val="CCCCCC"/>
          <w:sz w:val="22"/>
          <w:lang w:val="en-US"/>
        </w:rPr>
      </w:pPr>
      <w:r w:rsidRPr="00036788">
        <w:rPr>
          <w:rFonts w:ascii="Arial" w:eastAsia="Times New Roman" w:hAnsi="Arial" w:cs="Times New Roman"/>
          <w:b/>
          <w:color w:val="CCCCCC"/>
          <w:sz w:val="22"/>
          <w:lang w:val="en-US"/>
        </w:rPr>
        <w:t>Start of Block: Debrief Experiment_1&amp;3</w:t>
      </w:r>
    </w:p>
    <w:p w14:paraId="41EEF595" w14:textId="77777777" w:rsidR="00036788" w:rsidRPr="00036788" w:rsidRDefault="00036788" w:rsidP="00036788">
      <w:pPr>
        <w:spacing w:after="0" w:line="276" w:lineRule="auto"/>
        <w:jc w:val="left"/>
        <w:rPr>
          <w:rFonts w:ascii="Arial" w:eastAsia="Times New Roman" w:hAnsi="Arial" w:cs="Times New Roman"/>
          <w:sz w:val="22"/>
          <w:lang w:val="en-US"/>
        </w:rPr>
      </w:pPr>
    </w:p>
    <w:p w14:paraId="07502515" w14:textId="77777777" w:rsidR="00036788" w:rsidRPr="00036788" w:rsidRDefault="00036788" w:rsidP="00036788">
      <w:pPr>
        <w:keepNext/>
        <w:spacing w:after="0" w:line="276" w:lineRule="auto"/>
        <w:jc w:val="left"/>
        <w:rPr>
          <w:rFonts w:ascii="Arial" w:eastAsia="Times New Roman" w:hAnsi="Arial" w:cs="Times New Roman"/>
          <w:sz w:val="22"/>
          <w:lang w:val="en-US"/>
        </w:rPr>
      </w:pPr>
      <w:r w:rsidRPr="00036788">
        <w:rPr>
          <w:rFonts w:ascii="Arial" w:eastAsia="Times New Roman" w:hAnsi="Arial" w:cs="Times New Roman"/>
          <w:sz w:val="22"/>
          <w:lang w:val="en-US"/>
        </w:rPr>
        <w:br/>
        <w:t xml:space="preserve">Thank you again for taking part in the research! This page will tell you what the survey was about.  </w:t>
      </w:r>
      <w:r w:rsidRPr="00036788">
        <w:rPr>
          <w:rFonts w:ascii="Arial" w:eastAsia="Times New Roman" w:hAnsi="Arial" w:cs="Times New Roman"/>
          <w:sz w:val="22"/>
          <w:lang w:val="en-US"/>
        </w:rPr>
        <w:br/>
        <w:t>  We could not tell you much of this before the survey. It could have biased your responses.</w:t>
      </w:r>
      <w:r w:rsidRPr="00036788">
        <w:rPr>
          <w:rFonts w:ascii="Arial" w:eastAsia="Times New Roman" w:hAnsi="Arial" w:cs="Times New Roman"/>
          <w:sz w:val="22"/>
          <w:lang w:val="en-US"/>
        </w:rPr>
        <w:br/>
        <w:t xml:space="preserve"> This experiment focused on </w:t>
      </w:r>
      <w:proofErr w:type="spellStart"/>
      <w:r w:rsidRPr="00036788">
        <w:rPr>
          <w:rFonts w:ascii="Arial" w:eastAsia="Times New Roman" w:hAnsi="Arial" w:cs="Times New Roman"/>
          <w:b/>
          <w:sz w:val="22"/>
          <w:lang w:val="en-US"/>
        </w:rPr>
        <w:t>Colour</w:t>
      </w:r>
      <w:proofErr w:type="spellEnd"/>
      <w:r w:rsidRPr="00036788">
        <w:rPr>
          <w:rFonts w:ascii="Arial" w:eastAsia="Times New Roman" w:hAnsi="Arial" w:cs="Times New Roman"/>
          <w:b/>
          <w:sz w:val="22"/>
          <w:lang w:val="en-US"/>
        </w:rPr>
        <w:t xml:space="preserve"> Diversity</w:t>
      </w:r>
      <w:r w:rsidRPr="00036788">
        <w:rPr>
          <w:rFonts w:ascii="Arial" w:eastAsia="Times New Roman" w:hAnsi="Arial" w:cs="Times New Roman"/>
          <w:sz w:val="22"/>
          <w:lang w:val="en-US"/>
        </w:rPr>
        <w:t xml:space="preserve"> and </w:t>
      </w:r>
      <w:r w:rsidRPr="00036788">
        <w:rPr>
          <w:rFonts w:ascii="Arial" w:eastAsia="Times New Roman" w:hAnsi="Arial" w:cs="Times New Roman"/>
          <w:b/>
          <w:sz w:val="22"/>
          <w:lang w:val="en-US"/>
        </w:rPr>
        <w:t>Biodiversity</w:t>
      </w:r>
      <w:r w:rsidRPr="00036788">
        <w:rPr>
          <w:rFonts w:ascii="Arial" w:eastAsia="Times New Roman" w:hAnsi="Arial" w:cs="Times New Roman"/>
          <w:sz w:val="22"/>
          <w:lang w:val="en-US"/>
        </w:rPr>
        <w:t xml:space="preserve"> (the variety of plants, animals and living beings in a certain place).</w:t>
      </w:r>
      <w:r w:rsidRPr="00036788">
        <w:rPr>
          <w:rFonts w:ascii="Arial" w:eastAsia="Times New Roman" w:hAnsi="Arial" w:cs="Times New Roman"/>
          <w:sz w:val="22"/>
          <w:lang w:val="en-US"/>
        </w:rPr>
        <w:br/>
        <w:t xml:space="preserve"> </w:t>
      </w:r>
      <w:r w:rsidRPr="00036788">
        <w:rPr>
          <w:rFonts w:ascii="Arial" w:eastAsia="Times New Roman" w:hAnsi="Arial" w:cs="Times New Roman"/>
          <w:sz w:val="22"/>
          <w:lang w:val="en-US"/>
        </w:rPr>
        <w:br/>
        <w:t xml:space="preserve"> </w:t>
      </w:r>
      <w:r w:rsidRPr="00036788">
        <w:rPr>
          <w:rFonts w:ascii="Arial" w:eastAsia="Times New Roman" w:hAnsi="Arial" w:cs="Times New Roman"/>
          <w:sz w:val="22"/>
          <w:lang w:val="en-US"/>
        </w:rPr>
        <w:br/>
        <w:t xml:space="preserve"> </w:t>
      </w:r>
      <w:r w:rsidRPr="00036788">
        <w:rPr>
          <w:rFonts w:ascii="Arial" w:eastAsia="Times New Roman" w:hAnsi="Arial" w:cs="Times New Roman"/>
          <w:sz w:val="22"/>
          <w:lang w:val="en-US"/>
        </w:rPr>
        <w:br/>
        <w:t xml:space="preserve"> Previous research suggested that urban green spaces with diverse and </w:t>
      </w:r>
      <w:proofErr w:type="spellStart"/>
      <w:r w:rsidRPr="00036788">
        <w:rPr>
          <w:rFonts w:ascii="Arial" w:eastAsia="Times New Roman" w:hAnsi="Arial" w:cs="Times New Roman"/>
          <w:sz w:val="22"/>
          <w:lang w:val="en-US"/>
        </w:rPr>
        <w:t>colourful</w:t>
      </w:r>
      <w:proofErr w:type="spellEnd"/>
      <w:r w:rsidRPr="00036788">
        <w:rPr>
          <w:rFonts w:ascii="Arial" w:eastAsia="Times New Roman" w:hAnsi="Arial" w:cs="Times New Roman"/>
          <w:sz w:val="22"/>
          <w:lang w:val="en-US"/>
        </w:rPr>
        <w:t xml:space="preserve"> planting could improve our mental health. This occurs in many ways. Reducing stress, improving mood, promoting social interactions and physical activity.</w:t>
      </w:r>
      <w:r w:rsidRPr="00036788">
        <w:rPr>
          <w:rFonts w:ascii="Arial" w:eastAsia="Times New Roman" w:hAnsi="Arial" w:cs="Times New Roman"/>
          <w:sz w:val="22"/>
          <w:lang w:val="en-US"/>
        </w:rPr>
        <w:br/>
        <w:t xml:space="preserve"> </w:t>
      </w:r>
      <w:r w:rsidRPr="00036788">
        <w:rPr>
          <w:rFonts w:ascii="Arial" w:eastAsia="Times New Roman" w:hAnsi="Arial" w:cs="Times New Roman"/>
          <w:sz w:val="22"/>
          <w:lang w:val="en-US"/>
        </w:rPr>
        <w:br/>
        <w:t xml:space="preserve"> In this experiment, we tested the effect of biodiversity and </w:t>
      </w:r>
      <w:proofErr w:type="spellStart"/>
      <w:r w:rsidRPr="00036788">
        <w:rPr>
          <w:rFonts w:ascii="Arial" w:eastAsia="Times New Roman" w:hAnsi="Arial" w:cs="Times New Roman"/>
          <w:sz w:val="22"/>
          <w:lang w:val="en-US"/>
        </w:rPr>
        <w:t>colour</w:t>
      </w:r>
      <w:proofErr w:type="spellEnd"/>
      <w:r w:rsidRPr="00036788">
        <w:rPr>
          <w:rFonts w:ascii="Arial" w:eastAsia="Times New Roman" w:hAnsi="Arial" w:cs="Times New Roman"/>
          <w:sz w:val="22"/>
          <w:lang w:val="en-US"/>
        </w:rPr>
        <w:t xml:space="preserve"> diversity on your </w:t>
      </w:r>
      <w:r w:rsidRPr="00036788">
        <w:rPr>
          <w:rFonts w:ascii="Arial" w:eastAsia="Times New Roman" w:hAnsi="Arial" w:cs="Times New Roman"/>
          <w:b/>
          <w:sz w:val="22"/>
          <w:lang w:val="en-US"/>
        </w:rPr>
        <w:t>emotional state</w:t>
      </w:r>
      <w:r w:rsidRPr="00036788">
        <w:rPr>
          <w:rFonts w:ascii="Arial" w:eastAsia="Times New Roman" w:hAnsi="Arial" w:cs="Times New Roman"/>
          <w:sz w:val="22"/>
          <w:lang w:val="en-US"/>
        </w:rPr>
        <w:t xml:space="preserve">, which is linked to both stress and mood. Taking a small city park in Manchester as the template, we designed four different parks varying at different levels of </w:t>
      </w:r>
      <w:proofErr w:type="spellStart"/>
      <w:r w:rsidRPr="00036788">
        <w:rPr>
          <w:rFonts w:ascii="Arial" w:eastAsia="Times New Roman" w:hAnsi="Arial" w:cs="Times New Roman"/>
          <w:sz w:val="22"/>
          <w:lang w:val="en-US"/>
        </w:rPr>
        <w:t>colour</w:t>
      </w:r>
      <w:proofErr w:type="spellEnd"/>
      <w:r w:rsidRPr="00036788">
        <w:rPr>
          <w:rFonts w:ascii="Arial" w:eastAsia="Times New Roman" w:hAnsi="Arial" w:cs="Times New Roman"/>
          <w:sz w:val="22"/>
          <w:lang w:val="en-US"/>
        </w:rPr>
        <w:t xml:space="preserve"> and species diversity.</w:t>
      </w:r>
      <w:r w:rsidRPr="00036788">
        <w:rPr>
          <w:rFonts w:ascii="Arial" w:eastAsia="Times New Roman" w:hAnsi="Arial" w:cs="Times New Roman"/>
          <w:sz w:val="22"/>
          <w:lang w:val="en-US"/>
        </w:rPr>
        <w:br/>
        <w:t xml:space="preserve"> </w:t>
      </w:r>
      <w:r w:rsidRPr="00036788">
        <w:rPr>
          <w:rFonts w:ascii="Arial" w:eastAsia="Times New Roman" w:hAnsi="Arial" w:cs="Times New Roman"/>
          <w:sz w:val="22"/>
          <w:lang w:val="en-US"/>
        </w:rPr>
        <w:br/>
      </w:r>
      <w:r w:rsidRPr="00036788">
        <w:rPr>
          <w:rFonts w:ascii="Arial" w:eastAsia="Times New Roman" w:hAnsi="Arial" w:cs="Times New Roman"/>
          <w:sz w:val="22"/>
          <w:lang w:val="en-US"/>
        </w:rPr>
        <w:br/>
        <w:t xml:space="preserve"> Each participant was assigned to one park.</w:t>
      </w:r>
      <w:r w:rsidRPr="00036788">
        <w:rPr>
          <w:rFonts w:ascii="Arial" w:eastAsia="Times New Roman" w:hAnsi="Arial" w:cs="Times New Roman"/>
          <w:sz w:val="22"/>
          <w:lang w:val="en-US"/>
        </w:rPr>
        <w:br/>
        <w:t xml:space="preserve"> By comparing the responses to the different settings, we want to observe if (and which) level of </w:t>
      </w:r>
      <w:proofErr w:type="spellStart"/>
      <w:r w:rsidRPr="00036788">
        <w:rPr>
          <w:rFonts w:ascii="Arial" w:eastAsia="Times New Roman" w:hAnsi="Arial" w:cs="Times New Roman"/>
          <w:sz w:val="22"/>
          <w:lang w:val="en-US"/>
        </w:rPr>
        <w:t>colours</w:t>
      </w:r>
      <w:proofErr w:type="spellEnd"/>
      <w:r w:rsidRPr="00036788">
        <w:rPr>
          <w:rFonts w:ascii="Arial" w:eastAsia="Times New Roman" w:hAnsi="Arial" w:cs="Times New Roman"/>
          <w:sz w:val="22"/>
          <w:lang w:val="en-US"/>
        </w:rPr>
        <w:t xml:space="preserve">/biodiversity produced a </w:t>
      </w:r>
      <w:r w:rsidRPr="00036788">
        <w:rPr>
          <w:rFonts w:ascii="Arial" w:eastAsia="Times New Roman" w:hAnsi="Arial" w:cs="Times New Roman"/>
          <w:b/>
          <w:sz w:val="22"/>
          <w:lang w:val="en-US"/>
        </w:rPr>
        <w:t>better emotional uplifting</w:t>
      </w:r>
      <w:r w:rsidRPr="00036788">
        <w:rPr>
          <w:rFonts w:ascii="Arial" w:eastAsia="Times New Roman" w:hAnsi="Arial" w:cs="Times New Roman"/>
          <w:sz w:val="22"/>
          <w:lang w:val="en-US"/>
        </w:rPr>
        <w:t xml:space="preserve"> after the visit.</w:t>
      </w:r>
      <w:r w:rsidRPr="00036788">
        <w:rPr>
          <w:rFonts w:ascii="Arial" w:eastAsia="Times New Roman" w:hAnsi="Arial" w:cs="Times New Roman"/>
          <w:sz w:val="22"/>
          <w:lang w:val="en-US"/>
        </w:rPr>
        <w:br/>
        <w:t xml:space="preserve"> We will also compare the responses to see if the good mood you gained from the visit also made you </w:t>
      </w:r>
      <w:r w:rsidRPr="00036788">
        <w:rPr>
          <w:rFonts w:ascii="Arial" w:eastAsia="Times New Roman" w:hAnsi="Arial" w:cs="Times New Roman"/>
          <w:b/>
          <w:sz w:val="22"/>
          <w:lang w:val="en-US"/>
        </w:rPr>
        <w:t>cope better</w:t>
      </w:r>
      <w:r w:rsidRPr="00036788">
        <w:rPr>
          <w:rFonts w:ascii="Arial" w:eastAsia="Times New Roman" w:hAnsi="Arial" w:cs="Times New Roman"/>
          <w:sz w:val="22"/>
          <w:lang w:val="en-US"/>
        </w:rPr>
        <w:t xml:space="preserve"> with the final stressor.</w:t>
      </w:r>
      <w:r w:rsidRPr="00036788">
        <w:rPr>
          <w:rFonts w:ascii="Arial" w:eastAsia="Times New Roman" w:hAnsi="Arial" w:cs="Times New Roman"/>
          <w:sz w:val="22"/>
          <w:lang w:val="en-US"/>
        </w:rPr>
        <w:br/>
        <w:t xml:space="preserve"> </w:t>
      </w:r>
      <w:r w:rsidRPr="00036788">
        <w:rPr>
          <w:rFonts w:ascii="Arial" w:eastAsia="Times New Roman" w:hAnsi="Arial" w:cs="Times New Roman"/>
          <w:sz w:val="22"/>
          <w:lang w:val="en-US"/>
        </w:rPr>
        <w:br/>
        <w:t xml:space="preserve"> </w:t>
      </w:r>
      <w:r w:rsidRPr="00036788">
        <w:rPr>
          <w:rFonts w:ascii="Arial" w:eastAsia="Times New Roman" w:hAnsi="Arial" w:cs="Times New Roman"/>
          <w:sz w:val="22"/>
          <w:lang w:val="en-US"/>
        </w:rPr>
        <w:br/>
        <w:t xml:space="preserve">  </w:t>
      </w:r>
    </w:p>
    <w:p w14:paraId="28AB42D7" w14:textId="77777777" w:rsidR="00036788" w:rsidRPr="00036788" w:rsidRDefault="00036788" w:rsidP="00036788">
      <w:pPr>
        <w:spacing w:after="0" w:line="276" w:lineRule="auto"/>
        <w:jc w:val="left"/>
        <w:rPr>
          <w:rFonts w:ascii="Arial" w:eastAsia="Times New Roman" w:hAnsi="Arial" w:cs="Times New Roman"/>
          <w:sz w:val="22"/>
          <w:lang w:val="en-US"/>
        </w:rPr>
      </w:pPr>
    </w:p>
    <w:p w14:paraId="4D2FEC06" w14:textId="77777777" w:rsidR="00036788" w:rsidRPr="00036788" w:rsidRDefault="00036788" w:rsidP="00036788">
      <w:pPr>
        <w:spacing w:before="120" w:after="0" w:line="240" w:lineRule="auto"/>
        <w:jc w:val="left"/>
        <w:rPr>
          <w:rFonts w:ascii="Arial" w:eastAsia="Times New Roman" w:hAnsi="Arial" w:cs="Times New Roman"/>
          <w:b/>
          <w:color w:val="CCCCCC"/>
          <w:sz w:val="22"/>
          <w:lang w:val="en-US"/>
        </w:rPr>
      </w:pPr>
      <w:r w:rsidRPr="00036788">
        <w:rPr>
          <w:rFonts w:ascii="Arial" w:eastAsia="Times New Roman" w:hAnsi="Arial" w:cs="Times New Roman"/>
          <w:b/>
          <w:color w:val="CCCCCC"/>
          <w:sz w:val="22"/>
          <w:lang w:val="en-US"/>
        </w:rPr>
        <w:t>End of Block: Debrief Experiment_1&amp;3</w:t>
      </w:r>
    </w:p>
    <w:p w14:paraId="427E8BAE" w14:textId="77777777" w:rsidR="00036788" w:rsidRPr="00036788" w:rsidRDefault="00036788" w:rsidP="00036788">
      <w:pPr>
        <w:pBdr>
          <w:bottom w:val="single" w:sz="8" w:space="0" w:color="CCCCCC"/>
        </w:pBdr>
        <w:spacing w:after="0" w:line="120" w:lineRule="auto"/>
        <w:jc w:val="center"/>
        <w:rPr>
          <w:rFonts w:ascii="Arial" w:eastAsia="Times New Roman" w:hAnsi="Arial" w:cs="Times New Roman"/>
          <w:b/>
          <w:color w:val="CCCCCC"/>
          <w:sz w:val="22"/>
          <w:lang w:val="en-US"/>
        </w:rPr>
      </w:pPr>
    </w:p>
    <w:p w14:paraId="0BC16276" w14:textId="77777777" w:rsidR="00036788" w:rsidRPr="00036788" w:rsidRDefault="00036788" w:rsidP="00036788">
      <w:pPr>
        <w:spacing w:before="120" w:after="120" w:line="240" w:lineRule="auto"/>
        <w:jc w:val="left"/>
        <w:rPr>
          <w:rFonts w:ascii="Arial" w:eastAsia="Times New Roman" w:hAnsi="Arial" w:cs="Times New Roman"/>
          <w:b/>
          <w:color w:val="CCCCCC"/>
          <w:sz w:val="22"/>
          <w:lang w:val="en-US"/>
        </w:rPr>
      </w:pPr>
      <w:r w:rsidRPr="00036788">
        <w:rPr>
          <w:rFonts w:ascii="Arial" w:eastAsia="Times New Roman" w:hAnsi="Arial" w:cs="Times New Roman"/>
          <w:b/>
          <w:color w:val="CCCCCC"/>
          <w:sz w:val="22"/>
          <w:lang w:val="en-US"/>
        </w:rPr>
        <w:t>Start of Block: Intro and flowchart Experiment_2&amp;4</w:t>
      </w:r>
    </w:p>
    <w:p w14:paraId="14EB10F3" w14:textId="77777777" w:rsidR="00036788" w:rsidRPr="00036788" w:rsidRDefault="00036788" w:rsidP="00036788">
      <w:pPr>
        <w:spacing w:after="0" w:line="276" w:lineRule="auto"/>
        <w:jc w:val="left"/>
        <w:rPr>
          <w:rFonts w:ascii="Arial" w:eastAsia="Times New Roman" w:hAnsi="Arial" w:cs="Times New Roman"/>
          <w:sz w:val="22"/>
          <w:lang w:val="en-US"/>
        </w:rPr>
      </w:pPr>
    </w:p>
    <w:p w14:paraId="18F60A14" w14:textId="77777777" w:rsidR="00036788" w:rsidRPr="00036788" w:rsidRDefault="00036788" w:rsidP="00036788">
      <w:pPr>
        <w:keepNext/>
        <w:spacing w:after="0" w:line="276" w:lineRule="auto"/>
        <w:jc w:val="left"/>
        <w:rPr>
          <w:rFonts w:ascii="Arial" w:eastAsia="Times New Roman" w:hAnsi="Arial" w:cs="Times New Roman"/>
          <w:sz w:val="22"/>
          <w:lang w:val="en-US"/>
        </w:rPr>
      </w:pPr>
      <w:r w:rsidRPr="00036788">
        <w:rPr>
          <w:rFonts w:ascii="Arial" w:eastAsia="Times New Roman" w:hAnsi="Arial" w:cs="Times New Roman"/>
          <w:b/>
          <w:sz w:val="22"/>
          <w:lang w:val="en-US"/>
        </w:rPr>
        <w:t>A few suggestions before we start</w:t>
      </w:r>
      <w:r w:rsidRPr="00036788">
        <w:rPr>
          <w:rFonts w:ascii="Arial" w:eastAsia="Times New Roman" w:hAnsi="Arial" w:cs="Times New Roman"/>
          <w:sz w:val="22"/>
          <w:lang w:val="en-US"/>
        </w:rPr>
        <w:t xml:space="preserve"> </w:t>
      </w:r>
      <w:r w:rsidRPr="00036788">
        <w:rPr>
          <w:rFonts w:ascii="Arial" w:eastAsia="Times New Roman" w:hAnsi="Arial" w:cs="Times New Roman"/>
          <w:sz w:val="22"/>
          <w:lang w:val="en-US"/>
        </w:rPr>
        <w:br/>
        <w:t xml:space="preserve">   </w:t>
      </w:r>
      <w:r w:rsidRPr="00036788">
        <w:rPr>
          <w:rFonts w:ascii="Arial" w:eastAsia="Times New Roman" w:hAnsi="Arial" w:cs="Times New Roman"/>
          <w:sz w:val="22"/>
          <w:lang w:val="en-US"/>
        </w:rPr>
        <w:br/>
        <w:t>Thank you for taking part in this study! The survey’s structure follows the flowchart below and should take less than 15 minutes to complete.</w:t>
      </w:r>
      <w:r w:rsidRPr="00036788">
        <w:rPr>
          <w:rFonts w:ascii="Arial" w:eastAsia="Times New Roman" w:hAnsi="Arial" w:cs="Times New Roman"/>
          <w:sz w:val="22"/>
          <w:lang w:val="en-US"/>
        </w:rPr>
        <w:br/>
        <w:t xml:space="preserve">   Before you start, here are a few suggestions to improve your survey’s experience:</w:t>
      </w:r>
      <w:r w:rsidRPr="00036788">
        <w:rPr>
          <w:rFonts w:ascii="Arial" w:eastAsia="Times New Roman" w:hAnsi="Arial" w:cs="Times New Roman"/>
          <w:sz w:val="22"/>
          <w:lang w:val="en-US"/>
        </w:rPr>
        <w:br/>
        <w:t xml:space="preserve"> </w:t>
      </w:r>
      <w:r w:rsidRPr="00036788">
        <w:rPr>
          <w:rFonts w:ascii="Arial" w:eastAsia="Times New Roman" w:hAnsi="Arial" w:cs="Times New Roman"/>
          <w:sz w:val="22"/>
          <w:lang w:val="en-US"/>
        </w:rPr>
        <w:br/>
        <w:t xml:space="preserve">    Check that you are connected via Wi-Fi. The virtual tour can take longer to load on slower connections.</w:t>
      </w:r>
      <w:r w:rsidRPr="00036788">
        <w:rPr>
          <w:rFonts w:ascii="Arial" w:eastAsia="Times New Roman" w:hAnsi="Arial" w:cs="Times New Roman"/>
          <w:sz w:val="22"/>
          <w:lang w:val="en-US"/>
        </w:rPr>
        <w:br/>
        <w:t xml:space="preserve"> </w:t>
      </w:r>
      <w:r w:rsidRPr="00036788">
        <w:rPr>
          <w:rFonts w:ascii="Arial" w:eastAsia="Times New Roman" w:hAnsi="Arial" w:cs="Times New Roman"/>
          <w:sz w:val="22"/>
          <w:lang w:val="en-US"/>
        </w:rPr>
        <w:br/>
        <w:t xml:space="preserve">    Wear earphones or headphones. One of the tasks will be about listening.</w:t>
      </w:r>
      <w:r w:rsidRPr="00036788">
        <w:rPr>
          <w:rFonts w:ascii="Arial" w:eastAsia="Times New Roman" w:hAnsi="Arial" w:cs="Times New Roman"/>
          <w:sz w:val="22"/>
          <w:lang w:val="en-US"/>
        </w:rPr>
        <w:br/>
        <w:t xml:space="preserve">   </w:t>
      </w:r>
      <w:r w:rsidRPr="00036788">
        <w:rPr>
          <w:rFonts w:ascii="Arial" w:eastAsia="Times New Roman" w:hAnsi="Arial" w:cs="Times New Roman"/>
          <w:sz w:val="22"/>
          <w:lang w:val="en-US"/>
        </w:rPr>
        <w:br/>
        <w:t xml:space="preserve">   Sit comfortably and avoid distractions for the duration of the survey (switching off notifications helps greatly). </w:t>
      </w:r>
      <w:r w:rsidRPr="00036788">
        <w:rPr>
          <w:rFonts w:ascii="Arial" w:eastAsia="Times New Roman" w:hAnsi="Arial" w:cs="Times New Roman"/>
          <w:sz w:val="22"/>
          <w:lang w:val="en-US"/>
        </w:rPr>
        <w:br/>
        <w:t xml:space="preserve"> This study is about your sensations, so there are no right or wrong answers. You should answer the questions quickly based on your first instincts.  </w:t>
      </w:r>
      <w:r w:rsidRPr="00036788">
        <w:rPr>
          <w:rFonts w:ascii="Arial" w:eastAsia="Times New Roman" w:hAnsi="Arial" w:cs="Times New Roman"/>
          <w:sz w:val="22"/>
          <w:lang w:val="en-US"/>
        </w:rPr>
        <w:br/>
      </w:r>
      <w:r w:rsidRPr="00036788">
        <w:rPr>
          <w:rFonts w:ascii="Arial" w:eastAsia="Times New Roman" w:hAnsi="Arial" w:cs="Times New Roman"/>
          <w:sz w:val="22"/>
          <w:lang w:val="en-US"/>
        </w:rPr>
        <w:lastRenderedPageBreak/>
        <w:br/>
        <w:t xml:space="preserve"> </w:t>
      </w:r>
    </w:p>
    <w:p w14:paraId="31ED65E7" w14:textId="77777777" w:rsidR="00036788" w:rsidRPr="00036788" w:rsidRDefault="00036788" w:rsidP="00036788">
      <w:pPr>
        <w:spacing w:after="0" w:line="276" w:lineRule="auto"/>
        <w:jc w:val="left"/>
        <w:rPr>
          <w:rFonts w:ascii="Arial" w:eastAsia="Times New Roman" w:hAnsi="Arial" w:cs="Times New Roman"/>
          <w:sz w:val="22"/>
          <w:lang w:val="en-US"/>
        </w:rPr>
      </w:pPr>
    </w:p>
    <w:p w14:paraId="7B6B1114" w14:textId="77777777" w:rsidR="00036788" w:rsidRPr="00036788" w:rsidRDefault="00036788" w:rsidP="00036788">
      <w:pPr>
        <w:pBdr>
          <w:top w:val="dashed" w:sz="8" w:space="0" w:color="CCCCCC"/>
        </w:pBdr>
        <w:spacing w:before="120" w:after="120" w:line="120" w:lineRule="auto"/>
        <w:jc w:val="left"/>
        <w:rPr>
          <w:rFonts w:ascii="Arial" w:eastAsia="Times New Roman" w:hAnsi="Arial" w:cs="Times New Roman"/>
          <w:sz w:val="22"/>
          <w:lang w:val="en-US"/>
        </w:rPr>
      </w:pPr>
    </w:p>
    <w:p w14:paraId="557B1504" w14:textId="77777777" w:rsidR="00036788" w:rsidRPr="00036788" w:rsidRDefault="00036788" w:rsidP="00036788">
      <w:pPr>
        <w:spacing w:after="0" w:line="276" w:lineRule="auto"/>
        <w:jc w:val="left"/>
        <w:rPr>
          <w:rFonts w:ascii="Arial" w:eastAsia="Times New Roman" w:hAnsi="Arial" w:cs="Times New Roman"/>
          <w:sz w:val="22"/>
          <w:lang w:val="en-US"/>
        </w:rPr>
      </w:pPr>
    </w:p>
    <w:p w14:paraId="6DE211E4" w14:textId="77777777" w:rsidR="00036788" w:rsidRPr="00036788" w:rsidRDefault="00036788" w:rsidP="00036788">
      <w:pPr>
        <w:keepNext/>
        <w:spacing w:after="0" w:line="276" w:lineRule="auto"/>
        <w:jc w:val="left"/>
        <w:rPr>
          <w:rFonts w:ascii="Arial" w:eastAsia="Times New Roman" w:hAnsi="Arial" w:cs="Times New Roman"/>
          <w:sz w:val="22"/>
          <w:lang w:val="en-US"/>
        </w:rPr>
      </w:pPr>
      <w:r w:rsidRPr="00036788">
        <w:rPr>
          <w:rFonts w:ascii="Arial" w:eastAsia="Times New Roman" w:hAnsi="Arial" w:cs="Times New Roman"/>
          <w:sz w:val="22"/>
          <w:lang w:val="en-US"/>
        </w:rPr>
        <w:br/>
      </w:r>
      <w:r w:rsidRPr="00036788">
        <w:rPr>
          <w:rFonts w:ascii="Arial" w:eastAsia="Times New Roman" w:hAnsi="Arial" w:cs="Times New Roman"/>
          <w:b/>
          <w:sz w:val="22"/>
          <w:lang w:val="en-US"/>
        </w:rPr>
        <w:t xml:space="preserve">Sound </w:t>
      </w:r>
      <w:proofErr w:type="gramStart"/>
      <w:r w:rsidRPr="00036788">
        <w:rPr>
          <w:rFonts w:ascii="Arial" w:eastAsia="Times New Roman" w:hAnsi="Arial" w:cs="Times New Roman"/>
          <w:b/>
          <w:sz w:val="22"/>
          <w:lang w:val="en-US"/>
        </w:rPr>
        <w:t>check</w:t>
      </w:r>
      <w:proofErr w:type="gramEnd"/>
      <w:r w:rsidRPr="00036788">
        <w:rPr>
          <w:rFonts w:ascii="Arial" w:eastAsia="Times New Roman" w:hAnsi="Arial" w:cs="Times New Roman"/>
          <w:sz w:val="22"/>
          <w:lang w:val="en-US"/>
        </w:rPr>
        <w:t xml:space="preserve">  </w:t>
      </w:r>
      <w:r w:rsidRPr="00036788">
        <w:rPr>
          <w:rFonts w:ascii="Arial" w:eastAsia="Times New Roman" w:hAnsi="Arial" w:cs="Times New Roman"/>
          <w:sz w:val="22"/>
          <w:lang w:val="en-US"/>
        </w:rPr>
        <w:br/>
        <w:t xml:space="preserve">The audio is an important part of this study.  </w:t>
      </w:r>
      <w:r w:rsidRPr="00036788">
        <w:rPr>
          <w:rFonts w:ascii="Arial" w:eastAsia="Times New Roman" w:hAnsi="Arial" w:cs="Times New Roman"/>
          <w:sz w:val="22"/>
          <w:lang w:val="en-US"/>
        </w:rPr>
        <w:br/>
      </w:r>
      <w:r w:rsidRPr="00036788">
        <w:rPr>
          <w:rFonts w:ascii="Arial" w:eastAsia="Times New Roman" w:hAnsi="Arial" w:cs="Times New Roman"/>
          <w:sz w:val="22"/>
          <w:lang w:val="en-US"/>
        </w:rPr>
        <w:br/>
        <w:t xml:space="preserve"> Please listen to the audio file below and adjust your device volume at a comfortable level.</w:t>
      </w:r>
      <w:r w:rsidRPr="00036788">
        <w:rPr>
          <w:rFonts w:ascii="Arial" w:eastAsia="Times New Roman" w:hAnsi="Arial" w:cs="Times New Roman"/>
          <w:sz w:val="22"/>
          <w:lang w:val="en-US"/>
        </w:rPr>
        <w:br/>
        <w:t xml:space="preserve"> You can replay the file as much as you need.</w:t>
      </w:r>
      <w:r w:rsidRPr="00036788">
        <w:rPr>
          <w:rFonts w:ascii="Arial" w:eastAsia="Times New Roman" w:hAnsi="Arial" w:cs="Times New Roman"/>
          <w:sz w:val="22"/>
          <w:lang w:val="en-US"/>
        </w:rPr>
        <w:br/>
        <w:t xml:space="preserve"> </w:t>
      </w:r>
      <w:r w:rsidRPr="00036788">
        <w:rPr>
          <w:rFonts w:ascii="Arial" w:eastAsia="Times New Roman" w:hAnsi="Arial" w:cs="Times New Roman"/>
          <w:sz w:val="22"/>
          <w:lang w:val="en-US"/>
        </w:rPr>
        <w:br/>
        <w:t xml:space="preserve"> </w:t>
      </w:r>
      <w:r w:rsidRPr="00036788">
        <w:rPr>
          <w:rFonts w:ascii="Arial" w:eastAsia="Times New Roman" w:hAnsi="Arial" w:cs="Times New Roman"/>
          <w:sz w:val="22"/>
          <w:lang w:val="en-US"/>
        </w:rPr>
        <w:br/>
        <w:t xml:space="preserve">      </w:t>
      </w:r>
      <w:r w:rsidRPr="00036788">
        <w:rPr>
          <w:rFonts w:ascii="Arial" w:eastAsia="Times New Roman" w:hAnsi="Arial" w:cs="Times New Roman"/>
          <w:sz w:val="22"/>
          <w:lang w:val="en-US"/>
        </w:rPr>
        <w:br/>
      </w:r>
    </w:p>
    <w:p w14:paraId="14D5570F" w14:textId="77777777" w:rsidR="00036788" w:rsidRPr="00036788" w:rsidRDefault="00036788" w:rsidP="00036788">
      <w:pPr>
        <w:spacing w:before="120" w:after="0" w:line="240" w:lineRule="auto"/>
        <w:jc w:val="left"/>
        <w:rPr>
          <w:rFonts w:ascii="Arial" w:eastAsia="Times New Roman" w:hAnsi="Arial" w:cs="Times New Roman"/>
          <w:b/>
          <w:color w:val="CCCCCC"/>
          <w:sz w:val="22"/>
          <w:lang w:val="en-US"/>
        </w:rPr>
      </w:pPr>
      <w:r w:rsidRPr="00036788">
        <w:rPr>
          <w:rFonts w:ascii="Arial" w:eastAsia="Times New Roman" w:hAnsi="Arial" w:cs="Times New Roman"/>
          <w:b/>
          <w:color w:val="CCCCCC"/>
          <w:sz w:val="22"/>
          <w:lang w:val="en-US"/>
        </w:rPr>
        <w:t>End of Block: Intro and flowchart Experiment_2&amp;4</w:t>
      </w:r>
    </w:p>
    <w:p w14:paraId="57799E68" w14:textId="77777777" w:rsidR="00036788" w:rsidRPr="00036788" w:rsidRDefault="00036788" w:rsidP="00036788">
      <w:pPr>
        <w:pBdr>
          <w:bottom w:val="single" w:sz="8" w:space="0" w:color="CCCCCC"/>
        </w:pBdr>
        <w:spacing w:after="0" w:line="120" w:lineRule="auto"/>
        <w:jc w:val="center"/>
        <w:rPr>
          <w:rFonts w:ascii="Arial" w:eastAsia="Times New Roman" w:hAnsi="Arial" w:cs="Times New Roman"/>
          <w:b/>
          <w:color w:val="CCCCCC"/>
          <w:sz w:val="22"/>
          <w:lang w:val="en-US"/>
        </w:rPr>
      </w:pPr>
    </w:p>
    <w:p w14:paraId="6FBEF251" w14:textId="77777777" w:rsidR="00036788" w:rsidRPr="00036788" w:rsidRDefault="00036788" w:rsidP="00036788">
      <w:pPr>
        <w:spacing w:before="120" w:after="120" w:line="240" w:lineRule="auto"/>
        <w:jc w:val="left"/>
        <w:rPr>
          <w:rFonts w:ascii="Arial" w:eastAsia="Times New Roman" w:hAnsi="Arial" w:cs="Times New Roman"/>
          <w:b/>
          <w:color w:val="CCCCCC"/>
          <w:sz w:val="22"/>
          <w:lang w:val="en-US"/>
        </w:rPr>
      </w:pPr>
      <w:r w:rsidRPr="00036788">
        <w:rPr>
          <w:rFonts w:ascii="Arial" w:eastAsia="Times New Roman" w:hAnsi="Arial" w:cs="Times New Roman"/>
          <w:b/>
          <w:color w:val="CCCCCC"/>
          <w:sz w:val="22"/>
          <w:lang w:val="en-US"/>
        </w:rPr>
        <w:t>Start of Block: PanasX_Experiment_2&amp;4_Base</w:t>
      </w:r>
    </w:p>
    <w:p w14:paraId="0B62F4E8" w14:textId="77777777" w:rsidR="00036788" w:rsidRPr="00036788" w:rsidRDefault="00036788" w:rsidP="00036788">
      <w:pPr>
        <w:spacing w:after="0" w:line="276" w:lineRule="auto"/>
        <w:jc w:val="left"/>
        <w:rPr>
          <w:rFonts w:ascii="Arial" w:eastAsia="Times New Roman" w:hAnsi="Arial" w:cs="Times New Roman"/>
          <w:sz w:val="22"/>
          <w:lang w:val="en-US"/>
        </w:rPr>
      </w:pPr>
    </w:p>
    <w:p w14:paraId="6E5A15E9" w14:textId="77777777" w:rsidR="00036788" w:rsidRPr="00036788" w:rsidRDefault="00036788" w:rsidP="00036788">
      <w:pPr>
        <w:keepNext/>
        <w:spacing w:after="0" w:line="276" w:lineRule="auto"/>
        <w:jc w:val="left"/>
        <w:rPr>
          <w:rFonts w:ascii="Arial" w:eastAsia="Times New Roman" w:hAnsi="Arial" w:cs="Times New Roman"/>
          <w:sz w:val="22"/>
          <w:lang w:val="en-US"/>
        </w:rPr>
      </w:pPr>
      <w:r w:rsidRPr="00036788">
        <w:rPr>
          <w:rFonts w:ascii="Arial" w:eastAsia="Times New Roman" w:hAnsi="Arial" w:cs="Times New Roman"/>
          <w:sz w:val="22"/>
          <w:lang w:val="en-US"/>
        </w:rPr>
        <w:t>At the start of the survey, we are interested to record how you feel.</w:t>
      </w:r>
    </w:p>
    <w:tbl>
      <w:tblPr>
        <w:tblStyle w:val="QQuestionIconTable"/>
        <w:tblpPr w:leftFromText="180" w:rightFromText="180" w:vertAnchor="text" w:tblpY="1"/>
        <w:tblOverlap w:val="never"/>
        <w:tblW w:w="50" w:type="auto"/>
        <w:tblLook w:val="07E0" w:firstRow="1" w:lastRow="1" w:firstColumn="1" w:lastColumn="1" w:noHBand="1" w:noVBand="1"/>
      </w:tblPr>
      <w:tblGrid>
        <w:gridCol w:w="50"/>
      </w:tblGrid>
      <w:tr w:rsidR="00036788" w:rsidRPr="00036788" w14:paraId="675C4EB8" w14:textId="77777777" w:rsidTr="005F7CE9">
        <w:tc>
          <w:tcPr>
            <w:tcW w:w="50" w:type="dxa"/>
          </w:tcPr>
          <w:p w14:paraId="11077D3D" w14:textId="77777777" w:rsidR="00036788" w:rsidRPr="00036788" w:rsidRDefault="00036788" w:rsidP="00036788">
            <w:pPr>
              <w:keepNext/>
              <w:spacing w:line="240" w:lineRule="auto"/>
              <w:jc w:val="left"/>
              <w:rPr>
                <w:rFonts w:ascii="Arial" w:eastAsia="Times New Roman" w:hAnsi="Arial" w:cs="Times New Roman"/>
                <w:sz w:val="22"/>
                <w:lang w:val="en-US"/>
              </w:rPr>
            </w:pPr>
          </w:p>
        </w:tc>
      </w:tr>
    </w:tbl>
    <w:p w14:paraId="5B44E692" w14:textId="77777777" w:rsidR="00036788" w:rsidRPr="00036788" w:rsidRDefault="00036788" w:rsidP="00036788">
      <w:pPr>
        <w:keepNext/>
        <w:spacing w:after="0" w:line="276" w:lineRule="auto"/>
        <w:jc w:val="left"/>
        <w:rPr>
          <w:rFonts w:ascii="Arial" w:eastAsia="Times New Roman" w:hAnsi="Arial" w:cs="Times New Roman"/>
          <w:sz w:val="22"/>
          <w:lang w:val="en-US"/>
        </w:rPr>
      </w:pPr>
      <w:r w:rsidRPr="00036788">
        <w:rPr>
          <w:rFonts w:ascii="Arial" w:eastAsia="Times New Roman" w:hAnsi="Arial" w:cs="Times New Roman"/>
          <w:sz w:val="22"/>
          <w:lang w:val="en-US"/>
        </w:rPr>
        <w:lastRenderedPageBreak/>
        <w:t>Please rate according to how you feel RIGHT NOW. You should answer this quickly based on your first instincts</w:t>
      </w:r>
    </w:p>
    <w:tbl>
      <w:tblPr>
        <w:tblStyle w:val="QQuestionTable4"/>
        <w:tblW w:w="9576" w:type="auto"/>
        <w:tblLook w:val="07E0" w:firstRow="1" w:lastRow="1" w:firstColumn="1" w:lastColumn="1" w:noHBand="1" w:noVBand="1"/>
      </w:tblPr>
      <w:tblGrid>
        <w:gridCol w:w="1596"/>
        <w:gridCol w:w="1596"/>
        <w:gridCol w:w="1596"/>
        <w:gridCol w:w="1596"/>
        <w:gridCol w:w="1596"/>
        <w:gridCol w:w="1596"/>
      </w:tblGrid>
      <w:tr w:rsidR="00036788" w:rsidRPr="00036788" w14:paraId="5F7CB4ED" w14:textId="77777777" w:rsidTr="005F7CE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96" w:type="dxa"/>
          </w:tcPr>
          <w:p w14:paraId="7D4E674C" w14:textId="77777777" w:rsidR="00036788" w:rsidRPr="00036788" w:rsidRDefault="00036788" w:rsidP="00036788">
            <w:pPr>
              <w:keepNext/>
              <w:spacing w:line="240" w:lineRule="auto"/>
              <w:jc w:val="center"/>
              <w:rPr>
                <w:rFonts w:ascii="Arial" w:hAnsi="Arial" w:cs="Times New Roman"/>
                <w:sz w:val="22"/>
                <w:lang w:val="en-US"/>
              </w:rPr>
            </w:pPr>
          </w:p>
        </w:tc>
        <w:tc>
          <w:tcPr>
            <w:tcW w:w="1596" w:type="dxa"/>
          </w:tcPr>
          <w:p w14:paraId="43DDBCE7" w14:textId="77777777" w:rsidR="00036788" w:rsidRPr="00036788" w:rsidRDefault="00036788" w:rsidP="00036788">
            <w:pPr>
              <w:spacing w:line="240" w:lineRule="auto"/>
              <w:jc w:val="center"/>
              <w:cnfStyle w:val="100000000000" w:firstRow="1" w:lastRow="0" w:firstColumn="0" w:lastColumn="0" w:oddVBand="0" w:evenVBand="0" w:oddHBand="0" w:evenHBand="0" w:firstRowFirstColumn="0" w:firstRowLastColumn="0" w:lastRowFirstColumn="0" w:lastRowLastColumn="0"/>
              <w:rPr>
                <w:rFonts w:ascii="Arial" w:hAnsi="Arial" w:cs="Times New Roman"/>
                <w:sz w:val="22"/>
                <w:lang w:val="en-US"/>
              </w:rPr>
            </w:pPr>
            <w:r w:rsidRPr="00036788">
              <w:rPr>
                <w:rFonts w:ascii="Arial" w:hAnsi="Arial" w:cs="Times New Roman"/>
                <w:sz w:val="22"/>
                <w:lang w:val="en-US"/>
              </w:rPr>
              <w:t>Not at all (1)</w:t>
            </w:r>
          </w:p>
        </w:tc>
        <w:tc>
          <w:tcPr>
            <w:tcW w:w="1596" w:type="dxa"/>
          </w:tcPr>
          <w:p w14:paraId="2CA4D225" w14:textId="77777777" w:rsidR="00036788" w:rsidRPr="00036788" w:rsidRDefault="00036788" w:rsidP="00036788">
            <w:pPr>
              <w:spacing w:line="240" w:lineRule="auto"/>
              <w:jc w:val="center"/>
              <w:cnfStyle w:val="100000000000" w:firstRow="1" w:lastRow="0" w:firstColumn="0" w:lastColumn="0" w:oddVBand="0" w:evenVBand="0" w:oddHBand="0" w:evenHBand="0" w:firstRowFirstColumn="0" w:firstRowLastColumn="0" w:lastRowFirstColumn="0" w:lastRowLastColumn="0"/>
              <w:rPr>
                <w:rFonts w:ascii="Arial" w:hAnsi="Arial" w:cs="Times New Roman"/>
                <w:sz w:val="22"/>
                <w:lang w:val="en-US"/>
              </w:rPr>
            </w:pPr>
            <w:r w:rsidRPr="00036788">
              <w:rPr>
                <w:rFonts w:ascii="Arial" w:hAnsi="Arial" w:cs="Times New Roman"/>
                <w:sz w:val="22"/>
                <w:lang w:val="en-US"/>
              </w:rPr>
              <w:t>A little (2)</w:t>
            </w:r>
          </w:p>
        </w:tc>
        <w:tc>
          <w:tcPr>
            <w:tcW w:w="1596" w:type="dxa"/>
          </w:tcPr>
          <w:p w14:paraId="4A1EA251" w14:textId="77777777" w:rsidR="00036788" w:rsidRPr="00036788" w:rsidRDefault="00036788" w:rsidP="00036788">
            <w:pPr>
              <w:spacing w:line="240" w:lineRule="auto"/>
              <w:jc w:val="center"/>
              <w:cnfStyle w:val="100000000000" w:firstRow="1" w:lastRow="0" w:firstColumn="0" w:lastColumn="0" w:oddVBand="0" w:evenVBand="0" w:oddHBand="0" w:evenHBand="0" w:firstRowFirstColumn="0" w:firstRowLastColumn="0" w:lastRowFirstColumn="0" w:lastRowLastColumn="0"/>
              <w:rPr>
                <w:rFonts w:ascii="Arial" w:hAnsi="Arial" w:cs="Times New Roman"/>
                <w:sz w:val="22"/>
                <w:lang w:val="en-US"/>
              </w:rPr>
            </w:pPr>
            <w:r w:rsidRPr="00036788">
              <w:rPr>
                <w:rFonts w:ascii="Arial" w:hAnsi="Arial" w:cs="Times New Roman"/>
                <w:sz w:val="22"/>
                <w:lang w:val="en-US"/>
              </w:rPr>
              <w:t>Moderately (3)</w:t>
            </w:r>
          </w:p>
        </w:tc>
        <w:tc>
          <w:tcPr>
            <w:tcW w:w="1596" w:type="dxa"/>
          </w:tcPr>
          <w:p w14:paraId="1445E534" w14:textId="77777777" w:rsidR="00036788" w:rsidRPr="00036788" w:rsidRDefault="00036788" w:rsidP="00036788">
            <w:pPr>
              <w:spacing w:line="240" w:lineRule="auto"/>
              <w:jc w:val="center"/>
              <w:cnfStyle w:val="100000000000" w:firstRow="1" w:lastRow="0" w:firstColumn="0" w:lastColumn="0" w:oddVBand="0" w:evenVBand="0" w:oddHBand="0" w:evenHBand="0" w:firstRowFirstColumn="0" w:firstRowLastColumn="0" w:lastRowFirstColumn="0" w:lastRowLastColumn="0"/>
              <w:rPr>
                <w:rFonts w:ascii="Arial" w:hAnsi="Arial" w:cs="Times New Roman"/>
                <w:sz w:val="22"/>
                <w:lang w:val="en-US"/>
              </w:rPr>
            </w:pPr>
            <w:r w:rsidRPr="00036788">
              <w:rPr>
                <w:rFonts w:ascii="Arial" w:hAnsi="Arial" w:cs="Times New Roman"/>
                <w:sz w:val="22"/>
                <w:lang w:val="en-US"/>
              </w:rPr>
              <w:t>Quite a bit (4)</w:t>
            </w:r>
          </w:p>
        </w:tc>
        <w:tc>
          <w:tcPr>
            <w:tcW w:w="1596" w:type="dxa"/>
          </w:tcPr>
          <w:p w14:paraId="5876C552" w14:textId="77777777" w:rsidR="00036788" w:rsidRPr="00036788" w:rsidRDefault="00036788" w:rsidP="00036788">
            <w:pPr>
              <w:spacing w:line="240" w:lineRule="auto"/>
              <w:jc w:val="center"/>
              <w:cnfStyle w:val="100000000000" w:firstRow="1" w:lastRow="0" w:firstColumn="0" w:lastColumn="0" w:oddVBand="0" w:evenVBand="0" w:oddHBand="0" w:evenHBand="0" w:firstRowFirstColumn="0" w:firstRowLastColumn="0" w:lastRowFirstColumn="0" w:lastRowLastColumn="0"/>
              <w:rPr>
                <w:rFonts w:ascii="Arial" w:hAnsi="Arial" w:cs="Times New Roman"/>
                <w:sz w:val="22"/>
                <w:lang w:val="en-US"/>
              </w:rPr>
            </w:pPr>
            <w:r w:rsidRPr="00036788">
              <w:rPr>
                <w:rFonts w:ascii="Arial" w:hAnsi="Arial" w:cs="Times New Roman"/>
                <w:sz w:val="22"/>
                <w:lang w:val="en-US"/>
              </w:rPr>
              <w:t>Extremely (5)</w:t>
            </w:r>
          </w:p>
        </w:tc>
      </w:tr>
      <w:tr w:rsidR="00036788" w:rsidRPr="00036788" w14:paraId="2F185DBD" w14:textId="77777777" w:rsidTr="005F7CE9">
        <w:tc>
          <w:tcPr>
            <w:cnfStyle w:val="001000000000" w:firstRow="0" w:lastRow="0" w:firstColumn="1" w:lastColumn="0" w:oddVBand="0" w:evenVBand="0" w:oddHBand="0" w:evenHBand="0" w:firstRowFirstColumn="0" w:firstRowLastColumn="0" w:lastRowFirstColumn="0" w:lastRowLastColumn="0"/>
            <w:tcW w:w="1596" w:type="dxa"/>
          </w:tcPr>
          <w:p w14:paraId="4E35D5A4" w14:textId="77777777" w:rsidR="00036788" w:rsidRPr="00036788" w:rsidRDefault="00036788" w:rsidP="00036788">
            <w:pPr>
              <w:keepNext/>
              <w:spacing w:line="240" w:lineRule="auto"/>
              <w:jc w:val="center"/>
              <w:rPr>
                <w:rFonts w:ascii="Arial" w:hAnsi="Arial" w:cs="Times New Roman"/>
                <w:sz w:val="22"/>
                <w:lang w:val="en-US"/>
              </w:rPr>
            </w:pPr>
            <w:r w:rsidRPr="00036788">
              <w:rPr>
                <w:rFonts w:ascii="Arial" w:hAnsi="Arial" w:cs="Times New Roman"/>
                <w:sz w:val="22"/>
                <w:lang w:val="en-US"/>
              </w:rPr>
              <w:t xml:space="preserve">Happy (1) </w:t>
            </w:r>
          </w:p>
        </w:tc>
        <w:tc>
          <w:tcPr>
            <w:tcW w:w="1596" w:type="dxa"/>
          </w:tcPr>
          <w:p w14:paraId="0251E3DA"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1A9ECB8F"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58F3EA9E"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207C8CB0"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652DF4E2"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r>
      <w:tr w:rsidR="00036788" w:rsidRPr="00036788" w14:paraId="56474D54" w14:textId="77777777" w:rsidTr="005F7CE9">
        <w:tc>
          <w:tcPr>
            <w:cnfStyle w:val="001000000000" w:firstRow="0" w:lastRow="0" w:firstColumn="1" w:lastColumn="0" w:oddVBand="0" w:evenVBand="0" w:oddHBand="0" w:evenHBand="0" w:firstRowFirstColumn="0" w:firstRowLastColumn="0" w:lastRowFirstColumn="0" w:lastRowLastColumn="0"/>
            <w:tcW w:w="1596" w:type="dxa"/>
          </w:tcPr>
          <w:p w14:paraId="54D0FB1E" w14:textId="77777777" w:rsidR="00036788" w:rsidRPr="00036788" w:rsidRDefault="00036788" w:rsidP="00036788">
            <w:pPr>
              <w:keepNext/>
              <w:spacing w:line="240" w:lineRule="auto"/>
              <w:jc w:val="center"/>
              <w:rPr>
                <w:rFonts w:ascii="Arial" w:hAnsi="Arial" w:cs="Times New Roman"/>
                <w:sz w:val="22"/>
                <w:lang w:val="en-US"/>
              </w:rPr>
            </w:pPr>
            <w:r w:rsidRPr="00036788">
              <w:rPr>
                <w:rFonts w:ascii="Arial" w:hAnsi="Arial" w:cs="Times New Roman"/>
                <w:sz w:val="22"/>
                <w:lang w:val="en-US"/>
              </w:rPr>
              <w:t xml:space="preserve">Joyful (2) </w:t>
            </w:r>
          </w:p>
        </w:tc>
        <w:tc>
          <w:tcPr>
            <w:tcW w:w="1596" w:type="dxa"/>
          </w:tcPr>
          <w:p w14:paraId="703E9778"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2C45D42D"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0DE98650"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52D254DF"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6A0ED67C"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r>
      <w:tr w:rsidR="00036788" w:rsidRPr="00036788" w14:paraId="26A464BC" w14:textId="77777777" w:rsidTr="005F7CE9">
        <w:tc>
          <w:tcPr>
            <w:cnfStyle w:val="001000000000" w:firstRow="0" w:lastRow="0" w:firstColumn="1" w:lastColumn="0" w:oddVBand="0" w:evenVBand="0" w:oddHBand="0" w:evenHBand="0" w:firstRowFirstColumn="0" w:firstRowLastColumn="0" w:lastRowFirstColumn="0" w:lastRowLastColumn="0"/>
            <w:tcW w:w="1596" w:type="dxa"/>
          </w:tcPr>
          <w:p w14:paraId="086E7A24" w14:textId="77777777" w:rsidR="00036788" w:rsidRPr="00036788" w:rsidRDefault="00036788" w:rsidP="00036788">
            <w:pPr>
              <w:keepNext/>
              <w:spacing w:line="240" w:lineRule="auto"/>
              <w:jc w:val="center"/>
              <w:rPr>
                <w:rFonts w:ascii="Arial" w:hAnsi="Arial" w:cs="Times New Roman"/>
                <w:sz w:val="22"/>
                <w:lang w:val="en-US"/>
              </w:rPr>
            </w:pPr>
            <w:r w:rsidRPr="00036788">
              <w:rPr>
                <w:rFonts w:ascii="Arial" w:hAnsi="Arial" w:cs="Times New Roman"/>
                <w:sz w:val="22"/>
                <w:lang w:val="en-US"/>
              </w:rPr>
              <w:t xml:space="preserve">Delighted (3) </w:t>
            </w:r>
          </w:p>
        </w:tc>
        <w:tc>
          <w:tcPr>
            <w:tcW w:w="1596" w:type="dxa"/>
          </w:tcPr>
          <w:p w14:paraId="11507CC4"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57CF1BD5"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3F6B8FCC"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1C7861A6"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5146DD4B"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r>
      <w:tr w:rsidR="00036788" w:rsidRPr="00036788" w14:paraId="7DDEBA71" w14:textId="77777777" w:rsidTr="005F7CE9">
        <w:tc>
          <w:tcPr>
            <w:cnfStyle w:val="001000000000" w:firstRow="0" w:lastRow="0" w:firstColumn="1" w:lastColumn="0" w:oddVBand="0" w:evenVBand="0" w:oddHBand="0" w:evenHBand="0" w:firstRowFirstColumn="0" w:firstRowLastColumn="0" w:lastRowFirstColumn="0" w:lastRowLastColumn="0"/>
            <w:tcW w:w="1596" w:type="dxa"/>
          </w:tcPr>
          <w:p w14:paraId="0BB935A6" w14:textId="77777777" w:rsidR="00036788" w:rsidRPr="00036788" w:rsidRDefault="00036788" w:rsidP="00036788">
            <w:pPr>
              <w:keepNext/>
              <w:spacing w:line="240" w:lineRule="auto"/>
              <w:jc w:val="center"/>
              <w:rPr>
                <w:rFonts w:ascii="Arial" w:hAnsi="Arial" w:cs="Times New Roman"/>
                <w:sz w:val="22"/>
                <w:lang w:val="en-US"/>
              </w:rPr>
            </w:pPr>
            <w:r w:rsidRPr="00036788">
              <w:rPr>
                <w:rFonts w:ascii="Arial" w:hAnsi="Arial" w:cs="Times New Roman"/>
                <w:sz w:val="22"/>
                <w:lang w:val="en-US"/>
              </w:rPr>
              <w:t xml:space="preserve">Cheerful (4) </w:t>
            </w:r>
          </w:p>
        </w:tc>
        <w:tc>
          <w:tcPr>
            <w:tcW w:w="1596" w:type="dxa"/>
          </w:tcPr>
          <w:p w14:paraId="5B4BE15E"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0911B89B"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07E3C38A"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47D14592"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4266D3F8"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r>
      <w:tr w:rsidR="00036788" w:rsidRPr="00036788" w14:paraId="1FF948D4" w14:textId="77777777" w:rsidTr="005F7CE9">
        <w:tc>
          <w:tcPr>
            <w:cnfStyle w:val="001000000000" w:firstRow="0" w:lastRow="0" w:firstColumn="1" w:lastColumn="0" w:oddVBand="0" w:evenVBand="0" w:oddHBand="0" w:evenHBand="0" w:firstRowFirstColumn="0" w:firstRowLastColumn="0" w:lastRowFirstColumn="0" w:lastRowLastColumn="0"/>
            <w:tcW w:w="1596" w:type="dxa"/>
          </w:tcPr>
          <w:p w14:paraId="64A369B9" w14:textId="77777777" w:rsidR="00036788" w:rsidRPr="00036788" w:rsidRDefault="00036788" w:rsidP="00036788">
            <w:pPr>
              <w:keepNext/>
              <w:spacing w:line="240" w:lineRule="auto"/>
              <w:jc w:val="center"/>
              <w:rPr>
                <w:rFonts w:ascii="Arial" w:hAnsi="Arial" w:cs="Times New Roman"/>
                <w:sz w:val="22"/>
                <w:lang w:val="en-US"/>
              </w:rPr>
            </w:pPr>
            <w:r w:rsidRPr="00036788">
              <w:rPr>
                <w:rFonts w:ascii="Arial" w:hAnsi="Arial" w:cs="Times New Roman"/>
                <w:sz w:val="22"/>
                <w:lang w:val="en-US"/>
              </w:rPr>
              <w:t xml:space="preserve">Excited (5) </w:t>
            </w:r>
          </w:p>
        </w:tc>
        <w:tc>
          <w:tcPr>
            <w:tcW w:w="1596" w:type="dxa"/>
          </w:tcPr>
          <w:p w14:paraId="6C1BD4F7"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02C6041E"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01989419"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5576221B"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300737ED"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r>
      <w:tr w:rsidR="00036788" w:rsidRPr="00036788" w14:paraId="4CF89ED4" w14:textId="77777777" w:rsidTr="005F7CE9">
        <w:tc>
          <w:tcPr>
            <w:cnfStyle w:val="001000000000" w:firstRow="0" w:lastRow="0" w:firstColumn="1" w:lastColumn="0" w:oddVBand="0" w:evenVBand="0" w:oddHBand="0" w:evenHBand="0" w:firstRowFirstColumn="0" w:firstRowLastColumn="0" w:lastRowFirstColumn="0" w:lastRowLastColumn="0"/>
            <w:tcW w:w="1596" w:type="dxa"/>
          </w:tcPr>
          <w:p w14:paraId="396BBCAA" w14:textId="77777777" w:rsidR="00036788" w:rsidRPr="00036788" w:rsidRDefault="00036788" w:rsidP="00036788">
            <w:pPr>
              <w:keepNext/>
              <w:spacing w:line="240" w:lineRule="auto"/>
              <w:jc w:val="center"/>
              <w:rPr>
                <w:rFonts w:ascii="Arial" w:hAnsi="Arial" w:cs="Times New Roman"/>
                <w:sz w:val="22"/>
                <w:lang w:val="en-US"/>
              </w:rPr>
            </w:pPr>
            <w:r w:rsidRPr="00036788">
              <w:rPr>
                <w:rFonts w:ascii="Arial" w:hAnsi="Arial" w:cs="Times New Roman"/>
                <w:sz w:val="22"/>
                <w:lang w:val="en-US"/>
              </w:rPr>
              <w:t xml:space="preserve">Enthusiastic (6) </w:t>
            </w:r>
          </w:p>
        </w:tc>
        <w:tc>
          <w:tcPr>
            <w:tcW w:w="1596" w:type="dxa"/>
          </w:tcPr>
          <w:p w14:paraId="7531A2D1"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0C401CB2"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12999A61"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29C43A2E"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67F8C05D"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r>
      <w:tr w:rsidR="00036788" w:rsidRPr="00036788" w14:paraId="4A6C50F9" w14:textId="77777777" w:rsidTr="005F7CE9">
        <w:tc>
          <w:tcPr>
            <w:cnfStyle w:val="001000000000" w:firstRow="0" w:lastRow="0" w:firstColumn="1" w:lastColumn="0" w:oddVBand="0" w:evenVBand="0" w:oddHBand="0" w:evenHBand="0" w:firstRowFirstColumn="0" w:firstRowLastColumn="0" w:lastRowFirstColumn="0" w:lastRowLastColumn="0"/>
            <w:tcW w:w="1596" w:type="dxa"/>
          </w:tcPr>
          <w:p w14:paraId="78F20C32" w14:textId="77777777" w:rsidR="00036788" w:rsidRPr="00036788" w:rsidRDefault="00036788" w:rsidP="00036788">
            <w:pPr>
              <w:keepNext/>
              <w:spacing w:line="240" w:lineRule="auto"/>
              <w:jc w:val="center"/>
              <w:rPr>
                <w:rFonts w:ascii="Arial" w:hAnsi="Arial" w:cs="Times New Roman"/>
                <w:sz w:val="22"/>
                <w:lang w:val="en-US"/>
              </w:rPr>
            </w:pPr>
            <w:r w:rsidRPr="00036788">
              <w:rPr>
                <w:rFonts w:ascii="Arial" w:hAnsi="Arial" w:cs="Times New Roman"/>
                <w:sz w:val="22"/>
                <w:lang w:val="en-US"/>
              </w:rPr>
              <w:t xml:space="preserve">Lively (7) </w:t>
            </w:r>
          </w:p>
        </w:tc>
        <w:tc>
          <w:tcPr>
            <w:tcW w:w="1596" w:type="dxa"/>
          </w:tcPr>
          <w:p w14:paraId="78CACA8E"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16C9951C"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4E6A1FD3"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5853B486"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1E414E7A"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r>
      <w:tr w:rsidR="00036788" w:rsidRPr="00036788" w14:paraId="3A6748DB" w14:textId="77777777" w:rsidTr="005F7CE9">
        <w:tc>
          <w:tcPr>
            <w:cnfStyle w:val="001000000000" w:firstRow="0" w:lastRow="0" w:firstColumn="1" w:lastColumn="0" w:oddVBand="0" w:evenVBand="0" w:oddHBand="0" w:evenHBand="0" w:firstRowFirstColumn="0" w:firstRowLastColumn="0" w:lastRowFirstColumn="0" w:lastRowLastColumn="0"/>
            <w:tcW w:w="1596" w:type="dxa"/>
          </w:tcPr>
          <w:p w14:paraId="386B3234" w14:textId="77777777" w:rsidR="00036788" w:rsidRPr="00036788" w:rsidRDefault="00036788" w:rsidP="00036788">
            <w:pPr>
              <w:keepNext/>
              <w:spacing w:line="240" w:lineRule="auto"/>
              <w:jc w:val="center"/>
              <w:rPr>
                <w:rFonts w:ascii="Arial" w:hAnsi="Arial" w:cs="Times New Roman"/>
                <w:sz w:val="22"/>
                <w:lang w:val="en-US"/>
              </w:rPr>
            </w:pPr>
            <w:r w:rsidRPr="00036788">
              <w:rPr>
                <w:rFonts w:ascii="Arial" w:hAnsi="Arial" w:cs="Times New Roman"/>
                <w:sz w:val="22"/>
                <w:lang w:val="en-US"/>
              </w:rPr>
              <w:t xml:space="preserve">Energetic (8) </w:t>
            </w:r>
          </w:p>
        </w:tc>
        <w:tc>
          <w:tcPr>
            <w:tcW w:w="1596" w:type="dxa"/>
          </w:tcPr>
          <w:p w14:paraId="0371D541"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410EC25B"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6E42E92F"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17F89EE5"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37F4838B"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r>
      <w:tr w:rsidR="00036788" w:rsidRPr="00036788" w14:paraId="183EDA80" w14:textId="77777777" w:rsidTr="005F7CE9">
        <w:tc>
          <w:tcPr>
            <w:cnfStyle w:val="001000000000" w:firstRow="0" w:lastRow="0" w:firstColumn="1" w:lastColumn="0" w:oddVBand="0" w:evenVBand="0" w:oddHBand="0" w:evenHBand="0" w:firstRowFirstColumn="0" w:firstRowLastColumn="0" w:lastRowFirstColumn="0" w:lastRowLastColumn="0"/>
            <w:tcW w:w="1596" w:type="dxa"/>
          </w:tcPr>
          <w:p w14:paraId="2762DFD6" w14:textId="77777777" w:rsidR="00036788" w:rsidRPr="00036788" w:rsidRDefault="00036788" w:rsidP="00036788">
            <w:pPr>
              <w:keepNext/>
              <w:spacing w:line="240" w:lineRule="auto"/>
              <w:jc w:val="center"/>
              <w:rPr>
                <w:rFonts w:ascii="Arial" w:hAnsi="Arial" w:cs="Times New Roman"/>
                <w:sz w:val="22"/>
                <w:lang w:val="en-US"/>
              </w:rPr>
            </w:pPr>
            <w:r w:rsidRPr="00036788">
              <w:rPr>
                <w:rFonts w:ascii="Arial" w:hAnsi="Arial" w:cs="Times New Roman"/>
                <w:sz w:val="22"/>
                <w:lang w:val="en-US"/>
              </w:rPr>
              <w:t xml:space="preserve">Calm (9) </w:t>
            </w:r>
          </w:p>
        </w:tc>
        <w:tc>
          <w:tcPr>
            <w:tcW w:w="1596" w:type="dxa"/>
          </w:tcPr>
          <w:p w14:paraId="1731EC43"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71417FCF"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78D10E40"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071C9661"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6EC1B4B8"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r>
      <w:tr w:rsidR="00036788" w:rsidRPr="00036788" w14:paraId="772F29DD" w14:textId="77777777" w:rsidTr="005F7CE9">
        <w:tc>
          <w:tcPr>
            <w:cnfStyle w:val="001000000000" w:firstRow="0" w:lastRow="0" w:firstColumn="1" w:lastColumn="0" w:oddVBand="0" w:evenVBand="0" w:oddHBand="0" w:evenHBand="0" w:firstRowFirstColumn="0" w:firstRowLastColumn="0" w:lastRowFirstColumn="0" w:lastRowLastColumn="0"/>
            <w:tcW w:w="1596" w:type="dxa"/>
          </w:tcPr>
          <w:p w14:paraId="3E512A74" w14:textId="77777777" w:rsidR="00036788" w:rsidRPr="00036788" w:rsidRDefault="00036788" w:rsidP="00036788">
            <w:pPr>
              <w:keepNext/>
              <w:spacing w:line="240" w:lineRule="auto"/>
              <w:jc w:val="center"/>
              <w:rPr>
                <w:rFonts w:ascii="Arial" w:hAnsi="Arial" w:cs="Times New Roman"/>
                <w:sz w:val="22"/>
                <w:lang w:val="en-US"/>
              </w:rPr>
            </w:pPr>
            <w:r w:rsidRPr="00036788">
              <w:rPr>
                <w:rFonts w:ascii="Arial" w:hAnsi="Arial" w:cs="Times New Roman"/>
                <w:sz w:val="22"/>
                <w:lang w:val="en-US"/>
              </w:rPr>
              <w:t xml:space="preserve">Relaxed (10) </w:t>
            </w:r>
          </w:p>
        </w:tc>
        <w:tc>
          <w:tcPr>
            <w:tcW w:w="1596" w:type="dxa"/>
          </w:tcPr>
          <w:p w14:paraId="4AD688B2"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2346E55D"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71D9EC4F"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504B967F"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7ED97374"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r>
      <w:tr w:rsidR="00036788" w:rsidRPr="00036788" w14:paraId="3E8E374D" w14:textId="77777777" w:rsidTr="005F7CE9">
        <w:tc>
          <w:tcPr>
            <w:cnfStyle w:val="001000000000" w:firstRow="0" w:lastRow="0" w:firstColumn="1" w:lastColumn="0" w:oddVBand="0" w:evenVBand="0" w:oddHBand="0" w:evenHBand="0" w:firstRowFirstColumn="0" w:firstRowLastColumn="0" w:lastRowFirstColumn="0" w:lastRowLastColumn="0"/>
            <w:tcW w:w="1596" w:type="dxa"/>
          </w:tcPr>
          <w:p w14:paraId="676605E2" w14:textId="77777777" w:rsidR="00036788" w:rsidRPr="00036788" w:rsidRDefault="00036788" w:rsidP="00036788">
            <w:pPr>
              <w:keepNext/>
              <w:spacing w:line="240" w:lineRule="auto"/>
              <w:jc w:val="center"/>
              <w:rPr>
                <w:rFonts w:ascii="Arial" w:hAnsi="Arial" w:cs="Times New Roman"/>
                <w:sz w:val="22"/>
                <w:lang w:val="en-US"/>
              </w:rPr>
            </w:pPr>
            <w:r w:rsidRPr="00036788">
              <w:rPr>
                <w:rFonts w:ascii="Arial" w:hAnsi="Arial" w:cs="Times New Roman"/>
                <w:sz w:val="22"/>
                <w:lang w:val="en-US"/>
              </w:rPr>
              <w:t xml:space="preserve">At ease (11) </w:t>
            </w:r>
          </w:p>
        </w:tc>
        <w:tc>
          <w:tcPr>
            <w:tcW w:w="1596" w:type="dxa"/>
          </w:tcPr>
          <w:p w14:paraId="4FFCA005"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2993AF64"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21BC656C"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538BAEC2"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30BC301B"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r>
      <w:tr w:rsidR="00036788" w:rsidRPr="00036788" w14:paraId="113EDC2B" w14:textId="77777777" w:rsidTr="005F7CE9">
        <w:tc>
          <w:tcPr>
            <w:cnfStyle w:val="001000000000" w:firstRow="0" w:lastRow="0" w:firstColumn="1" w:lastColumn="0" w:oddVBand="0" w:evenVBand="0" w:oddHBand="0" w:evenHBand="0" w:firstRowFirstColumn="0" w:firstRowLastColumn="0" w:lastRowFirstColumn="0" w:lastRowLastColumn="0"/>
            <w:tcW w:w="1596" w:type="dxa"/>
          </w:tcPr>
          <w:p w14:paraId="70EC675A" w14:textId="77777777" w:rsidR="00036788" w:rsidRPr="00036788" w:rsidRDefault="00036788" w:rsidP="00036788">
            <w:pPr>
              <w:keepNext/>
              <w:spacing w:line="240" w:lineRule="auto"/>
              <w:jc w:val="center"/>
              <w:rPr>
                <w:rFonts w:ascii="Arial" w:hAnsi="Arial" w:cs="Times New Roman"/>
                <w:sz w:val="22"/>
                <w:lang w:val="en-US"/>
              </w:rPr>
            </w:pPr>
            <w:r w:rsidRPr="00036788">
              <w:rPr>
                <w:rFonts w:ascii="Arial" w:hAnsi="Arial" w:cs="Times New Roman"/>
                <w:sz w:val="22"/>
                <w:lang w:val="en-US"/>
              </w:rPr>
              <w:t xml:space="preserve">Afraid (12) </w:t>
            </w:r>
          </w:p>
        </w:tc>
        <w:tc>
          <w:tcPr>
            <w:tcW w:w="1596" w:type="dxa"/>
          </w:tcPr>
          <w:p w14:paraId="3845D47E"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69F5B5B8"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12494CC8"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21134E94"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7CBA46E6"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r>
      <w:tr w:rsidR="00036788" w:rsidRPr="00036788" w14:paraId="13410E31" w14:textId="77777777" w:rsidTr="005F7CE9">
        <w:tc>
          <w:tcPr>
            <w:cnfStyle w:val="001000000000" w:firstRow="0" w:lastRow="0" w:firstColumn="1" w:lastColumn="0" w:oddVBand="0" w:evenVBand="0" w:oddHBand="0" w:evenHBand="0" w:firstRowFirstColumn="0" w:firstRowLastColumn="0" w:lastRowFirstColumn="0" w:lastRowLastColumn="0"/>
            <w:tcW w:w="1596" w:type="dxa"/>
          </w:tcPr>
          <w:p w14:paraId="339125C7" w14:textId="77777777" w:rsidR="00036788" w:rsidRPr="00036788" w:rsidRDefault="00036788" w:rsidP="00036788">
            <w:pPr>
              <w:keepNext/>
              <w:spacing w:line="240" w:lineRule="auto"/>
              <w:jc w:val="center"/>
              <w:rPr>
                <w:rFonts w:ascii="Arial" w:hAnsi="Arial" w:cs="Times New Roman"/>
                <w:sz w:val="22"/>
                <w:lang w:val="en-US"/>
              </w:rPr>
            </w:pPr>
            <w:r w:rsidRPr="00036788">
              <w:rPr>
                <w:rFonts w:ascii="Arial" w:hAnsi="Arial" w:cs="Times New Roman"/>
                <w:sz w:val="22"/>
                <w:lang w:val="en-US"/>
              </w:rPr>
              <w:t xml:space="preserve">Upset (13) </w:t>
            </w:r>
          </w:p>
        </w:tc>
        <w:tc>
          <w:tcPr>
            <w:tcW w:w="1596" w:type="dxa"/>
          </w:tcPr>
          <w:p w14:paraId="62631A0F"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0EEB9854"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7F3F910C"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44AC84F3"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29754767"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r>
      <w:tr w:rsidR="00036788" w:rsidRPr="00036788" w14:paraId="35027A7C" w14:textId="77777777" w:rsidTr="005F7CE9">
        <w:tc>
          <w:tcPr>
            <w:cnfStyle w:val="001000000000" w:firstRow="0" w:lastRow="0" w:firstColumn="1" w:lastColumn="0" w:oddVBand="0" w:evenVBand="0" w:oddHBand="0" w:evenHBand="0" w:firstRowFirstColumn="0" w:firstRowLastColumn="0" w:lastRowFirstColumn="0" w:lastRowLastColumn="0"/>
            <w:tcW w:w="1596" w:type="dxa"/>
          </w:tcPr>
          <w:p w14:paraId="41CA2420" w14:textId="77777777" w:rsidR="00036788" w:rsidRPr="00036788" w:rsidRDefault="00036788" w:rsidP="00036788">
            <w:pPr>
              <w:keepNext/>
              <w:spacing w:line="240" w:lineRule="auto"/>
              <w:jc w:val="center"/>
              <w:rPr>
                <w:rFonts w:ascii="Arial" w:hAnsi="Arial" w:cs="Times New Roman"/>
                <w:sz w:val="22"/>
                <w:lang w:val="en-US"/>
              </w:rPr>
            </w:pPr>
            <w:r w:rsidRPr="00036788">
              <w:rPr>
                <w:rFonts w:ascii="Arial" w:hAnsi="Arial" w:cs="Times New Roman"/>
                <w:sz w:val="22"/>
                <w:lang w:val="en-US"/>
              </w:rPr>
              <w:t xml:space="preserve">Hostile (14) </w:t>
            </w:r>
          </w:p>
        </w:tc>
        <w:tc>
          <w:tcPr>
            <w:tcW w:w="1596" w:type="dxa"/>
          </w:tcPr>
          <w:p w14:paraId="02D8AD8E"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4D86D077"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47F841B2"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19FD19B1"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1DCF4E7B"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r>
      <w:tr w:rsidR="00036788" w:rsidRPr="00036788" w14:paraId="329EA063" w14:textId="77777777" w:rsidTr="005F7CE9">
        <w:tc>
          <w:tcPr>
            <w:cnfStyle w:val="001000000000" w:firstRow="0" w:lastRow="0" w:firstColumn="1" w:lastColumn="0" w:oddVBand="0" w:evenVBand="0" w:oddHBand="0" w:evenHBand="0" w:firstRowFirstColumn="0" w:firstRowLastColumn="0" w:lastRowFirstColumn="0" w:lastRowLastColumn="0"/>
            <w:tcW w:w="1596" w:type="dxa"/>
          </w:tcPr>
          <w:p w14:paraId="3B21AA8F" w14:textId="77777777" w:rsidR="00036788" w:rsidRPr="00036788" w:rsidRDefault="00036788" w:rsidP="00036788">
            <w:pPr>
              <w:keepNext/>
              <w:spacing w:line="240" w:lineRule="auto"/>
              <w:jc w:val="center"/>
              <w:rPr>
                <w:rFonts w:ascii="Arial" w:hAnsi="Arial" w:cs="Times New Roman"/>
                <w:sz w:val="22"/>
                <w:lang w:val="en-US"/>
              </w:rPr>
            </w:pPr>
            <w:r w:rsidRPr="00036788">
              <w:rPr>
                <w:rFonts w:ascii="Arial" w:hAnsi="Arial" w:cs="Times New Roman"/>
                <w:sz w:val="22"/>
                <w:lang w:val="en-US"/>
              </w:rPr>
              <w:t xml:space="preserve">Ashamed (15) </w:t>
            </w:r>
          </w:p>
        </w:tc>
        <w:tc>
          <w:tcPr>
            <w:tcW w:w="1596" w:type="dxa"/>
          </w:tcPr>
          <w:p w14:paraId="1598FCAE"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292252B0"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24CAFB9C"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1A236910"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5B825909"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r>
      <w:tr w:rsidR="00036788" w:rsidRPr="00036788" w14:paraId="76C8D6C9" w14:textId="77777777" w:rsidTr="005F7CE9">
        <w:tc>
          <w:tcPr>
            <w:cnfStyle w:val="001000000000" w:firstRow="0" w:lastRow="0" w:firstColumn="1" w:lastColumn="0" w:oddVBand="0" w:evenVBand="0" w:oddHBand="0" w:evenHBand="0" w:firstRowFirstColumn="0" w:firstRowLastColumn="0" w:lastRowFirstColumn="0" w:lastRowLastColumn="0"/>
            <w:tcW w:w="1596" w:type="dxa"/>
          </w:tcPr>
          <w:p w14:paraId="0A7BC1F2" w14:textId="77777777" w:rsidR="00036788" w:rsidRPr="00036788" w:rsidRDefault="00036788" w:rsidP="00036788">
            <w:pPr>
              <w:keepNext/>
              <w:spacing w:line="240" w:lineRule="auto"/>
              <w:jc w:val="center"/>
              <w:rPr>
                <w:rFonts w:ascii="Arial" w:hAnsi="Arial" w:cs="Times New Roman"/>
                <w:sz w:val="22"/>
                <w:lang w:val="en-US"/>
              </w:rPr>
            </w:pPr>
            <w:r w:rsidRPr="00036788">
              <w:rPr>
                <w:rFonts w:ascii="Arial" w:hAnsi="Arial" w:cs="Times New Roman"/>
                <w:sz w:val="22"/>
                <w:lang w:val="en-US"/>
              </w:rPr>
              <w:t xml:space="preserve">Nervous (16) </w:t>
            </w:r>
          </w:p>
        </w:tc>
        <w:tc>
          <w:tcPr>
            <w:tcW w:w="1596" w:type="dxa"/>
          </w:tcPr>
          <w:p w14:paraId="48CC1B6F"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594545D8"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5195451C"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6689349C"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38B44506"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r>
    </w:tbl>
    <w:p w14:paraId="11E4D489" w14:textId="77777777" w:rsidR="00036788" w:rsidRPr="00036788" w:rsidRDefault="00036788" w:rsidP="00036788">
      <w:pPr>
        <w:spacing w:after="0" w:line="276" w:lineRule="auto"/>
        <w:jc w:val="left"/>
        <w:rPr>
          <w:rFonts w:ascii="Arial" w:eastAsia="Times New Roman" w:hAnsi="Arial" w:cs="Times New Roman"/>
          <w:sz w:val="22"/>
          <w:lang w:val="en-US"/>
        </w:rPr>
      </w:pPr>
    </w:p>
    <w:p w14:paraId="12BA3475" w14:textId="77777777" w:rsidR="00036788" w:rsidRPr="00036788" w:rsidRDefault="00036788" w:rsidP="00036788">
      <w:pPr>
        <w:spacing w:after="0" w:line="276" w:lineRule="auto"/>
        <w:jc w:val="left"/>
        <w:rPr>
          <w:rFonts w:ascii="Arial" w:eastAsia="Times New Roman" w:hAnsi="Arial" w:cs="Times New Roman"/>
          <w:sz w:val="22"/>
          <w:lang w:val="en-US"/>
        </w:rPr>
      </w:pPr>
    </w:p>
    <w:p w14:paraId="0C7B382F" w14:textId="77777777" w:rsidR="00036788" w:rsidRPr="00036788" w:rsidRDefault="00036788" w:rsidP="00036788">
      <w:pPr>
        <w:spacing w:before="120" w:after="0" w:line="240" w:lineRule="auto"/>
        <w:jc w:val="left"/>
        <w:rPr>
          <w:rFonts w:ascii="Arial" w:eastAsia="Times New Roman" w:hAnsi="Arial" w:cs="Times New Roman"/>
          <w:b/>
          <w:color w:val="CCCCCC"/>
          <w:sz w:val="22"/>
          <w:lang w:val="en-US"/>
        </w:rPr>
      </w:pPr>
      <w:r w:rsidRPr="00036788">
        <w:rPr>
          <w:rFonts w:ascii="Arial" w:eastAsia="Times New Roman" w:hAnsi="Arial" w:cs="Times New Roman"/>
          <w:b/>
          <w:color w:val="CCCCCC"/>
          <w:sz w:val="22"/>
          <w:lang w:val="en-US"/>
        </w:rPr>
        <w:lastRenderedPageBreak/>
        <w:t>End of Block: PanasX_Experiment_2&amp;4_Base</w:t>
      </w:r>
    </w:p>
    <w:p w14:paraId="6E272815" w14:textId="77777777" w:rsidR="00036788" w:rsidRPr="00036788" w:rsidRDefault="00036788" w:rsidP="00036788">
      <w:pPr>
        <w:pBdr>
          <w:bottom w:val="single" w:sz="8" w:space="0" w:color="CCCCCC"/>
        </w:pBdr>
        <w:spacing w:after="0" w:line="120" w:lineRule="auto"/>
        <w:jc w:val="center"/>
        <w:rPr>
          <w:rFonts w:ascii="Arial" w:eastAsia="Times New Roman" w:hAnsi="Arial" w:cs="Times New Roman"/>
          <w:b/>
          <w:color w:val="CCCCCC"/>
          <w:sz w:val="22"/>
          <w:lang w:val="en-US"/>
        </w:rPr>
      </w:pPr>
    </w:p>
    <w:p w14:paraId="6F3992A1" w14:textId="77777777" w:rsidR="00036788" w:rsidRPr="00036788" w:rsidRDefault="00036788" w:rsidP="00036788">
      <w:pPr>
        <w:spacing w:before="120" w:after="120" w:line="240" w:lineRule="auto"/>
        <w:jc w:val="left"/>
        <w:rPr>
          <w:rFonts w:ascii="Arial" w:eastAsia="Times New Roman" w:hAnsi="Arial" w:cs="Times New Roman"/>
          <w:b/>
          <w:color w:val="CCCCCC"/>
          <w:sz w:val="22"/>
          <w:lang w:val="en-US"/>
        </w:rPr>
      </w:pPr>
      <w:r w:rsidRPr="00036788">
        <w:rPr>
          <w:rFonts w:ascii="Arial" w:eastAsia="Times New Roman" w:hAnsi="Arial" w:cs="Times New Roman"/>
          <w:b/>
          <w:color w:val="CCCCCC"/>
          <w:sz w:val="22"/>
          <w:lang w:val="en-US"/>
        </w:rPr>
        <w:t>Start of Block: Stressor_Experiment_2&amp;4</w:t>
      </w:r>
    </w:p>
    <w:p w14:paraId="0EBB2500" w14:textId="77777777" w:rsidR="00036788" w:rsidRPr="00036788" w:rsidRDefault="00036788" w:rsidP="00036788">
      <w:pPr>
        <w:keepNext/>
        <w:shd w:val="clear" w:color="auto" w:fill="6898BB"/>
        <w:spacing w:before="120" w:after="120" w:line="240" w:lineRule="auto"/>
        <w:jc w:val="left"/>
        <w:rPr>
          <w:rFonts w:ascii="Arial" w:eastAsia="Times New Roman" w:hAnsi="Arial" w:cs="Times New Roman"/>
          <w:i/>
          <w:color w:val="FFFFFF"/>
          <w:sz w:val="20"/>
          <w:lang w:val="en-US"/>
        </w:rPr>
      </w:pPr>
      <w:r w:rsidRPr="00036788">
        <w:rPr>
          <w:rFonts w:ascii="Arial" w:eastAsia="Times New Roman" w:hAnsi="Arial" w:cs="Times New Roman"/>
          <w:i/>
          <w:color w:val="FFFFFF"/>
          <w:sz w:val="20"/>
          <w:lang w:val="en-US"/>
        </w:rPr>
        <w:t>Display This Question:</w:t>
      </w:r>
    </w:p>
    <w:p w14:paraId="3C8723E0" w14:textId="77777777" w:rsidR="00036788" w:rsidRPr="00036788" w:rsidRDefault="00036788" w:rsidP="00036788">
      <w:pPr>
        <w:keepNext/>
        <w:shd w:val="clear" w:color="auto" w:fill="6898BB"/>
        <w:spacing w:before="120" w:after="120" w:line="240" w:lineRule="auto"/>
        <w:ind w:firstLine="400"/>
        <w:jc w:val="left"/>
        <w:rPr>
          <w:rFonts w:ascii="Arial" w:eastAsia="Times New Roman" w:hAnsi="Arial" w:cs="Times New Roman"/>
          <w:i/>
          <w:color w:val="FFFFFF"/>
          <w:sz w:val="20"/>
          <w:lang w:val="en-US"/>
        </w:rPr>
      </w:pPr>
      <w:r w:rsidRPr="00036788">
        <w:rPr>
          <w:rFonts w:ascii="Arial" w:eastAsia="Times New Roman" w:hAnsi="Arial" w:cs="Times New Roman"/>
          <w:i/>
          <w:color w:val="FFFFFF"/>
          <w:sz w:val="20"/>
          <w:lang w:val="en-US"/>
        </w:rPr>
        <w:t>If Device Type Is Not iPhone</w:t>
      </w:r>
    </w:p>
    <w:p w14:paraId="27782F07" w14:textId="77777777" w:rsidR="00036788" w:rsidRPr="00036788" w:rsidRDefault="00036788" w:rsidP="00036788">
      <w:pPr>
        <w:spacing w:after="0" w:line="276" w:lineRule="auto"/>
        <w:jc w:val="left"/>
        <w:rPr>
          <w:rFonts w:ascii="Arial" w:eastAsia="Times New Roman" w:hAnsi="Arial" w:cs="Times New Roman"/>
          <w:sz w:val="22"/>
          <w:lang w:val="en-US"/>
        </w:rPr>
      </w:pPr>
    </w:p>
    <w:p w14:paraId="48B0F38A" w14:textId="77777777" w:rsidR="00036788" w:rsidRPr="00036788" w:rsidRDefault="00036788" w:rsidP="00036788">
      <w:pPr>
        <w:keepNext/>
        <w:spacing w:after="0" w:line="276" w:lineRule="auto"/>
        <w:jc w:val="left"/>
        <w:rPr>
          <w:rFonts w:ascii="Arial" w:eastAsia="Times New Roman" w:hAnsi="Arial" w:cs="Times New Roman"/>
          <w:sz w:val="22"/>
          <w:lang w:val="en-US"/>
        </w:rPr>
      </w:pPr>
      <w:r w:rsidRPr="00036788">
        <w:rPr>
          <w:rFonts w:ascii="Arial" w:eastAsia="Times New Roman" w:hAnsi="Arial" w:cs="Times New Roman"/>
          <w:sz w:val="22"/>
          <w:lang w:val="en-US"/>
        </w:rPr>
        <w:br/>
      </w:r>
      <w:r w:rsidRPr="00036788">
        <w:rPr>
          <w:rFonts w:ascii="Arial" w:eastAsia="Times New Roman" w:hAnsi="Arial" w:cs="Times New Roman"/>
          <w:b/>
          <w:sz w:val="22"/>
          <w:lang w:val="en-US"/>
        </w:rPr>
        <w:t xml:space="preserve">This sound is the </w:t>
      </w:r>
      <w:r w:rsidRPr="00036788">
        <w:rPr>
          <w:rFonts w:ascii="Arial" w:eastAsia="Times New Roman" w:hAnsi="Arial" w:cs="Times New Roman"/>
          <w:b/>
          <w:sz w:val="22"/>
          <w:u w:val="single"/>
          <w:lang w:val="en-US"/>
        </w:rPr>
        <w:t>first task of the survey</w:t>
      </w:r>
      <w:r w:rsidRPr="00036788">
        <w:rPr>
          <w:rFonts w:ascii="Arial" w:eastAsia="Times New Roman" w:hAnsi="Arial" w:cs="Times New Roman"/>
          <w:b/>
          <w:sz w:val="22"/>
          <w:lang w:val="en-US"/>
        </w:rPr>
        <w:t xml:space="preserve"> and it will only last a few more seconds.</w:t>
      </w:r>
      <w:r w:rsidRPr="00036788">
        <w:rPr>
          <w:rFonts w:ascii="Arial" w:eastAsia="Times New Roman" w:hAnsi="Arial" w:cs="Times New Roman"/>
          <w:sz w:val="22"/>
          <w:lang w:val="en-US"/>
        </w:rPr>
        <w:t xml:space="preserve"> </w:t>
      </w:r>
      <w:r w:rsidRPr="00036788">
        <w:rPr>
          <w:rFonts w:ascii="Arial" w:eastAsia="Times New Roman" w:hAnsi="Arial" w:cs="Times New Roman"/>
          <w:sz w:val="22"/>
          <w:lang w:val="en-US"/>
        </w:rPr>
        <w:br/>
        <w:t xml:space="preserve"> </w:t>
      </w:r>
      <w:r w:rsidRPr="00036788">
        <w:rPr>
          <w:rFonts w:ascii="Arial" w:eastAsia="Times New Roman" w:hAnsi="Arial" w:cs="Times New Roman"/>
          <w:sz w:val="22"/>
          <w:lang w:val="en-US"/>
        </w:rPr>
        <w:br/>
      </w:r>
      <w:r w:rsidRPr="00036788">
        <w:rPr>
          <w:rFonts w:ascii="Arial" w:eastAsia="Times New Roman" w:hAnsi="Arial" w:cs="Times New Roman"/>
          <w:b/>
          <w:sz w:val="22"/>
          <w:lang w:val="en-US"/>
        </w:rPr>
        <w:t>The survey will move on automatically</w:t>
      </w:r>
      <w:r w:rsidRPr="00036788">
        <w:rPr>
          <w:rFonts w:ascii="Arial" w:eastAsia="Times New Roman" w:hAnsi="Arial" w:cs="Times New Roman"/>
          <w:sz w:val="22"/>
          <w:lang w:val="en-US"/>
        </w:rPr>
        <w:t xml:space="preserve">  </w:t>
      </w:r>
      <w:r w:rsidRPr="00036788">
        <w:rPr>
          <w:rFonts w:ascii="Arial" w:eastAsia="Times New Roman" w:hAnsi="Arial" w:cs="Times New Roman"/>
          <w:sz w:val="22"/>
          <w:lang w:val="en-US"/>
        </w:rPr>
        <w:br/>
        <w:t xml:space="preserve">   </w:t>
      </w:r>
      <w:r w:rsidRPr="00036788">
        <w:rPr>
          <w:rFonts w:ascii="Arial" w:eastAsia="Times New Roman" w:hAnsi="Arial" w:cs="Times New Roman"/>
          <w:sz w:val="22"/>
          <w:lang w:val="en-US"/>
        </w:rPr>
        <w:br/>
        <w:t xml:space="preserve">    </w:t>
      </w:r>
    </w:p>
    <w:p w14:paraId="477BC05C" w14:textId="77777777" w:rsidR="00036788" w:rsidRPr="00036788" w:rsidRDefault="00036788" w:rsidP="00036788">
      <w:pPr>
        <w:spacing w:after="0" w:line="276" w:lineRule="auto"/>
        <w:jc w:val="left"/>
        <w:rPr>
          <w:rFonts w:ascii="Arial" w:eastAsia="Times New Roman" w:hAnsi="Arial" w:cs="Times New Roman"/>
          <w:sz w:val="22"/>
          <w:lang w:val="en-US"/>
        </w:rPr>
      </w:pPr>
    </w:p>
    <w:p w14:paraId="718F7158" w14:textId="77777777" w:rsidR="00036788" w:rsidRPr="00036788" w:rsidRDefault="00036788" w:rsidP="00036788">
      <w:pPr>
        <w:spacing w:before="120" w:after="0" w:line="240" w:lineRule="auto"/>
        <w:jc w:val="left"/>
        <w:rPr>
          <w:rFonts w:ascii="Arial" w:eastAsia="Times New Roman" w:hAnsi="Arial" w:cs="Times New Roman"/>
          <w:b/>
          <w:color w:val="CCCCCC"/>
          <w:sz w:val="22"/>
          <w:lang w:val="en-US"/>
        </w:rPr>
      </w:pPr>
      <w:r w:rsidRPr="00036788">
        <w:rPr>
          <w:rFonts w:ascii="Arial" w:eastAsia="Times New Roman" w:hAnsi="Arial" w:cs="Times New Roman"/>
          <w:b/>
          <w:color w:val="CCCCCC"/>
          <w:sz w:val="22"/>
          <w:lang w:val="en-US"/>
        </w:rPr>
        <w:t>End of Block: Stressor_Experiment_2&amp;4</w:t>
      </w:r>
    </w:p>
    <w:p w14:paraId="26FC3AB3" w14:textId="77777777" w:rsidR="00036788" w:rsidRPr="00036788" w:rsidRDefault="00036788" w:rsidP="00036788">
      <w:pPr>
        <w:pBdr>
          <w:bottom w:val="single" w:sz="8" w:space="0" w:color="CCCCCC"/>
        </w:pBdr>
        <w:spacing w:after="0" w:line="120" w:lineRule="auto"/>
        <w:jc w:val="center"/>
        <w:rPr>
          <w:rFonts w:ascii="Arial" w:eastAsia="Times New Roman" w:hAnsi="Arial" w:cs="Times New Roman"/>
          <w:b/>
          <w:color w:val="CCCCCC"/>
          <w:sz w:val="22"/>
          <w:lang w:val="en-US"/>
        </w:rPr>
      </w:pPr>
    </w:p>
    <w:p w14:paraId="3564B713" w14:textId="77777777" w:rsidR="00036788" w:rsidRPr="00036788" w:rsidRDefault="00036788" w:rsidP="00036788">
      <w:pPr>
        <w:pBdr>
          <w:bottom w:val="single" w:sz="8" w:space="0" w:color="CCCCCC"/>
        </w:pBdr>
        <w:spacing w:after="0" w:line="120" w:lineRule="auto"/>
        <w:jc w:val="center"/>
        <w:rPr>
          <w:rFonts w:ascii="Arial" w:eastAsia="Times New Roman" w:hAnsi="Arial" w:cs="Times New Roman"/>
          <w:b/>
          <w:color w:val="CCCCCC"/>
          <w:sz w:val="22"/>
          <w:lang w:val="en-US"/>
        </w:rPr>
      </w:pPr>
    </w:p>
    <w:p w14:paraId="73D029C4" w14:textId="77777777" w:rsidR="00036788" w:rsidRPr="00036788" w:rsidRDefault="00036788" w:rsidP="00036788">
      <w:pPr>
        <w:spacing w:after="0" w:line="276" w:lineRule="auto"/>
        <w:jc w:val="left"/>
        <w:rPr>
          <w:rFonts w:ascii="Arial" w:eastAsia="Times New Roman" w:hAnsi="Arial" w:cs="Times New Roman"/>
          <w:b/>
          <w:color w:val="CCCCCC"/>
          <w:sz w:val="22"/>
          <w:lang w:val="en-US"/>
        </w:rPr>
      </w:pPr>
      <w:r w:rsidRPr="00036788">
        <w:rPr>
          <w:rFonts w:ascii="Arial" w:eastAsia="Times New Roman" w:hAnsi="Arial" w:cs="Times New Roman"/>
          <w:sz w:val="22"/>
          <w:lang w:val="en-US"/>
        </w:rPr>
        <w:t>Start of Block: PanasX_Experiment_2&amp;4_stres</w:t>
      </w:r>
    </w:p>
    <w:p w14:paraId="13DF4A8D" w14:textId="77777777" w:rsidR="00036788" w:rsidRPr="00036788" w:rsidRDefault="00036788" w:rsidP="00036788">
      <w:pPr>
        <w:spacing w:before="120" w:after="120" w:line="240" w:lineRule="auto"/>
        <w:jc w:val="left"/>
        <w:rPr>
          <w:rFonts w:ascii="Arial" w:eastAsia="Times New Roman" w:hAnsi="Arial" w:cs="Times New Roman"/>
          <w:b/>
          <w:color w:val="CCCCCC"/>
          <w:sz w:val="22"/>
          <w:lang w:val="en-US"/>
        </w:rPr>
      </w:pPr>
      <w:r w:rsidRPr="00036788">
        <w:rPr>
          <w:rFonts w:ascii="Arial" w:eastAsia="Times New Roman" w:hAnsi="Arial" w:cs="Times New Roman"/>
          <w:b/>
          <w:color w:val="CCCCCC"/>
          <w:sz w:val="22"/>
          <w:lang w:val="en-US"/>
        </w:rPr>
        <w:t>Please rate according to how you feel RIGHT NOW. You should answer this quickly based on your first instincts</w:t>
      </w:r>
    </w:p>
    <w:tbl>
      <w:tblPr>
        <w:tblStyle w:val="QQuestionTable4"/>
        <w:tblW w:w="9576" w:type="auto"/>
        <w:tblLook w:val="07E0" w:firstRow="1" w:lastRow="1" w:firstColumn="1" w:lastColumn="1" w:noHBand="1" w:noVBand="1"/>
      </w:tblPr>
      <w:tblGrid>
        <w:gridCol w:w="1596"/>
        <w:gridCol w:w="1596"/>
        <w:gridCol w:w="1596"/>
        <w:gridCol w:w="1596"/>
        <w:gridCol w:w="1596"/>
        <w:gridCol w:w="1596"/>
      </w:tblGrid>
      <w:tr w:rsidR="00036788" w:rsidRPr="00036788" w14:paraId="437705C9" w14:textId="77777777" w:rsidTr="005F7CE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96" w:type="dxa"/>
          </w:tcPr>
          <w:p w14:paraId="783BD0EC" w14:textId="77777777" w:rsidR="00036788" w:rsidRPr="00036788" w:rsidRDefault="00036788" w:rsidP="00036788">
            <w:pPr>
              <w:keepNext/>
              <w:spacing w:line="240" w:lineRule="auto"/>
              <w:jc w:val="center"/>
              <w:rPr>
                <w:rFonts w:ascii="Arial" w:hAnsi="Arial" w:cs="Times New Roman"/>
                <w:sz w:val="22"/>
                <w:lang w:val="en-US"/>
              </w:rPr>
            </w:pPr>
          </w:p>
        </w:tc>
        <w:tc>
          <w:tcPr>
            <w:tcW w:w="1596" w:type="dxa"/>
          </w:tcPr>
          <w:p w14:paraId="29CAD570" w14:textId="77777777" w:rsidR="00036788" w:rsidRPr="00036788" w:rsidRDefault="00036788" w:rsidP="00036788">
            <w:pPr>
              <w:spacing w:line="240" w:lineRule="auto"/>
              <w:jc w:val="center"/>
              <w:cnfStyle w:val="100000000000" w:firstRow="1" w:lastRow="0" w:firstColumn="0" w:lastColumn="0" w:oddVBand="0" w:evenVBand="0" w:oddHBand="0" w:evenHBand="0" w:firstRowFirstColumn="0" w:firstRowLastColumn="0" w:lastRowFirstColumn="0" w:lastRowLastColumn="0"/>
              <w:rPr>
                <w:rFonts w:ascii="Arial" w:hAnsi="Arial" w:cs="Times New Roman"/>
                <w:sz w:val="22"/>
                <w:lang w:val="en-US"/>
              </w:rPr>
            </w:pPr>
            <w:r w:rsidRPr="00036788">
              <w:rPr>
                <w:rFonts w:ascii="Arial" w:hAnsi="Arial" w:cs="Times New Roman"/>
                <w:sz w:val="22"/>
                <w:lang w:val="en-US"/>
              </w:rPr>
              <w:t>Not at all (1)</w:t>
            </w:r>
          </w:p>
        </w:tc>
        <w:tc>
          <w:tcPr>
            <w:tcW w:w="1596" w:type="dxa"/>
          </w:tcPr>
          <w:p w14:paraId="656AEC26" w14:textId="77777777" w:rsidR="00036788" w:rsidRPr="00036788" w:rsidRDefault="00036788" w:rsidP="00036788">
            <w:pPr>
              <w:spacing w:line="240" w:lineRule="auto"/>
              <w:jc w:val="center"/>
              <w:cnfStyle w:val="100000000000" w:firstRow="1" w:lastRow="0" w:firstColumn="0" w:lastColumn="0" w:oddVBand="0" w:evenVBand="0" w:oddHBand="0" w:evenHBand="0" w:firstRowFirstColumn="0" w:firstRowLastColumn="0" w:lastRowFirstColumn="0" w:lastRowLastColumn="0"/>
              <w:rPr>
                <w:rFonts w:ascii="Arial" w:hAnsi="Arial" w:cs="Times New Roman"/>
                <w:sz w:val="22"/>
                <w:lang w:val="en-US"/>
              </w:rPr>
            </w:pPr>
            <w:r w:rsidRPr="00036788">
              <w:rPr>
                <w:rFonts w:ascii="Arial" w:hAnsi="Arial" w:cs="Times New Roman"/>
                <w:sz w:val="22"/>
                <w:lang w:val="en-US"/>
              </w:rPr>
              <w:t>A little (2)</w:t>
            </w:r>
          </w:p>
        </w:tc>
        <w:tc>
          <w:tcPr>
            <w:tcW w:w="1596" w:type="dxa"/>
          </w:tcPr>
          <w:p w14:paraId="51F24C10" w14:textId="77777777" w:rsidR="00036788" w:rsidRPr="00036788" w:rsidRDefault="00036788" w:rsidP="00036788">
            <w:pPr>
              <w:spacing w:line="240" w:lineRule="auto"/>
              <w:jc w:val="center"/>
              <w:cnfStyle w:val="100000000000" w:firstRow="1" w:lastRow="0" w:firstColumn="0" w:lastColumn="0" w:oddVBand="0" w:evenVBand="0" w:oddHBand="0" w:evenHBand="0" w:firstRowFirstColumn="0" w:firstRowLastColumn="0" w:lastRowFirstColumn="0" w:lastRowLastColumn="0"/>
              <w:rPr>
                <w:rFonts w:ascii="Arial" w:hAnsi="Arial" w:cs="Times New Roman"/>
                <w:sz w:val="22"/>
                <w:lang w:val="en-US"/>
              </w:rPr>
            </w:pPr>
            <w:r w:rsidRPr="00036788">
              <w:rPr>
                <w:rFonts w:ascii="Arial" w:hAnsi="Arial" w:cs="Times New Roman"/>
                <w:sz w:val="22"/>
                <w:lang w:val="en-US"/>
              </w:rPr>
              <w:t>Moderately (3)</w:t>
            </w:r>
          </w:p>
        </w:tc>
        <w:tc>
          <w:tcPr>
            <w:tcW w:w="1596" w:type="dxa"/>
          </w:tcPr>
          <w:p w14:paraId="575CEEFB" w14:textId="77777777" w:rsidR="00036788" w:rsidRPr="00036788" w:rsidRDefault="00036788" w:rsidP="00036788">
            <w:pPr>
              <w:spacing w:line="240" w:lineRule="auto"/>
              <w:jc w:val="center"/>
              <w:cnfStyle w:val="100000000000" w:firstRow="1" w:lastRow="0" w:firstColumn="0" w:lastColumn="0" w:oddVBand="0" w:evenVBand="0" w:oddHBand="0" w:evenHBand="0" w:firstRowFirstColumn="0" w:firstRowLastColumn="0" w:lastRowFirstColumn="0" w:lastRowLastColumn="0"/>
              <w:rPr>
                <w:rFonts w:ascii="Arial" w:hAnsi="Arial" w:cs="Times New Roman"/>
                <w:sz w:val="22"/>
                <w:lang w:val="en-US"/>
              </w:rPr>
            </w:pPr>
            <w:r w:rsidRPr="00036788">
              <w:rPr>
                <w:rFonts w:ascii="Arial" w:hAnsi="Arial" w:cs="Times New Roman"/>
                <w:sz w:val="22"/>
                <w:lang w:val="en-US"/>
              </w:rPr>
              <w:t>Quite a bit (4)</w:t>
            </w:r>
          </w:p>
        </w:tc>
        <w:tc>
          <w:tcPr>
            <w:tcW w:w="1596" w:type="dxa"/>
          </w:tcPr>
          <w:p w14:paraId="234905FA" w14:textId="77777777" w:rsidR="00036788" w:rsidRPr="00036788" w:rsidRDefault="00036788" w:rsidP="00036788">
            <w:pPr>
              <w:spacing w:line="240" w:lineRule="auto"/>
              <w:jc w:val="center"/>
              <w:cnfStyle w:val="100000000000" w:firstRow="1" w:lastRow="0" w:firstColumn="0" w:lastColumn="0" w:oddVBand="0" w:evenVBand="0" w:oddHBand="0" w:evenHBand="0" w:firstRowFirstColumn="0" w:firstRowLastColumn="0" w:lastRowFirstColumn="0" w:lastRowLastColumn="0"/>
              <w:rPr>
                <w:rFonts w:ascii="Arial" w:hAnsi="Arial" w:cs="Times New Roman"/>
                <w:sz w:val="22"/>
                <w:lang w:val="en-US"/>
              </w:rPr>
            </w:pPr>
            <w:r w:rsidRPr="00036788">
              <w:rPr>
                <w:rFonts w:ascii="Arial" w:hAnsi="Arial" w:cs="Times New Roman"/>
                <w:sz w:val="22"/>
                <w:lang w:val="en-US"/>
              </w:rPr>
              <w:t>Extremely (5)</w:t>
            </w:r>
          </w:p>
        </w:tc>
      </w:tr>
      <w:tr w:rsidR="00036788" w:rsidRPr="00036788" w14:paraId="78D1CFDF" w14:textId="77777777" w:rsidTr="005F7CE9">
        <w:tc>
          <w:tcPr>
            <w:cnfStyle w:val="001000000000" w:firstRow="0" w:lastRow="0" w:firstColumn="1" w:lastColumn="0" w:oddVBand="0" w:evenVBand="0" w:oddHBand="0" w:evenHBand="0" w:firstRowFirstColumn="0" w:firstRowLastColumn="0" w:lastRowFirstColumn="0" w:lastRowLastColumn="0"/>
            <w:tcW w:w="1596" w:type="dxa"/>
          </w:tcPr>
          <w:p w14:paraId="4825D22D" w14:textId="77777777" w:rsidR="00036788" w:rsidRPr="00036788" w:rsidRDefault="00036788" w:rsidP="00036788">
            <w:pPr>
              <w:keepNext/>
              <w:spacing w:line="240" w:lineRule="auto"/>
              <w:jc w:val="center"/>
              <w:rPr>
                <w:rFonts w:ascii="Arial" w:hAnsi="Arial" w:cs="Times New Roman"/>
                <w:sz w:val="22"/>
                <w:lang w:val="en-US"/>
              </w:rPr>
            </w:pPr>
            <w:r w:rsidRPr="00036788">
              <w:rPr>
                <w:rFonts w:ascii="Arial" w:hAnsi="Arial" w:cs="Times New Roman"/>
                <w:sz w:val="22"/>
                <w:lang w:val="en-US"/>
              </w:rPr>
              <w:t xml:space="preserve">Happy (1) </w:t>
            </w:r>
          </w:p>
        </w:tc>
        <w:tc>
          <w:tcPr>
            <w:tcW w:w="1596" w:type="dxa"/>
          </w:tcPr>
          <w:p w14:paraId="6DFCE03C"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19336079"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6308D367"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64A30144"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5C74684A"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r>
      <w:tr w:rsidR="00036788" w:rsidRPr="00036788" w14:paraId="493DD19E" w14:textId="77777777" w:rsidTr="005F7CE9">
        <w:tc>
          <w:tcPr>
            <w:cnfStyle w:val="001000000000" w:firstRow="0" w:lastRow="0" w:firstColumn="1" w:lastColumn="0" w:oddVBand="0" w:evenVBand="0" w:oddHBand="0" w:evenHBand="0" w:firstRowFirstColumn="0" w:firstRowLastColumn="0" w:lastRowFirstColumn="0" w:lastRowLastColumn="0"/>
            <w:tcW w:w="1596" w:type="dxa"/>
          </w:tcPr>
          <w:p w14:paraId="24209AEB" w14:textId="77777777" w:rsidR="00036788" w:rsidRPr="00036788" w:rsidRDefault="00036788" w:rsidP="00036788">
            <w:pPr>
              <w:keepNext/>
              <w:spacing w:line="240" w:lineRule="auto"/>
              <w:jc w:val="center"/>
              <w:rPr>
                <w:rFonts w:ascii="Arial" w:hAnsi="Arial" w:cs="Times New Roman"/>
                <w:sz w:val="22"/>
                <w:lang w:val="en-US"/>
              </w:rPr>
            </w:pPr>
            <w:r w:rsidRPr="00036788">
              <w:rPr>
                <w:rFonts w:ascii="Arial" w:hAnsi="Arial" w:cs="Times New Roman"/>
                <w:sz w:val="22"/>
                <w:lang w:val="en-US"/>
              </w:rPr>
              <w:t xml:space="preserve">Joyful (2) </w:t>
            </w:r>
          </w:p>
        </w:tc>
        <w:tc>
          <w:tcPr>
            <w:tcW w:w="1596" w:type="dxa"/>
          </w:tcPr>
          <w:p w14:paraId="11E3FB6C"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72310DBC"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5EE8EBA4"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28A4E6A5"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59310947"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r>
      <w:tr w:rsidR="00036788" w:rsidRPr="00036788" w14:paraId="52503B51" w14:textId="77777777" w:rsidTr="005F7CE9">
        <w:tc>
          <w:tcPr>
            <w:cnfStyle w:val="001000000000" w:firstRow="0" w:lastRow="0" w:firstColumn="1" w:lastColumn="0" w:oddVBand="0" w:evenVBand="0" w:oddHBand="0" w:evenHBand="0" w:firstRowFirstColumn="0" w:firstRowLastColumn="0" w:lastRowFirstColumn="0" w:lastRowLastColumn="0"/>
            <w:tcW w:w="1596" w:type="dxa"/>
          </w:tcPr>
          <w:p w14:paraId="639F78A8" w14:textId="77777777" w:rsidR="00036788" w:rsidRPr="00036788" w:rsidRDefault="00036788" w:rsidP="00036788">
            <w:pPr>
              <w:keepNext/>
              <w:spacing w:line="240" w:lineRule="auto"/>
              <w:jc w:val="center"/>
              <w:rPr>
                <w:rFonts w:ascii="Arial" w:hAnsi="Arial" w:cs="Times New Roman"/>
                <w:sz w:val="22"/>
                <w:lang w:val="en-US"/>
              </w:rPr>
            </w:pPr>
            <w:r w:rsidRPr="00036788">
              <w:rPr>
                <w:rFonts w:ascii="Arial" w:hAnsi="Arial" w:cs="Times New Roman"/>
                <w:sz w:val="22"/>
                <w:lang w:val="en-US"/>
              </w:rPr>
              <w:t xml:space="preserve">Delighted (3) </w:t>
            </w:r>
          </w:p>
        </w:tc>
        <w:tc>
          <w:tcPr>
            <w:tcW w:w="1596" w:type="dxa"/>
          </w:tcPr>
          <w:p w14:paraId="77E4B233"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1B954152"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47F7A4C1"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02786246"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5F5EC8F5"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r>
      <w:tr w:rsidR="00036788" w:rsidRPr="00036788" w14:paraId="2D981060" w14:textId="77777777" w:rsidTr="005F7CE9">
        <w:tc>
          <w:tcPr>
            <w:cnfStyle w:val="001000000000" w:firstRow="0" w:lastRow="0" w:firstColumn="1" w:lastColumn="0" w:oddVBand="0" w:evenVBand="0" w:oddHBand="0" w:evenHBand="0" w:firstRowFirstColumn="0" w:firstRowLastColumn="0" w:lastRowFirstColumn="0" w:lastRowLastColumn="0"/>
            <w:tcW w:w="1596" w:type="dxa"/>
          </w:tcPr>
          <w:p w14:paraId="6B007AE0" w14:textId="77777777" w:rsidR="00036788" w:rsidRPr="00036788" w:rsidRDefault="00036788" w:rsidP="00036788">
            <w:pPr>
              <w:keepNext/>
              <w:spacing w:line="240" w:lineRule="auto"/>
              <w:jc w:val="center"/>
              <w:rPr>
                <w:rFonts w:ascii="Arial" w:hAnsi="Arial" w:cs="Times New Roman"/>
                <w:sz w:val="22"/>
                <w:lang w:val="en-US"/>
              </w:rPr>
            </w:pPr>
            <w:r w:rsidRPr="00036788">
              <w:rPr>
                <w:rFonts w:ascii="Arial" w:hAnsi="Arial" w:cs="Times New Roman"/>
                <w:sz w:val="22"/>
                <w:lang w:val="en-US"/>
              </w:rPr>
              <w:t xml:space="preserve">Cheerful (4) </w:t>
            </w:r>
          </w:p>
        </w:tc>
        <w:tc>
          <w:tcPr>
            <w:tcW w:w="1596" w:type="dxa"/>
          </w:tcPr>
          <w:p w14:paraId="0C76C529"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43766B05"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30F47057"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2C86850F"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3FAB66EB"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r>
      <w:tr w:rsidR="00036788" w:rsidRPr="00036788" w14:paraId="428B0835" w14:textId="77777777" w:rsidTr="005F7CE9">
        <w:tc>
          <w:tcPr>
            <w:cnfStyle w:val="001000000000" w:firstRow="0" w:lastRow="0" w:firstColumn="1" w:lastColumn="0" w:oddVBand="0" w:evenVBand="0" w:oddHBand="0" w:evenHBand="0" w:firstRowFirstColumn="0" w:firstRowLastColumn="0" w:lastRowFirstColumn="0" w:lastRowLastColumn="0"/>
            <w:tcW w:w="1596" w:type="dxa"/>
          </w:tcPr>
          <w:p w14:paraId="3DB905E5" w14:textId="77777777" w:rsidR="00036788" w:rsidRPr="00036788" w:rsidRDefault="00036788" w:rsidP="00036788">
            <w:pPr>
              <w:keepNext/>
              <w:spacing w:line="240" w:lineRule="auto"/>
              <w:jc w:val="center"/>
              <w:rPr>
                <w:rFonts w:ascii="Arial" w:hAnsi="Arial" w:cs="Times New Roman"/>
                <w:sz w:val="22"/>
                <w:lang w:val="en-US"/>
              </w:rPr>
            </w:pPr>
            <w:r w:rsidRPr="00036788">
              <w:rPr>
                <w:rFonts w:ascii="Arial" w:hAnsi="Arial" w:cs="Times New Roman"/>
                <w:sz w:val="22"/>
                <w:lang w:val="en-US"/>
              </w:rPr>
              <w:t xml:space="preserve">Excited (5) </w:t>
            </w:r>
          </w:p>
        </w:tc>
        <w:tc>
          <w:tcPr>
            <w:tcW w:w="1596" w:type="dxa"/>
          </w:tcPr>
          <w:p w14:paraId="7E2405EB"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4703FF82"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7F6DF0DE"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37BE8244"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229829DF"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r>
      <w:tr w:rsidR="00036788" w:rsidRPr="00036788" w14:paraId="71C697D0" w14:textId="77777777" w:rsidTr="005F7CE9">
        <w:tc>
          <w:tcPr>
            <w:cnfStyle w:val="001000000000" w:firstRow="0" w:lastRow="0" w:firstColumn="1" w:lastColumn="0" w:oddVBand="0" w:evenVBand="0" w:oddHBand="0" w:evenHBand="0" w:firstRowFirstColumn="0" w:firstRowLastColumn="0" w:lastRowFirstColumn="0" w:lastRowLastColumn="0"/>
            <w:tcW w:w="1596" w:type="dxa"/>
          </w:tcPr>
          <w:p w14:paraId="6AC6BBEF" w14:textId="77777777" w:rsidR="00036788" w:rsidRPr="00036788" w:rsidRDefault="00036788" w:rsidP="00036788">
            <w:pPr>
              <w:keepNext/>
              <w:spacing w:line="240" w:lineRule="auto"/>
              <w:jc w:val="center"/>
              <w:rPr>
                <w:rFonts w:ascii="Arial" w:hAnsi="Arial" w:cs="Times New Roman"/>
                <w:sz w:val="22"/>
                <w:lang w:val="en-US"/>
              </w:rPr>
            </w:pPr>
            <w:r w:rsidRPr="00036788">
              <w:rPr>
                <w:rFonts w:ascii="Arial" w:hAnsi="Arial" w:cs="Times New Roman"/>
                <w:sz w:val="22"/>
                <w:lang w:val="en-US"/>
              </w:rPr>
              <w:t xml:space="preserve">Enthusiastic (6) </w:t>
            </w:r>
          </w:p>
        </w:tc>
        <w:tc>
          <w:tcPr>
            <w:tcW w:w="1596" w:type="dxa"/>
          </w:tcPr>
          <w:p w14:paraId="6524A221"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496CB1D1"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69EE72FE"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7BBE72D4"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5448392F"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r>
      <w:tr w:rsidR="00036788" w:rsidRPr="00036788" w14:paraId="42CF9F91" w14:textId="77777777" w:rsidTr="005F7CE9">
        <w:tc>
          <w:tcPr>
            <w:cnfStyle w:val="001000000000" w:firstRow="0" w:lastRow="0" w:firstColumn="1" w:lastColumn="0" w:oddVBand="0" w:evenVBand="0" w:oddHBand="0" w:evenHBand="0" w:firstRowFirstColumn="0" w:firstRowLastColumn="0" w:lastRowFirstColumn="0" w:lastRowLastColumn="0"/>
            <w:tcW w:w="1596" w:type="dxa"/>
          </w:tcPr>
          <w:p w14:paraId="6ABAFB4C" w14:textId="77777777" w:rsidR="00036788" w:rsidRPr="00036788" w:rsidRDefault="00036788" w:rsidP="00036788">
            <w:pPr>
              <w:keepNext/>
              <w:spacing w:line="240" w:lineRule="auto"/>
              <w:jc w:val="center"/>
              <w:rPr>
                <w:rFonts w:ascii="Arial" w:hAnsi="Arial" w:cs="Times New Roman"/>
                <w:sz w:val="22"/>
                <w:lang w:val="en-US"/>
              </w:rPr>
            </w:pPr>
            <w:r w:rsidRPr="00036788">
              <w:rPr>
                <w:rFonts w:ascii="Arial" w:hAnsi="Arial" w:cs="Times New Roman"/>
                <w:sz w:val="22"/>
                <w:lang w:val="en-US"/>
              </w:rPr>
              <w:t xml:space="preserve">Lively (7) </w:t>
            </w:r>
          </w:p>
        </w:tc>
        <w:tc>
          <w:tcPr>
            <w:tcW w:w="1596" w:type="dxa"/>
          </w:tcPr>
          <w:p w14:paraId="224792D0"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2ED8073C"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309A6230"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2DB599AA"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2AD4DA83"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r>
      <w:tr w:rsidR="00036788" w:rsidRPr="00036788" w14:paraId="0576B2DD" w14:textId="77777777" w:rsidTr="005F7CE9">
        <w:tc>
          <w:tcPr>
            <w:cnfStyle w:val="001000000000" w:firstRow="0" w:lastRow="0" w:firstColumn="1" w:lastColumn="0" w:oddVBand="0" w:evenVBand="0" w:oddHBand="0" w:evenHBand="0" w:firstRowFirstColumn="0" w:firstRowLastColumn="0" w:lastRowFirstColumn="0" w:lastRowLastColumn="0"/>
            <w:tcW w:w="1596" w:type="dxa"/>
          </w:tcPr>
          <w:p w14:paraId="32295E8F" w14:textId="77777777" w:rsidR="00036788" w:rsidRPr="00036788" w:rsidRDefault="00036788" w:rsidP="00036788">
            <w:pPr>
              <w:keepNext/>
              <w:spacing w:line="240" w:lineRule="auto"/>
              <w:jc w:val="center"/>
              <w:rPr>
                <w:rFonts w:ascii="Arial" w:hAnsi="Arial" w:cs="Times New Roman"/>
                <w:sz w:val="22"/>
                <w:lang w:val="en-US"/>
              </w:rPr>
            </w:pPr>
            <w:r w:rsidRPr="00036788">
              <w:rPr>
                <w:rFonts w:ascii="Arial" w:hAnsi="Arial" w:cs="Times New Roman"/>
                <w:sz w:val="22"/>
                <w:lang w:val="en-US"/>
              </w:rPr>
              <w:t xml:space="preserve">Energetic (8) </w:t>
            </w:r>
          </w:p>
        </w:tc>
        <w:tc>
          <w:tcPr>
            <w:tcW w:w="1596" w:type="dxa"/>
          </w:tcPr>
          <w:p w14:paraId="781D6877"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1B3D993D"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252C8451"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37DCD205"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2D71E54E"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r>
      <w:tr w:rsidR="00036788" w:rsidRPr="00036788" w14:paraId="3370C0D6" w14:textId="77777777" w:rsidTr="005F7CE9">
        <w:tc>
          <w:tcPr>
            <w:cnfStyle w:val="001000000000" w:firstRow="0" w:lastRow="0" w:firstColumn="1" w:lastColumn="0" w:oddVBand="0" w:evenVBand="0" w:oddHBand="0" w:evenHBand="0" w:firstRowFirstColumn="0" w:firstRowLastColumn="0" w:lastRowFirstColumn="0" w:lastRowLastColumn="0"/>
            <w:tcW w:w="1596" w:type="dxa"/>
          </w:tcPr>
          <w:p w14:paraId="35B86D60" w14:textId="77777777" w:rsidR="00036788" w:rsidRPr="00036788" w:rsidRDefault="00036788" w:rsidP="00036788">
            <w:pPr>
              <w:keepNext/>
              <w:spacing w:line="240" w:lineRule="auto"/>
              <w:jc w:val="center"/>
              <w:rPr>
                <w:rFonts w:ascii="Arial" w:hAnsi="Arial" w:cs="Times New Roman"/>
                <w:sz w:val="22"/>
                <w:lang w:val="en-US"/>
              </w:rPr>
            </w:pPr>
            <w:r w:rsidRPr="00036788">
              <w:rPr>
                <w:rFonts w:ascii="Arial" w:hAnsi="Arial" w:cs="Times New Roman"/>
                <w:sz w:val="22"/>
                <w:lang w:val="en-US"/>
              </w:rPr>
              <w:t xml:space="preserve">Calm (9) </w:t>
            </w:r>
          </w:p>
        </w:tc>
        <w:tc>
          <w:tcPr>
            <w:tcW w:w="1596" w:type="dxa"/>
          </w:tcPr>
          <w:p w14:paraId="7F48D257"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27BA44F9"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2FF4D78E"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5EFE26EB"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5727F863"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r>
      <w:tr w:rsidR="00036788" w:rsidRPr="00036788" w14:paraId="00275176" w14:textId="77777777" w:rsidTr="005F7CE9">
        <w:tc>
          <w:tcPr>
            <w:cnfStyle w:val="001000000000" w:firstRow="0" w:lastRow="0" w:firstColumn="1" w:lastColumn="0" w:oddVBand="0" w:evenVBand="0" w:oddHBand="0" w:evenHBand="0" w:firstRowFirstColumn="0" w:firstRowLastColumn="0" w:lastRowFirstColumn="0" w:lastRowLastColumn="0"/>
            <w:tcW w:w="1596" w:type="dxa"/>
          </w:tcPr>
          <w:p w14:paraId="07A2A78A" w14:textId="77777777" w:rsidR="00036788" w:rsidRPr="00036788" w:rsidRDefault="00036788" w:rsidP="00036788">
            <w:pPr>
              <w:keepNext/>
              <w:spacing w:line="240" w:lineRule="auto"/>
              <w:jc w:val="center"/>
              <w:rPr>
                <w:rFonts w:ascii="Arial" w:hAnsi="Arial" w:cs="Times New Roman"/>
                <w:sz w:val="22"/>
                <w:lang w:val="en-US"/>
              </w:rPr>
            </w:pPr>
            <w:r w:rsidRPr="00036788">
              <w:rPr>
                <w:rFonts w:ascii="Arial" w:hAnsi="Arial" w:cs="Times New Roman"/>
                <w:sz w:val="22"/>
                <w:lang w:val="en-US"/>
              </w:rPr>
              <w:t xml:space="preserve">Relaxed (10) </w:t>
            </w:r>
          </w:p>
        </w:tc>
        <w:tc>
          <w:tcPr>
            <w:tcW w:w="1596" w:type="dxa"/>
          </w:tcPr>
          <w:p w14:paraId="06020BCA"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178AEFC5"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481D1290"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1E5DE86B"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13AA1D00"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r>
      <w:tr w:rsidR="00036788" w:rsidRPr="00036788" w14:paraId="58394A19" w14:textId="77777777" w:rsidTr="005F7CE9">
        <w:tc>
          <w:tcPr>
            <w:cnfStyle w:val="001000000000" w:firstRow="0" w:lastRow="0" w:firstColumn="1" w:lastColumn="0" w:oddVBand="0" w:evenVBand="0" w:oddHBand="0" w:evenHBand="0" w:firstRowFirstColumn="0" w:firstRowLastColumn="0" w:lastRowFirstColumn="0" w:lastRowLastColumn="0"/>
            <w:tcW w:w="1596" w:type="dxa"/>
          </w:tcPr>
          <w:p w14:paraId="7F6CC1C7" w14:textId="77777777" w:rsidR="00036788" w:rsidRPr="00036788" w:rsidRDefault="00036788" w:rsidP="00036788">
            <w:pPr>
              <w:keepNext/>
              <w:spacing w:line="240" w:lineRule="auto"/>
              <w:jc w:val="center"/>
              <w:rPr>
                <w:rFonts w:ascii="Arial" w:hAnsi="Arial" w:cs="Times New Roman"/>
                <w:sz w:val="22"/>
                <w:lang w:val="en-US"/>
              </w:rPr>
            </w:pPr>
            <w:r w:rsidRPr="00036788">
              <w:rPr>
                <w:rFonts w:ascii="Arial" w:hAnsi="Arial" w:cs="Times New Roman"/>
                <w:sz w:val="22"/>
                <w:lang w:val="en-US"/>
              </w:rPr>
              <w:t xml:space="preserve">At ease (11) </w:t>
            </w:r>
          </w:p>
        </w:tc>
        <w:tc>
          <w:tcPr>
            <w:tcW w:w="1596" w:type="dxa"/>
          </w:tcPr>
          <w:p w14:paraId="0A52EC0E"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2A368138"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08081AA9"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39F38CA7"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4F67B28A"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r>
      <w:tr w:rsidR="00036788" w:rsidRPr="00036788" w14:paraId="04449F13" w14:textId="77777777" w:rsidTr="005F7CE9">
        <w:tc>
          <w:tcPr>
            <w:cnfStyle w:val="001000000000" w:firstRow="0" w:lastRow="0" w:firstColumn="1" w:lastColumn="0" w:oddVBand="0" w:evenVBand="0" w:oddHBand="0" w:evenHBand="0" w:firstRowFirstColumn="0" w:firstRowLastColumn="0" w:lastRowFirstColumn="0" w:lastRowLastColumn="0"/>
            <w:tcW w:w="1596" w:type="dxa"/>
          </w:tcPr>
          <w:p w14:paraId="28DC857D" w14:textId="77777777" w:rsidR="00036788" w:rsidRPr="00036788" w:rsidRDefault="00036788" w:rsidP="00036788">
            <w:pPr>
              <w:keepNext/>
              <w:spacing w:line="240" w:lineRule="auto"/>
              <w:jc w:val="center"/>
              <w:rPr>
                <w:rFonts w:ascii="Arial" w:hAnsi="Arial" w:cs="Times New Roman"/>
                <w:sz w:val="22"/>
                <w:lang w:val="en-US"/>
              </w:rPr>
            </w:pPr>
            <w:r w:rsidRPr="00036788">
              <w:rPr>
                <w:rFonts w:ascii="Arial" w:hAnsi="Arial" w:cs="Times New Roman"/>
                <w:sz w:val="22"/>
                <w:lang w:val="en-US"/>
              </w:rPr>
              <w:t xml:space="preserve">Afraid (12) </w:t>
            </w:r>
          </w:p>
        </w:tc>
        <w:tc>
          <w:tcPr>
            <w:tcW w:w="1596" w:type="dxa"/>
          </w:tcPr>
          <w:p w14:paraId="2EF9CF2C"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408D9EC1"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14102ECD"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4BE03C66"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7479EB4B"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r>
      <w:tr w:rsidR="00036788" w:rsidRPr="00036788" w14:paraId="3DA6A475" w14:textId="77777777" w:rsidTr="005F7CE9">
        <w:tc>
          <w:tcPr>
            <w:cnfStyle w:val="001000000000" w:firstRow="0" w:lastRow="0" w:firstColumn="1" w:lastColumn="0" w:oddVBand="0" w:evenVBand="0" w:oddHBand="0" w:evenHBand="0" w:firstRowFirstColumn="0" w:firstRowLastColumn="0" w:lastRowFirstColumn="0" w:lastRowLastColumn="0"/>
            <w:tcW w:w="1596" w:type="dxa"/>
          </w:tcPr>
          <w:p w14:paraId="57975512" w14:textId="77777777" w:rsidR="00036788" w:rsidRPr="00036788" w:rsidRDefault="00036788" w:rsidP="00036788">
            <w:pPr>
              <w:keepNext/>
              <w:spacing w:line="240" w:lineRule="auto"/>
              <w:jc w:val="center"/>
              <w:rPr>
                <w:rFonts w:ascii="Arial" w:hAnsi="Arial" w:cs="Times New Roman"/>
                <w:sz w:val="22"/>
                <w:lang w:val="en-US"/>
              </w:rPr>
            </w:pPr>
            <w:r w:rsidRPr="00036788">
              <w:rPr>
                <w:rFonts w:ascii="Arial" w:hAnsi="Arial" w:cs="Times New Roman"/>
                <w:sz w:val="22"/>
                <w:lang w:val="en-US"/>
              </w:rPr>
              <w:t xml:space="preserve">Upset (13) </w:t>
            </w:r>
          </w:p>
        </w:tc>
        <w:tc>
          <w:tcPr>
            <w:tcW w:w="1596" w:type="dxa"/>
          </w:tcPr>
          <w:p w14:paraId="63A78414"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2C82ECBA"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35C05FE8"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302C13EF"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26058AB2"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r>
      <w:tr w:rsidR="00036788" w:rsidRPr="00036788" w14:paraId="5913BF08" w14:textId="77777777" w:rsidTr="005F7CE9">
        <w:tc>
          <w:tcPr>
            <w:cnfStyle w:val="001000000000" w:firstRow="0" w:lastRow="0" w:firstColumn="1" w:lastColumn="0" w:oddVBand="0" w:evenVBand="0" w:oddHBand="0" w:evenHBand="0" w:firstRowFirstColumn="0" w:firstRowLastColumn="0" w:lastRowFirstColumn="0" w:lastRowLastColumn="0"/>
            <w:tcW w:w="1596" w:type="dxa"/>
          </w:tcPr>
          <w:p w14:paraId="3CFFF585" w14:textId="77777777" w:rsidR="00036788" w:rsidRPr="00036788" w:rsidRDefault="00036788" w:rsidP="00036788">
            <w:pPr>
              <w:keepNext/>
              <w:spacing w:line="240" w:lineRule="auto"/>
              <w:jc w:val="center"/>
              <w:rPr>
                <w:rFonts w:ascii="Arial" w:hAnsi="Arial" w:cs="Times New Roman"/>
                <w:sz w:val="22"/>
                <w:lang w:val="en-US"/>
              </w:rPr>
            </w:pPr>
            <w:r w:rsidRPr="00036788">
              <w:rPr>
                <w:rFonts w:ascii="Arial" w:hAnsi="Arial" w:cs="Times New Roman"/>
                <w:sz w:val="22"/>
                <w:lang w:val="en-US"/>
              </w:rPr>
              <w:t xml:space="preserve">Hostile (14) </w:t>
            </w:r>
          </w:p>
        </w:tc>
        <w:tc>
          <w:tcPr>
            <w:tcW w:w="1596" w:type="dxa"/>
          </w:tcPr>
          <w:p w14:paraId="427AC110"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7A4D632B"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05E25918"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5780938E"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7AA9A45F"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r>
      <w:tr w:rsidR="00036788" w:rsidRPr="00036788" w14:paraId="391A1BDF" w14:textId="77777777" w:rsidTr="005F7CE9">
        <w:tc>
          <w:tcPr>
            <w:cnfStyle w:val="001000000000" w:firstRow="0" w:lastRow="0" w:firstColumn="1" w:lastColumn="0" w:oddVBand="0" w:evenVBand="0" w:oddHBand="0" w:evenHBand="0" w:firstRowFirstColumn="0" w:firstRowLastColumn="0" w:lastRowFirstColumn="0" w:lastRowLastColumn="0"/>
            <w:tcW w:w="1596" w:type="dxa"/>
          </w:tcPr>
          <w:p w14:paraId="65946CBF" w14:textId="77777777" w:rsidR="00036788" w:rsidRPr="00036788" w:rsidRDefault="00036788" w:rsidP="00036788">
            <w:pPr>
              <w:keepNext/>
              <w:spacing w:line="240" w:lineRule="auto"/>
              <w:jc w:val="center"/>
              <w:rPr>
                <w:rFonts w:ascii="Arial" w:hAnsi="Arial" w:cs="Times New Roman"/>
                <w:sz w:val="22"/>
                <w:lang w:val="en-US"/>
              </w:rPr>
            </w:pPr>
            <w:r w:rsidRPr="00036788">
              <w:rPr>
                <w:rFonts w:ascii="Arial" w:hAnsi="Arial" w:cs="Times New Roman"/>
                <w:sz w:val="22"/>
                <w:lang w:val="en-US"/>
              </w:rPr>
              <w:t xml:space="preserve">Ashamed (15) </w:t>
            </w:r>
          </w:p>
        </w:tc>
        <w:tc>
          <w:tcPr>
            <w:tcW w:w="1596" w:type="dxa"/>
          </w:tcPr>
          <w:p w14:paraId="0A1CC93C"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0D60C137"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53E11A38"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7DB7BBDE"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0CAF3893"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r>
      <w:tr w:rsidR="00036788" w:rsidRPr="00036788" w14:paraId="2C06A187" w14:textId="77777777" w:rsidTr="005F7CE9">
        <w:tc>
          <w:tcPr>
            <w:cnfStyle w:val="001000000000" w:firstRow="0" w:lastRow="0" w:firstColumn="1" w:lastColumn="0" w:oddVBand="0" w:evenVBand="0" w:oddHBand="0" w:evenHBand="0" w:firstRowFirstColumn="0" w:firstRowLastColumn="0" w:lastRowFirstColumn="0" w:lastRowLastColumn="0"/>
            <w:tcW w:w="1596" w:type="dxa"/>
          </w:tcPr>
          <w:p w14:paraId="39AC03E4" w14:textId="77777777" w:rsidR="00036788" w:rsidRPr="00036788" w:rsidRDefault="00036788" w:rsidP="00036788">
            <w:pPr>
              <w:keepNext/>
              <w:spacing w:line="240" w:lineRule="auto"/>
              <w:jc w:val="center"/>
              <w:rPr>
                <w:rFonts w:ascii="Arial" w:hAnsi="Arial" w:cs="Times New Roman"/>
                <w:sz w:val="22"/>
                <w:lang w:val="en-US"/>
              </w:rPr>
            </w:pPr>
            <w:r w:rsidRPr="00036788">
              <w:rPr>
                <w:rFonts w:ascii="Arial" w:hAnsi="Arial" w:cs="Times New Roman"/>
                <w:sz w:val="22"/>
                <w:lang w:val="en-US"/>
              </w:rPr>
              <w:t xml:space="preserve">Nervous (16) </w:t>
            </w:r>
          </w:p>
        </w:tc>
        <w:tc>
          <w:tcPr>
            <w:tcW w:w="1596" w:type="dxa"/>
          </w:tcPr>
          <w:p w14:paraId="171E1F6B"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79A7FA53"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3C3B33AB"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463A0827"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3B57A2A0"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r>
    </w:tbl>
    <w:p w14:paraId="156F83E0" w14:textId="77777777" w:rsidR="00036788" w:rsidRPr="00036788" w:rsidRDefault="00036788" w:rsidP="00036788">
      <w:pPr>
        <w:spacing w:after="0" w:line="276" w:lineRule="auto"/>
        <w:jc w:val="left"/>
        <w:rPr>
          <w:rFonts w:ascii="Arial" w:eastAsia="Times New Roman" w:hAnsi="Arial" w:cs="Times New Roman"/>
          <w:sz w:val="22"/>
          <w:lang w:val="en-US"/>
        </w:rPr>
      </w:pPr>
    </w:p>
    <w:p w14:paraId="7222D4F4" w14:textId="77777777" w:rsidR="00036788" w:rsidRPr="00036788" w:rsidRDefault="00036788" w:rsidP="00036788">
      <w:pPr>
        <w:spacing w:before="120" w:after="0" w:line="240" w:lineRule="auto"/>
        <w:jc w:val="left"/>
        <w:rPr>
          <w:rFonts w:ascii="Arial" w:eastAsia="Times New Roman" w:hAnsi="Arial" w:cs="Times New Roman"/>
          <w:b/>
          <w:color w:val="CCCCCC"/>
          <w:sz w:val="22"/>
          <w:lang w:val="en-US"/>
        </w:rPr>
      </w:pPr>
      <w:r w:rsidRPr="00036788">
        <w:rPr>
          <w:rFonts w:ascii="Arial" w:eastAsia="Times New Roman" w:hAnsi="Arial" w:cs="Times New Roman"/>
          <w:b/>
          <w:color w:val="CCCCCC"/>
          <w:sz w:val="22"/>
          <w:lang w:val="en-US"/>
        </w:rPr>
        <w:t>End of Block: PanasX_Experiment_2&amp;4_stress</w:t>
      </w:r>
    </w:p>
    <w:p w14:paraId="3D5097C4" w14:textId="77777777" w:rsidR="00036788" w:rsidRPr="00036788" w:rsidRDefault="00036788" w:rsidP="00036788">
      <w:pPr>
        <w:pBdr>
          <w:bottom w:val="single" w:sz="8" w:space="0" w:color="CCCCCC"/>
        </w:pBdr>
        <w:spacing w:after="0" w:line="120" w:lineRule="auto"/>
        <w:jc w:val="center"/>
        <w:rPr>
          <w:rFonts w:ascii="Arial" w:eastAsia="Times New Roman" w:hAnsi="Arial" w:cs="Times New Roman"/>
          <w:b/>
          <w:color w:val="CCCCCC"/>
          <w:sz w:val="22"/>
          <w:lang w:val="en-US"/>
        </w:rPr>
      </w:pPr>
    </w:p>
    <w:p w14:paraId="57DB0F3F" w14:textId="77777777" w:rsidR="00036788" w:rsidRPr="00036788" w:rsidRDefault="00036788" w:rsidP="00036788">
      <w:pPr>
        <w:spacing w:before="120" w:after="120" w:line="240" w:lineRule="auto"/>
        <w:jc w:val="left"/>
        <w:rPr>
          <w:rFonts w:ascii="Arial" w:eastAsia="Times New Roman" w:hAnsi="Arial" w:cs="Times New Roman"/>
          <w:b/>
          <w:color w:val="CCCCCC"/>
          <w:sz w:val="22"/>
          <w:lang w:val="en-US"/>
        </w:rPr>
      </w:pPr>
      <w:r w:rsidRPr="00036788">
        <w:rPr>
          <w:rFonts w:ascii="Arial" w:eastAsia="Times New Roman" w:hAnsi="Arial" w:cs="Times New Roman"/>
          <w:b/>
          <w:color w:val="CCCCCC"/>
          <w:sz w:val="22"/>
          <w:lang w:val="en-US"/>
        </w:rPr>
        <w:t>Start of Block: Ranking_Experiment_2&amp;4</w:t>
      </w:r>
    </w:p>
    <w:p w14:paraId="09E4C3F3" w14:textId="77777777" w:rsidR="00036788" w:rsidRPr="00036788" w:rsidRDefault="00036788" w:rsidP="00036788">
      <w:pPr>
        <w:spacing w:after="0" w:line="276" w:lineRule="auto"/>
        <w:jc w:val="left"/>
        <w:rPr>
          <w:rFonts w:ascii="Arial" w:eastAsia="Times New Roman" w:hAnsi="Arial" w:cs="Times New Roman"/>
          <w:sz w:val="22"/>
          <w:lang w:val="en-US"/>
        </w:rPr>
      </w:pPr>
    </w:p>
    <w:p w14:paraId="283DEF83" w14:textId="77777777" w:rsidR="00036788" w:rsidRPr="00036788" w:rsidRDefault="00036788" w:rsidP="00036788">
      <w:pPr>
        <w:keepNext/>
        <w:spacing w:after="0" w:line="276" w:lineRule="auto"/>
        <w:jc w:val="left"/>
        <w:rPr>
          <w:rFonts w:ascii="Arial" w:eastAsia="Times New Roman" w:hAnsi="Arial" w:cs="Times New Roman"/>
          <w:sz w:val="22"/>
          <w:lang w:val="en-US"/>
        </w:rPr>
      </w:pPr>
      <w:r w:rsidRPr="00036788">
        <w:rPr>
          <w:rFonts w:ascii="Arial" w:eastAsia="Times New Roman" w:hAnsi="Arial" w:cs="Times New Roman"/>
          <w:sz w:val="22"/>
          <w:lang w:val="en-US"/>
        </w:rPr>
        <w:br/>
        <w:t xml:space="preserve">Ranking task  </w:t>
      </w:r>
      <w:r w:rsidRPr="00036788">
        <w:rPr>
          <w:rFonts w:ascii="Arial" w:eastAsia="Times New Roman" w:hAnsi="Arial" w:cs="Times New Roman"/>
          <w:sz w:val="22"/>
          <w:lang w:val="en-US"/>
        </w:rPr>
        <w:br/>
        <w:t xml:space="preserve">In this section of the survey, we will show you some pictures and ask you to rank them according to your preference.  </w:t>
      </w:r>
      <w:r w:rsidRPr="00036788">
        <w:rPr>
          <w:rFonts w:ascii="Arial" w:eastAsia="Times New Roman" w:hAnsi="Arial" w:cs="Times New Roman"/>
          <w:sz w:val="22"/>
          <w:lang w:val="en-US"/>
        </w:rPr>
        <w:br/>
        <w:t>There are no right or wrong answers. You should answer this quickly based on your first instincts.</w:t>
      </w:r>
    </w:p>
    <w:p w14:paraId="6B1A2AD6" w14:textId="77777777" w:rsidR="00036788" w:rsidRPr="00036788" w:rsidRDefault="00036788" w:rsidP="00036788">
      <w:pPr>
        <w:spacing w:after="0" w:line="276" w:lineRule="auto"/>
        <w:jc w:val="left"/>
        <w:rPr>
          <w:rFonts w:ascii="Arial" w:eastAsia="Times New Roman" w:hAnsi="Arial" w:cs="Times New Roman"/>
          <w:sz w:val="22"/>
          <w:lang w:val="en-US"/>
        </w:rPr>
      </w:pPr>
    </w:p>
    <w:p w14:paraId="65EA4110" w14:textId="77777777" w:rsidR="00036788" w:rsidRPr="00036788" w:rsidRDefault="00036788" w:rsidP="00036788">
      <w:pPr>
        <w:pBdr>
          <w:top w:val="dashed" w:sz="8" w:space="0" w:color="CCCCCC"/>
        </w:pBdr>
        <w:spacing w:before="120" w:after="120" w:line="120" w:lineRule="auto"/>
        <w:jc w:val="left"/>
        <w:rPr>
          <w:rFonts w:ascii="Arial" w:eastAsia="Times New Roman" w:hAnsi="Arial" w:cs="Times New Roman"/>
          <w:sz w:val="22"/>
          <w:lang w:val="en-US"/>
        </w:rPr>
      </w:pPr>
    </w:p>
    <w:p w14:paraId="66CEDD40" w14:textId="77777777" w:rsidR="00036788" w:rsidRPr="00036788" w:rsidRDefault="00036788" w:rsidP="00036788">
      <w:pPr>
        <w:keepNext/>
        <w:shd w:val="clear" w:color="auto" w:fill="6898BB"/>
        <w:spacing w:before="120" w:after="120" w:line="240" w:lineRule="auto"/>
        <w:jc w:val="left"/>
        <w:rPr>
          <w:rFonts w:ascii="Arial" w:eastAsia="Times New Roman" w:hAnsi="Arial" w:cs="Times New Roman"/>
          <w:i/>
          <w:color w:val="FFFFFF"/>
          <w:sz w:val="20"/>
          <w:lang w:val="en-US"/>
        </w:rPr>
      </w:pPr>
      <w:r w:rsidRPr="00036788">
        <w:rPr>
          <w:rFonts w:ascii="Arial" w:eastAsia="Times New Roman" w:hAnsi="Arial" w:cs="Times New Roman"/>
          <w:i/>
          <w:color w:val="FFFFFF"/>
          <w:sz w:val="20"/>
          <w:lang w:val="en-US"/>
        </w:rPr>
        <w:t>Display This Question:</w:t>
      </w:r>
    </w:p>
    <w:p w14:paraId="290AC34F" w14:textId="77777777" w:rsidR="00036788" w:rsidRPr="00036788" w:rsidRDefault="00036788" w:rsidP="00036788">
      <w:pPr>
        <w:keepNext/>
        <w:shd w:val="clear" w:color="auto" w:fill="6898BB"/>
        <w:spacing w:before="120" w:after="120" w:line="240" w:lineRule="auto"/>
        <w:ind w:firstLine="400"/>
        <w:jc w:val="left"/>
        <w:rPr>
          <w:rFonts w:ascii="Arial" w:eastAsia="Times New Roman" w:hAnsi="Arial" w:cs="Times New Roman"/>
          <w:i/>
          <w:color w:val="FFFFFF"/>
          <w:sz w:val="20"/>
          <w:lang w:val="en-US"/>
        </w:rPr>
      </w:pPr>
      <w:r w:rsidRPr="00036788">
        <w:rPr>
          <w:rFonts w:ascii="Arial" w:eastAsia="Times New Roman" w:hAnsi="Arial" w:cs="Times New Roman"/>
          <w:i/>
          <w:color w:val="FFFFFF"/>
          <w:sz w:val="20"/>
          <w:lang w:val="en-US"/>
        </w:rPr>
        <w:t>If Device Type Is Not Mobile</w:t>
      </w:r>
    </w:p>
    <w:p w14:paraId="1CF3661F" w14:textId="77777777" w:rsidR="00036788" w:rsidRPr="00036788" w:rsidRDefault="00036788" w:rsidP="00036788">
      <w:pPr>
        <w:spacing w:after="0" w:line="276" w:lineRule="auto"/>
        <w:jc w:val="left"/>
        <w:rPr>
          <w:rFonts w:ascii="Arial" w:eastAsia="Times New Roman" w:hAnsi="Arial" w:cs="Times New Roman"/>
          <w:sz w:val="22"/>
          <w:lang w:val="en-US"/>
        </w:rPr>
      </w:pPr>
    </w:p>
    <w:p w14:paraId="40A1847C" w14:textId="77777777" w:rsidR="00036788" w:rsidRPr="00036788" w:rsidRDefault="00036788" w:rsidP="00036788">
      <w:pPr>
        <w:keepNext/>
        <w:spacing w:after="0" w:line="276" w:lineRule="auto"/>
        <w:jc w:val="left"/>
        <w:rPr>
          <w:rFonts w:ascii="Arial" w:eastAsia="Times New Roman" w:hAnsi="Arial" w:cs="Times New Roman"/>
          <w:sz w:val="22"/>
          <w:lang w:val="en-US"/>
        </w:rPr>
      </w:pPr>
      <w:r w:rsidRPr="00036788">
        <w:rPr>
          <w:rFonts w:ascii="Arial" w:eastAsia="Times New Roman" w:hAnsi="Arial" w:cs="Times New Roman"/>
          <w:sz w:val="22"/>
          <w:lang w:val="en-US"/>
        </w:rPr>
        <w:t xml:space="preserve">Please look at these four pictures below </w:t>
      </w:r>
    </w:p>
    <w:p w14:paraId="52469FD5" w14:textId="24E591A6" w:rsidR="00036788" w:rsidRPr="00036788" w:rsidRDefault="00093347" w:rsidP="00036788">
      <w:pPr>
        <w:spacing w:after="0" w:line="276" w:lineRule="auto"/>
        <w:jc w:val="left"/>
        <w:rPr>
          <w:rFonts w:ascii="Arial" w:eastAsia="Times New Roman" w:hAnsi="Arial" w:cs="Times New Roman"/>
          <w:sz w:val="22"/>
          <w:lang w:val="en-US"/>
        </w:rPr>
      </w:pPr>
      <w:r w:rsidRPr="00093347">
        <w:rPr>
          <w:rFonts w:ascii="Arial" w:eastAsia="Times New Roman" w:hAnsi="Arial" w:cs="Times New Roman"/>
          <w:noProof/>
          <w:sz w:val="22"/>
          <w:lang w:val="en-US"/>
        </w:rPr>
        <w:drawing>
          <wp:inline distT="0" distB="0" distL="0" distR="0" wp14:anchorId="787742DC" wp14:editId="1E2F0878">
            <wp:extent cx="6120130" cy="3527425"/>
            <wp:effectExtent l="0" t="0" r="0" b="0"/>
            <wp:docPr id="138162191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6120130" cy="3527425"/>
                    </a:xfrm>
                    <a:prstGeom prst="rect">
                      <a:avLst/>
                    </a:prstGeom>
                    <a:noFill/>
                    <a:ln>
                      <a:noFill/>
                    </a:ln>
                  </pic:spPr>
                </pic:pic>
              </a:graphicData>
            </a:graphic>
          </wp:inline>
        </w:drawing>
      </w:r>
    </w:p>
    <w:p w14:paraId="0FA28954" w14:textId="77777777" w:rsidR="00036788" w:rsidRPr="00036788" w:rsidRDefault="00036788" w:rsidP="00036788">
      <w:pPr>
        <w:spacing w:after="0" w:line="276" w:lineRule="auto"/>
        <w:jc w:val="left"/>
        <w:rPr>
          <w:rFonts w:ascii="Arial" w:eastAsia="Times New Roman" w:hAnsi="Arial" w:cs="Times New Roman"/>
          <w:sz w:val="22"/>
          <w:lang w:val="en-US"/>
        </w:rPr>
      </w:pPr>
    </w:p>
    <w:p w14:paraId="697B06D2" w14:textId="77777777" w:rsidR="00036788" w:rsidRPr="00036788" w:rsidRDefault="00036788" w:rsidP="00036788">
      <w:pPr>
        <w:pBdr>
          <w:top w:val="dashed" w:sz="8" w:space="0" w:color="CCCCCC"/>
        </w:pBdr>
        <w:spacing w:before="120" w:after="120" w:line="120" w:lineRule="auto"/>
        <w:jc w:val="left"/>
        <w:rPr>
          <w:rFonts w:ascii="Arial" w:eastAsia="Times New Roman" w:hAnsi="Arial" w:cs="Times New Roman"/>
          <w:sz w:val="22"/>
          <w:lang w:val="en-US"/>
        </w:rPr>
      </w:pPr>
    </w:p>
    <w:tbl>
      <w:tblPr>
        <w:tblStyle w:val="QQuestionIconTable"/>
        <w:tblW w:w="50" w:type="auto"/>
        <w:tblLook w:val="07E0" w:firstRow="1" w:lastRow="1" w:firstColumn="1" w:lastColumn="1" w:noHBand="1" w:noVBand="1"/>
      </w:tblPr>
      <w:tblGrid>
        <w:gridCol w:w="380"/>
      </w:tblGrid>
      <w:tr w:rsidR="00036788" w:rsidRPr="00036788" w14:paraId="330BC239" w14:textId="77777777" w:rsidTr="005F7CE9">
        <w:tc>
          <w:tcPr>
            <w:tcW w:w="50" w:type="dxa"/>
          </w:tcPr>
          <w:p w14:paraId="2FC1A60B" w14:textId="77777777" w:rsidR="00036788" w:rsidRPr="00036788" w:rsidRDefault="00036788" w:rsidP="00036788">
            <w:pPr>
              <w:keepNext/>
              <w:spacing w:line="240" w:lineRule="auto"/>
              <w:jc w:val="center"/>
              <w:rPr>
                <w:rFonts w:ascii="Arial" w:eastAsia="Times New Roman" w:hAnsi="Arial" w:cs="Times New Roman"/>
                <w:sz w:val="22"/>
                <w:lang w:val="en-US"/>
              </w:rPr>
            </w:pPr>
            <w:r w:rsidRPr="00036788">
              <w:rPr>
                <w:rFonts w:ascii="Arial" w:eastAsia="Times New Roman" w:hAnsi="Arial" w:cs="Times New Roman"/>
                <w:noProof/>
                <w:sz w:val="22"/>
                <w:lang w:val="en-US"/>
              </w:rPr>
              <w:drawing>
                <wp:inline distT="0" distB="0" distL="0" distR="0" wp14:anchorId="4E164A02" wp14:editId="48221CF2">
                  <wp:extent cx="228600" cy="228600"/>
                  <wp:effectExtent l="0" t="0" r="0" b="0"/>
                  <wp:docPr id="15" name="WordQuestionValida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WordQuestionValidation.png"/>
                          <pic:cNvPicPr/>
                        </pic:nvPicPr>
                        <pic:blipFill>
                          <a:blip r:embed="rId75"/>
                          <a:stretch>
                            <a:fillRect/>
                          </a:stretch>
                        </pic:blipFill>
                        <pic:spPr>
                          <a:xfrm>
                            <a:off x="0" y="0"/>
                            <a:ext cx="228600" cy="228600"/>
                          </a:xfrm>
                          <a:prstGeom prst="rect">
                            <a:avLst/>
                          </a:prstGeom>
                        </pic:spPr>
                      </pic:pic>
                    </a:graphicData>
                  </a:graphic>
                </wp:inline>
              </w:drawing>
            </w:r>
          </w:p>
        </w:tc>
      </w:tr>
    </w:tbl>
    <w:p w14:paraId="6526D075" w14:textId="77777777" w:rsidR="00036788" w:rsidRPr="00036788" w:rsidRDefault="00036788" w:rsidP="00036788">
      <w:pPr>
        <w:spacing w:after="0" w:line="276" w:lineRule="auto"/>
        <w:jc w:val="left"/>
        <w:rPr>
          <w:rFonts w:ascii="Arial" w:eastAsia="Times New Roman" w:hAnsi="Arial" w:cs="Times New Roman"/>
          <w:sz w:val="22"/>
          <w:lang w:val="en-US"/>
        </w:rPr>
      </w:pPr>
    </w:p>
    <w:p w14:paraId="1D180AD9" w14:textId="77777777" w:rsidR="00036788" w:rsidRPr="00036788" w:rsidRDefault="00036788" w:rsidP="00036788">
      <w:pPr>
        <w:keepNext/>
        <w:spacing w:after="0" w:line="276" w:lineRule="auto"/>
        <w:jc w:val="left"/>
        <w:rPr>
          <w:rFonts w:ascii="Arial" w:eastAsia="Times New Roman" w:hAnsi="Arial" w:cs="Times New Roman"/>
          <w:sz w:val="22"/>
          <w:lang w:val="en-US"/>
        </w:rPr>
      </w:pPr>
      <w:r w:rsidRPr="00036788">
        <w:rPr>
          <w:rFonts w:ascii="Arial" w:eastAsia="Times New Roman" w:hAnsi="Arial" w:cs="Times New Roman"/>
          <w:sz w:val="22"/>
          <w:lang w:val="en-US"/>
        </w:rPr>
        <w:t>Please, rank the pictures in order of MOST PREFERRED (you can order all four or just name one) e.g. CDAB or A</w:t>
      </w:r>
    </w:p>
    <w:p w14:paraId="3E64E15A" w14:textId="77777777" w:rsidR="00036788" w:rsidRPr="00036788" w:rsidRDefault="00036788" w:rsidP="00036788">
      <w:pPr>
        <w:spacing w:before="240" w:after="0" w:line="240" w:lineRule="auto"/>
        <w:ind w:firstLine="400"/>
        <w:jc w:val="left"/>
        <w:rPr>
          <w:rFonts w:ascii="Arial" w:eastAsia="Times New Roman" w:hAnsi="Arial" w:cs="Times New Roman"/>
          <w:sz w:val="22"/>
          <w:lang w:val="en-US"/>
        </w:rPr>
      </w:pPr>
      <w:r w:rsidRPr="00036788">
        <w:rPr>
          <w:rFonts w:ascii="Arial" w:eastAsia="Times New Roman" w:hAnsi="Arial" w:cs="Times New Roman"/>
          <w:sz w:val="22"/>
          <w:lang w:val="en-US"/>
        </w:rPr>
        <w:t>________________________________________________________________</w:t>
      </w:r>
    </w:p>
    <w:p w14:paraId="3F260E37" w14:textId="77777777" w:rsidR="00036788" w:rsidRPr="00036788" w:rsidRDefault="00036788" w:rsidP="00036788">
      <w:pPr>
        <w:spacing w:after="0" w:line="276" w:lineRule="auto"/>
        <w:jc w:val="left"/>
        <w:rPr>
          <w:rFonts w:ascii="Arial" w:eastAsia="Times New Roman" w:hAnsi="Arial" w:cs="Times New Roman"/>
          <w:sz w:val="22"/>
          <w:lang w:val="en-US"/>
        </w:rPr>
      </w:pPr>
    </w:p>
    <w:p w14:paraId="31FC29A0" w14:textId="77777777" w:rsidR="00036788" w:rsidRPr="00036788" w:rsidRDefault="00036788" w:rsidP="00036788">
      <w:pPr>
        <w:spacing w:before="120" w:after="0" w:line="240" w:lineRule="auto"/>
        <w:jc w:val="left"/>
        <w:rPr>
          <w:rFonts w:ascii="Arial" w:eastAsia="Times New Roman" w:hAnsi="Arial" w:cs="Times New Roman"/>
          <w:b/>
          <w:color w:val="CCCCCC"/>
          <w:sz w:val="22"/>
          <w:lang w:val="en-US"/>
        </w:rPr>
      </w:pPr>
      <w:r w:rsidRPr="00036788">
        <w:rPr>
          <w:rFonts w:ascii="Arial" w:eastAsia="Times New Roman" w:hAnsi="Arial" w:cs="Times New Roman"/>
          <w:b/>
          <w:color w:val="CCCCCC"/>
          <w:sz w:val="22"/>
          <w:lang w:val="en-US"/>
        </w:rPr>
        <w:t>End of Block: Ranking_Experiment_2&amp;4</w:t>
      </w:r>
    </w:p>
    <w:p w14:paraId="31D5AA34" w14:textId="77777777" w:rsidR="00036788" w:rsidRPr="00036788" w:rsidRDefault="00036788" w:rsidP="00036788">
      <w:pPr>
        <w:pBdr>
          <w:bottom w:val="single" w:sz="8" w:space="0" w:color="CCCCCC"/>
        </w:pBdr>
        <w:spacing w:after="0" w:line="120" w:lineRule="auto"/>
        <w:jc w:val="center"/>
        <w:rPr>
          <w:rFonts w:ascii="Arial" w:eastAsia="Times New Roman" w:hAnsi="Arial" w:cs="Times New Roman"/>
          <w:b/>
          <w:color w:val="CCCCCC"/>
          <w:sz w:val="22"/>
          <w:lang w:val="en-US"/>
        </w:rPr>
      </w:pPr>
    </w:p>
    <w:p w14:paraId="6CEF66E1" w14:textId="77777777" w:rsidR="00036788" w:rsidRPr="00036788" w:rsidRDefault="00036788" w:rsidP="00036788">
      <w:pPr>
        <w:spacing w:before="120" w:after="120" w:line="240" w:lineRule="auto"/>
        <w:jc w:val="left"/>
        <w:rPr>
          <w:rFonts w:ascii="Arial" w:eastAsia="Times New Roman" w:hAnsi="Arial" w:cs="Times New Roman"/>
          <w:b/>
          <w:color w:val="CCCCCC"/>
          <w:sz w:val="22"/>
          <w:lang w:val="en-US"/>
        </w:rPr>
      </w:pPr>
      <w:r w:rsidRPr="00036788">
        <w:rPr>
          <w:rFonts w:ascii="Arial" w:eastAsia="Times New Roman" w:hAnsi="Arial" w:cs="Times New Roman"/>
          <w:b/>
          <w:color w:val="CCCCCC"/>
          <w:sz w:val="22"/>
          <w:lang w:val="en-US"/>
        </w:rPr>
        <w:t>Start of Block: Relax_tour5</w:t>
      </w:r>
    </w:p>
    <w:p w14:paraId="374AA559" w14:textId="77777777" w:rsidR="00036788" w:rsidRPr="00036788" w:rsidRDefault="00036788" w:rsidP="00036788">
      <w:pPr>
        <w:spacing w:after="0" w:line="276" w:lineRule="auto"/>
        <w:jc w:val="left"/>
        <w:rPr>
          <w:rFonts w:ascii="Arial" w:eastAsia="Times New Roman" w:hAnsi="Arial" w:cs="Times New Roman"/>
          <w:sz w:val="22"/>
          <w:lang w:val="en-US"/>
        </w:rPr>
      </w:pPr>
    </w:p>
    <w:p w14:paraId="40AA89A5" w14:textId="77777777" w:rsidR="00093347" w:rsidRDefault="00036788" w:rsidP="00036788">
      <w:pPr>
        <w:keepNext/>
        <w:spacing w:after="0" w:line="276" w:lineRule="auto"/>
        <w:jc w:val="left"/>
        <w:rPr>
          <w:rFonts w:ascii="Arial" w:eastAsia="Times New Roman" w:hAnsi="Arial" w:cs="Times New Roman"/>
          <w:sz w:val="22"/>
          <w:lang w:val="en-US"/>
        </w:rPr>
      </w:pPr>
      <w:r w:rsidRPr="00036788">
        <w:rPr>
          <w:rFonts w:ascii="Arial" w:eastAsia="Times New Roman" w:hAnsi="Arial" w:cs="Times New Roman"/>
          <w:sz w:val="22"/>
          <w:lang w:val="en-US"/>
        </w:rPr>
        <w:br/>
        <w:t xml:space="preserve">This page contains your final task. You will explore an urban park through a virtual tour for a few </w:t>
      </w:r>
      <w:r w:rsidRPr="00036788">
        <w:rPr>
          <w:rFonts w:ascii="Arial" w:eastAsia="Times New Roman" w:hAnsi="Arial" w:cs="Times New Roman"/>
          <w:sz w:val="22"/>
          <w:lang w:val="en-US"/>
        </w:rPr>
        <w:lastRenderedPageBreak/>
        <w:t xml:space="preserve">minutes.  </w:t>
      </w:r>
      <w:r w:rsidRPr="00036788">
        <w:rPr>
          <w:rFonts w:ascii="Arial" w:eastAsia="Times New Roman" w:hAnsi="Arial" w:cs="Times New Roman"/>
          <w:sz w:val="22"/>
          <w:lang w:val="en-US"/>
        </w:rPr>
        <w:br/>
        <w:t xml:space="preserve">   </w:t>
      </w:r>
      <w:r w:rsidRPr="00036788">
        <w:rPr>
          <w:rFonts w:ascii="Arial" w:eastAsia="Times New Roman" w:hAnsi="Arial" w:cs="Times New Roman"/>
          <w:sz w:val="22"/>
          <w:lang w:val="en-US"/>
        </w:rPr>
        <w:br/>
        <w:t xml:space="preserve">Your tour will start in the </w:t>
      </w:r>
      <w:proofErr w:type="spellStart"/>
      <w:r w:rsidRPr="00036788">
        <w:rPr>
          <w:rFonts w:ascii="Arial" w:eastAsia="Times New Roman" w:hAnsi="Arial" w:cs="Times New Roman"/>
          <w:sz w:val="22"/>
          <w:lang w:val="en-US"/>
        </w:rPr>
        <w:t>centre</w:t>
      </w:r>
      <w:proofErr w:type="spellEnd"/>
      <w:r w:rsidRPr="00036788">
        <w:rPr>
          <w:rFonts w:ascii="Arial" w:eastAsia="Times New Roman" w:hAnsi="Arial" w:cs="Times New Roman"/>
          <w:sz w:val="22"/>
          <w:lang w:val="en-US"/>
        </w:rPr>
        <w:t xml:space="preserve"> of the park, but you are free to "walk" in any direction.</w:t>
      </w:r>
      <w:r w:rsidRPr="00036788">
        <w:rPr>
          <w:rFonts w:ascii="Arial" w:eastAsia="Times New Roman" w:hAnsi="Arial" w:cs="Times New Roman"/>
          <w:sz w:val="22"/>
          <w:lang w:val="en-US"/>
        </w:rPr>
        <w:br/>
        <w:t xml:space="preserve">Click and drag to move the camera around. This works just like </w:t>
      </w:r>
      <w:proofErr w:type="gramStart"/>
      <w:r w:rsidRPr="00036788">
        <w:rPr>
          <w:rFonts w:ascii="Arial" w:eastAsia="Times New Roman" w:hAnsi="Arial" w:cs="Times New Roman"/>
          <w:sz w:val="22"/>
          <w:lang w:val="en-US"/>
        </w:rPr>
        <w:t>Google street</w:t>
      </w:r>
      <w:proofErr w:type="gramEnd"/>
      <w:r w:rsidRPr="00036788">
        <w:rPr>
          <w:rFonts w:ascii="Arial" w:eastAsia="Times New Roman" w:hAnsi="Arial" w:cs="Times New Roman"/>
          <w:sz w:val="22"/>
          <w:lang w:val="en-US"/>
        </w:rPr>
        <w:t xml:space="preserve"> view!</w:t>
      </w:r>
    </w:p>
    <w:p w14:paraId="45B6187B" w14:textId="67DA79C2" w:rsidR="00036788" w:rsidRPr="00036788" w:rsidRDefault="00093347" w:rsidP="00036788">
      <w:pPr>
        <w:keepNext/>
        <w:spacing w:after="0" w:line="276" w:lineRule="auto"/>
        <w:jc w:val="left"/>
        <w:rPr>
          <w:rFonts w:ascii="Arial" w:eastAsia="Times New Roman" w:hAnsi="Arial" w:cs="Times New Roman"/>
          <w:sz w:val="22"/>
          <w:lang w:val="en-US"/>
        </w:rPr>
      </w:pPr>
      <w:r w:rsidRPr="00093347">
        <w:rPr>
          <w:noProof/>
        </w:rPr>
        <w:drawing>
          <wp:inline distT="0" distB="0" distL="0" distR="0" wp14:anchorId="437DF060" wp14:editId="517B781A">
            <wp:extent cx="2886075" cy="2466975"/>
            <wp:effectExtent l="0" t="0" r="9525" b="9525"/>
            <wp:docPr id="4192477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886075" cy="2466975"/>
                    </a:xfrm>
                    <a:prstGeom prst="rect">
                      <a:avLst/>
                    </a:prstGeom>
                    <a:noFill/>
                    <a:ln>
                      <a:noFill/>
                    </a:ln>
                  </pic:spPr>
                </pic:pic>
              </a:graphicData>
            </a:graphic>
          </wp:inline>
        </w:drawing>
      </w:r>
      <w:r w:rsidR="00036788" w:rsidRPr="00036788">
        <w:rPr>
          <w:rFonts w:ascii="Arial" w:eastAsia="Times New Roman" w:hAnsi="Arial" w:cs="Times New Roman"/>
          <w:sz w:val="22"/>
          <w:lang w:val="en-US"/>
        </w:rPr>
        <w:br/>
      </w:r>
      <w:r w:rsidR="00036788" w:rsidRPr="00036788">
        <w:rPr>
          <w:rFonts w:ascii="Arial" w:eastAsia="Times New Roman" w:hAnsi="Arial" w:cs="Times New Roman"/>
          <w:sz w:val="22"/>
          <w:lang w:val="en-US"/>
        </w:rPr>
        <w:br/>
        <w:t xml:space="preserve">   The button to move on with the survey will appear after you have spent two minutes exploring.</w:t>
      </w:r>
      <w:r w:rsidR="00036788" w:rsidRPr="00036788">
        <w:rPr>
          <w:rFonts w:ascii="Arial" w:eastAsia="Times New Roman" w:hAnsi="Arial" w:cs="Times New Roman"/>
          <w:sz w:val="22"/>
          <w:lang w:val="en-US"/>
        </w:rPr>
        <w:br/>
        <w:t xml:space="preserve"> </w:t>
      </w:r>
      <w:r w:rsidR="00036788" w:rsidRPr="00036788">
        <w:rPr>
          <w:rFonts w:ascii="Arial" w:eastAsia="Times New Roman" w:hAnsi="Arial" w:cs="Times New Roman"/>
          <w:i/>
          <w:sz w:val="22"/>
          <w:lang w:val="en-US"/>
        </w:rPr>
        <w:t>(Don't worry if the button does not appear. This page will turn automatically after 6 minutes)</w:t>
      </w:r>
    </w:p>
    <w:p w14:paraId="75D5F5A8" w14:textId="77777777" w:rsidR="00036788" w:rsidRPr="00036788" w:rsidRDefault="00036788" w:rsidP="00036788">
      <w:pPr>
        <w:spacing w:after="0" w:line="276" w:lineRule="auto"/>
        <w:jc w:val="left"/>
        <w:rPr>
          <w:rFonts w:ascii="Arial" w:eastAsia="Times New Roman" w:hAnsi="Arial" w:cs="Times New Roman"/>
          <w:sz w:val="22"/>
          <w:lang w:val="en-US"/>
        </w:rPr>
      </w:pPr>
    </w:p>
    <w:p w14:paraId="2C3E191B" w14:textId="77777777" w:rsidR="00036788" w:rsidRPr="00036788" w:rsidRDefault="00036788" w:rsidP="00036788">
      <w:pPr>
        <w:pBdr>
          <w:top w:val="dashed" w:sz="8" w:space="0" w:color="CCCCCC"/>
        </w:pBdr>
        <w:spacing w:before="120" w:after="120" w:line="120" w:lineRule="auto"/>
        <w:jc w:val="left"/>
        <w:rPr>
          <w:rFonts w:ascii="Arial" w:eastAsia="Times New Roman" w:hAnsi="Arial" w:cs="Times New Roman"/>
          <w:sz w:val="22"/>
          <w:lang w:val="en-US"/>
        </w:rPr>
      </w:pPr>
    </w:p>
    <w:p w14:paraId="6555EA03" w14:textId="77777777" w:rsidR="00036788" w:rsidRPr="00036788" w:rsidRDefault="00036788" w:rsidP="00036788">
      <w:pPr>
        <w:keepNext/>
        <w:shd w:val="clear" w:color="auto" w:fill="6898BB"/>
        <w:spacing w:before="120" w:after="120" w:line="240" w:lineRule="auto"/>
        <w:jc w:val="left"/>
        <w:rPr>
          <w:rFonts w:ascii="Arial" w:eastAsia="Times New Roman" w:hAnsi="Arial" w:cs="Times New Roman"/>
          <w:i/>
          <w:color w:val="FFFFFF"/>
          <w:sz w:val="20"/>
          <w:lang w:val="en-US"/>
        </w:rPr>
      </w:pPr>
      <w:r w:rsidRPr="00036788">
        <w:rPr>
          <w:rFonts w:ascii="Arial" w:eastAsia="Times New Roman" w:hAnsi="Arial" w:cs="Times New Roman"/>
          <w:i/>
          <w:color w:val="FFFFFF"/>
          <w:sz w:val="20"/>
          <w:lang w:val="en-US"/>
        </w:rPr>
        <w:t>Display This Question:</w:t>
      </w:r>
    </w:p>
    <w:p w14:paraId="2BFF60B0" w14:textId="77777777" w:rsidR="00036788" w:rsidRPr="00036788" w:rsidRDefault="00036788" w:rsidP="00036788">
      <w:pPr>
        <w:keepNext/>
        <w:shd w:val="clear" w:color="auto" w:fill="6898BB"/>
        <w:spacing w:before="120" w:after="120" w:line="240" w:lineRule="auto"/>
        <w:ind w:firstLine="400"/>
        <w:jc w:val="left"/>
        <w:rPr>
          <w:rFonts w:ascii="Arial" w:eastAsia="Times New Roman" w:hAnsi="Arial" w:cs="Times New Roman"/>
          <w:i/>
          <w:color w:val="FFFFFF"/>
          <w:sz w:val="20"/>
          <w:lang w:val="en-US"/>
        </w:rPr>
      </w:pPr>
      <w:r w:rsidRPr="00036788">
        <w:rPr>
          <w:rFonts w:ascii="Arial" w:eastAsia="Times New Roman" w:hAnsi="Arial" w:cs="Times New Roman"/>
          <w:i/>
          <w:color w:val="FFFFFF"/>
          <w:sz w:val="20"/>
          <w:lang w:val="en-US"/>
        </w:rPr>
        <w:t>If Device Type Is Not Mobile</w:t>
      </w:r>
    </w:p>
    <w:p w14:paraId="7F2D137B" w14:textId="77777777" w:rsidR="00036788" w:rsidRPr="00036788" w:rsidRDefault="00036788" w:rsidP="00036788">
      <w:pPr>
        <w:spacing w:after="0" w:line="276" w:lineRule="auto"/>
        <w:jc w:val="left"/>
        <w:rPr>
          <w:rFonts w:ascii="Arial" w:eastAsia="Times New Roman" w:hAnsi="Arial" w:cs="Times New Roman"/>
          <w:sz w:val="22"/>
          <w:lang w:val="en-US"/>
        </w:rPr>
      </w:pPr>
    </w:p>
    <w:p w14:paraId="7F5143D3" w14:textId="77777777" w:rsidR="00036788" w:rsidRPr="00036788" w:rsidRDefault="00036788" w:rsidP="00036788">
      <w:pPr>
        <w:keepNext/>
        <w:spacing w:after="0" w:line="276" w:lineRule="auto"/>
        <w:jc w:val="left"/>
        <w:rPr>
          <w:rFonts w:ascii="Arial" w:eastAsia="Times New Roman" w:hAnsi="Arial" w:cs="Times New Roman"/>
          <w:sz w:val="22"/>
          <w:lang w:val="en-US"/>
        </w:rPr>
      </w:pPr>
      <w:r w:rsidRPr="00036788">
        <w:rPr>
          <w:rFonts w:ascii="Arial" w:eastAsia="Times New Roman" w:hAnsi="Arial" w:cs="Times New Roman"/>
          <w:sz w:val="22"/>
          <w:lang w:val="en-US"/>
        </w:rPr>
        <w:br/>
        <w:t xml:space="preserve">Please, use the player below to start your exploration.  </w:t>
      </w:r>
      <w:r w:rsidRPr="00036788">
        <w:rPr>
          <w:rFonts w:ascii="Arial" w:eastAsia="Times New Roman" w:hAnsi="Arial" w:cs="Times New Roman"/>
          <w:sz w:val="22"/>
          <w:lang w:val="en-US"/>
        </w:rPr>
        <w:br/>
        <w:t xml:space="preserve">It is essential that you activate the full screen (you can do this by clicking on this button   on the top right of the video </w:t>
      </w:r>
      <w:proofErr w:type="gramStart"/>
      <w:r w:rsidRPr="00036788">
        <w:rPr>
          <w:rFonts w:ascii="Arial" w:eastAsia="Times New Roman" w:hAnsi="Arial" w:cs="Times New Roman"/>
          <w:sz w:val="22"/>
          <w:lang w:val="en-US"/>
        </w:rPr>
        <w:t xml:space="preserve">frame)   </w:t>
      </w:r>
      <w:proofErr w:type="gramEnd"/>
      <w:r w:rsidRPr="00036788">
        <w:rPr>
          <w:rFonts w:ascii="Arial" w:eastAsia="Times New Roman" w:hAnsi="Arial" w:cs="Times New Roman"/>
          <w:sz w:val="22"/>
          <w:lang w:val="en-US"/>
        </w:rPr>
        <w:br/>
      </w:r>
      <w:r w:rsidRPr="00036788">
        <w:rPr>
          <w:rFonts w:ascii="Arial" w:eastAsia="Times New Roman" w:hAnsi="Arial" w:cs="Times New Roman"/>
          <w:sz w:val="22"/>
          <w:lang w:val="en-US"/>
        </w:rPr>
        <w:br/>
        <w:t xml:space="preserve">    </w:t>
      </w:r>
      <w:r w:rsidRPr="00036788">
        <w:rPr>
          <w:rFonts w:ascii="Arial" w:eastAsia="Times New Roman" w:hAnsi="Arial" w:cs="Times New Roman"/>
          <w:sz w:val="22"/>
          <w:lang w:val="en-US"/>
        </w:rPr>
        <w:br/>
      </w:r>
    </w:p>
    <w:p w14:paraId="6BA3F674" w14:textId="77777777" w:rsidR="00036788" w:rsidRPr="00036788" w:rsidRDefault="00036788" w:rsidP="00036788">
      <w:pPr>
        <w:spacing w:after="0" w:line="276" w:lineRule="auto"/>
        <w:jc w:val="left"/>
        <w:rPr>
          <w:rFonts w:ascii="Arial" w:eastAsia="Times New Roman" w:hAnsi="Arial" w:cs="Times New Roman"/>
          <w:sz w:val="22"/>
          <w:lang w:val="en-US"/>
        </w:rPr>
      </w:pPr>
    </w:p>
    <w:p w14:paraId="0C32A346" w14:textId="77777777" w:rsidR="00036788" w:rsidRPr="00036788" w:rsidRDefault="00036788" w:rsidP="00036788">
      <w:pPr>
        <w:pBdr>
          <w:top w:val="dashed" w:sz="8" w:space="0" w:color="CCCCCC"/>
        </w:pBdr>
        <w:spacing w:before="120" w:after="120" w:line="120" w:lineRule="auto"/>
        <w:jc w:val="left"/>
        <w:rPr>
          <w:rFonts w:ascii="Arial" w:eastAsia="Times New Roman" w:hAnsi="Arial" w:cs="Times New Roman"/>
          <w:sz w:val="22"/>
          <w:lang w:val="en-US"/>
        </w:rPr>
      </w:pPr>
    </w:p>
    <w:p w14:paraId="0DAE73E6" w14:textId="77777777" w:rsidR="00036788" w:rsidRPr="00036788" w:rsidRDefault="00036788" w:rsidP="00036788">
      <w:pPr>
        <w:keepNext/>
        <w:shd w:val="clear" w:color="auto" w:fill="6898BB"/>
        <w:spacing w:before="120" w:after="120" w:line="240" w:lineRule="auto"/>
        <w:jc w:val="left"/>
        <w:rPr>
          <w:rFonts w:ascii="Arial" w:eastAsia="Times New Roman" w:hAnsi="Arial" w:cs="Times New Roman"/>
          <w:i/>
          <w:color w:val="FFFFFF"/>
          <w:sz w:val="20"/>
          <w:lang w:val="en-US"/>
        </w:rPr>
      </w:pPr>
      <w:r w:rsidRPr="00036788">
        <w:rPr>
          <w:rFonts w:ascii="Arial" w:eastAsia="Times New Roman" w:hAnsi="Arial" w:cs="Times New Roman"/>
          <w:i/>
          <w:color w:val="FFFFFF"/>
          <w:sz w:val="20"/>
          <w:lang w:val="en-US"/>
        </w:rPr>
        <w:t>Display This Question:</w:t>
      </w:r>
    </w:p>
    <w:p w14:paraId="78A0EC42" w14:textId="77777777" w:rsidR="00036788" w:rsidRPr="00036788" w:rsidRDefault="00036788" w:rsidP="00036788">
      <w:pPr>
        <w:keepNext/>
        <w:shd w:val="clear" w:color="auto" w:fill="6898BB"/>
        <w:spacing w:before="120" w:after="120" w:line="240" w:lineRule="auto"/>
        <w:ind w:firstLine="400"/>
        <w:jc w:val="left"/>
        <w:rPr>
          <w:rFonts w:ascii="Arial" w:eastAsia="Times New Roman" w:hAnsi="Arial" w:cs="Times New Roman"/>
          <w:i/>
          <w:color w:val="FFFFFF"/>
          <w:sz w:val="20"/>
          <w:lang w:val="en-US"/>
        </w:rPr>
      </w:pPr>
      <w:r w:rsidRPr="00036788">
        <w:rPr>
          <w:rFonts w:ascii="Arial" w:eastAsia="Times New Roman" w:hAnsi="Arial" w:cs="Times New Roman"/>
          <w:i/>
          <w:color w:val="FFFFFF"/>
          <w:sz w:val="20"/>
          <w:lang w:val="en-US"/>
        </w:rPr>
        <w:t>If Device Type Is Mobile</w:t>
      </w:r>
    </w:p>
    <w:p w14:paraId="50949889" w14:textId="77777777" w:rsidR="00036788" w:rsidRPr="00036788" w:rsidRDefault="00036788" w:rsidP="00036788">
      <w:pPr>
        <w:spacing w:after="0" w:line="276" w:lineRule="auto"/>
        <w:jc w:val="left"/>
        <w:rPr>
          <w:rFonts w:ascii="Arial" w:eastAsia="Times New Roman" w:hAnsi="Arial" w:cs="Times New Roman"/>
          <w:sz w:val="22"/>
          <w:lang w:val="en-US"/>
        </w:rPr>
      </w:pPr>
    </w:p>
    <w:p w14:paraId="6FACA3A5" w14:textId="77777777" w:rsidR="00036788" w:rsidRPr="00036788" w:rsidRDefault="00036788" w:rsidP="00036788">
      <w:pPr>
        <w:keepNext/>
        <w:spacing w:after="0" w:line="276" w:lineRule="auto"/>
        <w:jc w:val="left"/>
        <w:rPr>
          <w:rFonts w:ascii="Arial" w:eastAsia="Times New Roman" w:hAnsi="Arial" w:cs="Times New Roman"/>
          <w:sz w:val="22"/>
          <w:lang w:val="en-US"/>
        </w:rPr>
      </w:pPr>
      <w:r w:rsidRPr="00036788">
        <w:rPr>
          <w:rFonts w:ascii="Arial" w:eastAsia="Times New Roman" w:hAnsi="Arial" w:cs="Times New Roman"/>
          <w:sz w:val="22"/>
          <w:lang w:val="en-US"/>
        </w:rPr>
        <w:br/>
        <w:t xml:space="preserve">Please, use the player below to start your exploration.  </w:t>
      </w:r>
      <w:r w:rsidRPr="00036788">
        <w:rPr>
          <w:rFonts w:ascii="Arial" w:eastAsia="Times New Roman" w:hAnsi="Arial" w:cs="Times New Roman"/>
          <w:sz w:val="22"/>
          <w:lang w:val="en-US"/>
        </w:rPr>
        <w:br/>
        <w:t xml:space="preserve">It is essential that you activate the full screen (you can do this by clicking on this button   on the top right of the video </w:t>
      </w:r>
      <w:proofErr w:type="gramStart"/>
      <w:r w:rsidRPr="00036788">
        <w:rPr>
          <w:rFonts w:ascii="Arial" w:eastAsia="Times New Roman" w:hAnsi="Arial" w:cs="Times New Roman"/>
          <w:sz w:val="22"/>
          <w:lang w:val="en-US"/>
        </w:rPr>
        <w:t xml:space="preserve">frame)   </w:t>
      </w:r>
      <w:proofErr w:type="gramEnd"/>
      <w:r w:rsidRPr="00036788">
        <w:rPr>
          <w:rFonts w:ascii="Arial" w:eastAsia="Times New Roman" w:hAnsi="Arial" w:cs="Times New Roman"/>
          <w:sz w:val="22"/>
          <w:lang w:val="en-US"/>
        </w:rPr>
        <w:br/>
      </w:r>
    </w:p>
    <w:p w14:paraId="4D0EF603" w14:textId="77777777" w:rsidR="00036788" w:rsidRPr="00036788" w:rsidRDefault="00036788" w:rsidP="00036788">
      <w:pPr>
        <w:spacing w:before="120" w:after="0" w:line="240" w:lineRule="auto"/>
        <w:jc w:val="left"/>
        <w:rPr>
          <w:rFonts w:ascii="Arial" w:eastAsia="Times New Roman" w:hAnsi="Arial" w:cs="Times New Roman"/>
          <w:b/>
          <w:color w:val="CCCCCC"/>
          <w:sz w:val="22"/>
          <w:lang w:val="en-US"/>
        </w:rPr>
      </w:pPr>
      <w:r w:rsidRPr="00036788">
        <w:rPr>
          <w:rFonts w:ascii="Arial" w:eastAsia="Times New Roman" w:hAnsi="Arial" w:cs="Times New Roman"/>
          <w:b/>
          <w:color w:val="CCCCCC"/>
          <w:sz w:val="22"/>
          <w:lang w:val="en-US"/>
        </w:rPr>
        <w:t>End of Block: Relax_tour5</w:t>
      </w:r>
    </w:p>
    <w:p w14:paraId="5200C1B5" w14:textId="77777777" w:rsidR="00036788" w:rsidRPr="00036788" w:rsidRDefault="00036788" w:rsidP="00036788">
      <w:pPr>
        <w:pBdr>
          <w:bottom w:val="single" w:sz="8" w:space="0" w:color="CCCCCC"/>
        </w:pBdr>
        <w:spacing w:after="0" w:line="120" w:lineRule="auto"/>
        <w:jc w:val="center"/>
        <w:rPr>
          <w:rFonts w:ascii="Arial" w:eastAsia="Times New Roman" w:hAnsi="Arial" w:cs="Times New Roman"/>
          <w:b/>
          <w:color w:val="CCCCCC"/>
          <w:sz w:val="22"/>
          <w:lang w:val="en-US"/>
        </w:rPr>
      </w:pPr>
    </w:p>
    <w:p w14:paraId="021416D2" w14:textId="77777777" w:rsidR="00036788" w:rsidRPr="00036788" w:rsidRDefault="00036788" w:rsidP="00036788">
      <w:pPr>
        <w:spacing w:before="120" w:after="120" w:line="240" w:lineRule="auto"/>
        <w:jc w:val="left"/>
        <w:rPr>
          <w:rFonts w:ascii="Arial" w:eastAsia="Times New Roman" w:hAnsi="Arial" w:cs="Times New Roman"/>
          <w:b/>
          <w:color w:val="CCCCCC"/>
          <w:sz w:val="22"/>
          <w:lang w:val="en-US"/>
        </w:rPr>
      </w:pPr>
      <w:r w:rsidRPr="00036788">
        <w:rPr>
          <w:rFonts w:ascii="Arial" w:eastAsia="Times New Roman" w:hAnsi="Arial" w:cs="Times New Roman"/>
          <w:b/>
          <w:color w:val="CCCCCC"/>
          <w:sz w:val="22"/>
          <w:lang w:val="en-US"/>
        </w:rPr>
        <w:t>Start of Block: PanasX_Experiment_2&amp;4_post</w:t>
      </w:r>
    </w:p>
    <w:p w14:paraId="57BC3680" w14:textId="77777777" w:rsidR="00036788" w:rsidRPr="00036788" w:rsidRDefault="00036788" w:rsidP="00036788">
      <w:pPr>
        <w:keepNext/>
        <w:spacing w:after="0" w:line="276" w:lineRule="auto"/>
        <w:jc w:val="left"/>
        <w:rPr>
          <w:rFonts w:ascii="Arial" w:eastAsia="Times New Roman" w:hAnsi="Arial" w:cs="Times New Roman"/>
          <w:sz w:val="22"/>
          <w:lang w:val="en-US"/>
        </w:rPr>
      </w:pPr>
      <w:r w:rsidRPr="00036788">
        <w:rPr>
          <w:rFonts w:ascii="Arial" w:eastAsia="Times New Roman" w:hAnsi="Arial" w:cs="Times New Roman"/>
          <w:sz w:val="22"/>
          <w:lang w:val="en-US"/>
        </w:rPr>
        <w:lastRenderedPageBreak/>
        <w:t>Please rate according to how you feel RIGHT NOW. You should answer this quickly based on your first instincts</w:t>
      </w:r>
    </w:p>
    <w:tbl>
      <w:tblPr>
        <w:tblStyle w:val="QQuestionTable4"/>
        <w:tblW w:w="9576" w:type="auto"/>
        <w:tblLook w:val="07E0" w:firstRow="1" w:lastRow="1" w:firstColumn="1" w:lastColumn="1" w:noHBand="1" w:noVBand="1"/>
      </w:tblPr>
      <w:tblGrid>
        <w:gridCol w:w="1596"/>
        <w:gridCol w:w="1596"/>
        <w:gridCol w:w="1596"/>
        <w:gridCol w:w="1596"/>
        <w:gridCol w:w="1596"/>
        <w:gridCol w:w="1596"/>
      </w:tblGrid>
      <w:tr w:rsidR="00036788" w:rsidRPr="00036788" w14:paraId="0E4E27D8" w14:textId="77777777" w:rsidTr="005F7CE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96" w:type="dxa"/>
          </w:tcPr>
          <w:p w14:paraId="6A83BFE4" w14:textId="77777777" w:rsidR="00036788" w:rsidRPr="00036788" w:rsidRDefault="00036788" w:rsidP="00036788">
            <w:pPr>
              <w:keepNext/>
              <w:spacing w:line="240" w:lineRule="auto"/>
              <w:jc w:val="center"/>
              <w:rPr>
                <w:rFonts w:ascii="Arial" w:hAnsi="Arial" w:cs="Times New Roman"/>
                <w:sz w:val="22"/>
                <w:lang w:val="en-US"/>
              </w:rPr>
            </w:pPr>
          </w:p>
        </w:tc>
        <w:tc>
          <w:tcPr>
            <w:tcW w:w="1596" w:type="dxa"/>
          </w:tcPr>
          <w:p w14:paraId="5B65742E" w14:textId="77777777" w:rsidR="00036788" w:rsidRPr="00036788" w:rsidRDefault="00036788" w:rsidP="00036788">
            <w:pPr>
              <w:spacing w:line="240" w:lineRule="auto"/>
              <w:jc w:val="center"/>
              <w:cnfStyle w:val="100000000000" w:firstRow="1" w:lastRow="0" w:firstColumn="0" w:lastColumn="0" w:oddVBand="0" w:evenVBand="0" w:oddHBand="0" w:evenHBand="0" w:firstRowFirstColumn="0" w:firstRowLastColumn="0" w:lastRowFirstColumn="0" w:lastRowLastColumn="0"/>
              <w:rPr>
                <w:rFonts w:ascii="Arial" w:hAnsi="Arial" w:cs="Times New Roman"/>
                <w:sz w:val="22"/>
                <w:lang w:val="en-US"/>
              </w:rPr>
            </w:pPr>
            <w:r w:rsidRPr="00036788">
              <w:rPr>
                <w:rFonts w:ascii="Arial" w:hAnsi="Arial" w:cs="Times New Roman"/>
                <w:sz w:val="22"/>
                <w:lang w:val="en-US"/>
              </w:rPr>
              <w:t>Not at all (1)</w:t>
            </w:r>
          </w:p>
        </w:tc>
        <w:tc>
          <w:tcPr>
            <w:tcW w:w="1596" w:type="dxa"/>
          </w:tcPr>
          <w:p w14:paraId="5E26E732" w14:textId="77777777" w:rsidR="00036788" w:rsidRPr="00036788" w:rsidRDefault="00036788" w:rsidP="00036788">
            <w:pPr>
              <w:spacing w:line="240" w:lineRule="auto"/>
              <w:jc w:val="center"/>
              <w:cnfStyle w:val="100000000000" w:firstRow="1" w:lastRow="0" w:firstColumn="0" w:lastColumn="0" w:oddVBand="0" w:evenVBand="0" w:oddHBand="0" w:evenHBand="0" w:firstRowFirstColumn="0" w:firstRowLastColumn="0" w:lastRowFirstColumn="0" w:lastRowLastColumn="0"/>
              <w:rPr>
                <w:rFonts w:ascii="Arial" w:hAnsi="Arial" w:cs="Times New Roman"/>
                <w:sz w:val="22"/>
                <w:lang w:val="en-US"/>
              </w:rPr>
            </w:pPr>
            <w:r w:rsidRPr="00036788">
              <w:rPr>
                <w:rFonts w:ascii="Arial" w:hAnsi="Arial" w:cs="Times New Roman"/>
                <w:sz w:val="22"/>
                <w:lang w:val="en-US"/>
              </w:rPr>
              <w:t>A little (2)</w:t>
            </w:r>
          </w:p>
        </w:tc>
        <w:tc>
          <w:tcPr>
            <w:tcW w:w="1596" w:type="dxa"/>
          </w:tcPr>
          <w:p w14:paraId="158044E1" w14:textId="77777777" w:rsidR="00036788" w:rsidRPr="00036788" w:rsidRDefault="00036788" w:rsidP="00036788">
            <w:pPr>
              <w:spacing w:line="240" w:lineRule="auto"/>
              <w:jc w:val="center"/>
              <w:cnfStyle w:val="100000000000" w:firstRow="1" w:lastRow="0" w:firstColumn="0" w:lastColumn="0" w:oddVBand="0" w:evenVBand="0" w:oddHBand="0" w:evenHBand="0" w:firstRowFirstColumn="0" w:firstRowLastColumn="0" w:lastRowFirstColumn="0" w:lastRowLastColumn="0"/>
              <w:rPr>
                <w:rFonts w:ascii="Arial" w:hAnsi="Arial" w:cs="Times New Roman"/>
                <w:sz w:val="22"/>
                <w:lang w:val="en-US"/>
              </w:rPr>
            </w:pPr>
            <w:r w:rsidRPr="00036788">
              <w:rPr>
                <w:rFonts w:ascii="Arial" w:hAnsi="Arial" w:cs="Times New Roman"/>
                <w:sz w:val="22"/>
                <w:lang w:val="en-US"/>
              </w:rPr>
              <w:t>Moderately (3)</w:t>
            </w:r>
          </w:p>
        </w:tc>
        <w:tc>
          <w:tcPr>
            <w:tcW w:w="1596" w:type="dxa"/>
          </w:tcPr>
          <w:p w14:paraId="74DF2BCD" w14:textId="77777777" w:rsidR="00036788" w:rsidRPr="00036788" w:rsidRDefault="00036788" w:rsidP="00036788">
            <w:pPr>
              <w:spacing w:line="240" w:lineRule="auto"/>
              <w:jc w:val="center"/>
              <w:cnfStyle w:val="100000000000" w:firstRow="1" w:lastRow="0" w:firstColumn="0" w:lastColumn="0" w:oddVBand="0" w:evenVBand="0" w:oddHBand="0" w:evenHBand="0" w:firstRowFirstColumn="0" w:firstRowLastColumn="0" w:lastRowFirstColumn="0" w:lastRowLastColumn="0"/>
              <w:rPr>
                <w:rFonts w:ascii="Arial" w:hAnsi="Arial" w:cs="Times New Roman"/>
                <w:sz w:val="22"/>
                <w:lang w:val="en-US"/>
              </w:rPr>
            </w:pPr>
            <w:r w:rsidRPr="00036788">
              <w:rPr>
                <w:rFonts w:ascii="Arial" w:hAnsi="Arial" w:cs="Times New Roman"/>
                <w:sz w:val="22"/>
                <w:lang w:val="en-US"/>
              </w:rPr>
              <w:t>Quite a bit (4)</w:t>
            </w:r>
          </w:p>
        </w:tc>
        <w:tc>
          <w:tcPr>
            <w:tcW w:w="1596" w:type="dxa"/>
          </w:tcPr>
          <w:p w14:paraId="30A03CED" w14:textId="77777777" w:rsidR="00036788" w:rsidRPr="00036788" w:rsidRDefault="00036788" w:rsidP="00036788">
            <w:pPr>
              <w:spacing w:line="240" w:lineRule="auto"/>
              <w:jc w:val="center"/>
              <w:cnfStyle w:val="100000000000" w:firstRow="1" w:lastRow="0" w:firstColumn="0" w:lastColumn="0" w:oddVBand="0" w:evenVBand="0" w:oddHBand="0" w:evenHBand="0" w:firstRowFirstColumn="0" w:firstRowLastColumn="0" w:lastRowFirstColumn="0" w:lastRowLastColumn="0"/>
              <w:rPr>
                <w:rFonts w:ascii="Arial" w:hAnsi="Arial" w:cs="Times New Roman"/>
                <w:sz w:val="22"/>
                <w:lang w:val="en-US"/>
              </w:rPr>
            </w:pPr>
            <w:r w:rsidRPr="00036788">
              <w:rPr>
                <w:rFonts w:ascii="Arial" w:hAnsi="Arial" w:cs="Times New Roman"/>
                <w:sz w:val="22"/>
                <w:lang w:val="en-US"/>
              </w:rPr>
              <w:t>Extremely (5)</w:t>
            </w:r>
          </w:p>
        </w:tc>
      </w:tr>
      <w:tr w:rsidR="00036788" w:rsidRPr="00036788" w14:paraId="5793C43F" w14:textId="77777777" w:rsidTr="005F7CE9">
        <w:tc>
          <w:tcPr>
            <w:cnfStyle w:val="001000000000" w:firstRow="0" w:lastRow="0" w:firstColumn="1" w:lastColumn="0" w:oddVBand="0" w:evenVBand="0" w:oddHBand="0" w:evenHBand="0" w:firstRowFirstColumn="0" w:firstRowLastColumn="0" w:lastRowFirstColumn="0" w:lastRowLastColumn="0"/>
            <w:tcW w:w="1596" w:type="dxa"/>
          </w:tcPr>
          <w:p w14:paraId="675B317A" w14:textId="77777777" w:rsidR="00036788" w:rsidRPr="00036788" w:rsidRDefault="00036788" w:rsidP="00036788">
            <w:pPr>
              <w:keepNext/>
              <w:spacing w:line="240" w:lineRule="auto"/>
              <w:jc w:val="center"/>
              <w:rPr>
                <w:rFonts w:ascii="Arial" w:hAnsi="Arial" w:cs="Times New Roman"/>
                <w:sz w:val="22"/>
                <w:lang w:val="en-US"/>
              </w:rPr>
            </w:pPr>
            <w:r w:rsidRPr="00036788">
              <w:rPr>
                <w:rFonts w:ascii="Arial" w:hAnsi="Arial" w:cs="Times New Roman"/>
                <w:sz w:val="22"/>
                <w:lang w:val="en-US"/>
              </w:rPr>
              <w:t xml:space="preserve">Happy (1) </w:t>
            </w:r>
          </w:p>
        </w:tc>
        <w:tc>
          <w:tcPr>
            <w:tcW w:w="1596" w:type="dxa"/>
          </w:tcPr>
          <w:p w14:paraId="30861560"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22EEC79D"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3D6C8D4E"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0875B6D1"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26F31C5C"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r>
      <w:tr w:rsidR="00036788" w:rsidRPr="00036788" w14:paraId="68858F34" w14:textId="77777777" w:rsidTr="005F7CE9">
        <w:tc>
          <w:tcPr>
            <w:cnfStyle w:val="001000000000" w:firstRow="0" w:lastRow="0" w:firstColumn="1" w:lastColumn="0" w:oddVBand="0" w:evenVBand="0" w:oddHBand="0" w:evenHBand="0" w:firstRowFirstColumn="0" w:firstRowLastColumn="0" w:lastRowFirstColumn="0" w:lastRowLastColumn="0"/>
            <w:tcW w:w="1596" w:type="dxa"/>
          </w:tcPr>
          <w:p w14:paraId="5ADC8205" w14:textId="77777777" w:rsidR="00036788" w:rsidRPr="00036788" w:rsidRDefault="00036788" w:rsidP="00036788">
            <w:pPr>
              <w:keepNext/>
              <w:spacing w:line="240" w:lineRule="auto"/>
              <w:jc w:val="center"/>
              <w:rPr>
                <w:rFonts w:ascii="Arial" w:hAnsi="Arial" w:cs="Times New Roman"/>
                <w:sz w:val="22"/>
                <w:lang w:val="en-US"/>
              </w:rPr>
            </w:pPr>
            <w:r w:rsidRPr="00036788">
              <w:rPr>
                <w:rFonts w:ascii="Arial" w:hAnsi="Arial" w:cs="Times New Roman"/>
                <w:sz w:val="22"/>
                <w:lang w:val="en-US"/>
              </w:rPr>
              <w:t xml:space="preserve">Joyful (2) </w:t>
            </w:r>
          </w:p>
        </w:tc>
        <w:tc>
          <w:tcPr>
            <w:tcW w:w="1596" w:type="dxa"/>
          </w:tcPr>
          <w:p w14:paraId="5874F18D"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1963921B"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1BE8CE28"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4D399EC9"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368D5F16"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r>
      <w:tr w:rsidR="00036788" w:rsidRPr="00036788" w14:paraId="6C8FBE2D" w14:textId="77777777" w:rsidTr="005F7CE9">
        <w:tc>
          <w:tcPr>
            <w:cnfStyle w:val="001000000000" w:firstRow="0" w:lastRow="0" w:firstColumn="1" w:lastColumn="0" w:oddVBand="0" w:evenVBand="0" w:oddHBand="0" w:evenHBand="0" w:firstRowFirstColumn="0" w:firstRowLastColumn="0" w:lastRowFirstColumn="0" w:lastRowLastColumn="0"/>
            <w:tcW w:w="1596" w:type="dxa"/>
          </w:tcPr>
          <w:p w14:paraId="66D3B147" w14:textId="77777777" w:rsidR="00036788" w:rsidRPr="00036788" w:rsidRDefault="00036788" w:rsidP="00036788">
            <w:pPr>
              <w:keepNext/>
              <w:spacing w:line="240" w:lineRule="auto"/>
              <w:jc w:val="center"/>
              <w:rPr>
                <w:rFonts w:ascii="Arial" w:hAnsi="Arial" w:cs="Times New Roman"/>
                <w:sz w:val="22"/>
                <w:lang w:val="en-US"/>
              </w:rPr>
            </w:pPr>
            <w:r w:rsidRPr="00036788">
              <w:rPr>
                <w:rFonts w:ascii="Arial" w:hAnsi="Arial" w:cs="Times New Roman"/>
                <w:sz w:val="22"/>
                <w:lang w:val="en-US"/>
              </w:rPr>
              <w:t xml:space="preserve">Delighted (3) </w:t>
            </w:r>
          </w:p>
        </w:tc>
        <w:tc>
          <w:tcPr>
            <w:tcW w:w="1596" w:type="dxa"/>
          </w:tcPr>
          <w:p w14:paraId="6244E681"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084BCA6B"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5EA11F65"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663E4C31"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7EFDE038"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r>
      <w:tr w:rsidR="00036788" w:rsidRPr="00036788" w14:paraId="2A567A0D" w14:textId="77777777" w:rsidTr="005F7CE9">
        <w:tc>
          <w:tcPr>
            <w:cnfStyle w:val="001000000000" w:firstRow="0" w:lastRow="0" w:firstColumn="1" w:lastColumn="0" w:oddVBand="0" w:evenVBand="0" w:oddHBand="0" w:evenHBand="0" w:firstRowFirstColumn="0" w:firstRowLastColumn="0" w:lastRowFirstColumn="0" w:lastRowLastColumn="0"/>
            <w:tcW w:w="1596" w:type="dxa"/>
          </w:tcPr>
          <w:p w14:paraId="617FABAC" w14:textId="77777777" w:rsidR="00036788" w:rsidRPr="00036788" w:rsidRDefault="00036788" w:rsidP="00036788">
            <w:pPr>
              <w:keepNext/>
              <w:spacing w:line="240" w:lineRule="auto"/>
              <w:jc w:val="center"/>
              <w:rPr>
                <w:rFonts w:ascii="Arial" w:hAnsi="Arial" w:cs="Times New Roman"/>
                <w:sz w:val="22"/>
                <w:lang w:val="en-US"/>
              </w:rPr>
            </w:pPr>
            <w:r w:rsidRPr="00036788">
              <w:rPr>
                <w:rFonts w:ascii="Arial" w:hAnsi="Arial" w:cs="Times New Roman"/>
                <w:sz w:val="22"/>
                <w:lang w:val="en-US"/>
              </w:rPr>
              <w:t xml:space="preserve">Cheerful (4) </w:t>
            </w:r>
          </w:p>
        </w:tc>
        <w:tc>
          <w:tcPr>
            <w:tcW w:w="1596" w:type="dxa"/>
          </w:tcPr>
          <w:p w14:paraId="79E9D1E7"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1A2684C1"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52BFA113"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1C934240"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58615DC0"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r>
      <w:tr w:rsidR="00036788" w:rsidRPr="00036788" w14:paraId="4911BDE0" w14:textId="77777777" w:rsidTr="005F7CE9">
        <w:tc>
          <w:tcPr>
            <w:cnfStyle w:val="001000000000" w:firstRow="0" w:lastRow="0" w:firstColumn="1" w:lastColumn="0" w:oddVBand="0" w:evenVBand="0" w:oddHBand="0" w:evenHBand="0" w:firstRowFirstColumn="0" w:firstRowLastColumn="0" w:lastRowFirstColumn="0" w:lastRowLastColumn="0"/>
            <w:tcW w:w="1596" w:type="dxa"/>
          </w:tcPr>
          <w:p w14:paraId="5294FC65" w14:textId="77777777" w:rsidR="00036788" w:rsidRPr="00036788" w:rsidRDefault="00036788" w:rsidP="00036788">
            <w:pPr>
              <w:keepNext/>
              <w:spacing w:line="240" w:lineRule="auto"/>
              <w:jc w:val="center"/>
              <w:rPr>
                <w:rFonts w:ascii="Arial" w:hAnsi="Arial" w:cs="Times New Roman"/>
                <w:sz w:val="22"/>
                <w:lang w:val="en-US"/>
              </w:rPr>
            </w:pPr>
            <w:r w:rsidRPr="00036788">
              <w:rPr>
                <w:rFonts w:ascii="Arial" w:hAnsi="Arial" w:cs="Times New Roman"/>
                <w:sz w:val="22"/>
                <w:lang w:val="en-US"/>
              </w:rPr>
              <w:t xml:space="preserve">Excited (5) </w:t>
            </w:r>
          </w:p>
        </w:tc>
        <w:tc>
          <w:tcPr>
            <w:tcW w:w="1596" w:type="dxa"/>
          </w:tcPr>
          <w:p w14:paraId="38A386F5"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747D3DCB"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03B877F5"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56DE91FF"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3393D2FB"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r>
      <w:tr w:rsidR="00036788" w:rsidRPr="00036788" w14:paraId="69A9E804" w14:textId="77777777" w:rsidTr="005F7CE9">
        <w:tc>
          <w:tcPr>
            <w:cnfStyle w:val="001000000000" w:firstRow="0" w:lastRow="0" w:firstColumn="1" w:lastColumn="0" w:oddVBand="0" w:evenVBand="0" w:oddHBand="0" w:evenHBand="0" w:firstRowFirstColumn="0" w:firstRowLastColumn="0" w:lastRowFirstColumn="0" w:lastRowLastColumn="0"/>
            <w:tcW w:w="1596" w:type="dxa"/>
          </w:tcPr>
          <w:p w14:paraId="48AE1A48" w14:textId="77777777" w:rsidR="00036788" w:rsidRPr="00036788" w:rsidRDefault="00036788" w:rsidP="00036788">
            <w:pPr>
              <w:keepNext/>
              <w:spacing w:line="240" w:lineRule="auto"/>
              <w:jc w:val="center"/>
              <w:rPr>
                <w:rFonts w:ascii="Arial" w:hAnsi="Arial" w:cs="Times New Roman"/>
                <w:sz w:val="22"/>
                <w:lang w:val="en-US"/>
              </w:rPr>
            </w:pPr>
            <w:r w:rsidRPr="00036788">
              <w:rPr>
                <w:rFonts w:ascii="Arial" w:hAnsi="Arial" w:cs="Times New Roman"/>
                <w:sz w:val="22"/>
                <w:lang w:val="en-US"/>
              </w:rPr>
              <w:t xml:space="preserve">Enthusiastic (6) </w:t>
            </w:r>
          </w:p>
        </w:tc>
        <w:tc>
          <w:tcPr>
            <w:tcW w:w="1596" w:type="dxa"/>
          </w:tcPr>
          <w:p w14:paraId="5A33292D"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77BF8833"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09D8F91A"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63D91590"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1A1D1B38"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r>
      <w:tr w:rsidR="00036788" w:rsidRPr="00036788" w14:paraId="1D5C234C" w14:textId="77777777" w:rsidTr="005F7CE9">
        <w:tc>
          <w:tcPr>
            <w:cnfStyle w:val="001000000000" w:firstRow="0" w:lastRow="0" w:firstColumn="1" w:lastColumn="0" w:oddVBand="0" w:evenVBand="0" w:oddHBand="0" w:evenHBand="0" w:firstRowFirstColumn="0" w:firstRowLastColumn="0" w:lastRowFirstColumn="0" w:lastRowLastColumn="0"/>
            <w:tcW w:w="1596" w:type="dxa"/>
          </w:tcPr>
          <w:p w14:paraId="3636D5E5" w14:textId="77777777" w:rsidR="00036788" w:rsidRPr="00036788" w:rsidRDefault="00036788" w:rsidP="00036788">
            <w:pPr>
              <w:keepNext/>
              <w:spacing w:line="240" w:lineRule="auto"/>
              <w:jc w:val="center"/>
              <w:rPr>
                <w:rFonts w:ascii="Arial" w:hAnsi="Arial" w:cs="Times New Roman"/>
                <w:sz w:val="22"/>
                <w:lang w:val="en-US"/>
              </w:rPr>
            </w:pPr>
            <w:r w:rsidRPr="00036788">
              <w:rPr>
                <w:rFonts w:ascii="Arial" w:hAnsi="Arial" w:cs="Times New Roman"/>
                <w:sz w:val="22"/>
                <w:lang w:val="en-US"/>
              </w:rPr>
              <w:t xml:space="preserve">Lively (7) </w:t>
            </w:r>
          </w:p>
        </w:tc>
        <w:tc>
          <w:tcPr>
            <w:tcW w:w="1596" w:type="dxa"/>
          </w:tcPr>
          <w:p w14:paraId="70B87001"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6EADD0F2"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1D35B40D"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30490BFF"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7D5E1518"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r>
      <w:tr w:rsidR="00036788" w:rsidRPr="00036788" w14:paraId="68F78324" w14:textId="77777777" w:rsidTr="005F7CE9">
        <w:tc>
          <w:tcPr>
            <w:cnfStyle w:val="001000000000" w:firstRow="0" w:lastRow="0" w:firstColumn="1" w:lastColumn="0" w:oddVBand="0" w:evenVBand="0" w:oddHBand="0" w:evenHBand="0" w:firstRowFirstColumn="0" w:firstRowLastColumn="0" w:lastRowFirstColumn="0" w:lastRowLastColumn="0"/>
            <w:tcW w:w="1596" w:type="dxa"/>
          </w:tcPr>
          <w:p w14:paraId="72C2CB89" w14:textId="77777777" w:rsidR="00036788" w:rsidRPr="00036788" w:rsidRDefault="00036788" w:rsidP="00036788">
            <w:pPr>
              <w:keepNext/>
              <w:spacing w:line="240" w:lineRule="auto"/>
              <w:jc w:val="center"/>
              <w:rPr>
                <w:rFonts w:ascii="Arial" w:hAnsi="Arial" w:cs="Times New Roman"/>
                <w:sz w:val="22"/>
                <w:lang w:val="en-US"/>
              </w:rPr>
            </w:pPr>
            <w:r w:rsidRPr="00036788">
              <w:rPr>
                <w:rFonts w:ascii="Arial" w:hAnsi="Arial" w:cs="Times New Roman"/>
                <w:sz w:val="22"/>
                <w:lang w:val="en-US"/>
              </w:rPr>
              <w:t xml:space="preserve">Energetic (8) </w:t>
            </w:r>
          </w:p>
        </w:tc>
        <w:tc>
          <w:tcPr>
            <w:tcW w:w="1596" w:type="dxa"/>
          </w:tcPr>
          <w:p w14:paraId="36073810"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4DFE89DD"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38FBCB23"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2EACCE1D"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366C048E"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r>
      <w:tr w:rsidR="00036788" w:rsidRPr="00036788" w14:paraId="048C187C" w14:textId="77777777" w:rsidTr="005F7CE9">
        <w:tc>
          <w:tcPr>
            <w:cnfStyle w:val="001000000000" w:firstRow="0" w:lastRow="0" w:firstColumn="1" w:lastColumn="0" w:oddVBand="0" w:evenVBand="0" w:oddHBand="0" w:evenHBand="0" w:firstRowFirstColumn="0" w:firstRowLastColumn="0" w:lastRowFirstColumn="0" w:lastRowLastColumn="0"/>
            <w:tcW w:w="1596" w:type="dxa"/>
          </w:tcPr>
          <w:p w14:paraId="7A6EE7D2" w14:textId="77777777" w:rsidR="00036788" w:rsidRPr="00036788" w:rsidRDefault="00036788" w:rsidP="00036788">
            <w:pPr>
              <w:keepNext/>
              <w:spacing w:line="240" w:lineRule="auto"/>
              <w:jc w:val="center"/>
              <w:rPr>
                <w:rFonts w:ascii="Arial" w:hAnsi="Arial" w:cs="Times New Roman"/>
                <w:sz w:val="22"/>
                <w:lang w:val="en-US"/>
              </w:rPr>
            </w:pPr>
            <w:r w:rsidRPr="00036788">
              <w:rPr>
                <w:rFonts w:ascii="Arial" w:hAnsi="Arial" w:cs="Times New Roman"/>
                <w:sz w:val="22"/>
                <w:lang w:val="en-US"/>
              </w:rPr>
              <w:t xml:space="preserve">Calm (9) </w:t>
            </w:r>
          </w:p>
        </w:tc>
        <w:tc>
          <w:tcPr>
            <w:tcW w:w="1596" w:type="dxa"/>
          </w:tcPr>
          <w:p w14:paraId="0BC06B23"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6FDADD54"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3A69C186"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0631FBA3"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468F5A68"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r>
      <w:tr w:rsidR="00036788" w:rsidRPr="00036788" w14:paraId="6DB881FF" w14:textId="77777777" w:rsidTr="005F7CE9">
        <w:tc>
          <w:tcPr>
            <w:cnfStyle w:val="001000000000" w:firstRow="0" w:lastRow="0" w:firstColumn="1" w:lastColumn="0" w:oddVBand="0" w:evenVBand="0" w:oddHBand="0" w:evenHBand="0" w:firstRowFirstColumn="0" w:firstRowLastColumn="0" w:lastRowFirstColumn="0" w:lastRowLastColumn="0"/>
            <w:tcW w:w="1596" w:type="dxa"/>
          </w:tcPr>
          <w:p w14:paraId="0D93F237" w14:textId="77777777" w:rsidR="00036788" w:rsidRPr="00036788" w:rsidRDefault="00036788" w:rsidP="00036788">
            <w:pPr>
              <w:keepNext/>
              <w:spacing w:line="240" w:lineRule="auto"/>
              <w:jc w:val="center"/>
              <w:rPr>
                <w:rFonts w:ascii="Arial" w:hAnsi="Arial" w:cs="Times New Roman"/>
                <w:sz w:val="22"/>
                <w:lang w:val="en-US"/>
              </w:rPr>
            </w:pPr>
            <w:r w:rsidRPr="00036788">
              <w:rPr>
                <w:rFonts w:ascii="Arial" w:hAnsi="Arial" w:cs="Times New Roman"/>
                <w:sz w:val="22"/>
                <w:lang w:val="en-US"/>
              </w:rPr>
              <w:t xml:space="preserve">Relaxed (10) </w:t>
            </w:r>
          </w:p>
        </w:tc>
        <w:tc>
          <w:tcPr>
            <w:tcW w:w="1596" w:type="dxa"/>
          </w:tcPr>
          <w:p w14:paraId="7FBFDF0D"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7EDCE2F7"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7AFC17A3"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3423B66F"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591AA1A8"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r>
      <w:tr w:rsidR="00036788" w:rsidRPr="00036788" w14:paraId="5369996B" w14:textId="77777777" w:rsidTr="005F7CE9">
        <w:tc>
          <w:tcPr>
            <w:cnfStyle w:val="001000000000" w:firstRow="0" w:lastRow="0" w:firstColumn="1" w:lastColumn="0" w:oddVBand="0" w:evenVBand="0" w:oddHBand="0" w:evenHBand="0" w:firstRowFirstColumn="0" w:firstRowLastColumn="0" w:lastRowFirstColumn="0" w:lastRowLastColumn="0"/>
            <w:tcW w:w="1596" w:type="dxa"/>
          </w:tcPr>
          <w:p w14:paraId="5A5FF6EA" w14:textId="77777777" w:rsidR="00036788" w:rsidRPr="00036788" w:rsidRDefault="00036788" w:rsidP="00036788">
            <w:pPr>
              <w:keepNext/>
              <w:spacing w:line="240" w:lineRule="auto"/>
              <w:jc w:val="center"/>
              <w:rPr>
                <w:rFonts w:ascii="Arial" w:hAnsi="Arial" w:cs="Times New Roman"/>
                <w:sz w:val="22"/>
                <w:lang w:val="en-US"/>
              </w:rPr>
            </w:pPr>
            <w:r w:rsidRPr="00036788">
              <w:rPr>
                <w:rFonts w:ascii="Arial" w:hAnsi="Arial" w:cs="Times New Roman"/>
                <w:sz w:val="22"/>
                <w:lang w:val="en-US"/>
              </w:rPr>
              <w:t xml:space="preserve">At ease (11) </w:t>
            </w:r>
          </w:p>
        </w:tc>
        <w:tc>
          <w:tcPr>
            <w:tcW w:w="1596" w:type="dxa"/>
          </w:tcPr>
          <w:p w14:paraId="2E9062C6"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742A11C1"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0CF8126D"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23E79613"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06750C68"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r>
      <w:tr w:rsidR="00036788" w:rsidRPr="00036788" w14:paraId="2AED5FF9" w14:textId="77777777" w:rsidTr="005F7CE9">
        <w:tc>
          <w:tcPr>
            <w:cnfStyle w:val="001000000000" w:firstRow="0" w:lastRow="0" w:firstColumn="1" w:lastColumn="0" w:oddVBand="0" w:evenVBand="0" w:oddHBand="0" w:evenHBand="0" w:firstRowFirstColumn="0" w:firstRowLastColumn="0" w:lastRowFirstColumn="0" w:lastRowLastColumn="0"/>
            <w:tcW w:w="1596" w:type="dxa"/>
          </w:tcPr>
          <w:p w14:paraId="152F7B16" w14:textId="77777777" w:rsidR="00036788" w:rsidRPr="00036788" w:rsidRDefault="00036788" w:rsidP="00036788">
            <w:pPr>
              <w:keepNext/>
              <w:spacing w:line="240" w:lineRule="auto"/>
              <w:jc w:val="center"/>
              <w:rPr>
                <w:rFonts w:ascii="Arial" w:hAnsi="Arial" w:cs="Times New Roman"/>
                <w:sz w:val="22"/>
                <w:lang w:val="en-US"/>
              </w:rPr>
            </w:pPr>
            <w:r w:rsidRPr="00036788">
              <w:rPr>
                <w:rFonts w:ascii="Arial" w:hAnsi="Arial" w:cs="Times New Roman"/>
                <w:sz w:val="22"/>
                <w:lang w:val="en-US"/>
              </w:rPr>
              <w:t xml:space="preserve">Afraid (12) </w:t>
            </w:r>
          </w:p>
        </w:tc>
        <w:tc>
          <w:tcPr>
            <w:tcW w:w="1596" w:type="dxa"/>
          </w:tcPr>
          <w:p w14:paraId="5991ACF8"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44A585DA"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1D0CDB48"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11451FE4"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23E5334A"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r>
      <w:tr w:rsidR="00036788" w:rsidRPr="00036788" w14:paraId="0F00C9BE" w14:textId="77777777" w:rsidTr="005F7CE9">
        <w:tc>
          <w:tcPr>
            <w:cnfStyle w:val="001000000000" w:firstRow="0" w:lastRow="0" w:firstColumn="1" w:lastColumn="0" w:oddVBand="0" w:evenVBand="0" w:oddHBand="0" w:evenHBand="0" w:firstRowFirstColumn="0" w:firstRowLastColumn="0" w:lastRowFirstColumn="0" w:lastRowLastColumn="0"/>
            <w:tcW w:w="1596" w:type="dxa"/>
          </w:tcPr>
          <w:p w14:paraId="6F878EDF" w14:textId="77777777" w:rsidR="00036788" w:rsidRPr="00036788" w:rsidRDefault="00036788" w:rsidP="00036788">
            <w:pPr>
              <w:keepNext/>
              <w:spacing w:line="240" w:lineRule="auto"/>
              <w:jc w:val="center"/>
              <w:rPr>
                <w:rFonts w:ascii="Arial" w:hAnsi="Arial" w:cs="Times New Roman"/>
                <w:sz w:val="22"/>
                <w:lang w:val="en-US"/>
              </w:rPr>
            </w:pPr>
            <w:r w:rsidRPr="00036788">
              <w:rPr>
                <w:rFonts w:ascii="Arial" w:hAnsi="Arial" w:cs="Times New Roman"/>
                <w:sz w:val="22"/>
                <w:lang w:val="en-US"/>
              </w:rPr>
              <w:t xml:space="preserve">Upset (13) </w:t>
            </w:r>
          </w:p>
        </w:tc>
        <w:tc>
          <w:tcPr>
            <w:tcW w:w="1596" w:type="dxa"/>
          </w:tcPr>
          <w:p w14:paraId="3E8102CA"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7654C9EF"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2DD3CBC3"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313CCE15"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04BAD818"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r>
      <w:tr w:rsidR="00036788" w:rsidRPr="00036788" w14:paraId="1F13AFD2" w14:textId="77777777" w:rsidTr="005F7CE9">
        <w:tc>
          <w:tcPr>
            <w:cnfStyle w:val="001000000000" w:firstRow="0" w:lastRow="0" w:firstColumn="1" w:lastColumn="0" w:oddVBand="0" w:evenVBand="0" w:oddHBand="0" w:evenHBand="0" w:firstRowFirstColumn="0" w:firstRowLastColumn="0" w:lastRowFirstColumn="0" w:lastRowLastColumn="0"/>
            <w:tcW w:w="1596" w:type="dxa"/>
          </w:tcPr>
          <w:p w14:paraId="2C483A44" w14:textId="77777777" w:rsidR="00036788" w:rsidRPr="00036788" w:rsidRDefault="00036788" w:rsidP="00036788">
            <w:pPr>
              <w:keepNext/>
              <w:spacing w:line="240" w:lineRule="auto"/>
              <w:jc w:val="center"/>
              <w:rPr>
                <w:rFonts w:ascii="Arial" w:hAnsi="Arial" w:cs="Times New Roman"/>
                <w:sz w:val="22"/>
                <w:lang w:val="en-US"/>
              </w:rPr>
            </w:pPr>
            <w:r w:rsidRPr="00036788">
              <w:rPr>
                <w:rFonts w:ascii="Arial" w:hAnsi="Arial" w:cs="Times New Roman"/>
                <w:sz w:val="22"/>
                <w:lang w:val="en-US"/>
              </w:rPr>
              <w:t xml:space="preserve">Hostile (14) </w:t>
            </w:r>
          </w:p>
        </w:tc>
        <w:tc>
          <w:tcPr>
            <w:tcW w:w="1596" w:type="dxa"/>
          </w:tcPr>
          <w:p w14:paraId="69F01E0A"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3BBD4F95"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68A2DAD2"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4AB1A65F"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1C485C90"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r>
      <w:tr w:rsidR="00036788" w:rsidRPr="00036788" w14:paraId="2FCA760E" w14:textId="77777777" w:rsidTr="005F7CE9">
        <w:tc>
          <w:tcPr>
            <w:cnfStyle w:val="001000000000" w:firstRow="0" w:lastRow="0" w:firstColumn="1" w:lastColumn="0" w:oddVBand="0" w:evenVBand="0" w:oddHBand="0" w:evenHBand="0" w:firstRowFirstColumn="0" w:firstRowLastColumn="0" w:lastRowFirstColumn="0" w:lastRowLastColumn="0"/>
            <w:tcW w:w="1596" w:type="dxa"/>
          </w:tcPr>
          <w:p w14:paraId="514CC4E8" w14:textId="77777777" w:rsidR="00036788" w:rsidRPr="00036788" w:rsidRDefault="00036788" w:rsidP="00036788">
            <w:pPr>
              <w:keepNext/>
              <w:spacing w:line="240" w:lineRule="auto"/>
              <w:jc w:val="center"/>
              <w:rPr>
                <w:rFonts w:ascii="Arial" w:hAnsi="Arial" w:cs="Times New Roman"/>
                <w:sz w:val="22"/>
                <w:lang w:val="en-US"/>
              </w:rPr>
            </w:pPr>
            <w:r w:rsidRPr="00036788">
              <w:rPr>
                <w:rFonts w:ascii="Arial" w:hAnsi="Arial" w:cs="Times New Roman"/>
                <w:sz w:val="22"/>
                <w:lang w:val="en-US"/>
              </w:rPr>
              <w:t xml:space="preserve">Ashamed (15) </w:t>
            </w:r>
          </w:p>
        </w:tc>
        <w:tc>
          <w:tcPr>
            <w:tcW w:w="1596" w:type="dxa"/>
          </w:tcPr>
          <w:p w14:paraId="092AEC46"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4EB6F3CC"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5BB3C60E"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1AC1E4F9"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1B79EECA"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r>
      <w:tr w:rsidR="00036788" w:rsidRPr="00036788" w14:paraId="0DA7C1D1" w14:textId="77777777" w:rsidTr="005F7CE9">
        <w:tc>
          <w:tcPr>
            <w:cnfStyle w:val="001000000000" w:firstRow="0" w:lastRow="0" w:firstColumn="1" w:lastColumn="0" w:oddVBand="0" w:evenVBand="0" w:oddHBand="0" w:evenHBand="0" w:firstRowFirstColumn="0" w:firstRowLastColumn="0" w:lastRowFirstColumn="0" w:lastRowLastColumn="0"/>
            <w:tcW w:w="1596" w:type="dxa"/>
          </w:tcPr>
          <w:p w14:paraId="051FB32F" w14:textId="77777777" w:rsidR="00036788" w:rsidRPr="00036788" w:rsidRDefault="00036788" w:rsidP="00036788">
            <w:pPr>
              <w:keepNext/>
              <w:spacing w:line="240" w:lineRule="auto"/>
              <w:jc w:val="center"/>
              <w:rPr>
                <w:rFonts w:ascii="Arial" w:hAnsi="Arial" w:cs="Times New Roman"/>
                <w:sz w:val="22"/>
                <w:lang w:val="en-US"/>
              </w:rPr>
            </w:pPr>
            <w:r w:rsidRPr="00036788">
              <w:rPr>
                <w:rFonts w:ascii="Arial" w:hAnsi="Arial" w:cs="Times New Roman"/>
                <w:sz w:val="22"/>
                <w:lang w:val="en-US"/>
              </w:rPr>
              <w:t xml:space="preserve">Nervous (16) </w:t>
            </w:r>
          </w:p>
        </w:tc>
        <w:tc>
          <w:tcPr>
            <w:tcW w:w="1596" w:type="dxa"/>
          </w:tcPr>
          <w:p w14:paraId="2C29B91D"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57AF595D"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7D0417BA"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210F3DB2"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60BEAAB5" w14:textId="77777777" w:rsidR="00036788" w:rsidRPr="00036788" w:rsidRDefault="00036788" w:rsidP="00036788">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r>
    </w:tbl>
    <w:p w14:paraId="77C31D27" w14:textId="77777777" w:rsidR="00036788" w:rsidRPr="00036788" w:rsidRDefault="00036788" w:rsidP="00036788">
      <w:pPr>
        <w:spacing w:after="0" w:line="276" w:lineRule="auto"/>
        <w:jc w:val="left"/>
        <w:rPr>
          <w:rFonts w:ascii="Arial" w:eastAsia="Times New Roman" w:hAnsi="Arial" w:cs="Times New Roman"/>
          <w:sz w:val="22"/>
          <w:lang w:val="en-US"/>
        </w:rPr>
      </w:pPr>
    </w:p>
    <w:p w14:paraId="13426425" w14:textId="77777777" w:rsidR="00036788" w:rsidRPr="00036788" w:rsidRDefault="00036788" w:rsidP="00036788">
      <w:pPr>
        <w:spacing w:after="0" w:line="276" w:lineRule="auto"/>
        <w:jc w:val="left"/>
        <w:rPr>
          <w:rFonts w:ascii="Arial" w:eastAsia="Times New Roman" w:hAnsi="Arial" w:cs="Times New Roman"/>
          <w:sz w:val="22"/>
          <w:lang w:val="en-US"/>
        </w:rPr>
      </w:pPr>
    </w:p>
    <w:p w14:paraId="7508A665" w14:textId="77777777" w:rsidR="00036788" w:rsidRPr="00036788" w:rsidRDefault="00036788" w:rsidP="00036788">
      <w:pPr>
        <w:pBdr>
          <w:top w:val="dashed" w:sz="8" w:space="0" w:color="CCCCCC"/>
        </w:pBdr>
        <w:spacing w:before="120" w:after="120" w:line="120" w:lineRule="auto"/>
        <w:jc w:val="left"/>
        <w:rPr>
          <w:rFonts w:ascii="Arial" w:eastAsia="Times New Roman" w:hAnsi="Arial" w:cs="Times New Roman"/>
          <w:sz w:val="22"/>
          <w:lang w:val="en-US"/>
        </w:rPr>
      </w:pPr>
    </w:p>
    <w:p w14:paraId="67E4716B" w14:textId="77777777" w:rsidR="00036788" w:rsidRPr="00036788" w:rsidRDefault="00036788" w:rsidP="00036788">
      <w:pPr>
        <w:spacing w:after="0" w:line="276" w:lineRule="auto"/>
        <w:jc w:val="left"/>
        <w:rPr>
          <w:rFonts w:ascii="Arial" w:eastAsia="Times New Roman" w:hAnsi="Arial" w:cs="Times New Roman"/>
          <w:sz w:val="22"/>
          <w:lang w:val="en-US"/>
        </w:rPr>
      </w:pPr>
    </w:p>
    <w:p w14:paraId="41DFF21C" w14:textId="77777777" w:rsidR="00036788" w:rsidRPr="00036788" w:rsidRDefault="00036788" w:rsidP="00036788">
      <w:pPr>
        <w:keepNext/>
        <w:spacing w:after="0" w:line="276" w:lineRule="auto"/>
        <w:jc w:val="left"/>
        <w:rPr>
          <w:rFonts w:ascii="Arial" w:eastAsia="Times New Roman" w:hAnsi="Arial" w:cs="Times New Roman"/>
          <w:sz w:val="22"/>
          <w:lang w:val="en-US"/>
        </w:rPr>
      </w:pPr>
      <w:r w:rsidRPr="00036788">
        <w:rPr>
          <w:rFonts w:ascii="Arial" w:eastAsia="Times New Roman" w:hAnsi="Arial" w:cs="Times New Roman"/>
          <w:sz w:val="22"/>
          <w:lang w:val="en-US"/>
        </w:rPr>
        <w:t xml:space="preserve">How many types of plants/trees/animals would you guess there were in the </w:t>
      </w:r>
      <w:proofErr w:type="gramStart"/>
      <w:r w:rsidRPr="00036788">
        <w:rPr>
          <w:rFonts w:ascii="Arial" w:eastAsia="Times New Roman" w:hAnsi="Arial" w:cs="Times New Roman"/>
          <w:sz w:val="22"/>
          <w:lang w:val="en-US"/>
        </w:rPr>
        <w:t>Park</w:t>
      </w:r>
      <w:proofErr w:type="gramEnd"/>
      <w:r w:rsidRPr="00036788">
        <w:rPr>
          <w:rFonts w:ascii="Arial" w:eastAsia="Times New Roman" w:hAnsi="Arial" w:cs="Times New Roman"/>
          <w:sz w:val="22"/>
          <w:lang w:val="en-US"/>
        </w:rPr>
        <w:t>?</w:t>
      </w:r>
    </w:p>
    <w:tbl>
      <w:tblPr>
        <w:tblStyle w:val="QSliderLabelsTable3"/>
        <w:tblW w:w="9576" w:type="auto"/>
        <w:tblInd w:w="0" w:type="dxa"/>
        <w:tblLook w:val="07E0" w:firstRow="1" w:lastRow="1" w:firstColumn="1" w:lastColumn="1" w:noHBand="1" w:noVBand="1"/>
      </w:tblPr>
      <w:tblGrid>
        <w:gridCol w:w="4788"/>
        <w:gridCol w:w="2394"/>
        <w:gridCol w:w="2394"/>
      </w:tblGrid>
      <w:tr w:rsidR="00036788" w:rsidRPr="00036788" w14:paraId="37742818" w14:textId="77777777" w:rsidTr="005F7CE9">
        <w:tc>
          <w:tcPr>
            <w:tcW w:w="4788" w:type="dxa"/>
          </w:tcPr>
          <w:p w14:paraId="4757E6A7" w14:textId="77777777" w:rsidR="00036788" w:rsidRPr="00036788" w:rsidRDefault="00036788" w:rsidP="00036788">
            <w:pPr>
              <w:keepNext/>
              <w:spacing w:line="240" w:lineRule="auto"/>
              <w:jc w:val="center"/>
              <w:rPr>
                <w:rFonts w:ascii="Arial" w:hAnsi="Arial" w:cs="Times New Roman"/>
                <w:sz w:val="22"/>
                <w:lang w:val="en-US"/>
              </w:rPr>
            </w:pPr>
          </w:p>
        </w:tc>
        <w:tc>
          <w:tcPr>
            <w:tcW w:w="2394" w:type="dxa"/>
          </w:tcPr>
          <w:p w14:paraId="12385D47" w14:textId="77777777" w:rsidR="00036788" w:rsidRPr="00036788" w:rsidRDefault="00036788" w:rsidP="00036788">
            <w:pPr>
              <w:spacing w:line="240" w:lineRule="auto"/>
              <w:jc w:val="center"/>
              <w:rPr>
                <w:rFonts w:ascii="Arial" w:hAnsi="Arial" w:cs="Times New Roman"/>
                <w:sz w:val="22"/>
                <w:lang w:val="en-US"/>
              </w:rPr>
            </w:pPr>
            <w:r w:rsidRPr="00036788">
              <w:rPr>
                <w:rFonts w:ascii="Arial" w:hAnsi="Arial" w:cs="Times New Roman"/>
                <w:sz w:val="22"/>
                <w:lang w:val="en-US"/>
              </w:rPr>
              <w:t>Not many</w:t>
            </w:r>
          </w:p>
        </w:tc>
        <w:tc>
          <w:tcPr>
            <w:tcW w:w="2394" w:type="dxa"/>
          </w:tcPr>
          <w:p w14:paraId="175F20A5" w14:textId="77777777" w:rsidR="00036788" w:rsidRPr="00036788" w:rsidRDefault="00036788" w:rsidP="00036788">
            <w:pPr>
              <w:spacing w:line="240" w:lineRule="auto"/>
              <w:jc w:val="center"/>
              <w:rPr>
                <w:rFonts w:ascii="Arial" w:hAnsi="Arial" w:cs="Times New Roman"/>
                <w:sz w:val="22"/>
                <w:lang w:val="en-US"/>
              </w:rPr>
            </w:pPr>
            <w:r w:rsidRPr="00036788">
              <w:rPr>
                <w:rFonts w:ascii="Arial" w:hAnsi="Arial" w:cs="Times New Roman"/>
                <w:sz w:val="22"/>
                <w:lang w:val="en-US"/>
              </w:rPr>
              <w:t>A lot</w:t>
            </w:r>
          </w:p>
        </w:tc>
      </w:tr>
    </w:tbl>
    <w:p w14:paraId="7E32E580" w14:textId="77777777" w:rsidR="00036788" w:rsidRPr="00036788" w:rsidRDefault="00036788" w:rsidP="00036788">
      <w:pPr>
        <w:spacing w:after="0" w:line="276" w:lineRule="auto"/>
        <w:jc w:val="left"/>
        <w:rPr>
          <w:rFonts w:ascii="Arial" w:eastAsia="Times New Roman" w:hAnsi="Arial" w:cs="Times New Roman"/>
          <w:sz w:val="22"/>
          <w:lang w:val="en-US"/>
        </w:rPr>
      </w:pPr>
    </w:p>
    <w:tbl>
      <w:tblPr>
        <w:tblStyle w:val="QSliderLabelsTable3"/>
        <w:tblW w:w="9576" w:type="auto"/>
        <w:tblInd w:w="0" w:type="dxa"/>
        <w:tblLook w:val="07E0" w:firstRow="1" w:lastRow="1" w:firstColumn="1" w:lastColumn="1" w:noHBand="1" w:noVBand="1"/>
      </w:tblPr>
      <w:tblGrid>
        <w:gridCol w:w="4788"/>
        <w:gridCol w:w="1197"/>
        <w:gridCol w:w="1197"/>
        <w:gridCol w:w="1197"/>
        <w:gridCol w:w="1197"/>
      </w:tblGrid>
      <w:tr w:rsidR="00036788" w:rsidRPr="00036788" w14:paraId="5F9BE572" w14:textId="77777777" w:rsidTr="005F7CE9">
        <w:tc>
          <w:tcPr>
            <w:tcW w:w="4788" w:type="dxa"/>
          </w:tcPr>
          <w:p w14:paraId="019B55F7" w14:textId="77777777" w:rsidR="00036788" w:rsidRPr="00036788" w:rsidRDefault="00036788" w:rsidP="00036788">
            <w:pPr>
              <w:spacing w:line="240" w:lineRule="auto"/>
              <w:jc w:val="center"/>
              <w:rPr>
                <w:rFonts w:ascii="Arial" w:hAnsi="Arial" w:cs="Times New Roman"/>
                <w:sz w:val="22"/>
                <w:lang w:val="en-US"/>
              </w:rPr>
            </w:pPr>
          </w:p>
        </w:tc>
        <w:tc>
          <w:tcPr>
            <w:tcW w:w="1197" w:type="dxa"/>
          </w:tcPr>
          <w:p w14:paraId="3F3D9EF3" w14:textId="77777777" w:rsidR="00036788" w:rsidRPr="00036788" w:rsidRDefault="00036788" w:rsidP="00036788">
            <w:pPr>
              <w:spacing w:line="240" w:lineRule="auto"/>
              <w:jc w:val="center"/>
              <w:rPr>
                <w:rFonts w:ascii="Arial" w:hAnsi="Arial" w:cs="Times New Roman"/>
                <w:sz w:val="22"/>
                <w:lang w:val="en-US"/>
              </w:rPr>
            </w:pPr>
            <w:r w:rsidRPr="00036788">
              <w:rPr>
                <w:rFonts w:ascii="Arial" w:hAnsi="Arial" w:cs="Times New Roman"/>
                <w:sz w:val="22"/>
                <w:lang w:val="en-US"/>
              </w:rPr>
              <w:t>1</w:t>
            </w:r>
          </w:p>
        </w:tc>
        <w:tc>
          <w:tcPr>
            <w:tcW w:w="1197" w:type="dxa"/>
          </w:tcPr>
          <w:p w14:paraId="3A07AF4A" w14:textId="77777777" w:rsidR="00036788" w:rsidRPr="00036788" w:rsidRDefault="00036788" w:rsidP="00036788">
            <w:pPr>
              <w:spacing w:line="240" w:lineRule="auto"/>
              <w:jc w:val="center"/>
              <w:rPr>
                <w:rFonts w:ascii="Arial" w:hAnsi="Arial" w:cs="Times New Roman"/>
                <w:sz w:val="22"/>
                <w:lang w:val="en-US"/>
              </w:rPr>
            </w:pPr>
            <w:r w:rsidRPr="00036788">
              <w:rPr>
                <w:rFonts w:ascii="Arial" w:hAnsi="Arial" w:cs="Times New Roman"/>
                <w:sz w:val="22"/>
                <w:lang w:val="en-US"/>
              </w:rPr>
              <w:t>2</w:t>
            </w:r>
          </w:p>
        </w:tc>
        <w:tc>
          <w:tcPr>
            <w:tcW w:w="1197" w:type="dxa"/>
          </w:tcPr>
          <w:p w14:paraId="53DC751C" w14:textId="77777777" w:rsidR="00036788" w:rsidRPr="00036788" w:rsidRDefault="00036788" w:rsidP="00036788">
            <w:pPr>
              <w:spacing w:line="240" w:lineRule="auto"/>
              <w:jc w:val="center"/>
              <w:rPr>
                <w:rFonts w:ascii="Arial" w:hAnsi="Arial" w:cs="Times New Roman"/>
                <w:sz w:val="22"/>
                <w:lang w:val="en-US"/>
              </w:rPr>
            </w:pPr>
            <w:r w:rsidRPr="00036788">
              <w:rPr>
                <w:rFonts w:ascii="Arial" w:hAnsi="Arial" w:cs="Times New Roman"/>
                <w:sz w:val="22"/>
                <w:lang w:val="en-US"/>
              </w:rPr>
              <w:t>3</w:t>
            </w:r>
          </w:p>
        </w:tc>
        <w:tc>
          <w:tcPr>
            <w:tcW w:w="1197" w:type="dxa"/>
          </w:tcPr>
          <w:p w14:paraId="4B859B19" w14:textId="77777777" w:rsidR="00036788" w:rsidRPr="00036788" w:rsidRDefault="00036788" w:rsidP="00036788">
            <w:pPr>
              <w:spacing w:line="240" w:lineRule="auto"/>
              <w:jc w:val="center"/>
              <w:rPr>
                <w:rFonts w:ascii="Arial" w:hAnsi="Arial" w:cs="Times New Roman"/>
                <w:sz w:val="22"/>
                <w:lang w:val="en-US"/>
              </w:rPr>
            </w:pPr>
            <w:r w:rsidRPr="00036788">
              <w:rPr>
                <w:rFonts w:ascii="Arial" w:hAnsi="Arial" w:cs="Times New Roman"/>
                <w:sz w:val="22"/>
                <w:lang w:val="en-US"/>
              </w:rPr>
              <w:t>4</w:t>
            </w:r>
          </w:p>
        </w:tc>
      </w:tr>
    </w:tbl>
    <w:p w14:paraId="7ABE3EAC" w14:textId="77777777" w:rsidR="00036788" w:rsidRPr="00036788" w:rsidRDefault="00036788" w:rsidP="00036788">
      <w:pPr>
        <w:spacing w:after="0" w:line="276" w:lineRule="auto"/>
        <w:jc w:val="left"/>
        <w:rPr>
          <w:rFonts w:ascii="Arial" w:eastAsia="Times New Roman" w:hAnsi="Arial" w:cs="Times New Roman"/>
          <w:sz w:val="22"/>
          <w:lang w:val="en-US"/>
        </w:rPr>
      </w:pPr>
    </w:p>
    <w:tbl>
      <w:tblPr>
        <w:tblStyle w:val="QStandardSliderTable4"/>
        <w:tblW w:w="9576" w:type="auto"/>
        <w:tblLook w:val="07E0" w:firstRow="1" w:lastRow="1" w:firstColumn="1" w:lastColumn="1" w:noHBand="1" w:noVBand="1"/>
      </w:tblPr>
      <w:tblGrid>
        <w:gridCol w:w="4788"/>
        <w:gridCol w:w="4788"/>
      </w:tblGrid>
      <w:tr w:rsidR="00036788" w:rsidRPr="00036788" w14:paraId="21B0D745" w14:textId="77777777" w:rsidTr="005F7CE9">
        <w:tc>
          <w:tcPr>
            <w:cnfStyle w:val="001000000000" w:firstRow="0" w:lastRow="0" w:firstColumn="1" w:lastColumn="0" w:oddVBand="0" w:evenVBand="0" w:oddHBand="0" w:evenHBand="0" w:firstRowFirstColumn="0" w:firstRowLastColumn="0" w:lastRowFirstColumn="0" w:lastRowLastColumn="0"/>
            <w:tcW w:w="4788" w:type="dxa"/>
          </w:tcPr>
          <w:p w14:paraId="6F773AC7" w14:textId="77777777" w:rsidR="00036788" w:rsidRPr="00036788" w:rsidRDefault="00036788" w:rsidP="00036788">
            <w:pPr>
              <w:keepNext/>
              <w:spacing w:line="240" w:lineRule="auto"/>
              <w:jc w:val="right"/>
              <w:rPr>
                <w:rFonts w:ascii="Arial" w:hAnsi="Arial" w:cs="Times New Roman"/>
                <w:sz w:val="22"/>
                <w:lang w:val="en-US"/>
              </w:rPr>
            </w:pPr>
            <w:r w:rsidRPr="00036788">
              <w:rPr>
                <w:rFonts w:ascii="Arial" w:hAnsi="Arial" w:cs="Times New Roman"/>
                <w:sz w:val="22"/>
                <w:lang w:val="en-US"/>
              </w:rPr>
              <w:t>  ()</w:t>
            </w:r>
          </w:p>
        </w:tc>
        <w:tc>
          <w:tcPr>
            <w:tcW w:w="4788" w:type="dxa"/>
          </w:tcPr>
          <w:p w14:paraId="4C16CC85" w14:textId="77777777" w:rsidR="00036788" w:rsidRPr="00036788" w:rsidRDefault="00036788" w:rsidP="00036788">
            <w:pPr>
              <w:keepNext/>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r w:rsidRPr="00036788">
              <w:rPr>
                <w:rFonts w:ascii="Arial" w:hAnsi="Arial" w:cs="Times New Roman"/>
                <w:noProof/>
                <w:sz w:val="22"/>
                <w:lang w:val="en-US"/>
              </w:rPr>
              <w:drawing>
                <wp:inline distT="0" distB="0" distL="0" distR="0" wp14:anchorId="5FBD512B" wp14:editId="7CDFD5FA">
                  <wp:extent cx="1905000" cy="304800"/>
                  <wp:effectExtent l="0" t="0" r="0" b="0"/>
                  <wp:docPr id="2115483562" name="WordSliderHorizont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WordSliderHorizontal.png"/>
                          <pic:cNvPicPr/>
                        </pic:nvPicPr>
                        <pic:blipFill>
                          <a:blip r:embed="rId71"/>
                          <a:stretch>
                            <a:fillRect/>
                          </a:stretch>
                        </pic:blipFill>
                        <pic:spPr>
                          <a:xfrm>
                            <a:off x="0" y="0"/>
                            <a:ext cx="1905000" cy="304800"/>
                          </a:xfrm>
                          <a:prstGeom prst="rect">
                            <a:avLst/>
                          </a:prstGeom>
                        </pic:spPr>
                      </pic:pic>
                    </a:graphicData>
                  </a:graphic>
                </wp:inline>
              </w:drawing>
            </w:r>
          </w:p>
        </w:tc>
      </w:tr>
    </w:tbl>
    <w:p w14:paraId="183F3A73" w14:textId="77777777" w:rsidR="00036788" w:rsidRPr="00036788" w:rsidRDefault="00036788" w:rsidP="00036788">
      <w:pPr>
        <w:spacing w:after="0" w:line="276" w:lineRule="auto"/>
        <w:jc w:val="left"/>
        <w:rPr>
          <w:rFonts w:ascii="Arial" w:eastAsia="Times New Roman" w:hAnsi="Arial" w:cs="Times New Roman"/>
          <w:sz w:val="22"/>
          <w:lang w:val="en-US"/>
        </w:rPr>
      </w:pPr>
    </w:p>
    <w:p w14:paraId="4CB21316" w14:textId="77777777" w:rsidR="00036788" w:rsidRPr="00036788" w:rsidRDefault="00036788" w:rsidP="00036788">
      <w:pPr>
        <w:spacing w:after="0" w:line="276" w:lineRule="auto"/>
        <w:jc w:val="left"/>
        <w:rPr>
          <w:rFonts w:ascii="Arial" w:eastAsia="Times New Roman" w:hAnsi="Arial" w:cs="Times New Roman"/>
          <w:sz w:val="22"/>
          <w:lang w:val="en-US"/>
        </w:rPr>
      </w:pPr>
    </w:p>
    <w:p w14:paraId="66930D81" w14:textId="77777777" w:rsidR="00036788" w:rsidRPr="00036788" w:rsidRDefault="00036788" w:rsidP="00036788">
      <w:pPr>
        <w:pBdr>
          <w:top w:val="dashed" w:sz="8" w:space="0" w:color="CCCCCC"/>
        </w:pBdr>
        <w:spacing w:before="120" w:after="120" w:line="120" w:lineRule="auto"/>
        <w:jc w:val="left"/>
        <w:rPr>
          <w:rFonts w:ascii="Arial" w:eastAsia="Times New Roman" w:hAnsi="Arial" w:cs="Times New Roman"/>
          <w:sz w:val="22"/>
          <w:lang w:val="en-US"/>
        </w:rPr>
      </w:pPr>
    </w:p>
    <w:p w14:paraId="3279F7E3" w14:textId="77777777" w:rsidR="00036788" w:rsidRPr="00036788" w:rsidRDefault="00036788" w:rsidP="00036788">
      <w:pPr>
        <w:spacing w:after="0" w:line="276" w:lineRule="auto"/>
        <w:jc w:val="left"/>
        <w:rPr>
          <w:rFonts w:ascii="Arial" w:eastAsia="Times New Roman" w:hAnsi="Arial" w:cs="Times New Roman"/>
          <w:sz w:val="22"/>
          <w:lang w:val="en-US"/>
        </w:rPr>
      </w:pPr>
    </w:p>
    <w:p w14:paraId="0C279A22" w14:textId="77777777" w:rsidR="00036788" w:rsidRPr="00036788" w:rsidRDefault="00036788" w:rsidP="00036788">
      <w:pPr>
        <w:keepNext/>
        <w:spacing w:after="0" w:line="276" w:lineRule="auto"/>
        <w:jc w:val="left"/>
        <w:rPr>
          <w:rFonts w:ascii="Arial" w:eastAsia="Times New Roman" w:hAnsi="Arial" w:cs="Times New Roman"/>
          <w:sz w:val="22"/>
          <w:lang w:val="en-US"/>
        </w:rPr>
      </w:pPr>
      <w:r w:rsidRPr="00036788">
        <w:rPr>
          <w:rFonts w:ascii="Arial" w:eastAsia="Times New Roman" w:hAnsi="Arial" w:cs="Times New Roman"/>
          <w:sz w:val="22"/>
          <w:lang w:val="en-US"/>
        </w:rPr>
        <w:t xml:space="preserve">How </w:t>
      </w:r>
      <w:proofErr w:type="spellStart"/>
      <w:r w:rsidRPr="00036788">
        <w:rPr>
          <w:rFonts w:ascii="Arial" w:eastAsia="Times New Roman" w:hAnsi="Arial" w:cs="Times New Roman"/>
          <w:sz w:val="22"/>
          <w:lang w:val="en-US"/>
        </w:rPr>
        <w:t>colourful</w:t>
      </w:r>
      <w:proofErr w:type="spellEnd"/>
      <w:r w:rsidRPr="00036788">
        <w:rPr>
          <w:rFonts w:ascii="Arial" w:eastAsia="Times New Roman" w:hAnsi="Arial" w:cs="Times New Roman"/>
          <w:sz w:val="22"/>
          <w:lang w:val="en-US"/>
        </w:rPr>
        <w:t xml:space="preserve"> would say the planting was?</w:t>
      </w:r>
    </w:p>
    <w:tbl>
      <w:tblPr>
        <w:tblStyle w:val="QSliderLabelsTable3"/>
        <w:tblW w:w="9576" w:type="auto"/>
        <w:tblInd w:w="0" w:type="dxa"/>
        <w:tblLook w:val="07E0" w:firstRow="1" w:lastRow="1" w:firstColumn="1" w:lastColumn="1" w:noHBand="1" w:noVBand="1"/>
      </w:tblPr>
      <w:tblGrid>
        <w:gridCol w:w="4788"/>
        <w:gridCol w:w="2394"/>
        <w:gridCol w:w="2394"/>
      </w:tblGrid>
      <w:tr w:rsidR="00036788" w:rsidRPr="00036788" w14:paraId="65001A6F" w14:textId="77777777" w:rsidTr="005F7CE9">
        <w:tc>
          <w:tcPr>
            <w:tcW w:w="4788" w:type="dxa"/>
          </w:tcPr>
          <w:p w14:paraId="6650B595" w14:textId="77777777" w:rsidR="00036788" w:rsidRPr="00036788" w:rsidRDefault="00036788" w:rsidP="00036788">
            <w:pPr>
              <w:keepNext/>
              <w:spacing w:line="240" w:lineRule="auto"/>
              <w:jc w:val="center"/>
              <w:rPr>
                <w:rFonts w:ascii="Arial" w:hAnsi="Arial" w:cs="Times New Roman"/>
                <w:sz w:val="22"/>
                <w:lang w:val="en-US"/>
              </w:rPr>
            </w:pPr>
          </w:p>
        </w:tc>
        <w:tc>
          <w:tcPr>
            <w:tcW w:w="2394" w:type="dxa"/>
          </w:tcPr>
          <w:p w14:paraId="41530DEA" w14:textId="77777777" w:rsidR="00036788" w:rsidRPr="00036788" w:rsidRDefault="00036788" w:rsidP="00036788">
            <w:pPr>
              <w:spacing w:line="240" w:lineRule="auto"/>
              <w:jc w:val="center"/>
              <w:rPr>
                <w:rFonts w:ascii="Arial" w:hAnsi="Arial" w:cs="Times New Roman"/>
                <w:sz w:val="22"/>
                <w:lang w:val="en-US"/>
              </w:rPr>
            </w:pPr>
            <w:r w:rsidRPr="00036788">
              <w:rPr>
                <w:rFonts w:ascii="Arial" w:hAnsi="Arial" w:cs="Times New Roman"/>
                <w:sz w:val="22"/>
                <w:lang w:val="en-US"/>
              </w:rPr>
              <w:t>Not very</w:t>
            </w:r>
          </w:p>
        </w:tc>
        <w:tc>
          <w:tcPr>
            <w:tcW w:w="2394" w:type="dxa"/>
          </w:tcPr>
          <w:p w14:paraId="2A499C5B" w14:textId="77777777" w:rsidR="00036788" w:rsidRPr="00036788" w:rsidRDefault="00036788" w:rsidP="00036788">
            <w:pPr>
              <w:spacing w:line="240" w:lineRule="auto"/>
              <w:jc w:val="center"/>
              <w:rPr>
                <w:rFonts w:ascii="Arial" w:hAnsi="Arial" w:cs="Times New Roman"/>
                <w:sz w:val="22"/>
                <w:lang w:val="en-US"/>
              </w:rPr>
            </w:pPr>
            <w:r w:rsidRPr="00036788">
              <w:rPr>
                <w:rFonts w:ascii="Arial" w:hAnsi="Arial" w:cs="Times New Roman"/>
                <w:sz w:val="22"/>
                <w:lang w:val="en-US"/>
              </w:rPr>
              <w:t>Very</w:t>
            </w:r>
          </w:p>
        </w:tc>
      </w:tr>
    </w:tbl>
    <w:p w14:paraId="50030A30" w14:textId="77777777" w:rsidR="00036788" w:rsidRPr="00036788" w:rsidRDefault="00036788" w:rsidP="00036788">
      <w:pPr>
        <w:spacing w:after="0" w:line="276" w:lineRule="auto"/>
        <w:jc w:val="left"/>
        <w:rPr>
          <w:rFonts w:ascii="Arial" w:eastAsia="Times New Roman" w:hAnsi="Arial" w:cs="Times New Roman"/>
          <w:sz w:val="22"/>
          <w:lang w:val="en-US"/>
        </w:rPr>
      </w:pPr>
    </w:p>
    <w:tbl>
      <w:tblPr>
        <w:tblStyle w:val="QSliderLabelsTable3"/>
        <w:tblW w:w="9576" w:type="auto"/>
        <w:tblInd w:w="0" w:type="dxa"/>
        <w:tblLook w:val="07E0" w:firstRow="1" w:lastRow="1" w:firstColumn="1" w:lastColumn="1" w:noHBand="1" w:noVBand="1"/>
      </w:tblPr>
      <w:tblGrid>
        <w:gridCol w:w="4788"/>
        <w:gridCol w:w="1197"/>
        <w:gridCol w:w="1197"/>
        <w:gridCol w:w="1197"/>
        <w:gridCol w:w="1197"/>
      </w:tblGrid>
      <w:tr w:rsidR="00036788" w:rsidRPr="00036788" w14:paraId="3E4DF7E5" w14:textId="77777777" w:rsidTr="005F7CE9">
        <w:tc>
          <w:tcPr>
            <w:tcW w:w="4788" w:type="dxa"/>
          </w:tcPr>
          <w:p w14:paraId="1FAAA290" w14:textId="77777777" w:rsidR="00036788" w:rsidRPr="00036788" w:rsidRDefault="00036788" w:rsidP="00036788">
            <w:pPr>
              <w:spacing w:line="240" w:lineRule="auto"/>
              <w:jc w:val="center"/>
              <w:rPr>
                <w:rFonts w:ascii="Arial" w:hAnsi="Arial" w:cs="Times New Roman"/>
                <w:sz w:val="22"/>
                <w:lang w:val="en-US"/>
              </w:rPr>
            </w:pPr>
          </w:p>
        </w:tc>
        <w:tc>
          <w:tcPr>
            <w:tcW w:w="1197" w:type="dxa"/>
          </w:tcPr>
          <w:p w14:paraId="702B40F5" w14:textId="77777777" w:rsidR="00036788" w:rsidRPr="00036788" w:rsidRDefault="00036788" w:rsidP="00036788">
            <w:pPr>
              <w:spacing w:line="240" w:lineRule="auto"/>
              <w:jc w:val="center"/>
              <w:rPr>
                <w:rFonts w:ascii="Arial" w:hAnsi="Arial" w:cs="Times New Roman"/>
                <w:sz w:val="22"/>
                <w:lang w:val="en-US"/>
              </w:rPr>
            </w:pPr>
            <w:r w:rsidRPr="00036788">
              <w:rPr>
                <w:rFonts w:ascii="Arial" w:hAnsi="Arial" w:cs="Times New Roman"/>
                <w:sz w:val="22"/>
                <w:lang w:val="en-US"/>
              </w:rPr>
              <w:t>1</w:t>
            </w:r>
          </w:p>
        </w:tc>
        <w:tc>
          <w:tcPr>
            <w:tcW w:w="1197" w:type="dxa"/>
          </w:tcPr>
          <w:p w14:paraId="4667DE41" w14:textId="77777777" w:rsidR="00036788" w:rsidRPr="00036788" w:rsidRDefault="00036788" w:rsidP="00036788">
            <w:pPr>
              <w:spacing w:line="240" w:lineRule="auto"/>
              <w:jc w:val="center"/>
              <w:rPr>
                <w:rFonts w:ascii="Arial" w:hAnsi="Arial" w:cs="Times New Roman"/>
                <w:sz w:val="22"/>
                <w:lang w:val="en-US"/>
              </w:rPr>
            </w:pPr>
            <w:r w:rsidRPr="00036788">
              <w:rPr>
                <w:rFonts w:ascii="Arial" w:hAnsi="Arial" w:cs="Times New Roman"/>
                <w:sz w:val="22"/>
                <w:lang w:val="en-US"/>
              </w:rPr>
              <w:t>2</w:t>
            </w:r>
          </w:p>
        </w:tc>
        <w:tc>
          <w:tcPr>
            <w:tcW w:w="1197" w:type="dxa"/>
          </w:tcPr>
          <w:p w14:paraId="19C64925" w14:textId="77777777" w:rsidR="00036788" w:rsidRPr="00036788" w:rsidRDefault="00036788" w:rsidP="00036788">
            <w:pPr>
              <w:spacing w:line="240" w:lineRule="auto"/>
              <w:jc w:val="center"/>
              <w:rPr>
                <w:rFonts w:ascii="Arial" w:hAnsi="Arial" w:cs="Times New Roman"/>
                <w:sz w:val="22"/>
                <w:lang w:val="en-US"/>
              </w:rPr>
            </w:pPr>
            <w:r w:rsidRPr="00036788">
              <w:rPr>
                <w:rFonts w:ascii="Arial" w:hAnsi="Arial" w:cs="Times New Roman"/>
                <w:sz w:val="22"/>
                <w:lang w:val="en-US"/>
              </w:rPr>
              <w:t>3</w:t>
            </w:r>
          </w:p>
        </w:tc>
        <w:tc>
          <w:tcPr>
            <w:tcW w:w="1197" w:type="dxa"/>
          </w:tcPr>
          <w:p w14:paraId="66F0C8A3" w14:textId="77777777" w:rsidR="00036788" w:rsidRPr="00036788" w:rsidRDefault="00036788" w:rsidP="00036788">
            <w:pPr>
              <w:spacing w:line="240" w:lineRule="auto"/>
              <w:jc w:val="center"/>
              <w:rPr>
                <w:rFonts w:ascii="Arial" w:hAnsi="Arial" w:cs="Times New Roman"/>
                <w:sz w:val="22"/>
                <w:lang w:val="en-US"/>
              </w:rPr>
            </w:pPr>
            <w:r w:rsidRPr="00036788">
              <w:rPr>
                <w:rFonts w:ascii="Arial" w:hAnsi="Arial" w:cs="Times New Roman"/>
                <w:sz w:val="22"/>
                <w:lang w:val="en-US"/>
              </w:rPr>
              <w:t>4</w:t>
            </w:r>
          </w:p>
        </w:tc>
      </w:tr>
    </w:tbl>
    <w:p w14:paraId="502BEE7F" w14:textId="77777777" w:rsidR="00036788" w:rsidRPr="00036788" w:rsidRDefault="00036788" w:rsidP="00036788">
      <w:pPr>
        <w:spacing w:after="0" w:line="276" w:lineRule="auto"/>
        <w:jc w:val="left"/>
        <w:rPr>
          <w:rFonts w:ascii="Arial" w:eastAsia="Times New Roman" w:hAnsi="Arial" w:cs="Times New Roman"/>
          <w:sz w:val="22"/>
          <w:lang w:val="en-US"/>
        </w:rPr>
      </w:pPr>
    </w:p>
    <w:tbl>
      <w:tblPr>
        <w:tblStyle w:val="QStandardSliderTable4"/>
        <w:tblW w:w="9576" w:type="auto"/>
        <w:tblLook w:val="07E0" w:firstRow="1" w:lastRow="1" w:firstColumn="1" w:lastColumn="1" w:noHBand="1" w:noVBand="1"/>
      </w:tblPr>
      <w:tblGrid>
        <w:gridCol w:w="4788"/>
        <w:gridCol w:w="4788"/>
      </w:tblGrid>
      <w:tr w:rsidR="00036788" w:rsidRPr="00036788" w14:paraId="200660AC" w14:textId="77777777" w:rsidTr="005F7CE9">
        <w:tc>
          <w:tcPr>
            <w:cnfStyle w:val="001000000000" w:firstRow="0" w:lastRow="0" w:firstColumn="1" w:lastColumn="0" w:oddVBand="0" w:evenVBand="0" w:oddHBand="0" w:evenHBand="0" w:firstRowFirstColumn="0" w:firstRowLastColumn="0" w:lastRowFirstColumn="0" w:lastRowLastColumn="0"/>
            <w:tcW w:w="4788" w:type="dxa"/>
          </w:tcPr>
          <w:p w14:paraId="406963F7" w14:textId="77777777" w:rsidR="00036788" w:rsidRPr="00036788" w:rsidRDefault="00036788" w:rsidP="00036788">
            <w:pPr>
              <w:keepNext/>
              <w:spacing w:line="240" w:lineRule="auto"/>
              <w:jc w:val="right"/>
              <w:rPr>
                <w:rFonts w:ascii="Arial" w:hAnsi="Arial" w:cs="Times New Roman"/>
                <w:sz w:val="22"/>
                <w:lang w:val="en-US"/>
              </w:rPr>
            </w:pPr>
            <w:r w:rsidRPr="00036788">
              <w:rPr>
                <w:rFonts w:ascii="Arial" w:hAnsi="Arial" w:cs="Times New Roman"/>
                <w:sz w:val="22"/>
                <w:lang w:val="en-US"/>
              </w:rPr>
              <w:t>  ()</w:t>
            </w:r>
          </w:p>
        </w:tc>
        <w:tc>
          <w:tcPr>
            <w:tcW w:w="4788" w:type="dxa"/>
          </w:tcPr>
          <w:p w14:paraId="262CCECD" w14:textId="77777777" w:rsidR="00036788" w:rsidRPr="00036788" w:rsidRDefault="00036788" w:rsidP="00036788">
            <w:pPr>
              <w:keepNext/>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r w:rsidRPr="00036788">
              <w:rPr>
                <w:rFonts w:ascii="Arial" w:hAnsi="Arial" w:cs="Times New Roman"/>
                <w:noProof/>
                <w:sz w:val="22"/>
                <w:lang w:val="en-US"/>
              </w:rPr>
              <w:drawing>
                <wp:inline distT="0" distB="0" distL="0" distR="0" wp14:anchorId="3220E596" wp14:editId="33147872">
                  <wp:extent cx="1905000" cy="304800"/>
                  <wp:effectExtent l="0" t="0" r="0" b="0"/>
                  <wp:docPr id="18" name="WordSliderHorizont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WordSliderHorizontal.png"/>
                          <pic:cNvPicPr/>
                        </pic:nvPicPr>
                        <pic:blipFill>
                          <a:blip r:embed="rId71"/>
                          <a:stretch>
                            <a:fillRect/>
                          </a:stretch>
                        </pic:blipFill>
                        <pic:spPr>
                          <a:xfrm>
                            <a:off x="0" y="0"/>
                            <a:ext cx="1905000" cy="304800"/>
                          </a:xfrm>
                          <a:prstGeom prst="rect">
                            <a:avLst/>
                          </a:prstGeom>
                        </pic:spPr>
                      </pic:pic>
                    </a:graphicData>
                  </a:graphic>
                </wp:inline>
              </w:drawing>
            </w:r>
          </w:p>
        </w:tc>
      </w:tr>
    </w:tbl>
    <w:p w14:paraId="2FB763ED" w14:textId="77777777" w:rsidR="00036788" w:rsidRPr="00036788" w:rsidRDefault="00036788" w:rsidP="00036788">
      <w:pPr>
        <w:spacing w:after="0" w:line="276" w:lineRule="auto"/>
        <w:jc w:val="left"/>
        <w:rPr>
          <w:rFonts w:ascii="Arial" w:eastAsia="Times New Roman" w:hAnsi="Arial" w:cs="Times New Roman"/>
          <w:sz w:val="22"/>
          <w:lang w:val="en-US"/>
        </w:rPr>
      </w:pPr>
    </w:p>
    <w:p w14:paraId="298152D7" w14:textId="77777777" w:rsidR="00036788" w:rsidRPr="00036788" w:rsidRDefault="00036788" w:rsidP="00036788">
      <w:pPr>
        <w:spacing w:after="0" w:line="276" w:lineRule="auto"/>
        <w:jc w:val="left"/>
        <w:rPr>
          <w:rFonts w:ascii="Arial" w:eastAsia="Times New Roman" w:hAnsi="Arial" w:cs="Times New Roman"/>
          <w:sz w:val="22"/>
          <w:lang w:val="en-US"/>
        </w:rPr>
      </w:pPr>
    </w:p>
    <w:p w14:paraId="6153D07B" w14:textId="77777777" w:rsidR="00036788" w:rsidRPr="00036788" w:rsidRDefault="00036788" w:rsidP="00036788">
      <w:pPr>
        <w:spacing w:before="120" w:after="0" w:line="240" w:lineRule="auto"/>
        <w:jc w:val="left"/>
        <w:rPr>
          <w:rFonts w:ascii="Arial" w:eastAsia="Times New Roman" w:hAnsi="Arial" w:cs="Times New Roman"/>
          <w:b/>
          <w:color w:val="CCCCCC"/>
          <w:sz w:val="22"/>
          <w:lang w:val="en-US"/>
        </w:rPr>
      </w:pPr>
      <w:r w:rsidRPr="00036788">
        <w:rPr>
          <w:rFonts w:ascii="Arial" w:eastAsia="Times New Roman" w:hAnsi="Arial" w:cs="Times New Roman"/>
          <w:b/>
          <w:color w:val="CCCCCC"/>
          <w:sz w:val="22"/>
          <w:lang w:val="en-US"/>
        </w:rPr>
        <w:t>End of Block: PanasX_Experiment_2&amp;4_post</w:t>
      </w:r>
    </w:p>
    <w:p w14:paraId="6771D85F" w14:textId="77777777" w:rsidR="00036788" w:rsidRPr="00036788" w:rsidRDefault="00036788" w:rsidP="00036788">
      <w:pPr>
        <w:pBdr>
          <w:bottom w:val="single" w:sz="8" w:space="0" w:color="CCCCCC"/>
        </w:pBdr>
        <w:spacing w:after="0" w:line="120" w:lineRule="auto"/>
        <w:jc w:val="center"/>
        <w:rPr>
          <w:rFonts w:ascii="Arial" w:eastAsia="Times New Roman" w:hAnsi="Arial" w:cs="Times New Roman"/>
          <w:b/>
          <w:color w:val="CCCCCC"/>
          <w:sz w:val="22"/>
          <w:lang w:val="en-US"/>
        </w:rPr>
      </w:pPr>
    </w:p>
    <w:p w14:paraId="15869E9D" w14:textId="77777777" w:rsidR="00036788" w:rsidRPr="00036788" w:rsidRDefault="00036788" w:rsidP="00036788">
      <w:pPr>
        <w:spacing w:before="120" w:after="120" w:line="240" w:lineRule="auto"/>
        <w:jc w:val="left"/>
        <w:rPr>
          <w:rFonts w:ascii="Arial" w:eastAsia="Times New Roman" w:hAnsi="Arial" w:cs="Times New Roman"/>
          <w:b/>
          <w:color w:val="CCCCCC"/>
          <w:sz w:val="22"/>
          <w:lang w:val="en-US"/>
        </w:rPr>
      </w:pPr>
      <w:r w:rsidRPr="00036788">
        <w:rPr>
          <w:rFonts w:ascii="Arial" w:eastAsia="Times New Roman" w:hAnsi="Arial" w:cs="Times New Roman"/>
          <w:b/>
          <w:color w:val="CCCCCC"/>
          <w:sz w:val="22"/>
          <w:lang w:val="en-US"/>
        </w:rPr>
        <w:t>Start of Block: Debrief Experiment_2&amp;4</w:t>
      </w:r>
    </w:p>
    <w:p w14:paraId="687FA84D" w14:textId="77777777" w:rsidR="00036788" w:rsidRPr="00036788" w:rsidRDefault="00036788" w:rsidP="00036788">
      <w:pPr>
        <w:spacing w:after="0" w:line="276" w:lineRule="auto"/>
        <w:jc w:val="left"/>
        <w:rPr>
          <w:rFonts w:ascii="Arial" w:eastAsia="Times New Roman" w:hAnsi="Arial" w:cs="Times New Roman"/>
          <w:sz w:val="22"/>
          <w:lang w:val="en-US"/>
        </w:rPr>
      </w:pPr>
    </w:p>
    <w:p w14:paraId="046885D1" w14:textId="0A29E75B" w:rsidR="00036788" w:rsidRPr="00036788" w:rsidRDefault="00036788" w:rsidP="00036788">
      <w:pPr>
        <w:keepNext/>
        <w:spacing w:after="0" w:line="276" w:lineRule="auto"/>
        <w:jc w:val="left"/>
        <w:rPr>
          <w:rFonts w:ascii="Arial" w:eastAsia="Times New Roman" w:hAnsi="Arial" w:cs="Times New Roman"/>
          <w:sz w:val="22"/>
          <w:lang w:val="en-US"/>
        </w:rPr>
      </w:pPr>
      <w:r w:rsidRPr="00036788">
        <w:rPr>
          <w:rFonts w:ascii="Arial" w:eastAsia="Times New Roman" w:hAnsi="Arial" w:cs="Times New Roman"/>
          <w:sz w:val="22"/>
          <w:lang w:val="en-US"/>
        </w:rPr>
        <w:br/>
        <w:t xml:space="preserve">Thank you again for taking part in the research! This page will tell you what the survey was about.  </w:t>
      </w:r>
      <w:r w:rsidRPr="00036788">
        <w:rPr>
          <w:rFonts w:ascii="Arial" w:eastAsia="Times New Roman" w:hAnsi="Arial" w:cs="Times New Roman"/>
          <w:sz w:val="22"/>
          <w:lang w:val="en-US"/>
        </w:rPr>
        <w:br/>
        <w:t>  We could not tell you much of this before the survey. It could have biased your responses.</w:t>
      </w:r>
      <w:r w:rsidRPr="00036788">
        <w:rPr>
          <w:rFonts w:ascii="Arial" w:eastAsia="Times New Roman" w:hAnsi="Arial" w:cs="Times New Roman"/>
          <w:sz w:val="22"/>
          <w:lang w:val="en-US"/>
        </w:rPr>
        <w:br/>
        <w:t xml:space="preserve"> This experiment focused on </w:t>
      </w:r>
      <w:proofErr w:type="spellStart"/>
      <w:r w:rsidRPr="00036788">
        <w:rPr>
          <w:rFonts w:ascii="Arial" w:eastAsia="Times New Roman" w:hAnsi="Arial" w:cs="Times New Roman"/>
          <w:b/>
          <w:sz w:val="22"/>
          <w:lang w:val="en-US"/>
        </w:rPr>
        <w:t>Colour</w:t>
      </w:r>
      <w:proofErr w:type="spellEnd"/>
      <w:r w:rsidRPr="00036788">
        <w:rPr>
          <w:rFonts w:ascii="Arial" w:eastAsia="Times New Roman" w:hAnsi="Arial" w:cs="Times New Roman"/>
          <w:b/>
          <w:sz w:val="22"/>
          <w:lang w:val="en-US"/>
        </w:rPr>
        <w:t xml:space="preserve"> Diversity</w:t>
      </w:r>
      <w:r w:rsidRPr="00036788">
        <w:rPr>
          <w:rFonts w:ascii="Arial" w:eastAsia="Times New Roman" w:hAnsi="Arial" w:cs="Times New Roman"/>
          <w:sz w:val="22"/>
          <w:lang w:val="en-US"/>
        </w:rPr>
        <w:t xml:space="preserve"> and </w:t>
      </w:r>
      <w:r w:rsidRPr="00036788">
        <w:rPr>
          <w:rFonts w:ascii="Arial" w:eastAsia="Times New Roman" w:hAnsi="Arial" w:cs="Times New Roman"/>
          <w:b/>
          <w:sz w:val="22"/>
          <w:lang w:val="en-US"/>
        </w:rPr>
        <w:t>Biodiversity</w:t>
      </w:r>
      <w:r w:rsidRPr="00036788">
        <w:rPr>
          <w:rFonts w:ascii="Arial" w:eastAsia="Times New Roman" w:hAnsi="Arial" w:cs="Times New Roman"/>
          <w:sz w:val="22"/>
          <w:lang w:val="en-US"/>
        </w:rPr>
        <w:t xml:space="preserve"> (the variety of plants, animals and living beings in a certain place).</w:t>
      </w:r>
      <w:r w:rsidRPr="00036788">
        <w:rPr>
          <w:rFonts w:ascii="Arial" w:eastAsia="Times New Roman" w:hAnsi="Arial" w:cs="Times New Roman"/>
          <w:sz w:val="22"/>
          <w:lang w:val="en-US"/>
        </w:rPr>
        <w:br/>
        <w:t xml:space="preserve"> </w:t>
      </w:r>
      <w:r w:rsidRPr="00036788">
        <w:rPr>
          <w:rFonts w:ascii="Arial" w:eastAsia="Times New Roman" w:hAnsi="Arial" w:cs="Times New Roman"/>
          <w:sz w:val="22"/>
          <w:lang w:val="en-US"/>
        </w:rPr>
        <w:br/>
        <w:t xml:space="preserve"> Previous research suggested that urban green spaces with diverse and </w:t>
      </w:r>
      <w:proofErr w:type="spellStart"/>
      <w:r w:rsidRPr="00036788">
        <w:rPr>
          <w:rFonts w:ascii="Arial" w:eastAsia="Times New Roman" w:hAnsi="Arial" w:cs="Times New Roman"/>
          <w:sz w:val="22"/>
          <w:lang w:val="en-US"/>
        </w:rPr>
        <w:t>colourful</w:t>
      </w:r>
      <w:proofErr w:type="spellEnd"/>
      <w:r w:rsidRPr="00036788">
        <w:rPr>
          <w:rFonts w:ascii="Arial" w:eastAsia="Times New Roman" w:hAnsi="Arial" w:cs="Times New Roman"/>
          <w:sz w:val="22"/>
          <w:lang w:val="en-US"/>
        </w:rPr>
        <w:t xml:space="preserve"> planting could improve our mental health. This occurs in many ways. Reducing stress, improving mood, promoting social interactions and physical activity.</w:t>
      </w:r>
      <w:r w:rsidRPr="00036788">
        <w:rPr>
          <w:rFonts w:ascii="Arial" w:eastAsia="Times New Roman" w:hAnsi="Arial" w:cs="Times New Roman"/>
          <w:sz w:val="22"/>
          <w:lang w:val="en-US"/>
        </w:rPr>
        <w:br/>
        <w:t xml:space="preserve"> </w:t>
      </w:r>
      <w:r w:rsidRPr="00036788">
        <w:rPr>
          <w:rFonts w:ascii="Arial" w:eastAsia="Times New Roman" w:hAnsi="Arial" w:cs="Times New Roman"/>
          <w:sz w:val="22"/>
          <w:lang w:val="en-US"/>
        </w:rPr>
        <w:br/>
        <w:t xml:space="preserve"> In this experiment, we tested the effect of biodiversity and </w:t>
      </w:r>
      <w:proofErr w:type="spellStart"/>
      <w:r w:rsidRPr="00036788">
        <w:rPr>
          <w:rFonts w:ascii="Arial" w:eastAsia="Times New Roman" w:hAnsi="Arial" w:cs="Times New Roman"/>
          <w:sz w:val="22"/>
          <w:lang w:val="en-US"/>
        </w:rPr>
        <w:t>colour</w:t>
      </w:r>
      <w:proofErr w:type="spellEnd"/>
      <w:r w:rsidRPr="00036788">
        <w:rPr>
          <w:rFonts w:ascii="Arial" w:eastAsia="Times New Roman" w:hAnsi="Arial" w:cs="Times New Roman"/>
          <w:sz w:val="22"/>
          <w:lang w:val="en-US"/>
        </w:rPr>
        <w:t xml:space="preserve"> diversity on your </w:t>
      </w:r>
      <w:r w:rsidRPr="00036788">
        <w:rPr>
          <w:rFonts w:ascii="Arial" w:eastAsia="Times New Roman" w:hAnsi="Arial" w:cs="Times New Roman"/>
          <w:b/>
          <w:sz w:val="22"/>
          <w:lang w:val="en-US"/>
        </w:rPr>
        <w:t>emotional state</w:t>
      </w:r>
      <w:r w:rsidRPr="00036788">
        <w:rPr>
          <w:rFonts w:ascii="Arial" w:eastAsia="Times New Roman" w:hAnsi="Arial" w:cs="Times New Roman"/>
          <w:sz w:val="22"/>
          <w:lang w:val="en-US"/>
        </w:rPr>
        <w:t xml:space="preserve">, which is linked to both stress and mood. Taking a small city park in Manchester as the template, we designed four different parks varying at different levels of </w:t>
      </w:r>
      <w:proofErr w:type="spellStart"/>
      <w:r w:rsidRPr="00036788">
        <w:rPr>
          <w:rFonts w:ascii="Arial" w:eastAsia="Times New Roman" w:hAnsi="Arial" w:cs="Times New Roman"/>
          <w:sz w:val="22"/>
          <w:lang w:val="en-US"/>
        </w:rPr>
        <w:t>colour</w:t>
      </w:r>
      <w:proofErr w:type="spellEnd"/>
      <w:r w:rsidRPr="00036788">
        <w:rPr>
          <w:rFonts w:ascii="Arial" w:eastAsia="Times New Roman" w:hAnsi="Arial" w:cs="Times New Roman"/>
          <w:sz w:val="22"/>
          <w:lang w:val="en-US"/>
        </w:rPr>
        <w:t xml:space="preserve"> and species diversity.</w:t>
      </w:r>
      <w:r w:rsidRPr="00036788">
        <w:rPr>
          <w:rFonts w:ascii="Arial" w:eastAsia="Times New Roman" w:hAnsi="Arial" w:cs="Times New Roman"/>
          <w:sz w:val="22"/>
          <w:lang w:val="en-US"/>
        </w:rPr>
        <w:br/>
        <w:t xml:space="preserve"> </w:t>
      </w:r>
      <w:r w:rsidRPr="00036788">
        <w:rPr>
          <w:rFonts w:ascii="Arial" w:eastAsia="Times New Roman" w:hAnsi="Arial" w:cs="Times New Roman"/>
          <w:sz w:val="22"/>
          <w:lang w:val="en-US"/>
        </w:rPr>
        <w:br/>
        <w:t xml:space="preserve"> Each participant was assigned to one park.</w:t>
      </w:r>
      <w:r w:rsidRPr="00036788">
        <w:rPr>
          <w:rFonts w:ascii="Arial" w:eastAsia="Times New Roman" w:hAnsi="Arial" w:cs="Times New Roman"/>
          <w:sz w:val="22"/>
          <w:lang w:val="en-US"/>
        </w:rPr>
        <w:br/>
        <w:t xml:space="preserve"> By comparing the responses to the different settings, we want to observe which level (if any) of </w:t>
      </w:r>
      <w:proofErr w:type="spellStart"/>
      <w:r w:rsidRPr="00036788">
        <w:rPr>
          <w:rFonts w:ascii="Arial" w:eastAsia="Times New Roman" w:hAnsi="Arial" w:cs="Times New Roman"/>
          <w:sz w:val="22"/>
          <w:lang w:val="en-US"/>
        </w:rPr>
        <w:t>colours</w:t>
      </w:r>
      <w:proofErr w:type="spellEnd"/>
      <w:r w:rsidRPr="00036788">
        <w:rPr>
          <w:rFonts w:ascii="Arial" w:eastAsia="Times New Roman" w:hAnsi="Arial" w:cs="Times New Roman"/>
          <w:sz w:val="22"/>
          <w:lang w:val="en-US"/>
        </w:rPr>
        <w:t xml:space="preserve">/biodiversity was the best in helping you </w:t>
      </w:r>
      <w:r w:rsidRPr="00036788">
        <w:rPr>
          <w:rFonts w:ascii="Arial" w:eastAsia="Times New Roman" w:hAnsi="Arial" w:cs="Times New Roman"/>
          <w:b/>
          <w:sz w:val="22"/>
          <w:lang w:val="en-US"/>
        </w:rPr>
        <w:t xml:space="preserve">relax </w:t>
      </w:r>
      <w:r w:rsidRPr="00036788">
        <w:rPr>
          <w:rFonts w:ascii="Arial" w:eastAsia="Times New Roman" w:hAnsi="Arial" w:cs="Times New Roman"/>
          <w:sz w:val="22"/>
          <w:lang w:val="en-US"/>
        </w:rPr>
        <w:t>after the stressor.</w:t>
      </w:r>
    </w:p>
    <w:p w14:paraId="38E24F5C" w14:textId="77777777" w:rsidR="00036788" w:rsidRPr="00036788" w:rsidRDefault="00036788" w:rsidP="00036788">
      <w:pPr>
        <w:spacing w:after="0" w:line="276" w:lineRule="auto"/>
        <w:jc w:val="left"/>
        <w:rPr>
          <w:rFonts w:ascii="Arial" w:eastAsia="Times New Roman" w:hAnsi="Arial" w:cs="Times New Roman"/>
          <w:sz w:val="22"/>
          <w:lang w:val="en-US"/>
        </w:rPr>
      </w:pPr>
    </w:p>
    <w:p w14:paraId="5D0B4B3F" w14:textId="77777777" w:rsidR="00036788" w:rsidRPr="00036788" w:rsidRDefault="00036788" w:rsidP="00036788">
      <w:pPr>
        <w:spacing w:before="120" w:after="0" w:line="240" w:lineRule="auto"/>
        <w:jc w:val="left"/>
        <w:rPr>
          <w:rFonts w:ascii="Arial" w:eastAsia="Times New Roman" w:hAnsi="Arial" w:cs="Times New Roman"/>
          <w:b/>
          <w:color w:val="CCCCCC"/>
          <w:sz w:val="22"/>
          <w:lang w:val="en-US"/>
        </w:rPr>
      </w:pPr>
      <w:r w:rsidRPr="00036788">
        <w:rPr>
          <w:rFonts w:ascii="Arial" w:eastAsia="Times New Roman" w:hAnsi="Arial" w:cs="Times New Roman"/>
          <w:b/>
          <w:color w:val="CCCCCC"/>
          <w:sz w:val="22"/>
          <w:lang w:val="en-US"/>
        </w:rPr>
        <w:t>End of Block: Debrief Experiment_2&amp;4</w:t>
      </w:r>
    </w:p>
    <w:p w14:paraId="201766FF" w14:textId="77777777" w:rsidR="00036788" w:rsidRDefault="00036788">
      <w:pPr>
        <w:spacing w:line="259" w:lineRule="auto"/>
        <w:jc w:val="left"/>
        <w:rPr>
          <w:rFonts w:eastAsiaTheme="majorEastAsia" w:cstheme="majorBidi"/>
          <w:b/>
          <w:sz w:val="36"/>
          <w:szCs w:val="26"/>
        </w:rPr>
      </w:pPr>
      <w:r>
        <w:br w:type="page"/>
      </w:r>
    </w:p>
    <w:p w14:paraId="4E71F9BD" w14:textId="474AEA9D" w:rsidR="008A18DA" w:rsidRDefault="0030377C" w:rsidP="0030377C">
      <w:pPr>
        <w:pStyle w:val="Heading2"/>
      </w:pPr>
      <w:bookmarkStart w:id="198" w:name="_Toc179962434"/>
      <w:r w:rsidRPr="00C05886">
        <w:lastRenderedPageBreak/>
        <w:t>Chapter 7 – supporting information</w:t>
      </w:r>
      <w:bookmarkEnd w:id="198"/>
    </w:p>
    <w:p w14:paraId="0EC4F51D" w14:textId="0024C626" w:rsidR="003D468F" w:rsidRDefault="003D468F" w:rsidP="003D468F">
      <w:r>
        <w:t>Further statistical output</w:t>
      </w:r>
    </w:p>
    <w:p w14:paraId="0644A562" w14:textId="350C801B" w:rsidR="004A619B" w:rsidRDefault="004A619B" w:rsidP="005D7515">
      <w:pPr>
        <w:pStyle w:val="Caption"/>
        <w:keepNext/>
      </w:pPr>
      <w:r>
        <w:t>Table S</w:t>
      </w:r>
      <w:r>
        <w:fldChar w:fldCharType="begin"/>
      </w:r>
      <w:r>
        <w:instrText xml:space="preserve"> SEQ Table_S \* ARABIC </w:instrText>
      </w:r>
      <w:r>
        <w:fldChar w:fldCharType="separate"/>
      </w:r>
      <w:r>
        <w:rPr>
          <w:noProof/>
        </w:rPr>
        <w:t>1</w:t>
      </w:r>
      <w:r>
        <w:fldChar w:fldCharType="end"/>
      </w:r>
      <w:r>
        <w:t xml:space="preserve"> </w:t>
      </w:r>
      <w:r w:rsidRPr="00CB4B8B">
        <w:t xml:space="preserve">Statistical tests checking for differences in demographics between the </w:t>
      </w:r>
      <w:r>
        <w:t>park</w:t>
      </w:r>
      <w:r w:rsidRPr="00CB4B8B">
        <w:t xml:space="preserve"> groups</w:t>
      </w:r>
      <w:r>
        <w:t xml:space="preserve"> (online)</w:t>
      </w:r>
    </w:p>
    <w:tbl>
      <w:tblPr>
        <w:tblStyle w:val="TableGrid"/>
        <w:tblW w:w="9943" w:type="dxa"/>
        <w:tblLook w:val="04A0" w:firstRow="1" w:lastRow="0" w:firstColumn="1" w:lastColumn="0" w:noHBand="0" w:noVBand="1"/>
      </w:tblPr>
      <w:tblGrid>
        <w:gridCol w:w="2689"/>
        <w:gridCol w:w="1984"/>
        <w:gridCol w:w="709"/>
        <w:gridCol w:w="992"/>
        <w:gridCol w:w="1134"/>
        <w:gridCol w:w="1031"/>
        <w:gridCol w:w="1404"/>
      </w:tblGrid>
      <w:tr w:rsidR="003D468F" w14:paraId="78CBBAE3" w14:textId="77777777" w:rsidTr="00D53325">
        <w:trPr>
          <w:trHeight w:val="416"/>
        </w:trPr>
        <w:tc>
          <w:tcPr>
            <w:tcW w:w="2689" w:type="dxa"/>
          </w:tcPr>
          <w:p w14:paraId="0DFCE614" w14:textId="77777777" w:rsidR="003D468F" w:rsidRPr="00D91407" w:rsidRDefault="003D468F" w:rsidP="00D53325">
            <w:pPr>
              <w:spacing w:line="259" w:lineRule="auto"/>
              <w:jc w:val="left"/>
              <w:rPr>
                <w:b/>
                <w:bCs/>
                <w:sz w:val="20"/>
                <w:szCs w:val="20"/>
              </w:rPr>
            </w:pPr>
            <w:r w:rsidRPr="00D91407">
              <w:rPr>
                <w:b/>
                <w:bCs/>
                <w:sz w:val="20"/>
                <w:szCs w:val="20"/>
              </w:rPr>
              <w:t>Null Hypothesis</w:t>
            </w:r>
          </w:p>
        </w:tc>
        <w:tc>
          <w:tcPr>
            <w:tcW w:w="1984" w:type="dxa"/>
          </w:tcPr>
          <w:p w14:paraId="3A134BC2" w14:textId="77777777" w:rsidR="003D468F" w:rsidRPr="00D91407" w:rsidRDefault="003D468F" w:rsidP="00D53325">
            <w:pPr>
              <w:spacing w:line="259" w:lineRule="auto"/>
              <w:jc w:val="left"/>
              <w:rPr>
                <w:b/>
                <w:bCs/>
                <w:sz w:val="20"/>
                <w:szCs w:val="20"/>
              </w:rPr>
            </w:pPr>
            <w:r w:rsidRPr="00D91407">
              <w:rPr>
                <w:b/>
                <w:bCs/>
                <w:sz w:val="20"/>
                <w:szCs w:val="20"/>
              </w:rPr>
              <w:t>Test</w:t>
            </w:r>
          </w:p>
        </w:tc>
        <w:tc>
          <w:tcPr>
            <w:tcW w:w="709" w:type="dxa"/>
          </w:tcPr>
          <w:p w14:paraId="114E17B0" w14:textId="77777777" w:rsidR="003D468F" w:rsidRPr="00D91407" w:rsidRDefault="003D468F" w:rsidP="00D53325">
            <w:pPr>
              <w:spacing w:line="259" w:lineRule="auto"/>
              <w:jc w:val="left"/>
              <w:rPr>
                <w:b/>
                <w:bCs/>
                <w:sz w:val="20"/>
                <w:szCs w:val="20"/>
              </w:rPr>
            </w:pPr>
            <w:r w:rsidRPr="00D91407">
              <w:rPr>
                <w:b/>
                <w:bCs/>
                <w:sz w:val="20"/>
                <w:szCs w:val="20"/>
              </w:rPr>
              <w:t>N</w:t>
            </w:r>
          </w:p>
        </w:tc>
        <w:tc>
          <w:tcPr>
            <w:tcW w:w="992" w:type="dxa"/>
          </w:tcPr>
          <w:p w14:paraId="7BEF75FA" w14:textId="77777777" w:rsidR="003D468F" w:rsidRPr="00D91407" w:rsidRDefault="003D468F" w:rsidP="00D53325">
            <w:pPr>
              <w:spacing w:line="259" w:lineRule="auto"/>
              <w:jc w:val="left"/>
              <w:rPr>
                <w:b/>
                <w:bCs/>
                <w:sz w:val="20"/>
                <w:szCs w:val="20"/>
              </w:rPr>
            </w:pPr>
            <w:r w:rsidRPr="00D91407">
              <w:rPr>
                <w:b/>
                <w:bCs/>
                <w:sz w:val="20"/>
                <w:szCs w:val="20"/>
              </w:rPr>
              <w:t>Test statistic</w:t>
            </w:r>
          </w:p>
        </w:tc>
        <w:tc>
          <w:tcPr>
            <w:tcW w:w="1134" w:type="dxa"/>
          </w:tcPr>
          <w:p w14:paraId="2C8DFD1F" w14:textId="77777777" w:rsidR="003D468F" w:rsidRPr="00D91407" w:rsidRDefault="003D468F" w:rsidP="00D53325">
            <w:pPr>
              <w:spacing w:line="259" w:lineRule="auto"/>
              <w:jc w:val="left"/>
              <w:rPr>
                <w:b/>
                <w:bCs/>
                <w:sz w:val="20"/>
                <w:szCs w:val="20"/>
              </w:rPr>
            </w:pPr>
            <w:r w:rsidRPr="00D91407">
              <w:rPr>
                <w:b/>
                <w:bCs/>
                <w:sz w:val="20"/>
                <w:szCs w:val="20"/>
              </w:rPr>
              <w:t>Degrees of freedom</w:t>
            </w:r>
          </w:p>
        </w:tc>
        <w:tc>
          <w:tcPr>
            <w:tcW w:w="1031" w:type="dxa"/>
          </w:tcPr>
          <w:p w14:paraId="5E344721" w14:textId="77777777" w:rsidR="003D468F" w:rsidRDefault="003D468F" w:rsidP="00D53325">
            <w:pPr>
              <w:spacing w:line="259" w:lineRule="auto"/>
              <w:jc w:val="left"/>
              <w:rPr>
                <w:b/>
                <w:bCs/>
                <w:sz w:val="20"/>
                <w:szCs w:val="20"/>
              </w:rPr>
            </w:pPr>
            <w:r w:rsidRPr="00D91407">
              <w:rPr>
                <w:b/>
                <w:bCs/>
                <w:sz w:val="20"/>
                <w:szCs w:val="20"/>
              </w:rPr>
              <w:t xml:space="preserve">P-value </w:t>
            </w:r>
          </w:p>
          <w:p w14:paraId="1699B806" w14:textId="77777777" w:rsidR="003D468F" w:rsidRPr="00D91407" w:rsidRDefault="003D468F" w:rsidP="00D53325">
            <w:pPr>
              <w:spacing w:line="259" w:lineRule="auto"/>
              <w:jc w:val="left"/>
              <w:rPr>
                <w:b/>
                <w:bCs/>
                <w:sz w:val="20"/>
                <w:szCs w:val="20"/>
              </w:rPr>
            </w:pPr>
            <w:r w:rsidRPr="00D91407">
              <w:rPr>
                <w:b/>
                <w:bCs/>
                <w:sz w:val="20"/>
                <w:szCs w:val="20"/>
              </w:rPr>
              <w:t>(2-tailed)</w:t>
            </w:r>
          </w:p>
        </w:tc>
        <w:tc>
          <w:tcPr>
            <w:tcW w:w="1404" w:type="dxa"/>
          </w:tcPr>
          <w:p w14:paraId="22357B66" w14:textId="77777777" w:rsidR="003D468F" w:rsidRPr="00D91407" w:rsidRDefault="003D468F" w:rsidP="00D53325">
            <w:pPr>
              <w:spacing w:line="259" w:lineRule="auto"/>
              <w:jc w:val="left"/>
              <w:rPr>
                <w:b/>
                <w:bCs/>
                <w:sz w:val="20"/>
                <w:szCs w:val="20"/>
              </w:rPr>
            </w:pPr>
            <w:r w:rsidRPr="00D91407">
              <w:rPr>
                <w:b/>
                <w:bCs/>
                <w:sz w:val="20"/>
                <w:szCs w:val="20"/>
              </w:rPr>
              <w:t>Decision</w:t>
            </w:r>
          </w:p>
        </w:tc>
      </w:tr>
      <w:tr w:rsidR="0002542D" w14:paraId="63DED867" w14:textId="77777777" w:rsidTr="00D53325">
        <w:trPr>
          <w:trHeight w:val="416"/>
        </w:trPr>
        <w:tc>
          <w:tcPr>
            <w:tcW w:w="2689" w:type="dxa"/>
          </w:tcPr>
          <w:p w14:paraId="3ACD9791" w14:textId="1E3EB27C" w:rsidR="0002542D" w:rsidRPr="00D91407" w:rsidRDefault="0002542D" w:rsidP="0002542D">
            <w:pPr>
              <w:spacing w:line="259" w:lineRule="auto"/>
              <w:jc w:val="left"/>
              <w:rPr>
                <w:sz w:val="20"/>
                <w:szCs w:val="20"/>
              </w:rPr>
            </w:pPr>
            <w:r w:rsidRPr="00D91407">
              <w:rPr>
                <w:sz w:val="20"/>
                <w:szCs w:val="20"/>
              </w:rPr>
              <w:t xml:space="preserve">The distribution of </w:t>
            </w:r>
            <w:r w:rsidRPr="00575CD3">
              <w:rPr>
                <w:b/>
                <w:bCs/>
                <w:sz w:val="20"/>
                <w:szCs w:val="20"/>
              </w:rPr>
              <w:t>Age</w:t>
            </w:r>
            <w:r w:rsidRPr="00D91407">
              <w:rPr>
                <w:sz w:val="20"/>
                <w:szCs w:val="20"/>
              </w:rPr>
              <w:t xml:space="preserve"> is the same across </w:t>
            </w:r>
            <w:r>
              <w:rPr>
                <w:sz w:val="20"/>
                <w:szCs w:val="20"/>
              </w:rPr>
              <w:t>treatment groups</w:t>
            </w:r>
          </w:p>
        </w:tc>
        <w:tc>
          <w:tcPr>
            <w:tcW w:w="1984" w:type="dxa"/>
          </w:tcPr>
          <w:p w14:paraId="7C3C6E50" w14:textId="71280C78" w:rsidR="0002542D" w:rsidRPr="00D91407" w:rsidRDefault="0002542D" w:rsidP="0002542D">
            <w:pPr>
              <w:spacing w:line="259" w:lineRule="auto"/>
              <w:jc w:val="left"/>
              <w:rPr>
                <w:sz w:val="20"/>
                <w:szCs w:val="20"/>
              </w:rPr>
            </w:pPr>
            <w:r w:rsidRPr="00575CD3">
              <w:rPr>
                <w:sz w:val="20"/>
                <w:szCs w:val="20"/>
              </w:rPr>
              <w:t>Pearson Chi-Square</w:t>
            </w:r>
          </w:p>
        </w:tc>
        <w:tc>
          <w:tcPr>
            <w:tcW w:w="709" w:type="dxa"/>
          </w:tcPr>
          <w:p w14:paraId="3560EEB2" w14:textId="08F1ECBD" w:rsidR="0002542D" w:rsidRPr="00D91407" w:rsidRDefault="0002542D" w:rsidP="0002542D">
            <w:pPr>
              <w:spacing w:line="259" w:lineRule="auto"/>
              <w:jc w:val="left"/>
              <w:rPr>
                <w:sz w:val="20"/>
                <w:szCs w:val="20"/>
              </w:rPr>
            </w:pPr>
            <w:r>
              <w:rPr>
                <w:sz w:val="20"/>
                <w:szCs w:val="20"/>
              </w:rPr>
              <w:t>396</w:t>
            </w:r>
          </w:p>
        </w:tc>
        <w:tc>
          <w:tcPr>
            <w:tcW w:w="992" w:type="dxa"/>
          </w:tcPr>
          <w:p w14:paraId="62B1F169" w14:textId="33A5D74F" w:rsidR="0002542D" w:rsidRPr="00D91407" w:rsidRDefault="0002542D" w:rsidP="0002542D">
            <w:pPr>
              <w:spacing w:line="259" w:lineRule="auto"/>
              <w:jc w:val="left"/>
              <w:rPr>
                <w:sz w:val="20"/>
                <w:szCs w:val="20"/>
              </w:rPr>
            </w:pPr>
            <w:r>
              <w:rPr>
                <w:sz w:val="20"/>
                <w:szCs w:val="20"/>
              </w:rPr>
              <w:t>6.78</w:t>
            </w:r>
          </w:p>
        </w:tc>
        <w:tc>
          <w:tcPr>
            <w:tcW w:w="1134" w:type="dxa"/>
          </w:tcPr>
          <w:p w14:paraId="5F8745AC" w14:textId="2E90F4CE" w:rsidR="0002542D" w:rsidRPr="00D91407" w:rsidRDefault="0002542D" w:rsidP="0002542D">
            <w:pPr>
              <w:spacing w:line="259" w:lineRule="auto"/>
              <w:jc w:val="left"/>
              <w:rPr>
                <w:sz w:val="20"/>
                <w:szCs w:val="20"/>
              </w:rPr>
            </w:pPr>
            <w:r>
              <w:rPr>
                <w:sz w:val="20"/>
                <w:szCs w:val="20"/>
              </w:rPr>
              <w:t>12</w:t>
            </w:r>
          </w:p>
        </w:tc>
        <w:tc>
          <w:tcPr>
            <w:tcW w:w="1031" w:type="dxa"/>
          </w:tcPr>
          <w:p w14:paraId="6388D357" w14:textId="2B01D841" w:rsidR="0002542D" w:rsidRPr="00D91407" w:rsidRDefault="0002542D" w:rsidP="0002542D">
            <w:pPr>
              <w:spacing w:line="259" w:lineRule="auto"/>
              <w:jc w:val="left"/>
              <w:rPr>
                <w:sz w:val="20"/>
                <w:szCs w:val="20"/>
              </w:rPr>
            </w:pPr>
            <w:r>
              <w:rPr>
                <w:sz w:val="20"/>
                <w:szCs w:val="20"/>
              </w:rPr>
              <w:t>0.87</w:t>
            </w:r>
          </w:p>
        </w:tc>
        <w:tc>
          <w:tcPr>
            <w:tcW w:w="1404" w:type="dxa"/>
          </w:tcPr>
          <w:p w14:paraId="1320941D" w14:textId="6DC365AC" w:rsidR="0002542D" w:rsidRPr="00D91407" w:rsidRDefault="0002542D" w:rsidP="0002542D">
            <w:pPr>
              <w:spacing w:line="259" w:lineRule="auto"/>
              <w:jc w:val="left"/>
              <w:rPr>
                <w:sz w:val="20"/>
                <w:szCs w:val="20"/>
              </w:rPr>
            </w:pPr>
            <w:r>
              <w:rPr>
                <w:sz w:val="20"/>
                <w:szCs w:val="20"/>
              </w:rPr>
              <w:t>Retain the null hypothesis</w:t>
            </w:r>
          </w:p>
        </w:tc>
      </w:tr>
      <w:tr w:rsidR="0002542D" w14:paraId="4A0A5477" w14:textId="77777777" w:rsidTr="00D53325">
        <w:trPr>
          <w:trHeight w:val="416"/>
        </w:trPr>
        <w:tc>
          <w:tcPr>
            <w:tcW w:w="2689" w:type="dxa"/>
          </w:tcPr>
          <w:p w14:paraId="7720C646" w14:textId="15A9DC82" w:rsidR="0002542D" w:rsidRPr="00D91407" w:rsidRDefault="0002542D" w:rsidP="0002542D">
            <w:pPr>
              <w:spacing w:line="259" w:lineRule="auto"/>
              <w:jc w:val="left"/>
              <w:rPr>
                <w:sz w:val="20"/>
                <w:szCs w:val="20"/>
              </w:rPr>
            </w:pPr>
            <w:r w:rsidRPr="00D91407">
              <w:rPr>
                <w:sz w:val="20"/>
                <w:szCs w:val="20"/>
              </w:rPr>
              <w:t xml:space="preserve">The distribution of </w:t>
            </w:r>
            <w:r w:rsidRPr="00575CD3">
              <w:rPr>
                <w:b/>
                <w:bCs/>
                <w:sz w:val="20"/>
                <w:szCs w:val="20"/>
              </w:rPr>
              <w:t>Gender</w:t>
            </w:r>
            <w:r w:rsidRPr="00D91407">
              <w:rPr>
                <w:sz w:val="20"/>
                <w:szCs w:val="20"/>
              </w:rPr>
              <w:t xml:space="preserve"> is the same across </w:t>
            </w:r>
            <w:r>
              <w:rPr>
                <w:sz w:val="20"/>
                <w:szCs w:val="20"/>
              </w:rPr>
              <w:t>treatment groups</w:t>
            </w:r>
          </w:p>
        </w:tc>
        <w:tc>
          <w:tcPr>
            <w:tcW w:w="1984" w:type="dxa"/>
          </w:tcPr>
          <w:p w14:paraId="3F6369FC" w14:textId="4BFA4B9A" w:rsidR="0002542D" w:rsidRPr="00D91407" w:rsidRDefault="0002542D" w:rsidP="0002542D">
            <w:pPr>
              <w:spacing w:line="259" w:lineRule="auto"/>
              <w:jc w:val="left"/>
              <w:rPr>
                <w:sz w:val="20"/>
                <w:szCs w:val="20"/>
              </w:rPr>
            </w:pPr>
            <w:r w:rsidRPr="00575CD3">
              <w:rPr>
                <w:sz w:val="20"/>
                <w:szCs w:val="20"/>
              </w:rPr>
              <w:t>Pearson Chi-Square</w:t>
            </w:r>
          </w:p>
        </w:tc>
        <w:tc>
          <w:tcPr>
            <w:tcW w:w="709" w:type="dxa"/>
          </w:tcPr>
          <w:p w14:paraId="63E5BA71" w14:textId="26B6D6A6" w:rsidR="0002542D" w:rsidRDefault="0002542D" w:rsidP="0002542D">
            <w:pPr>
              <w:spacing w:line="259" w:lineRule="auto"/>
              <w:jc w:val="left"/>
              <w:rPr>
                <w:sz w:val="20"/>
                <w:szCs w:val="20"/>
              </w:rPr>
            </w:pPr>
            <w:r>
              <w:rPr>
                <w:sz w:val="20"/>
                <w:szCs w:val="20"/>
              </w:rPr>
              <w:t>396</w:t>
            </w:r>
          </w:p>
        </w:tc>
        <w:tc>
          <w:tcPr>
            <w:tcW w:w="992" w:type="dxa"/>
          </w:tcPr>
          <w:p w14:paraId="7F2E6F57" w14:textId="67AB9C4E" w:rsidR="0002542D" w:rsidRDefault="0002542D" w:rsidP="0002542D">
            <w:pPr>
              <w:spacing w:line="259" w:lineRule="auto"/>
              <w:jc w:val="left"/>
              <w:rPr>
                <w:sz w:val="20"/>
                <w:szCs w:val="20"/>
              </w:rPr>
            </w:pPr>
            <w:r>
              <w:rPr>
                <w:sz w:val="20"/>
                <w:szCs w:val="20"/>
              </w:rPr>
              <w:t>3.9</w:t>
            </w:r>
          </w:p>
        </w:tc>
        <w:tc>
          <w:tcPr>
            <w:tcW w:w="1134" w:type="dxa"/>
          </w:tcPr>
          <w:p w14:paraId="33726B32" w14:textId="08C99E7D" w:rsidR="0002542D" w:rsidRDefault="0002542D" w:rsidP="0002542D">
            <w:pPr>
              <w:spacing w:line="259" w:lineRule="auto"/>
              <w:jc w:val="left"/>
              <w:rPr>
                <w:sz w:val="20"/>
                <w:szCs w:val="20"/>
              </w:rPr>
            </w:pPr>
            <w:r>
              <w:rPr>
                <w:sz w:val="20"/>
                <w:szCs w:val="20"/>
              </w:rPr>
              <w:t>6</w:t>
            </w:r>
          </w:p>
        </w:tc>
        <w:tc>
          <w:tcPr>
            <w:tcW w:w="1031" w:type="dxa"/>
          </w:tcPr>
          <w:p w14:paraId="47872A1E" w14:textId="310F8CA3" w:rsidR="0002542D" w:rsidRDefault="0002542D" w:rsidP="0002542D">
            <w:pPr>
              <w:spacing w:line="259" w:lineRule="auto"/>
              <w:jc w:val="left"/>
              <w:rPr>
                <w:sz w:val="20"/>
                <w:szCs w:val="20"/>
              </w:rPr>
            </w:pPr>
            <w:r>
              <w:rPr>
                <w:sz w:val="20"/>
                <w:szCs w:val="20"/>
              </w:rPr>
              <w:t>0.69</w:t>
            </w:r>
          </w:p>
        </w:tc>
        <w:tc>
          <w:tcPr>
            <w:tcW w:w="1404" w:type="dxa"/>
          </w:tcPr>
          <w:p w14:paraId="27678948" w14:textId="3ADF6D33" w:rsidR="0002542D" w:rsidRDefault="0002542D" w:rsidP="0002542D">
            <w:pPr>
              <w:spacing w:line="259" w:lineRule="auto"/>
              <w:jc w:val="left"/>
              <w:rPr>
                <w:sz w:val="20"/>
                <w:szCs w:val="20"/>
              </w:rPr>
            </w:pPr>
            <w:r>
              <w:rPr>
                <w:sz w:val="20"/>
                <w:szCs w:val="20"/>
              </w:rPr>
              <w:t>Retain the null hypothesis</w:t>
            </w:r>
          </w:p>
        </w:tc>
      </w:tr>
      <w:tr w:rsidR="0002542D" w14:paraId="22A8AEEE" w14:textId="77777777" w:rsidTr="00D53325">
        <w:trPr>
          <w:trHeight w:val="416"/>
        </w:trPr>
        <w:tc>
          <w:tcPr>
            <w:tcW w:w="2689" w:type="dxa"/>
          </w:tcPr>
          <w:p w14:paraId="095733BF" w14:textId="37B147E5" w:rsidR="0002542D" w:rsidRPr="00D91407" w:rsidRDefault="0002542D" w:rsidP="0002542D">
            <w:pPr>
              <w:spacing w:line="259" w:lineRule="auto"/>
              <w:jc w:val="left"/>
              <w:rPr>
                <w:sz w:val="20"/>
                <w:szCs w:val="20"/>
              </w:rPr>
            </w:pPr>
            <w:r w:rsidRPr="00D91407">
              <w:rPr>
                <w:sz w:val="20"/>
                <w:szCs w:val="20"/>
              </w:rPr>
              <w:t xml:space="preserve">The distribution of </w:t>
            </w:r>
            <w:r>
              <w:rPr>
                <w:b/>
                <w:bCs/>
                <w:sz w:val="20"/>
                <w:szCs w:val="20"/>
              </w:rPr>
              <w:t>Education attainment</w:t>
            </w:r>
            <w:r w:rsidRPr="00D91407">
              <w:rPr>
                <w:sz w:val="20"/>
                <w:szCs w:val="20"/>
              </w:rPr>
              <w:t xml:space="preserve"> is the same across </w:t>
            </w:r>
            <w:r>
              <w:rPr>
                <w:sz w:val="20"/>
                <w:szCs w:val="20"/>
              </w:rPr>
              <w:t>treatment groups</w:t>
            </w:r>
          </w:p>
        </w:tc>
        <w:tc>
          <w:tcPr>
            <w:tcW w:w="1984" w:type="dxa"/>
          </w:tcPr>
          <w:p w14:paraId="7168EA0B" w14:textId="0C62CE4B" w:rsidR="0002542D" w:rsidRPr="00D91407" w:rsidRDefault="0002542D" w:rsidP="0002542D">
            <w:pPr>
              <w:spacing w:line="259" w:lineRule="auto"/>
              <w:jc w:val="left"/>
              <w:rPr>
                <w:sz w:val="20"/>
                <w:szCs w:val="20"/>
              </w:rPr>
            </w:pPr>
            <w:r w:rsidRPr="00575CD3">
              <w:rPr>
                <w:sz w:val="20"/>
                <w:szCs w:val="20"/>
              </w:rPr>
              <w:t>Pearson Chi-Square</w:t>
            </w:r>
          </w:p>
        </w:tc>
        <w:tc>
          <w:tcPr>
            <w:tcW w:w="709" w:type="dxa"/>
          </w:tcPr>
          <w:p w14:paraId="60E7A905" w14:textId="7BAC7C2C" w:rsidR="0002542D" w:rsidRDefault="0002542D" w:rsidP="0002542D">
            <w:pPr>
              <w:spacing w:line="259" w:lineRule="auto"/>
              <w:jc w:val="left"/>
              <w:rPr>
                <w:sz w:val="20"/>
                <w:szCs w:val="20"/>
              </w:rPr>
            </w:pPr>
            <w:r>
              <w:rPr>
                <w:sz w:val="20"/>
                <w:szCs w:val="20"/>
              </w:rPr>
              <w:t>396</w:t>
            </w:r>
          </w:p>
        </w:tc>
        <w:tc>
          <w:tcPr>
            <w:tcW w:w="992" w:type="dxa"/>
          </w:tcPr>
          <w:p w14:paraId="324C1CED" w14:textId="7A329ACC" w:rsidR="0002542D" w:rsidRDefault="0002542D" w:rsidP="0002542D">
            <w:pPr>
              <w:spacing w:line="259" w:lineRule="auto"/>
              <w:jc w:val="left"/>
              <w:rPr>
                <w:sz w:val="20"/>
                <w:szCs w:val="20"/>
              </w:rPr>
            </w:pPr>
            <w:r>
              <w:rPr>
                <w:sz w:val="20"/>
                <w:szCs w:val="20"/>
              </w:rPr>
              <w:t>6.59</w:t>
            </w:r>
          </w:p>
        </w:tc>
        <w:tc>
          <w:tcPr>
            <w:tcW w:w="1134" w:type="dxa"/>
          </w:tcPr>
          <w:p w14:paraId="2CFE9075" w14:textId="276360DF" w:rsidR="0002542D" w:rsidRDefault="0002542D" w:rsidP="0002542D">
            <w:pPr>
              <w:spacing w:line="259" w:lineRule="auto"/>
              <w:jc w:val="left"/>
              <w:rPr>
                <w:sz w:val="20"/>
                <w:szCs w:val="20"/>
              </w:rPr>
            </w:pPr>
            <w:r>
              <w:rPr>
                <w:sz w:val="20"/>
                <w:szCs w:val="20"/>
              </w:rPr>
              <w:t>6</w:t>
            </w:r>
          </w:p>
        </w:tc>
        <w:tc>
          <w:tcPr>
            <w:tcW w:w="1031" w:type="dxa"/>
          </w:tcPr>
          <w:p w14:paraId="3CF8A29C" w14:textId="70EC0CC2" w:rsidR="0002542D" w:rsidRDefault="0002542D" w:rsidP="0002542D">
            <w:pPr>
              <w:spacing w:line="259" w:lineRule="auto"/>
              <w:jc w:val="left"/>
              <w:rPr>
                <w:sz w:val="20"/>
                <w:szCs w:val="20"/>
              </w:rPr>
            </w:pPr>
            <w:r>
              <w:rPr>
                <w:sz w:val="20"/>
                <w:szCs w:val="20"/>
              </w:rPr>
              <w:t>0.36</w:t>
            </w:r>
          </w:p>
        </w:tc>
        <w:tc>
          <w:tcPr>
            <w:tcW w:w="1404" w:type="dxa"/>
          </w:tcPr>
          <w:p w14:paraId="298306CD" w14:textId="2C019D46" w:rsidR="0002542D" w:rsidRDefault="0002542D" w:rsidP="0002542D">
            <w:pPr>
              <w:spacing w:line="259" w:lineRule="auto"/>
              <w:jc w:val="left"/>
              <w:rPr>
                <w:sz w:val="20"/>
                <w:szCs w:val="20"/>
              </w:rPr>
            </w:pPr>
            <w:r>
              <w:rPr>
                <w:sz w:val="20"/>
                <w:szCs w:val="20"/>
              </w:rPr>
              <w:t>Retain the null hypothesis</w:t>
            </w:r>
          </w:p>
        </w:tc>
      </w:tr>
      <w:tr w:rsidR="0002542D" w14:paraId="17816DF1" w14:textId="77777777" w:rsidTr="00D53325">
        <w:trPr>
          <w:trHeight w:val="416"/>
        </w:trPr>
        <w:tc>
          <w:tcPr>
            <w:tcW w:w="2689" w:type="dxa"/>
          </w:tcPr>
          <w:p w14:paraId="3C4BACBD" w14:textId="5B46A450" w:rsidR="0002542D" w:rsidRPr="00D91407" w:rsidRDefault="0002542D" w:rsidP="0002542D">
            <w:pPr>
              <w:spacing w:line="259" w:lineRule="auto"/>
              <w:jc w:val="left"/>
              <w:rPr>
                <w:sz w:val="20"/>
                <w:szCs w:val="20"/>
              </w:rPr>
            </w:pPr>
            <w:r w:rsidRPr="00D91407">
              <w:rPr>
                <w:sz w:val="20"/>
                <w:szCs w:val="20"/>
              </w:rPr>
              <w:t xml:space="preserve">The distribution of </w:t>
            </w:r>
            <w:r w:rsidRPr="00575CD3">
              <w:rPr>
                <w:b/>
                <w:bCs/>
                <w:sz w:val="20"/>
                <w:szCs w:val="20"/>
              </w:rPr>
              <w:t>Ethnicity</w:t>
            </w:r>
            <w:r w:rsidRPr="00D91407">
              <w:rPr>
                <w:sz w:val="20"/>
                <w:szCs w:val="20"/>
              </w:rPr>
              <w:t xml:space="preserve"> is the same across </w:t>
            </w:r>
            <w:r>
              <w:rPr>
                <w:sz w:val="20"/>
                <w:szCs w:val="20"/>
              </w:rPr>
              <w:t>treatment groups</w:t>
            </w:r>
          </w:p>
        </w:tc>
        <w:tc>
          <w:tcPr>
            <w:tcW w:w="1984" w:type="dxa"/>
          </w:tcPr>
          <w:p w14:paraId="3E2EA50E" w14:textId="523BBDCD" w:rsidR="0002542D" w:rsidRPr="00D91407" w:rsidRDefault="0002542D" w:rsidP="0002542D">
            <w:pPr>
              <w:spacing w:line="259" w:lineRule="auto"/>
              <w:jc w:val="left"/>
              <w:rPr>
                <w:sz w:val="20"/>
                <w:szCs w:val="20"/>
              </w:rPr>
            </w:pPr>
            <w:r w:rsidRPr="00575CD3">
              <w:rPr>
                <w:sz w:val="20"/>
                <w:szCs w:val="20"/>
              </w:rPr>
              <w:t>Pearson Chi-Square</w:t>
            </w:r>
          </w:p>
        </w:tc>
        <w:tc>
          <w:tcPr>
            <w:tcW w:w="709" w:type="dxa"/>
          </w:tcPr>
          <w:p w14:paraId="1E7ECE20" w14:textId="201FD797" w:rsidR="0002542D" w:rsidRDefault="0002542D" w:rsidP="0002542D">
            <w:pPr>
              <w:spacing w:line="259" w:lineRule="auto"/>
              <w:jc w:val="left"/>
              <w:rPr>
                <w:sz w:val="20"/>
                <w:szCs w:val="20"/>
              </w:rPr>
            </w:pPr>
            <w:r>
              <w:rPr>
                <w:sz w:val="20"/>
                <w:szCs w:val="20"/>
              </w:rPr>
              <w:t>39</w:t>
            </w:r>
            <w:r w:rsidR="006D2925">
              <w:rPr>
                <w:sz w:val="20"/>
                <w:szCs w:val="20"/>
              </w:rPr>
              <w:t>5</w:t>
            </w:r>
          </w:p>
        </w:tc>
        <w:tc>
          <w:tcPr>
            <w:tcW w:w="992" w:type="dxa"/>
          </w:tcPr>
          <w:p w14:paraId="01B65268" w14:textId="1CC295C2" w:rsidR="0002542D" w:rsidRDefault="0002542D" w:rsidP="0002542D">
            <w:pPr>
              <w:spacing w:line="259" w:lineRule="auto"/>
              <w:jc w:val="left"/>
              <w:rPr>
                <w:sz w:val="20"/>
                <w:szCs w:val="20"/>
              </w:rPr>
            </w:pPr>
            <w:r>
              <w:rPr>
                <w:sz w:val="20"/>
                <w:szCs w:val="20"/>
              </w:rPr>
              <w:t>13.96</w:t>
            </w:r>
          </w:p>
        </w:tc>
        <w:tc>
          <w:tcPr>
            <w:tcW w:w="1134" w:type="dxa"/>
          </w:tcPr>
          <w:p w14:paraId="4A841CC6" w14:textId="11F69498" w:rsidR="0002542D" w:rsidRDefault="0002542D" w:rsidP="0002542D">
            <w:pPr>
              <w:spacing w:line="259" w:lineRule="auto"/>
              <w:jc w:val="left"/>
              <w:rPr>
                <w:sz w:val="20"/>
                <w:szCs w:val="20"/>
              </w:rPr>
            </w:pPr>
            <w:r>
              <w:rPr>
                <w:sz w:val="20"/>
                <w:szCs w:val="20"/>
              </w:rPr>
              <w:t>12</w:t>
            </w:r>
          </w:p>
        </w:tc>
        <w:tc>
          <w:tcPr>
            <w:tcW w:w="1031" w:type="dxa"/>
          </w:tcPr>
          <w:p w14:paraId="4950AC3A" w14:textId="3F568ABC" w:rsidR="0002542D" w:rsidRPr="0002542D" w:rsidRDefault="0002542D" w:rsidP="0002542D">
            <w:pPr>
              <w:spacing w:line="259" w:lineRule="auto"/>
              <w:jc w:val="left"/>
              <w:rPr>
                <w:sz w:val="20"/>
                <w:szCs w:val="20"/>
              </w:rPr>
            </w:pPr>
            <w:r w:rsidRPr="005D7515">
              <w:rPr>
                <w:sz w:val="20"/>
                <w:szCs w:val="20"/>
              </w:rPr>
              <w:t>0.08</w:t>
            </w:r>
          </w:p>
        </w:tc>
        <w:tc>
          <w:tcPr>
            <w:tcW w:w="1404" w:type="dxa"/>
          </w:tcPr>
          <w:p w14:paraId="36EC04D0" w14:textId="71843973" w:rsidR="0002542D" w:rsidRDefault="0002542D" w:rsidP="0002542D">
            <w:pPr>
              <w:spacing w:line="259" w:lineRule="auto"/>
              <w:jc w:val="left"/>
              <w:rPr>
                <w:sz w:val="20"/>
                <w:szCs w:val="20"/>
              </w:rPr>
            </w:pPr>
            <w:r>
              <w:rPr>
                <w:sz w:val="20"/>
                <w:szCs w:val="20"/>
              </w:rPr>
              <w:t>Retain the null hypothesis</w:t>
            </w:r>
          </w:p>
        </w:tc>
      </w:tr>
      <w:tr w:rsidR="0002542D" w14:paraId="01771907" w14:textId="77777777" w:rsidTr="00D53325">
        <w:trPr>
          <w:trHeight w:val="416"/>
        </w:trPr>
        <w:tc>
          <w:tcPr>
            <w:tcW w:w="2689" w:type="dxa"/>
          </w:tcPr>
          <w:p w14:paraId="5B6369E0" w14:textId="4666482B" w:rsidR="0002542D" w:rsidRPr="00D91407" w:rsidRDefault="0002542D" w:rsidP="0002542D">
            <w:pPr>
              <w:spacing w:line="259" w:lineRule="auto"/>
              <w:jc w:val="left"/>
              <w:rPr>
                <w:sz w:val="20"/>
                <w:szCs w:val="20"/>
              </w:rPr>
            </w:pPr>
            <w:r w:rsidRPr="00D91407">
              <w:rPr>
                <w:sz w:val="20"/>
                <w:szCs w:val="20"/>
              </w:rPr>
              <w:t xml:space="preserve">The distribution of </w:t>
            </w:r>
            <w:r w:rsidRPr="00575CD3">
              <w:rPr>
                <w:b/>
                <w:bCs/>
                <w:sz w:val="20"/>
                <w:szCs w:val="20"/>
              </w:rPr>
              <w:t>Nature connectedness</w:t>
            </w:r>
            <w:r w:rsidRPr="00D91407">
              <w:rPr>
                <w:sz w:val="20"/>
                <w:szCs w:val="20"/>
              </w:rPr>
              <w:t xml:space="preserve"> is the same across </w:t>
            </w:r>
            <w:r>
              <w:rPr>
                <w:sz w:val="20"/>
                <w:szCs w:val="20"/>
              </w:rPr>
              <w:t>treatment groups</w:t>
            </w:r>
          </w:p>
        </w:tc>
        <w:tc>
          <w:tcPr>
            <w:tcW w:w="1984" w:type="dxa"/>
          </w:tcPr>
          <w:p w14:paraId="0FE1A07A" w14:textId="4EEA50DA" w:rsidR="0002542D" w:rsidRPr="00D91407" w:rsidRDefault="0002542D" w:rsidP="0002542D">
            <w:pPr>
              <w:spacing w:line="259" w:lineRule="auto"/>
              <w:jc w:val="left"/>
              <w:rPr>
                <w:sz w:val="20"/>
                <w:szCs w:val="20"/>
              </w:rPr>
            </w:pPr>
            <w:r w:rsidRPr="00575CD3">
              <w:rPr>
                <w:sz w:val="20"/>
                <w:szCs w:val="20"/>
              </w:rPr>
              <w:t>Pearson Chi-Square</w:t>
            </w:r>
          </w:p>
        </w:tc>
        <w:tc>
          <w:tcPr>
            <w:tcW w:w="709" w:type="dxa"/>
          </w:tcPr>
          <w:p w14:paraId="5DD62396" w14:textId="399C0FC3" w:rsidR="0002542D" w:rsidRDefault="0002542D" w:rsidP="0002542D">
            <w:pPr>
              <w:spacing w:line="259" w:lineRule="auto"/>
              <w:jc w:val="left"/>
              <w:rPr>
                <w:sz w:val="20"/>
                <w:szCs w:val="20"/>
              </w:rPr>
            </w:pPr>
            <w:r>
              <w:rPr>
                <w:sz w:val="20"/>
                <w:szCs w:val="20"/>
              </w:rPr>
              <w:t>396</w:t>
            </w:r>
          </w:p>
        </w:tc>
        <w:tc>
          <w:tcPr>
            <w:tcW w:w="992" w:type="dxa"/>
          </w:tcPr>
          <w:p w14:paraId="7B202554" w14:textId="28AB8FF2" w:rsidR="0002542D" w:rsidRDefault="0002542D" w:rsidP="0002542D">
            <w:pPr>
              <w:spacing w:line="259" w:lineRule="auto"/>
              <w:jc w:val="left"/>
              <w:rPr>
                <w:sz w:val="20"/>
                <w:szCs w:val="20"/>
              </w:rPr>
            </w:pPr>
            <w:r>
              <w:rPr>
                <w:sz w:val="20"/>
                <w:szCs w:val="20"/>
              </w:rPr>
              <w:t>12.85</w:t>
            </w:r>
          </w:p>
        </w:tc>
        <w:tc>
          <w:tcPr>
            <w:tcW w:w="1134" w:type="dxa"/>
          </w:tcPr>
          <w:p w14:paraId="1B4500AD" w14:textId="154E3B24" w:rsidR="0002542D" w:rsidRDefault="0002542D" w:rsidP="0002542D">
            <w:pPr>
              <w:spacing w:line="259" w:lineRule="auto"/>
              <w:jc w:val="left"/>
              <w:rPr>
                <w:sz w:val="20"/>
                <w:szCs w:val="20"/>
              </w:rPr>
            </w:pPr>
            <w:r>
              <w:rPr>
                <w:sz w:val="20"/>
                <w:szCs w:val="20"/>
              </w:rPr>
              <w:t>12</w:t>
            </w:r>
          </w:p>
        </w:tc>
        <w:tc>
          <w:tcPr>
            <w:tcW w:w="1031" w:type="dxa"/>
          </w:tcPr>
          <w:p w14:paraId="4137BBBF" w14:textId="1362B7A4" w:rsidR="0002542D" w:rsidRDefault="0002542D" w:rsidP="0002542D">
            <w:pPr>
              <w:spacing w:line="259" w:lineRule="auto"/>
              <w:jc w:val="left"/>
              <w:rPr>
                <w:sz w:val="20"/>
                <w:szCs w:val="20"/>
              </w:rPr>
            </w:pPr>
            <w:r>
              <w:rPr>
                <w:sz w:val="20"/>
                <w:szCs w:val="20"/>
              </w:rPr>
              <w:t>0.38</w:t>
            </w:r>
          </w:p>
        </w:tc>
        <w:tc>
          <w:tcPr>
            <w:tcW w:w="1404" w:type="dxa"/>
          </w:tcPr>
          <w:p w14:paraId="122A727E" w14:textId="5D980690" w:rsidR="0002542D" w:rsidRDefault="0002542D" w:rsidP="0002542D">
            <w:pPr>
              <w:spacing w:line="259" w:lineRule="auto"/>
              <w:jc w:val="left"/>
              <w:rPr>
                <w:sz w:val="20"/>
                <w:szCs w:val="20"/>
              </w:rPr>
            </w:pPr>
            <w:r>
              <w:rPr>
                <w:sz w:val="20"/>
                <w:szCs w:val="20"/>
              </w:rPr>
              <w:t>Retain the null hypothesis</w:t>
            </w:r>
          </w:p>
        </w:tc>
      </w:tr>
    </w:tbl>
    <w:p w14:paraId="27FEA57E" w14:textId="77777777" w:rsidR="003D468F" w:rsidRDefault="003D468F" w:rsidP="003D468F"/>
    <w:p w14:paraId="44AA53BF" w14:textId="76C89689" w:rsidR="004A619B" w:rsidRDefault="004A619B" w:rsidP="005D7515">
      <w:pPr>
        <w:pStyle w:val="Caption"/>
        <w:keepNext/>
      </w:pPr>
      <w:r>
        <w:t>Table S</w:t>
      </w:r>
      <w:r>
        <w:fldChar w:fldCharType="begin"/>
      </w:r>
      <w:r>
        <w:instrText xml:space="preserve"> SEQ Table_S \* ARABIC </w:instrText>
      </w:r>
      <w:r>
        <w:fldChar w:fldCharType="separate"/>
      </w:r>
      <w:r>
        <w:rPr>
          <w:noProof/>
        </w:rPr>
        <w:t>2</w:t>
      </w:r>
      <w:r>
        <w:fldChar w:fldCharType="end"/>
      </w:r>
      <w:r w:rsidRPr="004A619B">
        <w:t xml:space="preserve"> </w:t>
      </w:r>
      <w:r w:rsidRPr="00CB4B8B">
        <w:t xml:space="preserve">Statistical tests checking for differences in demographics between the </w:t>
      </w:r>
      <w:r>
        <w:t>park</w:t>
      </w:r>
      <w:r w:rsidRPr="00CB4B8B">
        <w:t xml:space="preserve"> groups</w:t>
      </w:r>
      <w:r>
        <w:t xml:space="preserve"> (face-to-face)</w:t>
      </w:r>
    </w:p>
    <w:tbl>
      <w:tblPr>
        <w:tblStyle w:val="TableGrid"/>
        <w:tblW w:w="9943" w:type="dxa"/>
        <w:tblLook w:val="04A0" w:firstRow="1" w:lastRow="0" w:firstColumn="1" w:lastColumn="0" w:noHBand="0" w:noVBand="1"/>
      </w:tblPr>
      <w:tblGrid>
        <w:gridCol w:w="2689"/>
        <w:gridCol w:w="1984"/>
        <w:gridCol w:w="709"/>
        <w:gridCol w:w="992"/>
        <w:gridCol w:w="1134"/>
        <w:gridCol w:w="1031"/>
        <w:gridCol w:w="1404"/>
      </w:tblGrid>
      <w:tr w:rsidR="003D468F" w14:paraId="49BBA979" w14:textId="77777777" w:rsidTr="00D53325">
        <w:trPr>
          <w:trHeight w:val="416"/>
        </w:trPr>
        <w:tc>
          <w:tcPr>
            <w:tcW w:w="2689" w:type="dxa"/>
          </w:tcPr>
          <w:p w14:paraId="67375511" w14:textId="77777777" w:rsidR="003D468F" w:rsidRPr="00D91407" w:rsidRDefault="003D468F" w:rsidP="00D53325">
            <w:pPr>
              <w:spacing w:line="259" w:lineRule="auto"/>
              <w:jc w:val="left"/>
              <w:rPr>
                <w:b/>
                <w:bCs/>
                <w:sz w:val="20"/>
                <w:szCs w:val="20"/>
              </w:rPr>
            </w:pPr>
            <w:r w:rsidRPr="00D91407">
              <w:rPr>
                <w:b/>
                <w:bCs/>
                <w:sz w:val="20"/>
                <w:szCs w:val="20"/>
              </w:rPr>
              <w:t>Null Hypothesis</w:t>
            </w:r>
          </w:p>
        </w:tc>
        <w:tc>
          <w:tcPr>
            <w:tcW w:w="1984" w:type="dxa"/>
          </w:tcPr>
          <w:p w14:paraId="50C75B3F" w14:textId="77777777" w:rsidR="003D468F" w:rsidRPr="00D91407" w:rsidRDefault="003D468F" w:rsidP="00D53325">
            <w:pPr>
              <w:spacing w:line="259" w:lineRule="auto"/>
              <w:jc w:val="left"/>
              <w:rPr>
                <w:b/>
                <w:bCs/>
                <w:sz w:val="20"/>
                <w:szCs w:val="20"/>
              </w:rPr>
            </w:pPr>
            <w:r w:rsidRPr="00D91407">
              <w:rPr>
                <w:b/>
                <w:bCs/>
                <w:sz w:val="20"/>
                <w:szCs w:val="20"/>
              </w:rPr>
              <w:t>Test</w:t>
            </w:r>
          </w:p>
        </w:tc>
        <w:tc>
          <w:tcPr>
            <w:tcW w:w="709" w:type="dxa"/>
          </w:tcPr>
          <w:p w14:paraId="0B045336" w14:textId="77777777" w:rsidR="003D468F" w:rsidRPr="00D91407" w:rsidRDefault="003D468F" w:rsidP="00D53325">
            <w:pPr>
              <w:spacing w:line="259" w:lineRule="auto"/>
              <w:jc w:val="left"/>
              <w:rPr>
                <w:b/>
                <w:bCs/>
                <w:sz w:val="20"/>
                <w:szCs w:val="20"/>
              </w:rPr>
            </w:pPr>
            <w:r w:rsidRPr="00D91407">
              <w:rPr>
                <w:b/>
                <w:bCs/>
                <w:sz w:val="20"/>
                <w:szCs w:val="20"/>
              </w:rPr>
              <w:t>N</w:t>
            </w:r>
          </w:p>
        </w:tc>
        <w:tc>
          <w:tcPr>
            <w:tcW w:w="992" w:type="dxa"/>
          </w:tcPr>
          <w:p w14:paraId="3FF8F17E" w14:textId="77777777" w:rsidR="003D468F" w:rsidRPr="00D91407" w:rsidRDefault="003D468F" w:rsidP="00D53325">
            <w:pPr>
              <w:spacing w:line="259" w:lineRule="auto"/>
              <w:jc w:val="left"/>
              <w:rPr>
                <w:b/>
                <w:bCs/>
                <w:sz w:val="20"/>
                <w:szCs w:val="20"/>
              </w:rPr>
            </w:pPr>
            <w:r w:rsidRPr="00D91407">
              <w:rPr>
                <w:b/>
                <w:bCs/>
                <w:sz w:val="20"/>
                <w:szCs w:val="20"/>
              </w:rPr>
              <w:t>Test statistic</w:t>
            </w:r>
          </w:p>
        </w:tc>
        <w:tc>
          <w:tcPr>
            <w:tcW w:w="1134" w:type="dxa"/>
          </w:tcPr>
          <w:p w14:paraId="4C55556D" w14:textId="77777777" w:rsidR="003D468F" w:rsidRPr="00D91407" w:rsidRDefault="003D468F" w:rsidP="00D53325">
            <w:pPr>
              <w:spacing w:line="259" w:lineRule="auto"/>
              <w:jc w:val="left"/>
              <w:rPr>
                <w:b/>
                <w:bCs/>
                <w:sz w:val="20"/>
                <w:szCs w:val="20"/>
              </w:rPr>
            </w:pPr>
            <w:r w:rsidRPr="00D91407">
              <w:rPr>
                <w:b/>
                <w:bCs/>
                <w:sz w:val="20"/>
                <w:szCs w:val="20"/>
              </w:rPr>
              <w:t>Degrees of freedom</w:t>
            </w:r>
          </w:p>
        </w:tc>
        <w:tc>
          <w:tcPr>
            <w:tcW w:w="1031" w:type="dxa"/>
          </w:tcPr>
          <w:p w14:paraId="00BB0A99" w14:textId="77777777" w:rsidR="003D468F" w:rsidRDefault="003D468F" w:rsidP="00D53325">
            <w:pPr>
              <w:spacing w:line="259" w:lineRule="auto"/>
              <w:jc w:val="left"/>
              <w:rPr>
                <w:b/>
                <w:bCs/>
                <w:sz w:val="20"/>
                <w:szCs w:val="20"/>
              </w:rPr>
            </w:pPr>
            <w:r w:rsidRPr="00D91407">
              <w:rPr>
                <w:b/>
                <w:bCs/>
                <w:sz w:val="20"/>
                <w:szCs w:val="20"/>
              </w:rPr>
              <w:t xml:space="preserve">P-value </w:t>
            </w:r>
          </w:p>
          <w:p w14:paraId="22923473" w14:textId="77777777" w:rsidR="003D468F" w:rsidRPr="00D91407" w:rsidRDefault="003D468F" w:rsidP="00D53325">
            <w:pPr>
              <w:spacing w:line="259" w:lineRule="auto"/>
              <w:jc w:val="left"/>
              <w:rPr>
                <w:b/>
                <w:bCs/>
                <w:sz w:val="20"/>
                <w:szCs w:val="20"/>
              </w:rPr>
            </w:pPr>
            <w:r w:rsidRPr="00D91407">
              <w:rPr>
                <w:b/>
                <w:bCs/>
                <w:sz w:val="20"/>
                <w:szCs w:val="20"/>
              </w:rPr>
              <w:t>(2-tailed)</w:t>
            </w:r>
          </w:p>
        </w:tc>
        <w:tc>
          <w:tcPr>
            <w:tcW w:w="1404" w:type="dxa"/>
          </w:tcPr>
          <w:p w14:paraId="5DF2E157" w14:textId="77777777" w:rsidR="003D468F" w:rsidRPr="00D91407" w:rsidRDefault="003D468F" w:rsidP="00D53325">
            <w:pPr>
              <w:spacing w:line="259" w:lineRule="auto"/>
              <w:jc w:val="left"/>
              <w:rPr>
                <w:b/>
                <w:bCs/>
                <w:sz w:val="20"/>
                <w:szCs w:val="20"/>
              </w:rPr>
            </w:pPr>
            <w:r w:rsidRPr="00D91407">
              <w:rPr>
                <w:b/>
                <w:bCs/>
                <w:sz w:val="20"/>
                <w:szCs w:val="20"/>
              </w:rPr>
              <w:t>Decision</w:t>
            </w:r>
          </w:p>
        </w:tc>
      </w:tr>
      <w:tr w:rsidR="0002542D" w14:paraId="4442102B" w14:textId="77777777" w:rsidTr="00D53325">
        <w:trPr>
          <w:trHeight w:val="416"/>
        </w:trPr>
        <w:tc>
          <w:tcPr>
            <w:tcW w:w="2689" w:type="dxa"/>
          </w:tcPr>
          <w:p w14:paraId="3F616777" w14:textId="5FA4A273" w:rsidR="0002542D" w:rsidRPr="00D91407" w:rsidRDefault="0002542D" w:rsidP="0002542D">
            <w:pPr>
              <w:spacing w:line="259" w:lineRule="auto"/>
              <w:jc w:val="left"/>
              <w:rPr>
                <w:sz w:val="20"/>
                <w:szCs w:val="20"/>
              </w:rPr>
            </w:pPr>
            <w:r w:rsidRPr="00D91407">
              <w:rPr>
                <w:sz w:val="20"/>
                <w:szCs w:val="20"/>
              </w:rPr>
              <w:t xml:space="preserve">The distribution of </w:t>
            </w:r>
            <w:r w:rsidRPr="00575CD3">
              <w:rPr>
                <w:b/>
                <w:bCs/>
                <w:sz w:val="20"/>
                <w:szCs w:val="20"/>
              </w:rPr>
              <w:t>Age</w:t>
            </w:r>
            <w:r w:rsidRPr="00D91407">
              <w:rPr>
                <w:sz w:val="20"/>
                <w:szCs w:val="20"/>
              </w:rPr>
              <w:t xml:space="preserve"> is the same across </w:t>
            </w:r>
            <w:r>
              <w:rPr>
                <w:sz w:val="20"/>
                <w:szCs w:val="20"/>
              </w:rPr>
              <w:t>treatment groups</w:t>
            </w:r>
          </w:p>
        </w:tc>
        <w:tc>
          <w:tcPr>
            <w:tcW w:w="1984" w:type="dxa"/>
          </w:tcPr>
          <w:p w14:paraId="16CB1846" w14:textId="44B1C873" w:rsidR="0002542D" w:rsidRPr="00D91407" w:rsidRDefault="00CF5E79" w:rsidP="0002542D">
            <w:pPr>
              <w:spacing w:line="259" w:lineRule="auto"/>
              <w:jc w:val="left"/>
              <w:rPr>
                <w:sz w:val="20"/>
                <w:szCs w:val="20"/>
              </w:rPr>
            </w:pPr>
            <w:r>
              <w:rPr>
                <w:sz w:val="20"/>
                <w:szCs w:val="20"/>
              </w:rPr>
              <w:t>Kruskal-</w:t>
            </w:r>
            <w:proofErr w:type="gramStart"/>
            <w:r>
              <w:rPr>
                <w:sz w:val="20"/>
                <w:szCs w:val="20"/>
              </w:rPr>
              <w:t>Wallis</w:t>
            </w:r>
            <w:proofErr w:type="gramEnd"/>
            <w:r>
              <w:rPr>
                <w:sz w:val="20"/>
                <w:szCs w:val="20"/>
              </w:rPr>
              <w:t xml:space="preserve"> test Independent-Samples</w:t>
            </w:r>
          </w:p>
        </w:tc>
        <w:tc>
          <w:tcPr>
            <w:tcW w:w="709" w:type="dxa"/>
          </w:tcPr>
          <w:p w14:paraId="086EF952" w14:textId="03F1F5D2" w:rsidR="0002542D" w:rsidRPr="00D91407" w:rsidRDefault="006D2925" w:rsidP="0002542D">
            <w:pPr>
              <w:spacing w:line="259" w:lineRule="auto"/>
              <w:jc w:val="left"/>
              <w:rPr>
                <w:sz w:val="20"/>
                <w:szCs w:val="20"/>
              </w:rPr>
            </w:pPr>
            <w:r>
              <w:rPr>
                <w:sz w:val="20"/>
                <w:szCs w:val="20"/>
              </w:rPr>
              <w:t>52</w:t>
            </w:r>
          </w:p>
        </w:tc>
        <w:tc>
          <w:tcPr>
            <w:tcW w:w="992" w:type="dxa"/>
          </w:tcPr>
          <w:p w14:paraId="245F61A2" w14:textId="40864955" w:rsidR="0002542D" w:rsidRPr="00D91407" w:rsidRDefault="00CF5E79" w:rsidP="0002542D">
            <w:pPr>
              <w:spacing w:line="259" w:lineRule="auto"/>
              <w:jc w:val="left"/>
              <w:rPr>
                <w:sz w:val="20"/>
                <w:szCs w:val="20"/>
              </w:rPr>
            </w:pPr>
            <w:r>
              <w:rPr>
                <w:sz w:val="20"/>
                <w:szCs w:val="20"/>
              </w:rPr>
              <w:t>2.6</w:t>
            </w:r>
          </w:p>
        </w:tc>
        <w:tc>
          <w:tcPr>
            <w:tcW w:w="1134" w:type="dxa"/>
          </w:tcPr>
          <w:p w14:paraId="7A314915" w14:textId="3109A18A" w:rsidR="0002542D" w:rsidRPr="00D91407" w:rsidRDefault="00CF5E79" w:rsidP="0002542D">
            <w:pPr>
              <w:spacing w:line="259" w:lineRule="auto"/>
              <w:jc w:val="left"/>
              <w:rPr>
                <w:sz w:val="20"/>
                <w:szCs w:val="20"/>
              </w:rPr>
            </w:pPr>
            <w:r>
              <w:rPr>
                <w:sz w:val="20"/>
                <w:szCs w:val="20"/>
              </w:rPr>
              <w:t>2</w:t>
            </w:r>
          </w:p>
        </w:tc>
        <w:tc>
          <w:tcPr>
            <w:tcW w:w="1031" w:type="dxa"/>
          </w:tcPr>
          <w:p w14:paraId="4FCDA489" w14:textId="63409DFC" w:rsidR="0002542D" w:rsidRPr="00D91407" w:rsidRDefault="0002542D" w:rsidP="0002542D">
            <w:pPr>
              <w:spacing w:line="259" w:lineRule="auto"/>
              <w:jc w:val="left"/>
              <w:rPr>
                <w:sz w:val="20"/>
                <w:szCs w:val="20"/>
              </w:rPr>
            </w:pPr>
            <w:r>
              <w:rPr>
                <w:sz w:val="20"/>
                <w:szCs w:val="20"/>
              </w:rPr>
              <w:t>0.</w:t>
            </w:r>
            <w:r w:rsidR="00CF5E79">
              <w:rPr>
                <w:sz w:val="20"/>
                <w:szCs w:val="20"/>
              </w:rPr>
              <w:t>27</w:t>
            </w:r>
          </w:p>
        </w:tc>
        <w:tc>
          <w:tcPr>
            <w:tcW w:w="1404" w:type="dxa"/>
          </w:tcPr>
          <w:p w14:paraId="1F2E09FE" w14:textId="06A433B2" w:rsidR="0002542D" w:rsidRPr="00D91407" w:rsidRDefault="0002542D" w:rsidP="0002542D">
            <w:pPr>
              <w:spacing w:line="259" w:lineRule="auto"/>
              <w:jc w:val="left"/>
              <w:rPr>
                <w:sz w:val="20"/>
                <w:szCs w:val="20"/>
              </w:rPr>
            </w:pPr>
            <w:r>
              <w:rPr>
                <w:sz w:val="20"/>
                <w:szCs w:val="20"/>
              </w:rPr>
              <w:t>Retain the null hypothesis</w:t>
            </w:r>
          </w:p>
        </w:tc>
      </w:tr>
      <w:tr w:rsidR="0002542D" w14:paraId="37E78D0D" w14:textId="77777777" w:rsidTr="00D53325">
        <w:trPr>
          <w:trHeight w:val="416"/>
        </w:trPr>
        <w:tc>
          <w:tcPr>
            <w:tcW w:w="2689" w:type="dxa"/>
          </w:tcPr>
          <w:p w14:paraId="3573129F" w14:textId="3554A73A" w:rsidR="0002542D" w:rsidRPr="00D91407" w:rsidRDefault="0002542D" w:rsidP="0002542D">
            <w:pPr>
              <w:spacing w:line="259" w:lineRule="auto"/>
              <w:jc w:val="left"/>
              <w:rPr>
                <w:sz w:val="20"/>
                <w:szCs w:val="20"/>
              </w:rPr>
            </w:pPr>
            <w:r w:rsidRPr="00D91407">
              <w:rPr>
                <w:sz w:val="20"/>
                <w:szCs w:val="20"/>
              </w:rPr>
              <w:t xml:space="preserve">The distribution of </w:t>
            </w:r>
            <w:r w:rsidRPr="00575CD3">
              <w:rPr>
                <w:b/>
                <w:bCs/>
                <w:sz w:val="20"/>
                <w:szCs w:val="20"/>
              </w:rPr>
              <w:t>Gender</w:t>
            </w:r>
            <w:r w:rsidRPr="00D91407">
              <w:rPr>
                <w:sz w:val="20"/>
                <w:szCs w:val="20"/>
              </w:rPr>
              <w:t xml:space="preserve"> is the same across </w:t>
            </w:r>
            <w:r>
              <w:rPr>
                <w:sz w:val="20"/>
                <w:szCs w:val="20"/>
              </w:rPr>
              <w:t>treatment groups</w:t>
            </w:r>
          </w:p>
        </w:tc>
        <w:tc>
          <w:tcPr>
            <w:tcW w:w="1984" w:type="dxa"/>
          </w:tcPr>
          <w:p w14:paraId="1A9E1ECD" w14:textId="1B668726" w:rsidR="0002542D" w:rsidRPr="00D91407" w:rsidRDefault="0002542D" w:rsidP="0002542D">
            <w:pPr>
              <w:spacing w:line="259" w:lineRule="auto"/>
              <w:jc w:val="left"/>
              <w:rPr>
                <w:sz w:val="20"/>
                <w:szCs w:val="20"/>
              </w:rPr>
            </w:pPr>
            <w:r w:rsidRPr="00575CD3">
              <w:rPr>
                <w:sz w:val="20"/>
                <w:szCs w:val="20"/>
              </w:rPr>
              <w:t>Pearson Chi-Square</w:t>
            </w:r>
          </w:p>
        </w:tc>
        <w:tc>
          <w:tcPr>
            <w:tcW w:w="709" w:type="dxa"/>
          </w:tcPr>
          <w:p w14:paraId="3F106B6D" w14:textId="31E65B4F" w:rsidR="0002542D" w:rsidRDefault="006D2925" w:rsidP="0002542D">
            <w:pPr>
              <w:spacing w:line="259" w:lineRule="auto"/>
              <w:jc w:val="left"/>
              <w:rPr>
                <w:sz w:val="20"/>
                <w:szCs w:val="20"/>
              </w:rPr>
            </w:pPr>
            <w:r>
              <w:rPr>
                <w:sz w:val="20"/>
                <w:szCs w:val="20"/>
              </w:rPr>
              <w:t>52</w:t>
            </w:r>
          </w:p>
        </w:tc>
        <w:tc>
          <w:tcPr>
            <w:tcW w:w="992" w:type="dxa"/>
          </w:tcPr>
          <w:p w14:paraId="73F5FCFA" w14:textId="5E15DC60" w:rsidR="0002542D" w:rsidRDefault="006D2925" w:rsidP="0002542D">
            <w:pPr>
              <w:spacing w:line="259" w:lineRule="auto"/>
              <w:jc w:val="left"/>
              <w:rPr>
                <w:sz w:val="20"/>
                <w:szCs w:val="20"/>
              </w:rPr>
            </w:pPr>
            <w:r>
              <w:rPr>
                <w:sz w:val="20"/>
                <w:szCs w:val="20"/>
              </w:rPr>
              <w:t>0.06</w:t>
            </w:r>
          </w:p>
        </w:tc>
        <w:tc>
          <w:tcPr>
            <w:tcW w:w="1134" w:type="dxa"/>
          </w:tcPr>
          <w:p w14:paraId="3EF6EE7E" w14:textId="3A3E591A" w:rsidR="0002542D" w:rsidRDefault="006D2925" w:rsidP="0002542D">
            <w:pPr>
              <w:spacing w:line="259" w:lineRule="auto"/>
              <w:jc w:val="left"/>
              <w:rPr>
                <w:sz w:val="20"/>
                <w:szCs w:val="20"/>
              </w:rPr>
            </w:pPr>
            <w:r>
              <w:rPr>
                <w:sz w:val="20"/>
                <w:szCs w:val="20"/>
              </w:rPr>
              <w:t>2</w:t>
            </w:r>
          </w:p>
        </w:tc>
        <w:tc>
          <w:tcPr>
            <w:tcW w:w="1031" w:type="dxa"/>
          </w:tcPr>
          <w:p w14:paraId="2228325D" w14:textId="6797C85C" w:rsidR="0002542D" w:rsidRDefault="0002542D" w:rsidP="0002542D">
            <w:pPr>
              <w:spacing w:line="259" w:lineRule="auto"/>
              <w:jc w:val="left"/>
              <w:rPr>
                <w:sz w:val="20"/>
                <w:szCs w:val="20"/>
              </w:rPr>
            </w:pPr>
            <w:r>
              <w:rPr>
                <w:sz w:val="20"/>
                <w:szCs w:val="20"/>
              </w:rPr>
              <w:t>0.</w:t>
            </w:r>
            <w:r w:rsidR="006D2925">
              <w:rPr>
                <w:sz w:val="20"/>
                <w:szCs w:val="20"/>
              </w:rPr>
              <w:t>97</w:t>
            </w:r>
          </w:p>
        </w:tc>
        <w:tc>
          <w:tcPr>
            <w:tcW w:w="1404" w:type="dxa"/>
          </w:tcPr>
          <w:p w14:paraId="7B20E469" w14:textId="4E7F34FD" w:rsidR="0002542D" w:rsidRDefault="0002542D" w:rsidP="0002542D">
            <w:pPr>
              <w:spacing w:line="259" w:lineRule="auto"/>
              <w:jc w:val="left"/>
              <w:rPr>
                <w:sz w:val="20"/>
                <w:szCs w:val="20"/>
              </w:rPr>
            </w:pPr>
            <w:r>
              <w:rPr>
                <w:sz w:val="20"/>
                <w:szCs w:val="20"/>
              </w:rPr>
              <w:t>Retain the null hypothesis</w:t>
            </w:r>
          </w:p>
        </w:tc>
      </w:tr>
      <w:tr w:rsidR="0002542D" w14:paraId="098691F6" w14:textId="77777777" w:rsidTr="00D53325">
        <w:trPr>
          <w:trHeight w:val="416"/>
        </w:trPr>
        <w:tc>
          <w:tcPr>
            <w:tcW w:w="2689" w:type="dxa"/>
          </w:tcPr>
          <w:p w14:paraId="491AFDC5" w14:textId="71A18BFA" w:rsidR="0002542D" w:rsidRPr="00D91407" w:rsidRDefault="0002542D" w:rsidP="0002542D">
            <w:pPr>
              <w:spacing w:line="259" w:lineRule="auto"/>
              <w:jc w:val="left"/>
              <w:rPr>
                <w:sz w:val="20"/>
                <w:szCs w:val="20"/>
              </w:rPr>
            </w:pPr>
            <w:r w:rsidRPr="00D91407">
              <w:rPr>
                <w:sz w:val="20"/>
                <w:szCs w:val="20"/>
              </w:rPr>
              <w:t xml:space="preserve">The distribution of </w:t>
            </w:r>
            <w:r>
              <w:rPr>
                <w:b/>
                <w:bCs/>
                <w:sz w:val="20"/>
                <w:szCs w:val="20"/>
              </w:rPr>
              <w:t>Education attainment</w:t>
            </w:r>
            <w:r w:rsidRPr="00D91407">
              <w:rPr>
                <w:sz w:val="20"/>
                <w:szCs w:val="20"/>
              </w:rPr>
              <w:t xml:space="preserve"> is the same across </w:t>
            </w:r>
            <w:r>
              <w:rPr>
                <w:sz w:val="20"/>
                <w:szCs w:val="20"/>
              </w:rPr>
              <w:t>treatment groups</w:t>
            </w:r>
          </w:p>
        </w:tc>
        <w:tc>
          <w:tcPr>
            <w:tcW w:w="1984" w:type="dxa"/>
          </w:tcPr>
          <w:p w14:paraId="2B864470" w14:textId="26352763" w:rsidR="0002542D" w:rsidRPr="00D91407" w:rsidRDefault="0002542D" w:rsidP="0002542D">
            <w:pPr>
              <w:spacing w:line="259" w:lineRule="auto"/>
              <w:jc w:val="left"/>
              <w:rPr>
                <w:sz w:val="20"/>
                <w:szCs w:val="20"/>
              </w:rPr>
            </w:pPr>
            <w:r w:rsidRPr="00575CD3">
              <w:rPr>
                <w:sz w:val="20"/>
                <w:szCs w:val="20"/>
              </w:rPr>
              <w:t>Pearson Chi-Square</w:t>
            </w:r>
          </w:p>
        </w:tc>
        <w:tc>
          <w:tcPr>
            <w:tcW w:w="709" w:type="dxa"/>
          </w:tcPr>
          <w:p w14:paraId="58FC364E" w14:textId="011AC07D" w:rsidR="0002542D" w:rsidRDefault="006D2925" w:rsidP="0002542D">
            <w:pPr>
              <w:spacing w:line="259" w:lineRule="auto"/>
              <w:jc w:val="left"/>
              <w:rPr>
                <w:sz w:val="20"/>
                <w:szCs w:val="20"/>
              </w:rPr>
            </w:pPr>
            <w:r>
              <w:rPr>
                <w:sz w:val="20"/>
                <w:szCs w:val="20"/>
              </w:rPr>
              <w:t>52</w:t>
            </w:r>
          </w:p>
        </w:tc>
        <w:tc>
          <w:tcPr>
            <w:tcW w:w="992" w:type="dxa"/>
          </w:tcPr>
          <w:p w14:paraId="5EBC4253" w14:textId="5276FD5E" w:rsidR="0002542D" w:rsidRDefault="00CF5E79" w:rsidP="0002542D">
            <w:pPr>
              <w:spacing w:line="259" w:lineRule="auto"/>
              <w:jc w:val="left"/>
              <w:rPr>
                <w:sz w:val="20"/>
                <w:szCs w:val="20"/>
              </w:rPr>
            </w:pPr>
            <w:r>
              <w:rPr>
                <w:sz w:val="20"/>
                <w:szCs w:val="20"/>
              </w:rPr>
              <w:t>3.48</w:t>
            </w:r>
          </w:p>
        </w:tc>
        <w:tc>
          <w:tcPr>
            <w:tcW w:w="1134" w:type="dxa"/>
          </w:tcPr>
          <w:p w14:paraId="77494AE2" w14:textId="5409B4E9" w:rsidR="0002542D" w:rsidRDefault="00CF5E79" w:rsidP="0002542D">
            <w:pPr>
              <w:spacing w:line="259" w:lineRule="auto"/>
              <w:jc w:val="left"/>
              <w:rPr>
                <w:sz w:val="20"/>
                <w:szCs w:val="20"/>
              </w:rPr>
            </w:pPr>
            <w:r>
              <w:rPr>
                <w:sz w:val="20"/>
                <w:szCs w:val="20"/>
              </w:rPr>
              <w:t>4</w:t>
            </w:r>
          </w:p>
        </w:tc>
        <w:tc>
          <w:tcPr>
            <w:tcW w:w="1031" w:type="dxa"/>
          </w:tcPr>
          <w:p w14:paraId="51CAAD0C" w14:textId="53697062" w:rsidR="0002542D" w:rsidRDefault="0002542D" w:rsidP="0002542D">
            <w:pPr>
              <w:spacing w:line="259" w:lineRule="auto"/>
              <w:jc w:val="left"/>
              <w:rPr>
                <w:sz w:val="20"/>
                <w:szCs w:val="20"/>
              </w:rPr>
            </w:pPr>
            <w:r>
              <w:rPr>
                <w:sz w:val="20"/>
                <w:szCs w:val="20"/>
              </w:rPr>
              <w:t>0.</w:t>
            </w:r>
            <w:r w:rsidR="00CF5E79">
              <w:rPr>
                <w:sz w:val="20"/>
                <w:szCs w:val="20"/>
              </w:rPr>
              <w:t>48</w:t>
            </w:r>
          </w:p>
        </w:tc>
        <w:tc>
          <w:tcPr>
            <w:tcW w:w="1404" w:type="dxa"/>
          </w:tcPr>
          <w:p w14:paraId="675D8364" w14:textId="5164590E" w:rsidR="0002542D" w:rsidRDefault="0002542D" w:rsidP="0002542D">
            <w:pPr>
              <w:spacing w:line="259" w:lineRule="auto"/>
              <w:jc w:val="left"/>
              <w:rPr>
                <w:sz w:val="20"/>
                <w:szCs w:val="20"/>
              </w:rPr>
            </w:pPr>
            <w:r>
              <w:rPr>
                <w:sz w:val="20"/>
                <w:szCs w:val="20"/>
              </w:rPr>
              <w:t>Retain the null hypothesis</w:t>
            </w:r>
          </w:p>
        </w:tc>
      </w:tr>
      <w:tr w:rsidR="0002542D" w14:paraId="2917DD18" w14:textId="77777777" w:rsidTr="00D53325">
        <w:trPr>
          <w:trHeight w:val="416"/>
        </w:trPr>
        <w:tc>
          <w:tcPr>
            <w:tcW w:w="2689" w:type="dxa"/>
          </w:tcPr>
          <w:p w14:paraId="0A9A3CCC" w14:textId="35D82E54" w:rsidR="0002542D" w:rsidRPr="00D91407" w:rsidRDefault="0002542D" w:rsidP="0002542D">
            <w:pPr>
              <w:spacing w:line="259" w:lineRule="auto"/>
              <w:jc w:val="left"/>
              <w:rPr>
                <w:sz w:val="20"/>
                <w:szCs w:val="20"/>
              </w:rPr>
            </w:pPr>
            <w:r w:rsidRPr="00D91407">
              <w:rPr>
                <w:sz w:val="20"/>
                <w:szCs w:val="20"/>
              </w:rPr>
              <w:t xml:space="preserve">The distribution of </w:t>
            </w:r>
            <w:r w:rsidRPr="00575CD3">
              <w:rPr>
                <w:b/>
                <w:bCs/>
                <w:sz w:val="20"/>
                <w:szCs w:val="20"/>
              </w:rPr>
              <w:t>Ethnicity</w:t>
            </w:r>
            <w:r w:rsidRPr="00D91407">
              <w:rPr>
                <w:sz w:val="20"/>
                <w:szCs w:val="20"/>
              </w:rPr>
              <w:t xml:space="preserve"> is the same across </w:t>
            </w:r>
            <w:r>
              <w:rPr>
                <w:sz w:val="20"/>
                <w:szCs w:val="20"/>
              </w:rPr>
              <w:t>treatment groups</w:t>
            </w:r>
          </w:p>
        </w:tc>
        <w:tc>
          <w:tcPr>
            <w:tcW w:w="1984" w:type="dxa"/>
          </w:tcPr>
          <w:p w14:paraId="5A1B1AF3" w14:textId="6C821B8B" w:rsidR="0002542D" w:rsidRPr="00D91407" w:rsidRDefault="0002542D" w:rsidP="0002542D">
            <w:pPr>
              <w:spacing w:line="259" w:lineRule="auto"/>
              <w:jc w:val="left"/>
              <w:rPr>
                <w:sz w:val="20"/>
                <w:szCs w:val="20"/>
              </w:rPr>
            </w:pPr>
            <w:r w:rsidRPr="00575CD3">
              <w:rPr>
                <w:sz w:val="20"/>
                <w:szCs w:val="20"/>
              </w:rPr>
              <w:t>Pearson Chi-Square</w:t>
            </w:r>
          </w:p>
        </w:tc>
        <w:tc>
          <w:tcPr>
            <w:tcW w:w="709" w:type="dxa"/>
          </w:tcPr>
          <w:p w14:paraId="5CE5C8FF" w14:textId="5CB8AD1F" w:rsidR="0002542D" w:rsidRDefault="0002542D" w:rsidP="0002542D">
            <w:pPr>
              <w:spacing w:line="259" w:lineRule="auto"/>
              <w:jc w:val="left"/>
              <w:rPr>
                <w:sz w:val="20"/>
                <w:szCs w:val="20"/>
              </w:rPr>
            </w:pPr>
            <w:r>
              <w:rPr>
                <w:sz w:val="20"/>
                <w:szCs w:val="20"/>
              </w:rPr>
              <w:t>461</w:t>
            </w:r>
          </w:p>
        </w:tc>
        <w:tc>
          <w:tcPr>
            <w:tcW w:w="992" w:type="dxa"/>
          </w:tcPr>
          <w:p w14:paraId="765CCDFA" w14:textId="7AA7E120" w:rsidR="0002542D" w:rsidRDefault="00CF5E79" w:rsidP="0002542D">
            <w:pPr>
              <w:spacing w:line="259" w:lineRule="auto"/>
              <w:jc w:val="left"/>
              <w:rPr>
                <w:sz w:val="20"/>
                <w:szCs w:val="20"/>
              </w:rPr>
            </w:pPr>
            <w:r>
              <w:rPr>
                <w:sz w:val="20"/>
                <w:szCs w:val="20"/>
              </w:rPr>
              <w:t>10.63</w:t>
            </w:r>
          </w:p>
        </w:tc>
        <w:tc>
          <w:tcPr>
            <w:tcW w:w="1134" w:type="dxa"/>
          </w:tcPr>
          <w:p w14:paraId="6156ECE0" w14:textId="32C6EF42" w:rsidR="0002542D" w:rsidRDefault="00CF5E79" w:rsidP="0002542D">
            <w:pPr>
              <w:spacing w:line="259" w:lineRule="auto"/>
              <w:jc w:val="left"/>
              <w:rPr>
                <w:sz w:val="20"/>
                <w:szCs w:val="20"/>
              </w:rPr>
            </w:pPr>
            <w:r>
              <w:rPr>
                <w:sz w:val="20"/>
                <w:szCs w:val="20"/>
              </w:rPr>
              <w:t>8</w:t>
            </w:r>
          </w:p>
        </w:tc>
        <w:tc>
          <w:tcPr>
            <w:tcW w:w="1031" w:type="dxa"/>
          </w:tcPr>
          <w:p w14:paraId="5ECA2D5B" w14:textId="669D01E9" w:rsidR="0002542D" w:rsidRPr="00CF5E79" w:rsidRDefault="0002542D" w:rsidP="0002542D">
            <w:pPr>
              <w:spacing w:line="259" w:lineRule="auto"/>
              <w:jc w:val="left"/>
              <w:rPr>
                <w:sz w:val="20"/>
                <w:szCs w:val="20"/>
              </w:rPr>
            </w:pPr>
            <w:r w:rsidRPr="005D7515">
              <w:rPr>
                <w:sz w:val="20"/>
                <w:szCs w:val="20"/>
              </w:rPr>
              <w:t>0.</w:t>
            </w:r>
            <w:r w:rsidR="00CF5E79" w:rsidRPr="005D7515">
              <w:rPr>
                <w:sz w:val="20"/>
                <w:szCs w:val="20"/>
              </w:rPr>
              <w:t>22</w:t>
            </w:r>
          </w:p>
        </w:tc>
        <w:tc>
          <w:tcPr>
            <w:tcW w:w="1404" w:type="dxa"/>
          </w:tcPr>
          <w:p w14:paraId="0D3AF00D" w14:textId="7A722308" w:rsidR="0002542D" w:rsidRDefault="00CF5E79" w:rsidP="0002542D">
            <w:pPr>
              <w:spacing w:line="259" w:lineRule="auto"/>
              <w:jc w:val="left"/>
              <w:rPr>
                <w:sz w:val="20"/>
                <w:szCs w:val="20"/>
              </w:rPr>
            </w:pPr>
            <w:r>
              <w:rPr>
                <w:sz w:val="20"/>
                <w:szCs w:val="20"/>
              </w:rPr>
              <w:t>Retain the null hypothesis</w:t>
            </w:r>
          </w:p>
        </w:tc>
      </w:tr>
      <w:tr w:rsidR="0002542D" w14:paraId="48E3F7C5" w14:textId="77777777" w:rsidTr="00D53325">
        <w:trPr>
          <w:trHeight w:val="416"/>
        </w:trPr>
        <w:tc>
          <w:tcPr>
            <w:tcW w:w="2689" w:type="dxa"/>
          </w:tcPr>
          <w:p w14:paraId="1389A84E" w14:textId="5BDB8DA2" w:rsidR="0002542D" w:rsidRPr="00D91407" w:rsidRDefault="0002542D" w:rsidP="0002542D">
            <w:pPr>
              <w:spacing w:line="259" w:lineRule="auto"/>
              <w:jc w:val="left"/>
              <w:rPr>
                <w:sz w:val="20"/>
                <w:szCs w:val="20"/>
              </w:rPr>
            </w:pPr>
            <w:r w:rsidRPr="00D91407">
              <w:rPr>
                <w:sz w:val="20"/>
                <w:szCs w:val="20"/>
              </w:rPr>
              <w:t xml:space="preserve">The distribution of </w:t>
            </w:r>
            <w:r w:rsidRPr="00575CD3">
              <w:rPr>
                <w:b/>
                <w:bCs/>
                <w:sz w:val="20"/>
                <w:szCs w:val="20"/>
              </w:rPr>
              <w:t>Nature connectedness</w:t>
            </w:r>
            <w:r w:rsidRPr="00D91407">
              <w:rPr>
                <w:sz w:val="20"/>
                <w:szCs w:val="20"/>
              </w:rPr>
              <w:t xml:space="preserve"> is the same across </w:t>
            </w:r>
            <w:r>
              <w:rPr>
                <w:sz w:val="20"/>
                <w:szCs w:val="20"/>
              </w:rPr>
              <w:t>treatment groups</w:t>
            </w:r>
          </w:p>
        </w:tc>
        <w:tc>
          <w:tcPr>
            <w:tcW w:w="1984" w:type="dxa"/>
          </w:tcPr>
          <w:p w14:paraId="230A6FDC" w14:textId="666E0F7C" w:rsidR="0002542D" w:rsidRPr="00D91407" w:rsidRDefault="0002542D" w:rsidP="0002542D">
            <w:pPr>
              <w:spacing w:line="259" w:lineRule="auto"/>
              <w:jc w:val="left"/>
              <w:rPr>
                <w:sz w:val="20"/>
                <w:szCs w:val="20"/>
              </w:rPr>
            </w:pPr>
            <w:r w:rsidRPr="00575CD3">
              <w:rPr>
                <w:sz w:val="20"/>
                <w:szCs w:val="20"/>
              </w:rPr>
              <w:t>Pearson Chi-Square</w:t>
            </w:r>
          </w:p>
        </w:tc>
        <w:tc>
          <w:tcPr>
            <w:tcW w:w="709" w:type="dxa"/>
          </w:tcPr>
          <w:p w14:paraId="62721540" w14:textId="0144B24B" w:rsidR="0002542D" w:rsidRDefault="0002542D" w:rsidP="0002542D">
            <w:pPr>
              <w:spacing w:line="259" w:lineRule="auto"/>
              <w:jc w:val="left"/>
              <w:rPr>
                <w:sz w:val="20"/>
                <w:szCs w:val="20"/>
              </w:rPr>
            </w:pPr>
            <w:r>
              <w:rPr>
                <w:sz w:val="20"/>
                <w:szCs w:val="20"/>
              </w:rPr>
              <w:t>463</w:t>
            </w:r>
          </w:p>
        </w:tc>
        <w:tc>
          <w:tcPr>
            <w:tcW w:w="992" w:type="dxa"/>
          </w:tcPr>
          <w:p w14:paraId="4DA61948" w14:textId="0AFA2DCD" w:rsidR="0002542D" w:rsidRDefault="00CF5E79" w:rsidP="0002542D">
            <w:pPr>
              <w:spacing w:line="259" w:lineRule="auto"/>
              <w:jc w:val="left"/>
              <w:rPr>
                <w:sz w:val="20"/>
                <w:szCs w:val="20"/>
              </w:rPr>
            </w:pPr>
            <w:r>
              <w:rPr>
                <w:sz w:val="20"/>
                <w:szCs w:val="20"/>
              </w:rPr>
              <w:t>9.11</w:t>
            </w:r>
          </w:p>
        </w:tc>
        <w:tc>
          <w:tcPr>
            <w:tcW w:w="1134" w:type="dxa"/>
          </w:tcPr>
          <w:p w14:paraId="7824C19C" w14:textId="493B6361" w:rsidR="0002542D" w:rsidRDefault="0002542D" w:rsidP="0002542D">
            <w:pPr>
              <w:spacing w:line="259" w:lineRule="auto"/>
              <w:jc w:val="left"/>
              <w:rPr>
                <w:sz w:val="20"/>
                <w:szCs w:val="20"/>
              </w:rPr>
            </w:pPr>
            <w:r>
              <w:rPr>
                <w:sz w:val="20"/>
                <w:szCs w:val="20"/>
              </w:rPr>
              <w:t>1</w:t>
            </w:r>
            <w:r w:rsidR="00CF5E79">
              <w:rPr>
                <w:sz w:val="20"/>
                <w:szCs w:val="20"/>
              </w:rPr>
              <w:t>0</w:t>
            </w:r>
          </w:p>
        </w:tc>
        <w:tc>
          <w:tcPr>
            <w:tcW w:w="1031" w:type="dxa"/>
          </w:tcPr>
          <w:p w14:paraId="35247170" w14:textId="51D35B01" w:rsidR="0002542D" w:rsidRDefault="0002542D" w:rsidP="0002542D">
            <w:pPr>
              <w:spacing w:line="259" w:lineRule="auto"/>
              <w:jc w:val="left"/>
              <w:rPr>
                <w:sz w:val="20"/>
                <w:szCs w:val="20"/>
              </w:rPr>
            </w:pPr>
            <w:r>
              <w:rPr>
                <w:sz w:val="20"/>
                <w:szCs w:val="20"/>
              </w:rPr>
              <w:t>0.</w:t>
            </w:r>
            <w:r w:rsidR="00CF5E79">
              <w:rPr>
                <w:sz w:val="20"/>
                <w:szCs w:val="20"/>
              </w:rPr>
              <w:t>52</w:t>
            </w:r>
          </w:p>
        </w:tc>
        <w:tc>
          <w:tcPr>
            <w:tcW w:w="1404" w:type="dxa"/>
          </w:tcPr>
          <w:p w14:paraId="5220A197" w14:textId="40677434" w:rsidR="0002542D" w:rsidRDefault="0002542D" w:rsidP="0002542D">
            <w:pPr>
              <w:spacing w:line="259" w:lineRule="auto"/>
              <w:jc w:val="left"/>
              <w:rPr>
                <w:sz w:val="20"/>
                <w:szCs w:val="20"/>
              </w:rPr>
            </w:pPr>
            <w:r>
              <w:rPr>
                <w:sz w:val="20"/>
                <w:szCs w:val="20"/>
              </w:rPr>
              <w:t>Retain the null hypothesis</w:t>
            </w:r>
          </w:p>
        </w:tc>
      </w:tr>
    </w:tbl>
    <w:p w14:paraId="2DD32527" w14:textId="77777777" w:rsidR="003D468F" w:rsidRPr="003D468F" w:rsidRDefault="003D468F" w:rsidP="005D7515"/>
    <w:p w14:paraId="1D41BFFD" w14:textId="592E8AB6" w:rsidR="0030377C" w:rsidRPr="00C05886" w:rsidRDefault="0030377C" w:rsidP="0030377C">
      <w:pPr>
        <w:pStyle w:val="Heading3"/>
      </w:pPr>
      <w:bookmarkStart w:id="199" w:name="_Toc179962435"/>
      <w:r w:rsidRPr="00C05886">
        <w:t>Face to face - Participant information sheet</w:t>
      </w:r>
      <w:bookmarkEnd w:id="199"/>
    </w:p>
    <w:p w14:paraId="24042769" w14:textId="77777777" w:rsidR="0030377C" w:rsidRPr="00C05886" w:rsidRDefault="0030377C" w:rsidP="000536CE">
      <w:pPr>
        <w:spacing w:after="0" w:line="240" w:lineRule="auto"/>
        <w:rPr>
          <w:rFonts w:eastAsia="Times New Roman" w:cstheme="minorHAnsi"/>
          <w:b/>
          <w:bCs/>
          <w:szCs w:val="24"/>
          <w:lang w:eastAsia="en-GB"/>
        </w:rPr>
      </w:pPr>
      <w:r w:rsidRPr="00C05886">
        <w:rPr>
          <w:rFonts w:eastAsia="Times New Roman" w:cstheme="minorHAnsi"/>
          <w:b/>
          <w:bCs/>
          <w:szCs w:val="24"/>
          <w:lang w:eastAsia="en-GB"/>
        </w:rPr>
        <w:t xml:space="preserve">Welcome! </w:t>
      </w:r>
    </w:p>
    <w:p w14:paraId="4E68A423" w14:textId="77777777" w:rsidR="0030377C" w:rsidRPr="00C05886" w:rsidRDefault="0030377C" w:rsidP="000536CE">
      <w:pPr>
        <w:spacing w:after="0" w:line="240" w:lineRule="auto"/>
        <w:rPr>
          <w:rFonts w:eastAsia="Times New Roman" w:cstheme="minorHAnsi"/>
          <w:szCs w:val="24"/>
          <w:lang w:eastAsia="en-GB"/>
        </w:rPr>
      </w:pPr>
      <w:r w:rsidRPr="00C05886">
        <w:rPr>
          <w:rFonts w:eastAsia="Times New Roman" w:cstheme="minorHAnsi"/>
          <w:b/>
          <w:bCs/>
          <w:szCs w:val="24"/>
          <w:lang w:eastAsia="en-GB"/>
        </w:rPr>
        <w:t>Please, read this page carefully</w:t>
      </w:r>
      <w:r w:rsidRPr="00C05886">
        <w:rPr>
          <w:rFonts w:eastAsia="Times New Roman" w:cstheme="minorHAnsi"/>
          <w:szCs w:val="24"/>
          <w:lang w:eastAsia="en-GB"/>
        </w:rPr>
        <w:t>.</w:t>
      </w:r>
    </w:p>
    <w:p w14:paraId="1F6DA703" w14:textId="77777777" w:rsidR="0030377C" w:rsidRPr="00C05886" w:rsidRDefault="0030377C" w:rsidP="000536CE">
      <w:pPr>
        <w:spacing w:after="0" w:line="240" w:lineRule="auto"/>
        <w:rPr>
          <w:rFonts w:eastAsia="Times New Roman" w:cstheme="minorHAnsi"/>
          <w:szCs w:val="24"/>
          <w:lang w:eastAsia="en-GB"/>
        </w:rPr>
      </w:pPr>
    </w:p>
    <w:p w14:paraId="4CACDED4" w14:textId="77777777" w:rsidR="0030377C" w:rsidRPr="00C05886" w:rsidRDefault="0030377C" w:rsidP="000536CE">
      <w:pPr>
        <w:spacing w:after="0" w:line="240" w:lineRule="auto"/>
        <w:rPr>
          <w:rFonts w:eastAsia="Times New Roman" w:cstheme="minorHAnsi"/>
          <w:szCs w:val="24"/>
          <w:lang w:eastAsia="en-GB"/>
        </w:rPr>
      </w:pPr>
      <w:r w:rsidRPr="00C05886">
        <w:rPr>
          <w:rFonts w:eastAsia="Times New Roman" w:cstheme="minorHAnsi"/>
          <w:b/>
          <w:bCs/>
          <w:szCs w:val="24"/>
          <w:lang w:eastAsia="en-GB"/>
        </w:rPr>
        <w:t>About the project</w:t>
      </w:r>
    </w:p>
    <w:p w14:paraId="1EED4276" w14:textId="77777777" w:rsidR="0030377C" w:rsidRPr="00C05886" w:rsidRDefault="0030377C" w:rsidP="000536CE">
      <w:pPr>
        <w:spacing w:line="240" w:lineRule="auto"/>
        <w:rPr>
          <w:rFonts w:eastAsia="Times New Roman" w:cstheme="minorHAnsi"/>
          <w:szCs w:val="24"/>
          <w:lang w:eastAsia="en-GB"/>
        </w:rPr>
      </w:pPr>
      <w:r w:rsidRPr="00C05886">
        <w:rPr>
          <w:rFonts w:eastAsia="Times New Roman" w:cstheme="minorHAnsi"/>
          <w:szCs w:val="24"/>
          <w:lang w:eastAsia="en-GB"/>
        </w:rPr>
        <w:lastRenderedPageBreak/>
        <w:t>“360 Park” is a study that uses an immersive 360-degree virtual tour to allow you to explore an urban park.</w:t>
      </w:r>
    </w:p>
    <w:p w14:paraId="0F1B5B5F" w14:textId="77777777" w:rsidR="0030377C" w:rsidRPr="00C05886" w:rsidRDefault="0030377C" w:rsidP="000536CE">
      <w:pPr>
        <w:spacing w:line="240" w:lineRule="auto"/>
        <w:rPr>
          <w:rFonts w:cstheme="minorHAnsi"/>
          <w:szCs w:val="24"/>
        </w:rPr>
      </w:pPr>
      <w:r w:rsidRPr="00C05886">
        <w:rPr>
          <w:rFonts w:eastAsia="Times New Roman" w:cstheme="minorHAnsi"/>
          <w:szCs w:val="24"/>
          <w:lang w:eastAsia="en-GB"/>
        </w:rPr>
        <w:t>Parks are common in cities but we still know too little about our emotional response to their features. This study is part of two PhD projects investigating how different planting styles may generate different emotional responses.</w:t>
      </w:r>
    </w:p>
    <w:p w14:paraId="278D0F53" w14:textId="77777777" w:rsidR="0030377C" w:rsidRPr="00C05886" w:rsidRDefault="0030377C" w:rsidP="000536CE">
      <w:pPr>
        <w:spacing w:after="0" w:line="240" w:lineRule="auto"/>
        <w:rPr>
          <w:rFonts w:eastAsia="Times New Roman" w:cstheme="minorHAnsi"/>
          <w:szCs w:val="24"/>
          <w:lang w:eastAsia="en-GB"/>
        </w:rPr>
      </w:pPr>
      <w:r w:rsidRPr="00C05886">
        <w:rPr>
          <w:rFonts w:eastAsia="Times New Roman" w:cstheme="minorHAnsi"/>
          <w:b/>
          <w:bCs/>
          <w:szCs w:val="24"/>
          <w:lang w:eastAsia="en-GB"/>
        </w:rPr>
        <w:t>What do I need to do?</w:t>
      </w:r>
    </w:p>
    <w:p w14:paraId="6991A563" w14:textId="77777777" w:rsidR="0030377C" w:rsidRPr="00C05886" w:rsidRDefault="0030377C" w:rsidP="000536CE">
      <w:pPr>
        <w:spacing w:after="0" w:line="240" w:lineRule="auto"/>
        <w:rPr>
          <w:rFonts w:eastAsia="Times New Roman" w:cstheme="minorHAnsi"/>
          <w:szCs w:val="24"/>
          <w:lang w:eastAsia="en-GB"/>
        </w:rPr>
      </w:pPr>
      <w:r w:rsidRPr="00C05886">
        <w:rPr>
          <w:rFonts w:eastAsia="Times New Roman" w:cstheme="minorHAnsi"/>
          <w:szCs w:val="24"/>
          <w:lang w:eastAsia="en-GB"/>
        </w:rPr>
        <w:t xml:space="preserve">You must be 18 or older to take part in this study. </w:t>
      </w:r>
    </w:p>
    <w:p w14:paraId="1382B6B0" w14:textId="77777777" w:rsidR="0030377C" w:rsidRPr="00C05886" w:rsidRDefault="0030377C" w:rsidP="000536CE">
      <w:pPr>
        <w:spacing w:after="0" w:line="240" w:lineRule="auto"/>
        <w:rPr>
          <w:rFonts w:eastAsia="Times New Roman" w:cstheme="minorHAnsi"/>
          <w:szCs w:val="24"/>
          <w:lang w:eastAsia="en-GB"/>
        </w:rPr>
      </w:pPr>
      <w:r w:rsidRPr="00C05886">
        <w:rPr>
          <w:rFonts w:eastAsia="Times New Roman" w:cstheme="minorHAnsi"/>
          <w:szCs w:val="24"/>
          <w:lang w:eastAsia="en-GB"/>
        </w:rPr>
        <w:t xml:space="preserve">You must also avoid drinking/eating anything with </w:t>
      </w:r>
      <w:r w:rsidRPr="00C05886">
        <w:rPr>
          <w:rFonts w:eastAsia="Times New Roman" w:cstheme="minorHAnsi"/>
          <w:b/>
          <w:bCs/>
          <w:szCs w:val="24"/>
          <w:lang w:eastAsia="en-GB"/>
        </w:rPr>
        <w:t>caffeine</w:t>
      </w:r>
      <w:r w:rsidRPr="00C05886">
        <w:rPr>
          <w:rFonts w:eastAsia="Times New Roman" w:cstheme="minorHAnsi"/>
          <w:szCs w:val="24"/>
          <w:lang w:eastAsia="en-GB"/>
        </w:rPr>
        <w:t xml:space="preserve"> (coffee, tea etc) for the </w:t>
      </w:r>
      <w:r w:rsidRPr="00C05886">
        <w:rPr>
          <w:rFonts w:eastAsia="Times New Roman" w:cstheme="minorHAnsi"/>
          <w:b/>
          <w:bCs/>
          <w:szCs w:val="24"/>
          <w:lang w:eastAsia="en-GB"/>
        </w:rPr>
        <w:t>2 hours</w:t>
      </w:r>
      <w:r w:rsidRPr="00C05886">
        <w:rPr>
          <w:rFonts w:eastAsia="Times New Roman" w:cstheme="minorHAnsi"/>
          <w:szCs w:val="24"/>
          <w:lang w:eastAsia="en-GB"/>
        </w:rPr>
        <w:t xml:space="preserve"> preceding your appointment.</w:t>
      </w:r>
    </w:p>
    <w:p w14:paraId="18A72ABF" w14:textId="77777777" w:rsidR="0030377C" w:rsidRPr="00C05886" w:rsidRDefault="0030377C" w:rsidP="000536CE">
      <w:pPr>
        <w:spacing w:after="0" w:line="240" w:lineRule="auto"/>
        <w:rPr>
          <w:rFonts w:eastAsia="Times New Roman" w:cstheme="minorHAnsi"/>
          <w:szCs w:val="24"/>
          <w:lang w:eastAsia="en-GB"/>
        </w:rPr>
      </w:pPr>
    </w:p>
    <w:p w14:paraId="601FACB0" w14:textId="77777777" w:rsidR="0030377C" w:rsidRPr="00C05886" w:rsidRDefault="0030377C" w:rsidP="000536CE">
      <w:pPr>
        <w:spacing w:after="0" w:line="240" w:lineRule="auto"/>
        <w:rPr>
          <w:rFonts w:eastAsia="Times New Roman" w:cstheme="minorHAnsi"/>
          <w:szCs w:val="24"/>
          <w:lang w:eastAsia="en-GB"/>
        </w:rPr>
      </w:pPr>
      <w:r w:rsidRPr="00C05886">
        <w:rPr>
          <w:rFonts w:eastAsia="Times New Roman" w:cstheme="minorHAnsi"/>
          <w:szCs w:val="24"/>
          <w:lang w:eastAsia="en-GB"/>
        </w:rPr>
        <w:t>You will complete a series of tasks on a computer while wearing a chest strap with sensors. These will record your heart rate while you are performing the tasks. Instructions on how to wear this equipment will be provided.</w:t>
      </w:r>
    </w:p>
    <w:p w14:paraId="3A30CAD5" w14:textId="77777777" w:rsidR="0030377C" w:rsidRPr="00C05886" w:rsidRDefault="0030377C" w:rsidP="000536CE">
      <w:pPr>
        <w:spacing w:after="0" w:line="240" w:lineRule="auto"/>
        <w:rPr>
          <w:rFonts w:eastAsia="Times New Roman" w:cstheme="minorHAnsi"/>
          <w:szCs w:val="24"/>
          <w:lang w:eastAsia="en-GB"/>
        </w:rPr>
      </w:pPr>
    </w:p>
    <w:p w14:paraId="7CE2209F" w14:textId="77777777" w:rsidR="0030377C" w:rsidRPr="00C05886" w:rsidRDefault="0030377C" w:rsidP="000536CE">
      <w:pPr>
        <w:spacing w:after="0" w:line="240" w:lineRule="auto"/>
        <w:rPr>
          <w:rFonts w:eastAsia="Times New Roman" w:cstheme="minorHAnsi"/>
          <w:szCs w:val="24"/>
          <w:lang w:eastAsia="en-GB"/>
        </w:rPr>
      </w:pPr>
      <w:r w:rsidRPr="00C05886">
        <w:rPr>
          <w:rFonts w:eastAsia="Times New Roman" w:cstheme="minorHAnsi"/>
          <w:szCs w:val="24"/>
          <w:lang w:eastAsia="en-GB"/>
        </w:rPr>
        <w:t>A survey procedure on the computer will guide you through the tasks. All you need to do is to follow the instructions on the screen.</w:t>
      </w:r>
    </w:p>
    <w:p w14:paraId="0A0A6C66" w14:textId="77777777" w:rsidR="0030377C" w:rsidRPr="00C05886" w:rsidRDefault="0030377C" w:rsidP="000536CE">
      <w:pPr>
        <w:spacing w:after="0" w:line="240" w:lineRule="auto"/>
        <w:rPr>
          <w:rFonts w:eastAsia="Times New Roman" w:cstheme="minorHAnsi"/>
          <w:szCs w:val="24"/>
          <w:lang w:eastAsia="en-GB"/>
        </w:rPr>
      </w:pPr>
      <w:r w:rsidRPr="00C05886">
        <w:rPr>
          <w:rFonts w:eastAsia="Times New Roman" w:cstheme="minorHAnsi"/>
          <w:szCs w:val="24"/>
          <w:lang w:eastAsia="en-GB"/>
        </w:rPr>
        <w:t>The tasks include:</w:t>
      </w:r>
    </w:p>
    <w:p w14:paraId="4CED499D" w14:textId="77777777" w:rsidR="0030377C" w:rsidRPr="00C05886" w:rsidRDefault="0030377C" w:rsidP="0030377C">
      <w:pPr>
        <w:pStyle w:val="ListParagraph"/>
        <w:numPr>
          <w:ilvl w:val="0"/>
          <w:numId w:val="35"/>
        </w:numPr>
        <w:spacing w:after="0" w:line="240" w:lineRule="auto"/>
        <w:rPr>
          <w:rFonts w:eastAsia="Times New Roman" w:cstheme="minorHAnsi"/>
          <w:szCs w:val="24"/>
          <w:lang w:eastAsia="en-GB"/>
        </w:rPr>
      </w:pPr>
      <w:r w:rsidRPr="00C05886">
        <w:rPr>
          <w:rFonts w:eastAsia="Times New Roman" w:cstheme="minorHAnsi"/>
          <w:szCs w:val="24"/>
          <w:lang w:eastAsia="en-GB"/>
        </w:rPr>
        <w:t xml:space="preserve">Fill a questionnaire about your emotional state at the start of the procedure and after each </w:t>
      </w:r>
      <w:proofErr w:type="gramStart"/>
      <w:r w:rsidRPr="00C05886">
        <w:rPr>
          <w:rFonts w:eastAsia="Times New Roman" w:cstheme="minorHAnsi"/>
          <w:szCs w:val="24"/>
          <w:lang w:eastAsia="en-GB"/>
        </w:rPr>
        <w:t>tasks</w:t>
      </w:r>
      <w:proofErr w:type="gramEnd"/>
      <w:r w:rsidRPr="00C05886">
        <w:rPr>
          <w:rFonts w:eastAsia="Times New Roman" w:cstheme="minorHAnsi"/>
          <w:szCs w:val="24"/>
          <w:lang w:eastAsia="en-GB"/>
        </w:rPr>
        <w:t xml:space="preserve">. </w:t>
      </w:r>
    </w:p>
    <w:p w14:paraId="462DED97" w14:textId="77777777" w:rsidR="0030377C" w:rsidRPr="00C05886" w:rsidRDefault="0030377C" w:rsidP="0030377C">
      <w:pPr>
        <w:pStyle w:val="ListParagraph"/>
        <w:numPr>
          <w:ilvl w:val="0"/>
          <w:numId w:val="35"/>
        </w:numPr>
        <w:spacing w:after="0" w:line="240" w:lineRule="auto"/>
        <w:rPr>
          <w:rFonts w:eastAsia="Times New Roman" w:cstheme="minorHAnsi"/>
          <w:szCs w:val="24"/>
          <w:lang w:eastAsia="en-GB"/>
        </w:rPr>
      </w:pPr>
      <w:r w:rsidRPr="00C05886">
        <w:rPr>
          <w:rFonts w:eastAsia="Times New Roman" w:cstheme="minorHAnsi"/>
          <w:szCs w:val="24"/>
          <w:lang w:eastAsia="en-GB"/>
        </w:rPr>
        <w:t>Listen to an audio file containing an annoying noise</w:t>
      </w:r>
    </w:p>
    <w:p w14:paraId="6B00A6B9" w14:textId="77777777" w:rsidR="0030377C" w:rsidRPr="00C05886" w:rsidRDefault="0030377C" w:rsidP="0030377C">
      <w:pPr>
        <w:pStyle w:val="ListParagraph"/>
        <w:numPr>
          <w:ilvl w:val="0"/>
          <w:numId w:val="35"/>
        </w:numPr>
        <w:spacing w:after="0" w:line="240" w:lineRule="auto"/>
        <w:rPr>
          <w:rFonts w:eastAsia="Times New Roman" w:cstheme="minorHAnsi"/>
          <w:szCs w:val="24"/>
          <w:lang w:eastAsia="en-GB"/>
        </w:rPr>
      </w:pPr>
      <w:r w:rsidRPr="00C05886">
        <w:rPr>
          <w:rFonts w:eastAsia="Times New Roman" w:cstheme="minorHAnsi"/>
          <w:szCs w:val="24"/>
          <w:lang w:eastAsia="en-GB"/>
        </w:rPr>
        <w:t xml:space="preserve">Explore an urban park via a virtual tour for 3 minutes. </w:t>
      </w:r>
    </w:p>
    <w:p w14:paraId="1309047D" w14:textId="77777777" w:rsidR="0030377C" w:rsidRPr="00C05886" w:rsidRDefault="0030377C" w:rsidP="000536CE">
      <w:pPr>
        <w:spacing w:after="0" w:line="240" w:lineRule="auto"/>
        <w:rPr>
          <w:rFonts w:eastAsia="Times New Roman" w:cstheme="minorHAnsi"/>
          <w:szCs w:val="24"/>
          <w:lang w:eastAsia="en-GB"/>
        </w:rPr>
      </w:pPr>
    </w:p>
    <w:p w14:paraId="5BFDFDDC" w14:textId="77777777" w:rsidR="0030377C" w:rsidRPr="00C05886" w:rsidRDefault="0030377C" w:rsidP="000536CE">
      <w:pPr>
        <w:spacing w:after="0" w:line="240" w:lineRule="auto"/>
        <w:rPr>
          <w:rFonts w:eastAsia="Times New Roman" w:cstheme="minorHAnsi"/>
          <w:szCs w:val="24"/>
          <w:lang w:eastAsia="en-GB"/>
        </w:rPr>
      </w:pPr>
      <w:r w:rsidRPr="00C05886">
        <w:rPr>
          <w:rFonts w:eastAsia="Times New Roman" w:cstheme="minorHAnsi"/>
          <w:szCs w:val="24"/>
          <w:lang w:eastAsia="en-GB"/>
        </w:rPr>
        <w:t>The entire procedure should take about 30 minutes, but you will not need to wear the sensors for more than 20 minutes.</w:t>
      </w:r>
    </w:p>
    <w:p w14:paraId="3A00C194" w14:textId="77777777" w:rsidR="0030377C" w:rsidRPr="00C05886" w:rsidRDefault="0030377C" w:rsidP="000536CE">
      <w:pPr>
        <w:spacing w:after="0" w:line="240" w:lineRule="auto"/>
        <w:rPr>
          <w:rFonts w:eastAsia="Times New Roman" w:cstheme="minorHAnsi"/>
          <w:szCs w:val="24"/>
          <w:lang w:eastAsia="en-GB"/>
        </w:rPr>
      </w:pPr>
      <w:r w:rsidRPr="00C05886">
        <w:rPr>
          <w:rFonts w:eastAsia="Times New Roman" w:cstheme="minorHAnsi"/>
          <w:szCs w:val="24"/>
          <w:lang w:eastAsia="en-GB"/>
        </w:rPr>
        <w:t>Upon completion of the procedure, you will be offered £10 in the form of a voucher.</w:t>
      </w:r>
    </w:p>
    <w:p w14:paraId="4A0F30BE" w14:textId="77777777" w:rsidR="0030377C" w:rsidRPr="00C05886" w:rsidRDefault="0030377C" w:rsidP="000536CE">
      <w:pPr>
        <w:spacing w:after="0" w:line="240" w:lineRule="auto"/>
        <w:rPr>
          <w:rFonts w:eastAsia="Times New Roman" w:cstheme="minorHAnsi"/>
          <w:szCs w:val="24"/>
          <w:lang w:eastAsia="en-GB"/>
        </w:rPr>
      </w:pPr>
    </w:p>
    <w:p w14:paraId="43CDCB08" w14:textId="77777777" w:rsidR="0030377C" w:rsidRPr="00C05886" w:rsidRDefault="0030377C" w:rsidP="000536CE">
      <w:pPr>
        <w:spacing w:after="0" w:line="240" w:lineRule="auto"/>
        <w:rPr>
          <w:rFonts w:eastAsia="Times New Roman" w:cstheme="minorHAnsi"/>
          <w:szCs w:val="24"/>
          <w:lang w:eastAsia="en-GB"/>
        </w:rPr>
      </w:pPr>
      <w:r w:rsidRPr="00C05886">
        <w:rPr>
          <w:rFonts w:eastAsia="Times New Roman" w:cstheme="minorHAnsi"/>
          <w:b/>
          <w:bCs/>
          <w:szCs w:val="24"/>
          <w:lang w:eastAsia="en-GB"/>
        </w:rPr>
        <w:t xml:space="preserve">Is this anonymous? </w:t>
      </w:r>
    </w:p>
    <w:p w14:paraId="48F2BBDC" w14:textId="77777777" w:rsidR="0030377C" w:rsidRPr="00C05886" w:rsidRDefault="0030377C" w:rsidP="000536CE">
      <w:pPr>
        <w:spacing w:after="0" w:line="240" w:lineRule="auto"/>
        <w:rPr>
          <w:rFonts w:eastAsia="Times New Roman" w:cstheme="minorHAnsi"/>
          <w:szCs w:val="24"/>
          <w:lang w:eastAsia="en-GB"/>
        </w:rPr>
      </w:pPr>
      <w:r w:rsidRPr="00C05886">
        <w:rPr>
          <w:rFonts w:eastAsia="Times New Roman" w:cstheme="minorHAnsi"/>
          <w:szCs w:val="24"/>
          <w:lang w:eastAsia="en-GB"/>
        </w:rPr>
        <w:t>Yes! The data collection is designed to be completely anonymous, but we will need your name and sign on the consent form and the receipt form. These modules will be stored separately and kept in a locked archive in the Department of Landscape Architecture. These records will never be used in the analysis and publishing of the results.</w:t>
      </w:r>
    </w:p>
    <w:p w14:paraId="231DCB7A" w14:textId="77777777" w:rsidR="0030377C" w:rsidRPr="00C05886" w:rsidRDefault="0030377C" w:rsidP="000536CE">
      <w:pPr>
        <w:spacing w:after="0" w:line="240" w:lineRule="auto"/>
        <w:rPr>
          <w:rFonts w:eastAsia="Times New Roman" w:cstheme="minorHAnsi"/>
          <w:szCs w:val="24"/>
          <w:lang w:eastAsia="en-GB"/>
        </w:rPr>
      </w:pPr>
    </w:p>
    <w:p w14:paraId="4913D805" w14:textId="77777777" w:rsidR="0030377C" w:rsidRPr="00C05886" w:rsidRDefault="0030377C" w:rsidP="000536CE">
      <w:pPr>
        <w:spacing w:after="0" w:line="240" w:lineRule="auto"/>
        <w:rPr>
          <w:rFonts w:eastAsia="Times New Roman" w:cstheme="minorHAnsi"/>
          <w:szCs w:val="24"/>
          <w:lang w:eastAsia="en-GB"/>
        </w:rPr>
      </w:pPr>
      <w:r w:rsidRPr="00C05886">
        <w:rPr>
          <w:rFonts w:eastAsia="Times New Roman" w:cstheme="minorHAnsi"/>
          <w:szCs w:val="24"/>
          <w:lang w:eastAsia="en-GB"/>
        </w:rPr>
        <w:t>Instead, all data collected in this experiment will be associated with a unique ID.</w:t>
      </w:r>
    </w:p>
    <w:p w14:paraId="19530359" w14:textId="77777777" w:rsidR="0030377C" w:rsidRPr="00C05886" w:rsidRDefault="0030377C" w:rsidP="000536CE">
      <w:pPr>
        <w:spacing w:after="0" w:line="240" w:lineRule="auto"/>
        <w:rPr>
          <w:rFonts w:eastAsia="Times New Roman" w:cstheme="minorHAnsi"/>
          <w:szCs w:val="24"/>
          <w:lang w:eastAsia="en-GB"/>
        </w:rPr>
      </w:pPr>
      <w:r w:rsidRPr="00C05886">
        <w:rPr>
          <w:rFonts w:eastAsia="Times New Roman" w:cstheme="minorHAnsi"/>
          <w:szCs w:val="24"/>
          <w:lang w:eastAsia="en-GB"/>
        </w:rPr>
        <w:t xml:space="preserve">The only information about yourself that we will ask will be demographics (age, gender and education </w:t>
      </w:r>
      <w:r w:rsidRPr="00C05886">
        <w:rPr>
          <w:rFonts w:eastAsia="Times New Roman" w:cstheme="minorHAnsi"/>
          <w:color w:val="000000" w:themeColor="text1"/>
          <w:szCs w:val="24"/>
          <w:lang w:eastAsia="en-GB"/>
        </w:rPr>
        <w:t xml:space="preserve">level). </w:t>
      </w:r>
      <w:r w:rsidRPr="00C05886">
        <w:rPr>
          <w:rFonts w:cstheme="minorHAnsi"/>
          <w:color w:val="000000" w:themeColor="text1"/>
          <w:szCs w:val="24"/>
        </w:rPr>
        <w:t>We will also ask a few questions about your relationship with nature and if you have any difficulty in perceiving colours (e.g. colour blindness).</w:t>
      </w:r>
    </w:p>
    <w:p w14:paraId="20B42468" w14:textId="77777777" w:rsidR="0030377C" w:rsidRPr="00C05886" w:rsidRDefault="0030377C" w:rsidP="000536CE">
      <w:pPr>
        <w:spacing w:after="0" w:line="240" w:lineRule="auto"/>
        <w:rPr>
          <w:rFonts w:eastAsia="Times New Roman" w:cstheme="minorHAnsi"/>
          <w:szCs w:val="24"/>
          <w:lang w:eastAsia="en-GB"/>
        </w:rPr>
      </w:pPr>
    </w:p>
    <w:p w14:paraId="103FA161" w14:textId="5D325E2F" w:rsidR="0030377C" w:rsidRPr="00C05886" w:rsidRDefault="0030377C" w:rsidP="0030377C">
      <w:pPr>
        <w:spacing w:after="0" w:line="240" w:lineRule="auto"/>
        <w:rPr>
          <w:rFonts w:eastAsia="Times New Roman" w:cstheme="minorHAnsi"/>
          <w:b/>
          <w:bCs/>
          <w:szCs w:val="24"/>
          <w:lang w:eastAsia="en-GB"/>
        </w:rPr>
      </w:pPr>
      <w:r w:rsidRPr="00C05886">
        <w:rPr>
          <w:rFonts w:eastAsia="Times New Roman" w:cstheme="minorHAnsi"/>
          <w:szCs w:val="24"/>
          <w:lang w:eastAsia="en-GB"/>
        </w:rPr>
        <w:t xml:space="preserve">This data will be only accessible to the research team. Later on, the anonymous data will be made available to other researchers via the UK Data Archive repository. </w:t>
      </w:r>
    </w:p>
    <w:p w14:paraId="676F33EC" w14:textId="77777777" w:rsidR="0030377C" w:rsidRPr="00C05886" w:rsidRDefault="0030377C" w:rsidP="0030377C">
      <w:pPr>
        <w:spacing w:after="0" w:line="240" w:lineRule="auto"/>
        <w:rPr>
          <w:rFonts w:eastAsia="Times New Roman" w:cstheme="minorHAnsi"/>
          <w:szCs w:val="24"/>
          <w:lang w:eastAsia="en-GB"/>
        </w:rPr>
      </w:pPr>
    </w:p>
    <w:p w14:paraId="741EC267" w14:textId="77777777" w:rsidR="0030377C" w:rsidRPr="00C05886" w:rsidRDefault="0030377C" w:rsidP="000536CE">
      <w:pPr>
        <w:spacing w:after="0" w:line="240" w:lineRule="auto"/>
        <w:rPr>
          <w:rFonts w:eastAsia="Times New Roman" w:cstheme="minorHAnsi"/>
          <w:b/>
          <w:bCs/>
          <w:szCs w:val="24"/>
          <w:lang w:eastAsia="en-GB"/>
        </w:rPr>
      </w:pPr>
      <w:r w:rsidRPr="00C05886">
        <w:rPr>
          <w:rFonts w:eastAsia="Times New Roman" w:cstheme="minorHAnsi"/>
          <w:b/>
          <w:bCs/>
          <w:szCs w:val="24"/>
          <w:lang w:eastAsia="en-GB"/>
        </w:rPr>
        <w:t>Can I withdraw from the research?</w:t>
      </w:r>
    </w:p>
    <w:p w14:paraId="5B14E426" w14:textId="77777777" w:rsidR="0030377C" w:rsidRPr="00C05886" w:rsidRDefault="0030377C" w:rsidP="000536CE">
      <w:pPr>
        <w:spacing w:line="240" w:lineRule="auto"/>
        <w:rPr>
          <w:rFonts w:eastAsia="Times New Roman" w:cstheme="minorHAnsi"/>
          <w:szCs w:val="24"/>
          <w:lang w:eastAsia="en-GB"/>
        </w:rPr>
      </w:pPr>
      <w:r w:rsidRPr="00C05886">
        <w:rPr>
          <w:rFonts w:eastAsia="Times New Roman" w:cstheme="minorHAnsi"/>
          <w:szCs w:val="24"/>
          <w:lang w:eastAsia="en-GB"/>
        </w:rPr>
        <w:t>After being informed about the experiment it is up to you to decide whether or not to take part. In any case, you will be free to withdraw at any time without explanation and without disadvantage. Just let the researchers know. Any data that you may have provided up to your withdrawal will be removed from the dataset. However, due to anonymity, it would not be possible to remove your data once the procedure is complete.</w:t>
      </w:r>
    </w:p>
    <w:p w14:paraId="4B817406" w14:textId="77777777" w:rsidR="0030377C" w:rsidRPr="00C05886" w:rsidRDefault="0030377C" w:rsidP="000536CE">
      <w:pPr>
        <w:spacing w:line="240" w:lineRule="auto"/>
        <w:rPr>
          <w:rFonts w:eastAsia="Times New Roman" w:cstheme="minorHAnsi"/>
          <w:szCs w:val="24"/>
          <w:lang w:eastAsia="en-GB"/>
        </w:rPr>
      </w:pPr>
      <w:r w:rsidRPr="00C05886">
        <w:rPr>
          <w:rFonts w:eastAsia="Times New Roman" w:cstheme="minorHAnsi"/>
          <w:szCs w:val="24"/>
          <w:lang w:eastAsia="en-GB"/>
        </w:rPr>
        <w:lastRenderedPageBreak/>
        <w:t>Whether you decide to participate or not and even in the case you withdraw, you will be offered the voucher for your time.</w:t>
      </w:r>
    </w:p>
    <w:p w14:paraId="404CEB70" w14:textId="77777777" w:rsidR="0030377C" w:rsidRPr="00C05886" w:rsidRDefault="0030377C" w:rsidP="000536CE">
      <w:pPr>
        <w:spacing w:after="0" w:line="240" w:lineRule="auto"/>
        <w:rPr>
          <w:rFonts w:eastAsia="Times New Roman" w:cstheme="minorHAnsi"/>
          <w:szCs w:val="24"/>
          <w:lang w:eastAsia="en-GB"/>
        </w:rPr>
      </w:pPr>
    </w:p>
    <w:p w14:paraId="61F0F8AF" w14:textId="77777777" w:rsidR="0030377C" w:rsidRPr="00C05886" w:rsidRDefault="0030377C" w:rsidP="000536CE">
      <w:pPr>
        <w:spacing w:after="0" w:line="240" w:lineRule="auto"/>
        <w:rPr>
          <w:rFonts w:eastAsia="Times New Roman" w:cstheme="minorHAnsi"/>
          <w:szCs w:val="24"/>
          <w:lang w:eastAsia="en-GB"/>
        </w:rPr>
      </w:pPr>
      <w:r w:rsidRPr="00C05886">
        <w:rPr>
          <w:rFonts w:eastAsia="Times New Roman" w:cstheme="minorHAnsi"/>
          <w:b/>
          <w:bCs/>
          <w:szCs w:val="24"/>
          <w:lang w:eastAsia="en-GB"/>
        </w:rPr>
        <w:t>Ethics and Data Protection</w:t>
      </w:r>
    </w:p>
    <w:p w14:paraId="748138F9" w14:textId="77777777" w:rsidR="0030377C" w:rsidRPr="00C05886" w:rsidRDefault="0030377C" w:rsidP="000536CE">
      <w:pPr>
        <w:spacing w:after="0" w:line="240" w:lineRule="auto"/>
        <w:rPr>
          <w:rFonts w:eastAsia="Times New Roman" w:cstheme="minorHAnsi"/>
          <w:szCs w:val="24"/>
          <w:lang w:eastAsia="en-GB"/>
        </w:rPr>
      </w:pPr>
      <w:r w:rsidRPr="00C05886">
        <w:rPr>
          <w:rFonts w:eastAsia="Times New Roman" w:cstheme="minorHAnsi"/>
          <w:szCs w:val="24"/>
          <w:lang w:eastAsia="en-GB"/>
        </w:rPr>
        <w:t>This study has been approved by the internal ethics committee of the Department of Landscape Architecture.</w:t>
      </w:r>
    </w:p>
    <w:p w14:paraId="1C739BC6" w14:textId="77777777" w:rsidR="0030377C" w:rsidRPr="00C05886" w:rsidRDefault="0030377C" w:rsidP="000536CE">
      <w:pPr>
        <w:spacing w:after="0" w:line="240" w:lineRule="auto"/>
        <w:rPr>
          <w:rFonts w:eastAsia="Times New Roman" w:cstheme="minorHAnsi"/>
          <w:szCs w:val="24"/>
          <w:lang w:eastAsia="en-GB"/>
        </w:rPr>
      </w:pPr>
    </w:p>
    <w:p w14:paraId="1A2BC363" w14:textId="77777777" w:rsidR="0030377C" w:rsidRPr="00C05886" w:rsidRDefault="0030377C" w:rsidP="000536CE">
      <w:pPr>
        <w:spacing w:after="0" w:line="240" w:lineRule="auto"/>
        <w:rPr>
          <w:rFonts w:eastAsia="Times New Roman" w:cstheme="minorHAnsi"/>
          <w:szCs w:val="24"/>
          <w:lang w:eastAsia="en-GB"/>
        </w:rPr>
      </w:pPr>
      <w:r w:rsidRPr="00C05886">
        <w:rPr>
          <w:rFonts w:eastAsia="Times New Roman" w:cstheme="minorHAnsi"/>
          <w:szCs w:val="24"/>
          <w:lang w:eastAsia="en-GB"/>
        </w:rPr>
        <w:t>According to data protection legislation, we are required to inform you that the legal basis we are applying to process your personal data is that ‘processing is necessary for the performance of a task carried out in the public interest’ (Article 6(1)(e)). Further information can be found in the University’s Privacy Notice (</w:t>
      </w:r>
      <w:r w:rsidRPr="00C05886">
        <w:rPr>
          <w:rFonts w:cstheme="minorHAnsi"/>
        </w:rPr>
        <w:t>https://www.sheffield.ac.uk/govern/data-protection/privacy/general)</w:t>
      </w:r>
    </w:p>
    <w:p w14:paraId="1BF3793F" w14:textId="77777777" w:rsidR="0030377C" w:rsidRPr="00C05886" w:rsidRDefault="0030377C" w:rsidP="000536CE">
      <w:pPr>
        <w:spacing w:after="0" w:line="240" w:lineRule="auto"/>
        <w:rPr>
          <w:rFonts w:eastAsia="Times New Roman" w:cstheme="minorHAnsi"/>
          <w:b/>
          <w:bCs/>
          <w:szCs w:val="24"/>
          <w:lang w:eastAsia="en-GB"/>
        </w:rPr>
      </w:pPr>
    </w:p>
    <w:p w14:paraId="667F15EA" w14:textId="77777777" w:rsidR="0030377C" w:rsidRPr="00C05886" w:rsidRDefault="0030377C" w:rsidP="000536CE">
      <w:pPr>
        <w:spacing w:after="0" w:line="240" w:lineRule="auto"/>
        <w:rPr>
          <w:rFonts w:eastAsia="Times New Roman" w:cstheme="minorHAnsi"/>
          <w:szCs w:val="24"/>
          <w:lang w:eastAsia="en-GB"/>
        </w:rPr>
      </w:pPr>
      <w:r w:rsidRPr="00C05886">
        <w:rPr>
          <w:rFonts w:eastAsia="Times New Roman" w:cstheme="minorHAnsi"/>
          <w:b/>
          <w:bCs/>
          <w:szCs w:val="24"/>
          <w:lang w:eastAsia="en-GB"/>
        </w:rPr>
        <w:t>Contacts and what to do if you are not happy</w:t>
      </w:r>
    </w:p>
    <w:p w14:paraId="34789C68" w14:textId="77777777" w:rsidR="0030377C" w:rsidRPr="00C05886" w:rsidRDefault="0030377C" w:rsidP="00467EB4">
      <w:pPr>
        <w:spacing w:after="0" w:line="240" w:lineRule="auto"/>
        <w:rPr>
          <w:rFonts w:cstheme="minorHAnsi"/>
          <w:szCs w:val="24"/>
        </w:rPr>
      </w:pPr>
      <w:r w:rsidRPr="00C05886">
        <w:rPr>
          <w:rFonts w:eastAsia="Times New Roman" w:cstheme="minorHAnsi"/>
          <w:szCs w:val="24"/>
          <w:lang w:eastAsia="en-GB"/>
        </w:rPr>
        <w:t>If you have any questions, concerns or complaints about this study you can contact the PhD researchers</w:t>
      </w:r>
      <w:r w:rsidRPr="00C05886">
        <w:rPr>
          <w:rStyle w:val="gi"/>
          <w:rFonts w:cstheme="minorHAnsi"/>
          <w:szCs w:val="24"/>
        </w:rPr>
        <w:t xml:space="preserve"> </w:t>
      </w:r>
      <w:r w:rsidRPr="00C05886">
        <w:rPr>
          <w:rFonts w:eastAsia="Times New Roman" w:cstheme="minorHAnsi"/>
          <w:szCs w:val="24"/>
          <w:lang w:eastAsia="en-GB"/>
        </w:rPr>
        <w:t>or their supervisor, using the details below. If you feel your complaint has not been handled in a satisfactory way you can contact the Head of the Department of Landscape Architecture, using the details below. If the complaint relates to how your personal data has been handled, you can find information about how to raise a complaint in the University’s Privacy Notice</w:t>
      </w:r>
      <w:r w:rsidRPr="00C05886">
        <w:rPr>
          <w:rFonts w:cstheme="minorHAnsi"/>
        </w:rPr>
        <w:t xml:space="preserve"> </w:t>
      </w:r>
      <w:r w:rsidRPr="00C05886">
        <w:rPr>
          <w:rFonts w:eastAsia="Times New Roman" w:cstheme="minorHAnsi"/>
          <w:szCs w:val="24"/>
          <w:lang w:eastAsia="en-GB"/>
        </w:rPr>
        <w:t>(</w:t>
      </w:r>
      <w:r w:rsidRPr="00C05886">
        <w:rPr>
          <w:rFonts w:cstheme="minorHAnsi"/>
        </w:rPr>
        <w:t>https://www.sheffield.ac.uk/govern/data-protection/privacy/general)</w:t>
      </w:r>
    </w:p>
    <w:p w14:paraId="121518ED" w14:textId="77777777" w:rsidR="0030377C" w:rsidRPr="00C05886" w:rsidRDefault="0030377C" w:rsidP="00BD563A">
      <w:pPr>
        <w:spacing w:after="0" w:line="240" w:lineRule="auto"/>
        <w:rPr>
          <w:rFonts w:eastAsia="Times New Roman" w:cstheme="minorHAnsi"/>
          <w:szCs w:val="24"/>
          <w:lang w:eastAsia="en-GB"/>
        </w:rPr>
      </w:pPr>
    </w:p>
    <w:p w14:paraId="4E69F917" w14:textId="77777777" w:rsidR="0030377C" w:rsidRPr="00C05886" w:rsidRDefault="0030377C" w:rsidP="00BD563A">
      <w:pPr>
        <w:spacing w:after="0" w:line="240" w:lineRule="auto"/>
        <w:rPr>
          <w:rFonts w:eastAsia="Times New Roman" w:cstheme="minorHAnsi"/>
          <w:szCs w:val="24"/>
          <w:lang w:eastAsia="en-GB"/>
        </w:rPr>
      </w:pPr>
      <w:r w:rsidRPr="00C05886">
        <w:rPr>
          <w:rFonts w:eastAsia="Times New Roman" w:cstheme="minorHAnsi"/>
          <w:szCs w:val="24"/>
          <w:lang w:eastAsia="en-GB"/>
        </w:rPr>
        <w:t xml:space="preserve">If you wish to make a report of a concern or incident relating to potential exploitation, abuse or harm resulting from your involvement in this project, please contact the project’s Designated Safeguarding Contact using the details below. If the concern or incident relates to the Designated Safeguarding Contact, or if you feel a report you have made to this Contact has not been handled in a satisfactory way, please contact the Head of the Department of Landscape Architecture, using the details below and/or the University’s Research Ethics &amp; Integrity Manager (Lindsay Unwin; </w:t>
      </w:r>
      <w:hyperlink r:id="rId78" w:history="1">
        <w:r w:rsidRPr="00C05886">
          <w:rPr>
            <w:rStyle w:val="Hyperlink"/>
            <w:rFonts w:eastAsia="Times New Roman" w:cstheme="minorHAnsi"/>
            <w:szCs w:val="24"/>
            <w:lang w:eastAsia="en-GB"/>
          </w:rPr>
          <w:t>l.v.unwin@sheffield.ac.uk</w:t>
        </w:r>
      </w:hyperlink>
      <w:r w:rsidRPr="00C05886">
        <w:rPr>
          <w:rFonts w:eastAsia="Times New Roman" w:cstheme="minorHAnsi"/>
          <w:szCs w:val="24"/>
          <w:lang w:eastAsia="en-GB"/>
        </w:rPr>
        <w:t>).</w:t>
      </w:r>
    </w:p>
    <w:p w14:paraId="5285BBA6" w14:textId="77777777" w:rsidR="0030377C" w:rsidRPr="00C05886" w:rsidRDefault="0030377C" w:rsidP="00BD563A">
      <w:pPr>
        <w:spacing w:after="0" w:line="240" w:lineRule="auto"/>
        <w:rPr>
          <w:rFonts w:eastAsia="Times New Roman" w:cstheme="minorHAnsi"/>
          <w:szCs w:val="24"/>
          <w:lang w:eastAsia="en-GB"/>
        </w:rPr>
      </w:pPr>
    </w:p>
    <w:p w14:paraId="6F7CB667" w14:textId="77777777" w:rsidR="0030377C" w:rsidRPr="00C05886" w:rsidRDefault="0030377C" w:rsidP="00467EB4">
      <w:pPr>
        <w:tabs>
          <w:tab w:val="num" w:pos="284"/>
        </w:tabs>
        <w:spacing w:after="0"/>
        <w:rPr>
          <w:rFonts w:cstheme="minorHAnsi"/>
          <w:szCs w:val="24"/>
        </w:rPr>
      </w:pPr>
      <w:r w:rsidRPr="00C05886">
        <w:rPr>
          <w:rFonts w:cstheme="minorHAnsi"/>
          <w:szCs w:val="24"/>
        </w:rPr>
        <w:t xml:space="preserve">PhD Researchers: Simone Farris </w:t>
      </w:r>
      <w:hyperlink r:id="rId79" w:history="1">
        <w:r w:rsidRPr="00C05886">
          <w:rPr>
            <w:rFonts w:eastAsia="Times New Roman" w:cstheme="minorHAnsi"/>
            <w:color w:val="0000FF"/>
            <w:szCs w:val="24"/>
            <w:u w:val="single"/>
            <w:lang w:eastAsia="en-GB"/>
          </w:rPr>
          <w:t>sfarris1@sheffield.ac.uk</w:t>
        </w:r>
      </w:hyperlink>
      <w:r w:rsidRPr="00C05886">
        <w:rPr>
          <w:rFonts w:eastAsia="Times New Roman" w:cstheme="minorHAnsi"/>
          <w:color w:val="0000FF"/>
          <w:szCs w:val="24"/>
          <w:u w:val="single"/>
          <w:lang w:eastAsia="en-GB"/>
        </w:rPr>
        <w:t xml:space="preserve">; </w:t>
      </w:r>
      <w:hyperlink r:id="rId80" w:history="1">
        <w:r w:rsidRPr="00C05886">
          <w:rPr>
            <w:rStyle w:val="Hyperlink"/>
            <w:rFonts w:cstheme="minorHAnsi"/>
            <w:szCs w:val="24"/>
          </w:rPr>
          <w:t>lzhang73@sheffield.ac.uk</w:t>
        </w:r>
      </w:hyperlink>
    </w:p>
    <w:p w14:paraId="1E6E8B3A" w14:textId="77777777" w:rsidR="0030377C" w:rsidRPr="00C05886" w:rsidRDefault="0030377C" w:rsidP="00467EB4">
      <w:pPr>
        <w:tabs>
          <w:tab w:val="num" w:pos="284"/>
        </w:tabs>
        <w:spacing w:after="0"/>
        <w:rPr>
          <w:rFonts w:cstheme="minorHAnsi"/>
          <w:szCs w:val="24"/>
        </w:rPr>
      </w:pPr>
      <w:r w:rsidRPr="00C05886">
        <w:rPr>
          <w:rFonts w:cstheme="minorHAnsi"/>
          <w:szCs w:val="24"/>
        </w:rPr>
        <w:t xml:space="preserve">Supervisor: Ross Cameron </w:t>
      </w:r>
      <w:hyperlink r:id="rId81" w:history="1">
        <w:r w:rsidRPr="00C05886">
          <w:rPr>
            <w:rStyle w:val="Hyperlink"/>
            <w:rFonts w:cstheme="minorHAnsi"/>
            <w:szCs w:val="24"/>
          </w:rPr>
          <w:t>r.w.cameron@sheffield.ac.uk</w:t>
        </w:r>
      </w:hyperlink>
    </w:p>
    <w:p w14:paraId="11DFE2A6" w14:textId="77777777" w:rsidR="0030377C" w:rsidRPr="00C05886" w:rsidRDefault="0030377C" w:rsidP="00467EB4">
      <w:pPr>
        <w:tabs>
          <w:tab w:val="num" w:pos="284"/>
        </w:tabs>
        <w:spacing w:after="0"/>
        <w:rPr>
          <w:rFonts w:cstheme="minorHAnsi"/>
          <w:szCs w:val="24"/>
        </w:rPr>
      </w:pPr>
      <w:r w:rsidRPr="00C05886">
        <w:rPr>
          <w:rFonts w:cstheme="minorHAnsi"/>
          <w:szCs w:val="24"/>
        </w:rPr>
        <w:t xml:space="preserve">Head of Department: Helen Woolley </w:t>
      </w:r>
      <w:hyperlink r:id="rId82" w:history="1">
        <w:r w:rsidRPr="00C05886">
          <w:rPr>
            <w:rStyle w:val="Hyperlink"/>
            <w:rFonts w:cstheme="minorHAnsi"/>
            <w:szCs w:val="24"/>
          </w:rPr>
          <w:t>h.woolley@sheffield.ac.uk</w:t>
        </w:r>
      </w:hyperlink>
    </w:p>
    <w:p w14:paraId="5506C515" w14:textId="77777777" w:rsidR="0030377C" w:rsidRPr="00C05886" w:rsidRDefault="0030377C" w:rsidP="00467EB4">
      <w:pPr>
        <w:spacing w:after="0"/>
        <w:rPr>
          <w:rFonts w:eastAsia="Times New Roman" w:cstheme="minorHAnsi"/>
          <w:szCs w:val="24"/>
          <w:lang w:eastAsia="en-GB"/>
        </w:rPr>
      </w:pPr>
      <w:r w:rsidRPr="00C05886">
        <w:rPr>
          <w:rFonts w:cstheme="minorHAnsi"/>
          <w:color w:val="000000"/>
          <w:szCs w:val="24"/>
        </w:rPr>
        <w:t xml:space="preserve">Designated Safeguarding Contact: Nicola Dempsey </w:t>
      </w:r>
      <w:hyperlink r:id="rId83" w:history="1">
        <w:r w:rsidRPr="00C05886">
          <w:rPr>
            <w:rStyle w:val="Hyperlink"/>
            <w:rFonts w:eastAsia="Times New Roman" w:cstheme="minorHAnsi"/>
            <w:szCs w:val="24"/>
            <w:lang w:eastAsia="en-GB"/>
          </w:rPr>
          <w:t>n.dempsey@sheffield.ac.uk</w:t>
        </w:r>
      </w:hyperlink>
    </w:p>
    <w:p w14:paraId="7FC39B1B" w14:textId="77777777" w:rsidR="0030377C" w:rsidRPr="00C05886" w:rsidRDefault="0030377C" w:rsidP="00467EB4">
      <w:pPr>
        <w:tabs>
          <w:tab w:val="num" w:pos="284"/>
        </w:tabs>
        <w:spacing w:after="0"/>
        <w:rPr>
          <w:rFonts w:eastAsia="Calibri" w:cstheme="minorHAnsi"/>
          <w:iCs/>
          <w:szCs w:val="24"/>
          <w:lang w:eastAsia="zh-CN"/>
        </w:rPr>
      </w:pPr>
      <w:r w:rsidRPr="00C05886">
        <w:rPr>
          <w:rFonts w:cstheme="minorHAnsi"/>
          <w:szCs w:val="24"/>
        </w:rPr>
        <w:t>The University of Sheffield, Department of Landscape, Floor 13, The Arts Tower, Western Bank, Sheffield, S10 2TN</w:t>
      </w:r>
    </w:p>
    <w:p w14:paraId="0E224AE8" w14:textId="77777777" w:rsidR="0030377C" w:rsidRPr="00C05886" w:rsidRDefault="0030377C" w:rsidP="00BD563A">
      <w:pPr>
        <w:spacing w:after="0" w:line="240" w:lineRule="auto"/>
        <w:rPr>
          <w:rFonts w:eastAsia="Times New Roman" w:cstheme="minorHAnsi"/>
          <w:szCs w:val="24"/>
          <w:lang w:eastAsia="en-GB"/>
        </w:rPr>
      </w:pPr>
    </w:p>
    <w:p w14:paraId="50A02C26" w14:textId="0ED091C9" w:rsidR="0030377C" w:rsidRPr="00C05886" w:rsidRDefault="0030377C" w:rsidP="0030377C">
      <w:pPr>
        <w:pStyle w:val="Heading3"/>
        <w:spacing w:line="240" w:lineRule="auto"/>
        <w:rPr>
          <w:lang w:eastAsia="en-GB"/>
        </w:rPr>
      </w:pPr>
      <w:bookmarkStart w:id="200" w:name="_Toc179962436"/>
      <w:r w:rsidRPr="00C05886">
        <w:rPr>
          <w:lang w:eastAsia="en-GB"/>
        </w:rPr>
        <w:t>Face-to-face Consent Form</w:t>
      </w:r>
      <w:bookmarkEnd w:id="200"/>
    </w:p>
    <w:p w14:paraId="2BCA9FC6" w14:textId="77777777" w:rsidR="0030377C" w:rsidRPr="00C05886" w:rsidRDefault="0030377C" w:rsidP="0030377C">
      <w:pPr>
        <w:spacing w:after="0" w:line="240" w:lineRule="auto"/>
        <w:rPr>
          <w:rFonts w:eastAsia="Times New Roman" w:cstheme="minorHAnsi"/>
          <w:szCs w:val="24"/>
          <w:lang w:eastAsia="en-GB"/>
        </w:rPr>
      </w:pPr>
    </w:p>
    <w:p w14:paraId="17602CF9" w14:textId="77777777" w:rsidR="0030377C" w:rsidRPr="00C05886" w:rsidRDefault="0030377C" w:rsidP="0030377C">
      <w:pPr>
        <w:spacing w:after="0" w:line="240" w:lineRule="auto"/>
        <w:rPr>
          <w:rFonts w:eastAsia="Times New Roman" w:cstheme="minorHAnsi"/>
          <w:b/>
          <w:bCs/>
          <w:szCs w:val="24"/>
          <w:lang w:eastAsia="en-GB"/>
        </w:rPr>
      </w:pPr>
      <w:r w:rsidRPr="00C05886">
        <w:rPr>
          <w:rFonts w:eastAsia="Times New Roman" w:cstheme="minorHAnsi"/>
          <w:b/>
          <w:bCs/>
          <w:szCs w:val="24"/>
          <w:lang w:eastAsia="en-GB"/>
        </w:rPr>
        <w:t>Before the experiment starts, please take a moment to read and fill this consent form.</w:t>
      </w:r>
    </w:p>
    <w:p w14:paraId="5FAA0F37" w14:textId="77777777" w:rsidR="0030377C" w:rsidRPr="00C05886" w:rsidRDefault="0030377C" w:rsidP="0030377C">
      <w:pPr>
        <w:spacing w:after="0" w:line="240" w:lineRule="auto"/>
        <w:rPr>
          <w:rFonts w:eastAsia="Times New Roman" w:cstheme="minorHAnsi"/>
          <w:szCs w:val="24"/>
          <w:lang w:eastAsia="en-GB"/>
        </w:rPr>
      </w:pPr>
    </w:p>
    <w:p w14:paraId="1A16AB1E" w14:textId="77777777" w:rsidR="0030377C" w:rsidRPr="00C05886" w:rsidRDefault="0030377C" w:rsidP="0030377C">
      <w:pPr>
        <w:spacing w:after="0" w:line="240" w:lineRule="auto"/>
        <w:rPr>
          <w:rFonts w:eastAsia="Times New Roman" w:cstheme="minorHAnsi"/>
          <w:szCs w:val="24"/>
          <w:lang w:eastAsia="en-GB"/>
        </w:rPr>
      </w:pPr>
      <w:r w:rsidRPr="00C05886">
        <w:rPr>
          <w:rFonts w:eastAsia="Times New Roman" w:cstheme="minorHAnsi"/>
          <w:szCs w:val="24"/>
          <w:lang w:eastAsia="en-GB"/>
        </w:rPr>
        <w:t>I have read and understood the project information.</w:t>
      </w:r>
    </w:p>
    <w:p w14:paraId="72AF5438" w14:textId="77777777" w:rsidR="0030377C" w:rsidRPr="00C05886" w:rsidRDefault="0030377C" w:rsidP="0030377C">
      <w:pPr>
        <w:pStyle w:val="ListParagraph"/>
        <w:numPr>
          <w:ilvl w:val="0"/>
          <w:numId w:val="36"/>
        </w:numPr>
        <w:spacing w:after="0" w:line="240" w:lineRule="auto"/>
        <w:jc w:val="left"/>
        <w:rPr>
          <w:rFonts w:eastAsia="Times New Roman" w:cstheme="minorHAnsi"/>
          <w:szCs w:val="24"/>
          <w:lang w:eastAsia="en-GB"/>
        </w:rPr>
      </w:pPr>
      <w:r w:rsidRPr="00C05886">
        <w:rPr>
          <w:rFonts w:eastAsia="Times New Roman" w:cstheme="minorHAnsi"/>
          <w:szCs w:val="24"/>
          <w:lang w:eastAsia="en-GB"/>
        </w:rPr>
        <w:t>Yes</w:t>
      </w:r>
    </w:p>
    <w:p w14:paraId="4B3EDCA2" w14:textId="77777777" w:rsidR="0030377C" w:rsidRPr="00C05886" w:rsidRDefault="0030377C" w:rsidP="0030377C">
      <w:pPr>
        <w:spacing w:after="0" w:line="240" w:lineRule="auto"/>
        <w:rPr>
          <w:rFonts w:eastAsia="Times New Roman" w:cstheme="minorHAnsi"/>
          <w:szCs w:val="24"/>
          <w:lang w:eastAsia="en-GB"/>
        </w:rPr>
      </w:pPr>
    </w:p>
    <w:p w14:paraId="45A30918" w14:textId="77777777" w:rsidR="0030377C" w:rsidRPr="00C05886" w:rsidRDefault="0030377C" w:rsidP="0030377C">
      <w:pPr>
        <w:spacing w:after="0" w:line="240" w:lineRule="auto"/>
        <w:rPr>
          <w:rFonts w:eastAsia="Times New Roman" w:cstheme="minorHAnsi"/>
          <w:szCs w:val="24"/>
          <w:lang w:eastAsia="en-GB"/>
        </w:rPr>
      </w:pPr>
      <w:r w:rsidRPr="00C05886">
        <w:rPr>
          <w:rFonts w:eastAsia="Times New Roman" w:cstheme="minorHAnsi"/>
          <w:szCs w:val="24"/>
          <w:lang w:eastAsia="en-GB"/>
        </w:rPr>
        <w:t>I have been given the opportunity to ask questions about the project.</w:t>
      </w:r>
    </w:p>
    <w:p w14:paraId="1AA0BA2F" w14:textId="77777777" w:rsidR="0030377C" w:rsidRPr="00C05886" w:rsidRDefault="0030377C" w:rsidP="0030377C">
      <w:pPr>
        <w:pStyle w:val="ListParagraph"/>
        <w:numPr>
          <w:ilvl w:val="0"/>
          <w:numId w:val="36"/>
        </w:numPr>
        <w:spacing w:after="0" w:line="240" w:lineRule="auto"/>
        <w:jc w:val="left"/>
        <w:rPr>
          <w:rFonts w:eastAsia="Times New Roman" w:cstheme="minorHAnsi"/>
          <w:szCs w:val="24"/>
          <w:lang w:eastAsia="en-GB"/>
        </w:rPr>
      </w:pPr>
      <w:r w:rsidRPr="00C05886">
        <w:rPr>
          <w:rFonts w:eastAsia="Times New Roman" w:cstheme="minorHAnsi"/>
          <w:szCs w:val="24"/>
          <w:lang w:eastAsia="en-GB"/>
        </w:rPr>
        <w:t>Yes</w:t>
      </w:r>
    </w:p>
    <w:p w14:paraId="23135619" w14:textId="77777777" w:rsidR="0030377C" w:rsidRPr="00C05886" w:rsidRDefault="0030377C" w:rsidP="0030377C">
      <w:pPr>
        <w:spacing w:after="0" w:line="240" w:lineRule="auto"/>
        <w:rPr>
          <w:rFonts w:eastAsia="Times New Roman" w:cstheme="minorHAnsi"/>
          <w:szCs w:val="24"/>
          <w:lang w:eastAsia="en-GB"/>
        </w:rPr>
      </w:pPr>
    </w:p>
    <w:p w14:paraId="37DAB953" w14:textId="77777777" w:rsidR="0030377C" w:rsidRPr="00C05886" w:rsidRDefault="0030377C" w:rsidP="0030377C">
      <w:pPr>
        <w:spacing w:after="0" w:line="240" w:lineRule="auto"/>
        <w:rPr>
          <w:rFonts w:eastAsia="Times New Roman" w:cstheme="minorHAnsi"/>
          <w:szCs w:val="24"/>
          <w:lang w:eastAsia="en-GB"/>
        </w:rPr>
      </w:pPr>
      <w:r w:rsidRPr="00C05886">
        <w:rPr>
          <w:rFonts w:eastAsia="Times New Roman" w:cstheme="minorHAnsi"/>
          <w:szCs w:val="24"/>
          <w:lang w:eastAsia="en-GB"/>
        </w:rPr>
        <w:t>I understand that my taking part is voluntary and that I can withdraw from the study at any time. I do not have to give any reasons for why I no longer want to take part and there will be no adverse consequences if I choose to withdraw.</w:t>
      </w:r>
    </w:p>
    <w:p w14:paraId="5D04807D" w14:textId="77777777" w:rsidR="0030377C" w:rsidRPr="00C05886" w:rsidRDefault="0030377C" w:rsidP="0030377C">
      <w:pPr>
        <w:pStyle w:val="ListParagraph"/>
        <w:numPr>
          <w:ilvl w:val="0"/>
          <w:numId w:val="36"/>
        </w:numPr>
        <w:spacing w:after="0" w:line="240" w:lineRule="auto"/>
        <w:jc w:val="left"/>
        <w:rPr>
          <w:rFonts w:eastAsia="Times New Roman" w:cstheme="minorHAnsi"/>
          <w:szCs w:val="24"/>
          <w:lang w:eastAsia="en-GB"/>
        </w:rPr>
      </w:pPr>
      <w:r w:rsidRPr="00C05886">
        <w:rPr>
          <w:rFonts w:eastAsia="Times New Roman" w:cstheme="minorHAnsi"/>
          <w:szCs w:val="24"/>
          <w:lang w:eastAsia="en-GB"/>
        </w:rPr>
        <w:t>Yes</w:t>
      </w:r>
    </w:p>
    <w:p w14:paraId="10C2255D" w14:textId="77777777" w:rsidR="0030377C" w:rsidRPr="00C05886" w:rsidRDefault="0030377C" w:rsidP="0030377C">
      <w:pPr>
        <w:spacing w:after="0" w:line="240" w:lineRule="auto"/>
        <w:rPr>
          <w:rFonts w:eastAsia="Times New Roman" w:cstheme="minorHAnsi"/>
          <w:szCs w:val="24"/>
          <w:lang w:eastAsia="en-GB"/>
        </w:rPr>
      </w:pPr>
    </w:p>
    <w:p w14:paraId="03200E1F" w14:textId="77777777" w:rsidR="0030377C" w:rsidRPr="00C05886" w:rsidRDefault="0030377C" w:rsidP="0030377C">
      <w:pPr>
        <w:spacing w:after="0" w:line="240" w:lineRule="auto"/>
        <w:rPr>
          <w:rFonts w:eastAsia="Times New Roman" w:cstheme="minorHAnsi"/>
          <w:szCs w:val="24"/>
          <w:lang w:eastAsia="en-GB"/>
        </w:rPr>
      </w:pPr>
      <w:r w:rsidRPr="00C05886">
        <w:rPr>
          <w:rFonts w:eastAsia="Times New Roman" w:cstheme="minorHAnsi"/>
          <w:szCs w:val="24"/>
          <w:lang w:eastAsia="en-GB"/>
        </w:rPr>
        <w:t>I understand that my name and signature will be collected as part of this consent. These details will not be used or published in research outputs or made available on data repositories.</w:t>
      </w:r>
    </w:p>
    <w:p w14:paraId="7FCA6A9D" w14:textId="77777777" w:rsidR="0030377C" w:rsidRPr="00C05886" w:rsidRDefault="0030377C" w:rsidP="0030377C">
      <w:pPr>
        <w:pStyle w:val="ListParagraph"/>
        <w:numPr>
          <w:ilvl w:val="0"/>
          <w:numId w:val="36"/>
        </w:numPr>
        <w:spacing w:after="0" w:line="240" w:lineRule="auto"/>
        <w:jc w:val="left"/>
        <w:rPr>
          <w:rFonts w:eastAsia="Times New Roman" w:cstheme="minorHAnsi"/>
          <w:szCs w:val="24"/>
          <w:lang w:eastAsia="en-GB"/>
        </w:rPr>
      </w:pPr>
      <w:r w:rsidRPr="00C05886">
        <w:rPr>
          <w:rFonts w:eastAsia="Times New Roman" w:cstheme="minorHAnsi"/>
          <w:szCs w:val="24"/>
          <w:lang w:eastAsia="en-GB"/>
        </w:rPr>
        <w:t>Yes</w:t>
      </w:r>
    </w:p>
    <w:p w14:paraId="13690173" w14:textId="77777777" w:rsidR="0030377C" w:rsidRPr="00C05886" w:rsidRDefault="0030377C" w:rsidP="0030377C">
      <w:pPr>
        <w:spacing w:after="0" w:line="240" w:lineRule="auto"/>
        <w:rPr>
          <w:rFonts w:eastAsia="Times New Roman" w:cstheme="minorHAnsi"/>
          <w:szCs w:val="24"/>
          <w:lang w:eastAsia="en-GB"/>
        </w:rPr>
      </w:pPr>
    </w:p>
    <w:p w14:paraId="3E695F49" w14:textId="77777777" w:rsidR="0030377C" w:rsidRPr="00C05886" w:rsidRDefault="0030377C" w:rsidP="0030377C">
      <w:pPr>
        <w:spacing w:after="0" w:line="240" w:lineRule="auto"/>
        <w:rPr>
          <w:rFonts w:eastAsia="Times New Roman" w:cstheme="minorHAnsi"/>
          <w:szCs w:val="24"/>
          <w:lang w:eastAsia="en-GB"/>
        </w:rPr>
      </w:pPr>
      <w:r w:rsidRPr="00C05886">
        <w:rPr>
          <w:rFonts w:eastAsia="Times New Roman" w:cstheme="minorHAnsi"/>
          <w:szCs w:val="24"/>
          <w:lang w:eastAsia="en-GB"/>
        </w:rPr>
        <w:t>I understand and agree that the anonymous data (demographics, emotional response, heart rate) can be used in reports, research papers, and other research outputs and that the data will be later made available on the UK Data Archive repository</w:t>
      </w:r>
    </w:p>
    <w:p w14:paraId="6B794A6F" w14:textId="77777777" w:rsidR="0030377C" w:rsidRPr="00C05886" w:rsidRDefault="0030377C" w:rsidP="0030377C">
      <w:pPr>
        <w:pStyle w:val="ListParagraph"/>
        <w:numPr>
          <w:ilvl w:val="0"/>
          <w:numId w:val="36"/>
        </w:numPr>
        <w:spacing w:after="0" w:line="240" w:lineRule="auto"/>
        <w:jc w:val="left"/>
        <w:rPr>
          <w:rFonts w:eastAsia="Times New Roman" w:cstheme="minorHAnsi"/>
          <w:szCs w:val="24"/>
          <w:lang w:eastAsia="en-GB"/>
        </w:rPr>
      </w:pPr>
      <w:r w:rsidRPr="00C05886">
        <w:rPr>
          <w:rFonts w:eastAsia="Times New Roman" w:cstheme="minorHAnsi"/>
          <w:szCs w:val="24"/>
          <w:lang w:eastAsia="en-GB"/>
        </w:rPr>
        <w:t>Yes</w:t>
      </w:r>
    </w:p>
    <w:p w14:paraId="27297924" w14:textId="77777777" w:rsidR="0030377C" w:rsidRPr="00C05886" w:rsidRDefault="0030377C" w:rsidP="0030377C">
      <w:pPr>
        <w:spacing w:after="0" w:line="240" w:lineRule="auto"/>
        <w:rPr>
          <w:rFonts w:eastAsia="Times New Roman" w:cstheme="minorHAnsi"/>
          <w:szCs w:val="24"/>
          <w:lang w:eastAsia="en-GB"/>
        </w:rPr>
      </w:pPr>
    </w:p>
    <w:p w14:paraId="7D191472" w14:textId="77777777" w:rsidR="0030377C" w:rsidRPr="00C05886" w:rsidRDefault="0030377C" w:rsidP="0030377C">
      <w:pPr>
        <w:spacing w:after="0" w:line="240" w:lineRule="auto"/>
        <w:rPr>
          <w:rFonts w:eastAsia="Times New Roman" w:cstheme="minorHAnsi"/>
          <w:szCs w:val="24"/>
          <w:lang w:eastAsia="en-GB"/>
        </w:rPr>
      </w:pPr>
      <w:r w:rsidRPr="00C05886">
        <w:rPr>
          <w:rFonts w:eastAsia="Times New Roman" w:cstheme="minorHAnsi"/>
          <w:szCs w:val="24"/>
          <w:lang w:eastAsia="en-GB"/>
        </w:rPr>
        <w:t>I agree to take part in the project. I understand that taking part in the project will include wearing sensors, filling a questionnaire, and completing a few tasks (listening to an audio file and exploring a virtual tour).</w:t>
      </w:r>
    </w:p>
    <w:p w14:paraId="4632465C" w14:textId="77777777" w:rsidR="0030377C" w:rsidRPr="00C05886" w:rsidRDefault="0030377C" w:rsidP="0030377C">
      <w:pPr>
        <w:pStyle w:val="ListParagraph"/>
        <w:numPr>
          <w:ilvl w:val="0"/>
          <w:numId w:val="36"/>
        </w:numPr>
        <w:spacing w:line="240" w:lineRule="auto"/>
        <w:jc w:val="left"/>
      </w:pPr>
      <w:r w:rsidRPr="00C05886">
        <w:t>I agree</w:t>
      </w:r>
    </w:p>
    <w:p w14:paraId="11C21576" w14:textId="77777777" w:rsidR="0030377C" w:rsidRPr="00C05886" w:rsidRDefault="0030377C" w:rsidP="0030377C">
      <w:pPr>
        <w:spacing w:line="240" w:lineRule="auto"/>
      </w:pPr>
    </w:p>
    <w:p w14:paraId="5DBE01C5" w14:textId="77777777" w:rsidR="0030377C" w:rsidRPr="00C05886" w:rsidRDefault="0030377C" w:rsidP="0030377C">
      <w:pPr>
        <w:spacing w:line="240" w:lineRule="auto"/>
      </w:pPr>
    </w:p>
    <w:p w14:paraId="5D56BB5B" w14:textId="77777777" w:rsidR="0030377C" w:rsidRPr="00C05886" w:rsidRDefault="0030377C" w:rsidP="0030377C">
      <w:pPr>
        <w:spacing w:line="240" w:lineRule="auto"/>
      </w:pPr>
    </w:p>
    <w:p w14:paraId="635E7543" w14:textId="77777777" w:rsidR="0030377C" w:rsidRPr="00C05886" w:rsidRDefault="0030377C" w:rsidP="0030377C">
      <w:pPr>
        <w:spacing w:line="240" w:lineRule="auto"/>
      </w:pPr>
      <w:r w:rsidRPr="00C05886">
        <w:t>Name of participant (printed)</w:t>
      </w:r>
      <w:r w:rsidRPr="00C05886">
        <w:tab/>
      </w:r>
      <w:r w:rsidRPr="00C05886">
        <w:tab/>
      </w:r>
      <w:r w:rsidRPr="00C05886">
        <w:tab/>
        <w:t>Signature</w:t>
      </w:r>
      <w:r w:rsidRPr="00C05886">
        <w:tab/>
      </w:r>
      <w:r w:rsidRPr="00C05886">
        <w:tab/>
      </w:r>
      <w:r w:rsidRPr="00C05886">
        <w:tab/>
        <w:t>Date</w:t>
      </w:r>
    </w:p>
    <w:p w14:paraId="39C57810" w14:textId="77777777" w:rsidR="0030377C" w:rsidRPr="00C05886" w:rsidRDefault="0030377C" w:rsidP="0030377C">
      <w:pPr>
        <w:spacing w:line="240" w:lineRule="auto"/>
      </w:pPr>
    </w:p>
    <w:p w14:paraId="679BC6CA" w14:textId="77777777" w:rsidR="0030377C" w:rsidRPr="00C05886" w:rsidRDefault="0030377C" w:rsidP="0030377C">
      <w:pPr>
        <w:spacing w:line="240" w:lineRule="auto"/>
      </w:pPr>
    </w:p>
    <w:p w14:paraId="5E263070" w14:textId="77777777" w:rsidR="0030377C" w:rsidRPr="00C05886" w:rsidRDefault="0030377C" w:rsidP="0030377C">
      <w:pPr>
        <w:spacing w:line="240" w:lineRule="auto"/>
      </w:pPr>
    </w:p>
    <w:p w14:paraId="7A1D1898" w14:textId="77777777" w:rsidR="0030377C" w:rsidRPr="00C05886" w:rsidRDefault="0030377C" w:rsidP="0030377C">
      <w:pPr>
        <w:spacing w:after="0" w:line="240" w:lineRule="auto"/>
        <w:rPr>
          <w:rFonts w:ascii="TUOS Blake" w:hAnsi="TUOS Blake"/>
          <w:b/>
          <w:sz w:val="20"/>
          <w:szCs w:val="20"/>
        </w:rPr>
      </w:pPr>
      <w:r w:rsidRPr="00C05886">
        <w:rPr>
          <w:rFonts w:ascii="TUOS Blake" w:hAnsi="TUOS Blake"/>
          <w:b/>
          <w:sz w:val="20"/>
          <w:szCs w:val="20"/>
        </w:rPr>
        <w:t>Project contact details for further information:</w:t>
      </w:r>
    </w:p>
    <w:p w14:paraId="49456C3D" w14:textId="77777777" w:rsidR="0030377C" w:rsidRPr="00C05886" w:rsidRDefault="0030377C" w:rsidP="0030377C">
      <w:pPr>
        <w:tabs>
          <w:tab w:val="num" w:pos="284"/>
        </w:tabs>
        <w:spacing w:after="0" w:line="240" w:lineRule="auto"/>
        <w:rPr>
          <w:rFonts w:ascii="Calibri" w:hAnsi="Calibri" w:cstheme="minorHAnsi"/>
          <w:szCs w:val="24"/>
        </w:rPr>
      </w:pPr>
      <w:bookmarkStart w:id="201" w:name="_gjdgxs"/>
      <w:bookmarkEnd w:id="201"/>
      <w:r w:rsidRPr="00C05886">
        <w:rPr>
          <w:rFonts w:cstheme="minorHAnsi"/>
          <w:szCs w:val="24"/>
        </w:rPr>
        <w:t xml:space="preserve">PhD Researcher: Simone Farris </w:t>
      </w:r>
      <w:hyperlink r:id="rId84" w:history="1">
        <w:r w:rsidRPr="00C05886">
          <w:rPr>
            <w:rStyle w:val="Hyperlink"/>
            <w:rFonts w:cstheme="minorHAnsi"/>
            <w:szCs w:val="24"/>
          </w:rPr>
          <w:t>sfarris1@sheffield.ac.uk</w:t>
        </w:r>
      </w:hyperlink>
    </w:p>
    <w:p w14:paraId="07564518" w14:textId="77777777" w:rsidR="0030377C" w:rsidRPr="00C05886" w:rsidRDefault="0030377C" w:rsidP="0030377C">
      <w:pPr>
        <w:tabs>
          <w:tab w:val="num" w:pos="284"/>
        </w:tabs>
        <w:spacing w:after="0" w:line="240" w:lineRule="auto"/>
        <w:rPr>
          <w:rFonts w:cstheme="minorHAnsi"/>
        </w:rPr>
      </w:pPr>
      <w:r w:rsidRPr="00C05886">
        <w:rPr>
          <w:rFonts w:cstheme="minorHAnsi"/>
          <w:szCs w:val="24"/>
        </w:rPr>
        <w:t xml:space="preserve">Supervisor: Ross Cameron </w:t>
      </w:r>
      <w:hyperlink r:id="rId85" w:history="1">
        <w:r w:rsidRPr="00C05886">
          <w:rPr>
            <w:rStyle w:val="Hyperlink"/>
            <w:rFonts w:cstheme="minorHAnsi"/>
          </w:rPr>
          <w:t>r.w.cameron@sheffield.ac.uk</w:t>
        </w:r>
      </w:hyperlink>
    </w:p>
    <w:p w14:paraId="13A55089" w14:textId="77777777" w:rsidR="0030377C" w:rsidRPr="00C05886" w:rsidRDefault="0030377C" w:rsidP="0030377C">
      <w:pPr>
        <w:tabs>
          <w:tab w:val="num" w:pos="284"/>
        </w:tabs>
        <w:spacing w:after="0" w:line="240" w:lineRule="auto"/>
        <w:rPr>
          <w:rFonts w:cstheme="minorHAnsi"/>
          <w:szCs w:val="24"/>
        </w:rPr>
      </w:pPr>
      <w:r w:rsidRPr="00C05886">
        <w:rPr>
          <w:rFonts w:cstheme="minorHAnsi"/>
          <w:szCs w:val="24"/>
        </w:rPr>
        <w:t xml:space="preserve">Head of Department: Helen Woolley </w:t>
      </w:r>
      <w:hyperlink r:id="rId86" w:history="1">
        <w:r w:rsidRPr="00C05886">
          <w:rPr>
            <w:rStyle w:val="Hyperlink"/>
            <w:rFonts w:cstheme="minorHAnsi"/>
            <w:szCs w:val="24"/>
          </w:rPr>
          <w:t>h.woolley@sheffield.ac.uk</w:t>
        </w:r>
      </w:hyperlink>
    </w:p>
    <w:p w14:paraId="480F4EB1" w14:textId="77777777" w:rsidR="0030377C" w:rsidRPr="00C05886" w:rsidRDefault="0030377C" w:rsidP="0030377C">
      <w:pPr>
        <w:spacing w:after="0" w:line="240" w:lineRule="auto"/>
        <w:rPr>
          <w:rFonts w:eastAsia="Times New Roman" w:cstheme="minorHAnsi"/>
          <w:szCs w:val="24"/>
          <w:lang w:eastAsia="en-GB"/>
        </w:rPr>
      </w:pPr>
      <w:r w:rsidRPr="00C05886">
        <w:rPr>
          <w:rFonts w:cstheme="minorHAnsi"/>
          <w:color w:val="000000"/>
          <w:szCs w:val="24"/>
        </w:rPr>
        <w:t xml:space="preserve">Designated Safeguarding Contact: Nicola Dempsey </w:t>
      </w:r>
      <w:hyperlink r:id="rId87" w:history="1">
        <w:r w:rsidRPr="00C05886">
          <w:rPr>
            <w:rStyle w:val="Hyperlink"/>
            <w:rFonts w:eastAsia="Times New Roman" w:cstheme="minorHAnsi"/>
            <w:szCs w:val="24"/>
            <w:lang w:eastAsia="en-GB"/>
          </w:rPr>
          <w:t>n.dempsey@sheffield.ac.uk</w:t>
        </w:r>
      </w:hyperlink>
    </w:p>
    <w:p w14:paraId="0E4ABB9D" w14:textId="77777777" w:rsidR="0030377C" w:rsidRPr="00C05886" w:rsidRDefault="0030377C" w:rsidP="0030377C">
      <w:pPr>
        <w:tabs>
          <w:tab w:val="num" w:pos="284"/>
        </w:tabs>
        <w:spacing w:after="0" w:line="240" w:lineRule="auto"/>
        <w:rPr>
          <w:rFonts w:eastAsia="Calibri" w:cstheme="minorHAnsi"/>
          <w:iCs/>
          <w:szCs w:val="24"/>
          <w:lang w:eastAsia="zh-CN"/>
        </w:rPr>
      </w:pPr>
      <w:r w:rsidRPr="00C05886">
        <w:rPr>
          <w:rFonts w:cstheme="minorHAnsi"/>
          <w:szCs w:val="24"/>
        </w:rPr>
        <w:t>The University of Sheffield, Department of Landscape, Floor 13, The Arts Tower, Western Bank, Sheffield, S10 2TN</w:t>
      </w:r>
    </w:p>
    <w:p w14:paraId="46355561" w14:textId="77777777" w:rsidR="0030377C" w:rsidRDefault="0030377C" w:rsidP="0030377C"/>
    <w:p w14:paraId="709501CE" w14:textId="77777777" w:rsidR="00BF64B9" w:rsidRDefault="00BF64B9">
      <w:pPr>
        <w:spacing w:line="259" w:lineRule="auto"/>
        <w:jc w:val="left"/>
        <w:rPr>
          <w:rFonts w:eastAsiaTheme="majorEastAsia" w:cstheme="majorBidi"/>
          <w:b/>
          <w:kern w:val="2"/>
          <w:sz w:val="28"/>
          <w:szCs w:val="24"/>
          <w14:ligatures w14:val="standardContextual"/>
        </w:rPr>
      </w:pPr>
      <w:bookmarkStart w:id="202" w:name="_Toc179962437"/>
      <w:r>
        <w:br w:type="page"/>
      </w:r>
    </w:p>
    <w:p w14:paraId="1075C20F" w14:textId="72D8572B" w:rsidR="0039784A" w:rsidRDefault="0039784A" w:rsidP="0039784A">
      <w:pPr>
        <w:pStyle w:val="Heading3"/>
      </w:pPr>
      <w:r>
        <w:lastRenderedPageBreak/>
        <w:t>Survey text</w:t>
      </w:r>
      <w:bookmarkEnd w:id="202"/>
    </w:p>
    <w:p w14:paraId="2CF1236A" w14:textId="77777777" w:rsidR="0039784A" w:rsidRDefault="0039784A" w:rsidP="0039784A"/>
    <w:p w14:paraId="096691A9" w14:textId="51C8C239" w:rsidR="00A646BC" w:rsidRPr="00A646BC" w:rsidRDefault="00A646BC" w:rsidP="00A646BC">
      <w:pPr>
        <w:spacing w:after="240" w:line="240" w:lineRule="auto"/>
        <w:jc w:val="left"/>
        <w:rPr>
          <w:rFonts w:ascii="Arial" w:eastAsia="Times New Roman" w:hAnsi="Arial" w:cs="Times New Roman"/>
          <w:b/>
          <w:color w:val="000000"/>
          <w:sz w:val="48"/>
          <w:szCs w:val="48"/>
          <w:lang w:val="en-US"/>
        </w:rPr>
      </w:pPr>
      <w:r w:rsidRPr="00A646BC">
        <w:rPr>
          <w:rFonts w:ascii="Arial" w:eastAsia="Times New Roman" w:hAnsi="Arial" w:cs="Times New Roman"/>
          <w:b/>
          <w:color w:val="000000"/>
          <w:sz w:val="48"/>
          <w:szCs w:val="48"/>
          <w:lang w:val="en-US"/>
        </w:rPr>
        <w:t>“</w:t>
      </w:r>
      <w:proofErr w:type="spellStart"/>
      <w:r w:rsidRPr="00A646BC">
        <w:rPr>
          <w:rFonts w:ascii="Arial" w:eastAsia="Times New Roman" w:hAnsi="Arial" w:cs="Times New Roman"/>
          <w:b/>
          <w:color w:val="000000"/>
          <w:sz w:val="48"/>
          <w:szCs w:val="48"/>
          <w:lang w:val="en-US"/>
        </w:rPr>
        <w:t>Threesixtyc</w:t>
      </w:r>
      <w:r>
        <w:rPr>
          <w:rFonts w:ascii="Arial" w:eastAsia="Times New Roman" w:hAnsi="Arial" w:cs="Times New Roman"/>
          <w:b/>
          <w:color w:val="000000"/>
          <w:sz w:val="48"/>
          <w:szCs w:val="48"/>
          <w:lang w:val="en-US"/>
        </w:rPr>
        <w:t>ar</w:t>
      </w:r>
      <w:r w:rsidRPr="00A646BC">
        <w:rPr>
          <w:rFonts w:ascii="Arial" w:eastAsia="Times New Roman" w:hAnsi="Arial" w:cs="Times New Roman"/>
          <w:b/>
          <w:color w:val="000000"/>
          <w:sz w:val="48"/>
          <w:szCs w:val="48"/>
          <w:lang w:val="en-US"/>
        </w:rPr>
        <w:t>park</w:t>
      </w:r>
      <w:proofErr w:type="spellEnd"/>
      <w:r w:rsidRPr="00A646BC">
        <w:rPr>
          <w:rFonts w:ascii="Arial" w:eastAsia="Times New Roman" w:hAnsi="Arial" w:cs="Times New Roman"/>
          <w:b/>
          <w:color w:val="000000"/>
          <w:sz w:val="48"/>
          <w:szCs w:val="48"/>
          <w:lang w:val="en-US"/>
        </w:rPr>
        <w:t>” – Face to Face</w:t>
      </w:r>
    </w:p>
    <w:p w14:paraId="3EEEC22F" w14:textId="77777777" w:rsidR="00A646BC" w:rsidRPr="00A646BC" w:rsidRDefault="00A646BC" w:rsidP="00A646BC">
      <w:pPr>
        <w:spacing w:after="0" w:line="276" w:lineRule="auto"/>
        <w:jc w:val="left"/>
        <w:rPr>
          <w:rFonts w:ascii="Arial" w:eastAsia="Times New Roman" w:hAnsi="Arial" w:cs="Times New Roman"/>
          <w:sz w:val="22"/>
          <w:lang w:val="en-US"/>
        </w:rPr>
      </w:pPr>
    </w:p>
    <w:p w14:paraId="689C4AFB" w14:textId="77777777" w:rsidR="00A646BC" w:rsidRPr="00A646BC" w:rsidRDefault="00A646BC" w:rsidP="00A646BC">
      <w:pPr>
        <w:pBdr>
          <w:bottom w:val="single" w:sz="8" w:space="0" w:color="CCCCCC"/>
        </w:pBdr>
        <w:spacing w:after="0" w:line="120" w:lineRule="auto"/>
        <w:jc w:val="center"/>
        <w:rPr>
          <w:rFonts w:ascii="Arial" w:eastAsia="Times New Roman" w:hAnsi="Arial" w:cs="Times New Roman"/>
          <w:b/>
          <w:color w:val="CCCCCC"/>
          <w:sz w:val="22"/>
          <w:lang w:val="en-US"/>
        </w:rPr>
      </w:pPr>
    </w:p>
    <w:p w14:paraId="4EF56B14" w14:textId="77777777" w:rsidR="00A646BC" w:rsidRPr="00A646BC" w:rsidRDefault="00A646BC" w:rsidP="00A646BC">
      <w:pPr>
        <w:spacing w:before="120" w:after="120" w:line="240" w:lineRule="auto"/>
        <w:jc w:val="left"/>
        <w:rPr>
          <w:rFonts w:ascii="Arial" w:eastAsia="Times New Roman" w:hAnsi="Arial" w:cs="Times New Roman"/>
          <w:b/>
          <w:color w:val="CCCCCC"/>
          <w:sz w:val="22"/>
          <w:lang w:val="en-US"/>
        </w:rPr>
      </w:pPr>
      <w:r w:rsidRPr="00A646BC">
        <w:rPr>
          <w:rFonts w:ascii="Arial" w:eastAsia="Times New Roman" w:hAnsi="Arial" w:cs="Times New Roman"/>
          <w:b/>
          <w:color w:val="CCCCCC"/>
          <w:sz w:val="22"/>
          <w:lang w:val="en-US"/>
        </w:rPr>
        <w:t>Start of Block: ID generator</w:t>
      </w:r>
    </w:p>
    <w:p w14:paraId="3819CDAF" w14:textId="77777777" w:rsidR="00A646BC" w:rsidRPr="00A646BC" w:rsidRDefault="00A646BC" w:rsidP="00A646BC">
      <w:pPr>
        <w:spacing w:after="0" w:line="276" w:lineRule="auto"/>
        <w:jc w:val="left"/>
        <w:rPr>
          <w:rFonts w:ascii="Arial" w:eastAsia="Times New Roman" w:hAnsi="Arial" w:cs="Times New Roman"/>
          <w:sz w:val="22"/>
          <w:lang w:val="en-US"/>
        </w:rPr>
      </w:pPr>
    </w:p>
    <w:p w14:paraId="50F4903C" w14:textId="77777777" w:rsidR="00A646BC" w:rsidRPr="00A646BC" w:rsidRDefault="00A646BC" w:rsidP="00A646BC">
      <w:pPr>
        <w:keepNext/>
        <w:spacing w:after="0" w:line="276" w:lineRule="auto"/>
        <w:jc w:val="left"/>
        <w:rPr>
          <w:rFonts w:ascii="Arial" w:eastAsia="Times New Roman" w:hAnsi="Arial" w:cs="Times New Roman"/>
          <w:sz w:val="22"/>
          <w:lang w:val="en-US"/>
        </w:rPr>
      </w:pPr>
      <w:proofErr w:type="spellStart"/>
      <w:r w:rsidRPr="00A646BC">
        <w:rPr>
          <w:rFonts w:ascii="Arial" w:eastAsia="Times New Roman" w:hAnsi="Arial" w:cs="Times New Roman"/>
          <w:sz w:val="22"/>
          <w:lang w:val="en-US"/>
        </w:rPr>
        <w:t>random_id</w:t>
      </w:r>
      <w:proofErr w:type="spellEnd"/>
      <w:r w:rsidRPr="00A646BC">
        <w:rPr>
          <w:rFonts w:ascii="Arial" w:eastAsia="Times New Roman" w:hAnsi="Arial" w:cs="Times New Roman"/>
          <w:sz w:val="22"/>
          <w:lang w:val="en-US"/>
        </w:rPr>
        <w:t xml:space="preserve"> The Random ID is:</w:t>
      </w:r>
      <w:r w:rsidRPr="00A646BC">
        <w:rPr>
          <w:rFonts w:ascii="Arial" w:eastAsia="Times New Roman" w:hAnsi="Arial" w:cs="Times New Roman"/>
          <w:sz w:val="22"/>
          <w:lang w:val="en-US"/>
        </w:rPr>
        <w:br/>
        <w:t xml:space="preserve">  </w:t>
      </w:r>
      <w:r w:rsidRPr="00A646BC">
        <w:rPr>
          <w:rFonts w:ascii="Arial" w:eastAsia="Times New Roman" w:hAnsi="Arial" w:cs="Times New Roman"/>
          <w:color w:val="426092"/>
          <w:sz w:val="22"/>
          <w:lang w:val="en-US"/>
        </w:rPr>
        <w:t>${rand://int/10000:99999}</w:t>
      </w:r>
      <w:r w:rsidRPr="00A646BC">
        <w:rPr>
          <w:rFonts w:ascii="Arial" w:eastAsia="Times New Roman" w:hAnsi="Arial" w:cs="Times New Roman"/>
          <w:sz w:val="22"/>
          <w:lang w:val="en-US"/>
        </w:rPr>
        <w:br/>
        <w:t xml:space="preserve"> </w:t>
      </w:r>
      <w:r w:rsidRPr="00A646BC">
        <w:rPr>
          <w:rFonts w:ascii="Arial" w:eastAsia="Times New Roman" w:hAnsi="Arial" w:cs="Times New Roman"/>
          <w:sz w:val="22"/>
          <w:lang w:val="en-US"/>
        </w:rPr>
        <w:br/>
        <w:t xml:space="preserve"> RESEARCHER, please type the above number here</w:t>
      </w:r>
      <w:r w:rsidRPr="00A646BC">
        <w:rPr>
          <w:rFonts w:ascii="Arial" w:eastAsia="Times New Roman" w:hAnsi="Arial" w:cs="Times New Roman"/>
          <w:sz w:val="22"/>
          <w:lang w:val="en-US"/>
        </w:rPr>
        <w:br/>
      </w:r>
    </w:p>
    <w:p w14:paraId="514E2995" w14:textId="77777777" w:rsidR="00A646BC" w:rsidRPr="00A646BC" w:rsidRDefault="00A646BC" w:rsidP="00A646BC">
      <w:pPr>
        <w:spacing w:before="240" w:after="0" w:line="240" w:lineRule="auto"/>
        <w:ind w:firstLine="400"/>
        <w:jc w:val="left"/>
        <w:rPr>
          <w:rFonts w:ascii="Arial" w:eastAsia="Times New Roman" w:hAnsi="Arial" w:cs="Times New Roman"/>
          <w:sz w:val="22"/>
          <w:lang w:val="en-US"/>
        </w:rPr>
      </w:pPr>
      <w:r w:rsidRPr="00A646BC">
        <w:rPr>
          <w:rFonts w:ascii="Arial" w:eastAsia="Times New Roman" w:hAnsi="Arial" w:cs="Times New Roman"/>
          <w:sz w:val="22"/>
          <w:lang w:val="en-US"/>
        </w:rPr>
        <w:t>________________________________________________________________</w:t>
      </w:r>
    </w:p>
    <w:p w14:paraId="3E9E2686" w14:textId="77777777" w:rsidR="00A646BC" w:rsidRPr="00A646BC" w:rsidRDefault="00A646BC" w:rsidP="00A646BC">
      <w:pPr>
        <w:spacing w:after="0" w:line="276" w:lineRule="auto"/>
        <w:jc w:val="left"/>
        <w:rPr>
          <w:rFonts w:ascii="Arial" w:eastAsia="Times New Roman" w:hAnsi="Arial" w:cs="Times New Roman"/>
          <w:sz w:val="22"/>
          <w:lang w:val="en-US"/>
        </w:rPr>
      </w:pPr>
    </w:p>
    <w:p w14:paraId="5438C403" w14:textId="77777777" w:rsidR="00A646BC" w:rsidRPr="00A646BC" w:rsidRDefault="00A646BC" w:rsidP="00A646BC">
      <w:pPr>
        <w:pBdr>
          <w:top w:val="dashed" w:sz="8" w:space="0" w:color="CCCCCC"/>
        </w:pBdr>
        <w:spacing w:before="120" w:after="120" w:line="120" w:lineRule="auto"/>
        <w:jc w:val="left"/>
        <w:rPr>
          <w:rFonts w:ascii="Arial" w:eastAsia="Times New Roman" w:hAnsi="Arial" w:cs="Times New Roman"/>
          <w:sz w:val="22"/>
          <w:lang w:val="en-US"/>
        </w:rPr>
      </w:pPr>
    </w:p>
    <w:tbl>
      <w:tblPr>
        <w:tblStyle w:val="QQuestionIconTable"/>
        <w:tblW w:w="50" w:type="auto"/>
        <w:tblLook w:val="07E0" w:firstRow="1" w:lastRow="1" w:firstColumn="1" w:lastColumn="1" w:noHBand="1" w:noVBand="1"/>
      </w:tblPr>
      <w:tblGrid>
        <w:gridCol w:w="380"/>
      </w:tblGrid>
      <w:tr w:rsidR="00A646BC" w:rsidRPr="00A646BC" w14:paraId="2D4B1F5E" w14:textId="77777777" w:rsidTr="003C7F42">
        <w:tc>
          <w:tcPr>
            <w:tcW w:w="50" w:type="dxa"/>
          </w:tcPr>
          <w:p w14:paraId="20C47F0F" w14:textId="77777777" w:rsidR="00A646BC" w:rsidRPr="00A646BC" w:rsidRDefault="00A646BC" w:rsidP="00A646BC">
            <w:pPr>
              <w:keepNext/>
              <w:spacing w:line="240" w:lineRule="auto"/>
              <w:jc w:val="center"/>
              <w:rPr>
                <w:rFonts w:ascii="Arial" w:eastAsia="Times New Roman" w:hAnsi="Arial" w:cs="Times New Roman"/>
                <w:sz w:val="22"/>
                <w:lang w:val="en-US"/>
              </w:rPr>
            </w:pPr>
            <w:r w:rsidRPr="00A646BC">
              <w:rPr>
                <w:rFonts w:ascii="Arial" w:eastAsia="Times New Roman" w:hAnsi="Arial" w:cs="Times New Roman"/>
                <w:noProof/>
                <w:sz w:val="22"/>
                <w:lang w:val="en-US"/>
              </w:rPr>
              <w:drawing>
                <wp:inline distT="0" distB="0" distL="0" distR="0" wp14:anchorId="45457438" wp14:editId="148863D6">
                  <wp:extent cx="228600" cy="228600"/>
                  <wp:effectExtent l="0" t="0" r="0" b="0"/>
                  <wp:docPr id="2142605275" name="WordQuestionJavaScrip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WordQuestionJavaScript.png"/>
                          <pic:cNvPicPr/>
                        </pic:nvPicPr>
                        <pic:blipFill>
                          <a:blip r:embed="rId69"/>
                          <a:stretch>
                            <a:fillRect/>
                          </a:stretch>
                        </pic:blipFill>
                        <pic:spPr>
                          <a:xfrm>
                            <a:off x="0" y="0"/>
                            <a:ext cx="228600" cy="228600"/>
                          </a:xfrm>
                          <a:prstGeom prst="rect">
                            <a:avLst/>
                          </a:prstGeom>
                        </pic:spPr>
                      </pic:pic>
                    </a:graphicData>
                  </a:graphic>
                </wp:inline>
              </w:drawing>
            </w:r>
          </w:p>
        </w:tc>
      </w:tr>
    </w:tbl>
    <w:p w14:paraId="35FF267A" w14:textId="77777777" w:rsidR="00A646BC" w:rsidRPr="00A646BC" w:rsidRDefault="00A646BC" w:rsidP="00A646BC">
      <w:pPr>
        <w:spacing w:after="0" w:line="276" w:lineRule="auto"/>
        <w:jc w:val="left"/>
        <w:rPr>
          <w:rFonts w:ascii="Arial" w:eastAsia="Times New Roman" w:hAnsi="Arial" w:cs="Times New Roman"/>
          <w:sz w:val="22"/>
          <w:lang w:val="en-US"/>
        </w:rPr>
      </w:pPr>
    </w:p>
    <w:p w14:paraId="1873DB2F" w14:textId="77777777" w:rsidR="00A646BC" w:rsidRPr="00A646BC" w:rsidRDefault="00A646BC" w:rsidP="00A646BC">
      <w:pPr>
        <w:keepNext/>
        <w:spacing w:after="0" w:line="276" w:lineRule="auto"/>
        <w:jc w:val="left"/>
        <w:rPr>
          <w:rFonts w:ascii="Arial" w:eastAsia="Times New Roman" w:hAnsi="Arial" w:cs="Times New Roman"/>
          <w:sz w:val="22"/>
          <w:lang w:val="en-US"/>
        </w:rPr>
      </w:pPr>
      <w:proofErr w:type="spellStart"/>
      <w:r w:rsidRPr="00A646BC">
        <w:rPr>
          <w:rFonts w:ascii="Arial" w:eastAsia="Times New Roman" w:hAnsi="Arial" w:cs="Times New Roman"/>
          <w:sz w:val="22"/>
          <w:lang w:val="en-US"/>
        </w:rPr>
        <w:t>time_recording_start</w:t>
      </w:r>
      <w:proofErr w:type="spellEnd"/>
      <w:r w:rsidRPr="00A646BC">
        <w:rPr>
          <w:rFonts w:ascii="Arial" w:eastAsia="Times New Roman" w:hAnsi="Arial" w:cs="Times New Roman"/>
          <w:sz w:val="22"/>
          <w:lang w:val="en-US"/>
        </w:rPr>
        <w:t xml:space="preserve"> Click to write the question text</w:t>
      </w:r>
    </w:p>
    <w:p w14:paraId="2FAC4AC7" w14:textId="77777777" w:rsidR="00A646BC" w:rsidRPr="00A646BC" w:rsidRDefault="00A646BC" w:rsidP="00A646BC">
      <w:pPr>
        <w:spacing w:before="240" w:after="0" w:line="240" w:lineRule="auto"/>
        <w:ind w:firstLine="400"/>
        <w:jc w:val="left"/>
        <w:rPr>
          <w:rFonts w:ascii="Arial" w:eastAsia="Times New Roman" w:hAnsi="Arial" w:cs="Times New Roman"/>
          <w:sz w:val="22"/>
          <w:lang w:val="en-US"/>
        </w:rPr>
      </w:pPr>
      <w:r w:rsidRPr="00A646BC">
        <w:rPr>
          <w:rFonts w:ascii="Arial" w:eastAsia="Times New Roman" w:hAnsi="Arial" w:cs="Times New Roman"/>
          <w:sz w:val="22"/>
          <w:lang w:val="en-US"/>
        </w:rPr>
        <w:t>________________________________________________________________</w:t>
      </w:r>
    </w:p>
    <w:p w14:paraId="7FBD90AD" w14:textId="77777777" w:rsidR="00A646BC" w:rsidRPr="00A646BC" w:rsidRDefault="00A646BC" w:rsidP="00A646BC">
      <w:pPr>
        <w:spacing w:after="0" w:line="276" w:lineRule="auto"/>
        <w:jc w:val="left"/>
        <w:rPr>
          <w:rFonts w:ascii="Arial" w:eastAsia="Times New Roman" w:hAnsi="Arial" w:cs="Times New Roman"/>
          <w:sz w:val="22"/>
          <w:lang w:val="en-US"/>
        </w:rPr>
      </w:pPr>
    </w:p>
    <w:p w14:paraId="26643BA1" w14:textId="77777777" w:rsidR="00A646BC" w:rsidRPr="00A646BC" w:rsidRDefault="00A646BC" w:rsidP="00A646BC">
      <w:pPr>
        <w:pBdr>
          <w:top w:val="dashed" w:sz="8" w:space="0" w:color="CCCCCC"/>
        </w:pBdr>
        <w:spacing w:before="120" w:after="120" w:line="120" w:lineRule="auto"/>
        <w:jc w:val="left"/>
        <w:rPr>
          <w:rFonts w:ascii="Arial" w:eastAsia="Times New Roman" w:hAnsi="Arial" w:cs="Times New Roman"/>
          <w:sz w:val="22"/>
          <w:lang w:val="en-US"/>
        </w:rPr>
      </w:pPr>
    </w:p>
    <w:p w14:paraId="6E504FD9" w14:textId="77777777" w:rsidR="00A646BC" w:rsidRPr="00A646BC" w:rsidRDefault="00A646BC" w:rsidP="00A646BC">
      <w:pPr>
        <w:spacing w:after="0" w:line="276" w:lineRule="auto"/>
        <w:jc w:val="left"/>
        <w:rPr>
          <w:rFonts w:ascii="Arial" w:eastAsia="Times New Roman" w:hAnsi="Arial" w:cs="Times New Roman"/>
          <w:sz w:val="22"/>
          <w:lang w:val="en-US"/>
        </w:rPr>
      </w:pPr>
    </w:p>
    <w:p w14:paraId="1A143929" w14:textId="77777777" w:rsidR="00A646BC" w:rsidRPr="00A646BC" w:rsidRDefault="00A646BC" w:rsidP="00A646BC">
      <w:pPr>
        <w:keepNext/>
        <w:spacing w:after="0" w:line="276" w:lineRule="auto"/>
        <w:jc w:val="left"/>
        <w:rPr>
          <w:rFonts w:ascii="Arial" w:eastAsia="Times New Roman" w:hAnsi="Arial" w:cs="Times New Roman"/>
          <w:sz w:val="22"/>
          <w:lang w:val="en-US"/>
        </w:rPr>
      </w:pPr>
      <w:r w:rsidRPr="00A646BC">
        <w:rPr>
          <w:rFonts w:ascii="Arial" w:eastAsia="Times New Roman" w:hAnsi="Arial" w:cs="Times New Roman"/>
          <w:sz w:val="22"/>
          <w:lang w:val="en-US"/>
        </w:rPr>
        <w:t xml:space="preserve">Q265 Department / Job </w:t>
      </w:r>
      <w:r w:rsidRPr="00A646BC">
        <w:rPr>
          <w:rFonts w:ascii="Arial" w:eastAsia="Times New Roman" w:hAnsi="Arial" w:cs="Times New Roman"/>
          <w:sz w:val="22"/>
          <w:lang w:val="en-US"/>
        </w:rPr>
        <w:br/>
      </w:r>
    </w:p>
    <w:p w14:paraId="14E1A127" w14:textId="77777777" w:rsidR="00A646BC" w:rsidRPr="00A646BC" w:rsidRDefault="00A646BC" w:rsidP="00A646BC">
      <w:pPr>
        <w:spacing w:before="240" w:after="0" w:line="240" w:lineRule="auto"/>
        <w:ind w:firstLine="400"/>
        <w:jc w:val="left"/>
        <w:rPr>
          <w:rFonts w:ascii="Arial" w:eastAsia="Times New Roman" w:hAnsi="Arial" w:cs="Times New Roman"/>
          <w:sz w:val="22"/>
          <w:lang w:val="en-US"/>
        </w:rPr>
      </w:pPr>
      <w:r w:rsidRPr="00A646BC">
        <w:rPr>
          <w:rFonts w:ascii="Arial" w:eastAsia="Times New Roman" w:hAnsi="Arial" w:cs="Times New Roman"/>
          <w:sz w:val="22"/>
          <w:lang w:val="en-US"/>
        </w:rPr>
        <w:t>________________________________________________________________</w:t>
      </w:r>
    </w:p>
    <w:p w14:paraId="2EF0250B" w14:textId="77777777" w:rsidR="00A646BC" w:rsidRPr="00A646BC" w:rsidRDefault="00A646BC" w:rsidP="00A646BC">
      <w:pPr>
        <w:spacing w:after="0" w:line="276" w:lineRule="auto"/>
        <w:jc w:val="left"/>
        <w:rPr>
          <w:rFonts w:ascii="Arial" w:eastAsia="Times New Roman" w:hAnsi="Arial" w:cs="Times New Roman"/>
          <w:sz w:val="22"/>
          <w:lang w:val="en-US"/>
        </w:rPr>
      </w:pPr>
    </w:p>
    <w:p w14:paraId="4DC9E299" w14:textId="77777777" w:rsidR="00A646BC" w:rsidRPr="00A646BC" w:rsidRDefault="00A646BC" w:rsidP="00A646BC">
      <w:pPr>
        <w:spacing w:before="120" w:after="0" w:line="240" w:lineRule="auto"/>
        <w:jc w:val="left"/>
        <w:rPr>
          <w:rFonts w:ascii="Arial" w:eastAsia="Times New Roman" w:hAnsi="Arial" w:cs="Times New Roman"/>
          <w:b/>
          <w:color w:val="CCCCCC"/>
          <w:sz w:val="22"/>
          <w:lang w:val="en-US"/>
        </w:rPr>
      </w:pPr>
      <w:r w:rsidRPr="00A646BC">
        <w:rPr>
          <w:rFonts w:ascii="Arial" w:eastAsia="Times New Roman" w:hAnsi="Arial" w:cs="Times New Roman"/>
          <w:b/>
          <w:color w:val="CCCCCC"/>
          <w:sz w:val="22"/>
          <w:lang w:val="en-US"/>
        </w:rPr>
        <w:t>End of Block: ID generator</w:t>
      </w:r>
    </w:p>
    <w:p w14:paraId="5506EBFC" w14:textId="77777777" w:rsidR="00A646BC" w:rsidRPr="00A646BC" w:rsidRDefault="00A646BC" w:rsidP="00A646BC">
      <w:pPr>
        <w:pBdr>
          <w:bottom w:val="single" w:sz="8" w:space="0" w:color="CCCCCC"/>
        </w:pBdr>
        <w:spacing w:after="0" w:line="120" w:lineRule="auto"/>
        <w:jc w:val="center"/>
        <w:rPr>
          <w:rFonts w:ascii="Arial" w:eastAsia="Times New Roman" w:hAnsi="Arial" w:cs="Times New Roman"/>
          <w:b/>
          <w:color w:val="CCCCCC"/>
          <w:sz w:val="22"/>
          <w:lang w:val="en-US"/>
        </w:rPr>
      </w:pPr>
    </w:p>
    <w:p w14:paraId="05980BAD" w14:textId="77777777" w:rsidR="00A646BC" w:rsidRPr="00A646BC" w:rsidRDefault="00A646BC" w:rsidP="00A646BC">
      <w:pPr>
        <w:spacing w:before="120" w:after="120" w:line="240" w:lineRule="auto"/>
        <w:jc w:val="left"/>
        <w:rPr>
          <w:rFonts w:ascii="Arial" w:eastAsia="Times New Roman" w:hAnsi="Arial" w:cs="Times New Roman"/>
          <w:b/>
          <w:color w:val="CCCCCC"/>
          <w:sz w:val="22"/>
          <w:lang w:val="en-US"/>
        </w:rPr>
      </w:pPr>
      <w:r w:rsidRPr="00A646BC">
        <w:rPr>
          <w:rFonts w:ascii="Arial" w:eastAsia="Times New Roman" w:hAnsi="Arial" w:cs="Times New Roman"/>
          <w:b/>
          <w:color w:val="CCCCCC"/>
          <w:sz w:val="22"/>
          <w:lang w:val="en-US"/>
        </w:rPr>
        <w:t>Start of Block: Demographics</w:t>
      </w:r>
    </w:p>
    <w:p w14:paraId="35049941" w14:textId="77777777" w:rsidR="00A646BC" w:rsidRPr="00A646BC" w:rsidRDefault="00A646BC" w:rsidP="00A646BC">
      <w:pPr>
        <w:spacing w:after="0" w:line="276" w:lineRule="auto"/>
        <w:jc w:val="left"/>
        <w:rPr>
          <w:rFonts w:ascii="Arial" w:eastAsia="Times New Roman" w:hAnsi="Arial" w:cs="Times New Roman"/>
          <w:sz w:val="22"/>
          <w:lang w:val="en-US"/>
        </w:rPr>
      </w:pPr>
    </w:p>
    <w:p w14:paraId="0C782F4E" w14:textId="77777777" w:rsidR="00A646BC" w:rsidRPr="00A646BC" w:rsidRDefault="00A646BC" w:rsidP="00A646BC">
      <w:pPr>
        <w:keepNext/>
        <w:spacing w:after="0" w:line="276" w:lineRule="auto"/>
        <w:jc w:val="left"/>
        <w:rPr>
          <w:rFonts w:ascii="Arial" w:eastAsia="Times New Roman" w:hAnsi="Arial" w:cs="Times New Roman"/>
          <w:sz w:val="22"/>
          <w:lang w:val="en-US"/>
        </w:rPr>
      </w:pPr>
      <w:r w:rsidRPr="00A646BC">
        <w:rPr>
          <w:rFonts w:ascii="Arial" w:eastAsia="Times New Roman" w:hAnsi="Arial" w:cs="Times New Roman"/>
          <w:sz w:val="22"/>
          <w:lang w:val="en-US"/>
        </w:rPr>
        <w:t>intro Let's start with these questions about yourself</w:t>
      </w:r>
    </w:p>
    <w:p w14:paraId="79BB6AE5" w14:textId="77777777" w:rsidR="00A646BC" w:rsidRPr="00A646BC" w:rsidRDefault="00A646BC" w:rsidP="00A646BC">
      <w:pPr>
        <w:spacing w:after="0" w:line="276" w:lineRule="auto"/>
        <w:jc w:val="left"/>
        <w:rPr>
          <w:rFonts w:ascii="Arial" w:eastAsia="Times New Roman" w:hAnsi="Arial" w:cs="Times New Roman"/>
          <w:sz w:val="22"/>
          <w:lang w:val="en-US"/>
        </w:rPr>
      </w:pPr>
    </w:p>
    <w:p w14:paraId="2600CFCD" w14:textId="77777777" w:rsidR="00A646BC" w:rsidRPr="00A646BC" w:rsidRDefault="00A646BC" w:rsidP="00A646BC">
      <w:pPr>
        <w:pBdr>
          <w:top w:val="dashed" w:sz="8" w:space="0" w:color="CCCCCC"/>
        </w:pBdr>
        <w:spacing w:before="120" w:after="120" w:line="120" w:lineRule="auto"/>
        <w:jc w:val="left"/>
        <w:rPr>
          <w:rFonts w:ascii="Arial" w:eastAsia="Times New Roman" w:hAnsi="Arial" w:cs="Times New Roman"/>
          <w:sz w:val="22"/>
          <w:lang w:val="en-US"/>
        </w:rPr>
      </w:pPr>
    </w:p>
    <w:p w14:paraId="0830A1A6" w14:textId="77777777" w:rsidR="00A646BC" w:rsidRPr="00A646BC" w:rsidRDefault="00A646BC" w:rsidP="00A646BC">
      <w:pPr>
        <w:spacing w:after="0" w:line="276" w:lineRule="auto"/>
        <w:jc w:val="left"/>
        <w:rPr>
          <w:rFonts w:ascii="Arial" w:eastAsia="Times New Roman" w:hAnsi="Arial" w:cs="Times New Roman"/>
          <w:sz w:val="22"/>
          <w:lang w:val="en-US"/>
        </w:rPr>
      </w:pPr>
    </w:p>
    <w:p w14:paraId="4CB61D4B" w14:textId="77777777" w:rsidR="00A646BC" w:rsidRPr="00A646BC" w:rsidRDefault="00A646BC" w:rsidP="00A646BC">
      <w:pPr>
        <w:keepNext/>
        <w:spacing w:after="0" w:line="276" w:lineRule="auto"/>
        <w:jc w:val="left"/>
        <w:rPr>
          <w:rFonts w:ascii="Arial" w:eastAsia="Times New Roman" w:hAnsi="Arial" w:cs="Times New Roman"/>
          <w:sz w:val="22"/>
          <w:lang w:val="en-US"/>
        </w:rPr>
      </w:pPr>
      <w:r w:rsidRPr="00A646BC">
        <w:rPr>
          <w:rFonts w:ascii="Arial" w:eastAsia="Times New Roman" w:hAnsi="Arial" w:cs="Times New Roman"/>
          <w:sz w:val="22"/>
          <w:lang w:val="en-US"/>
        </w:rPr>
        <w:t xml:space="preserve">first </w:t>
      </w:r>
      <w:proofErr w:type="gramStart"/>
      <w:r w:rsidRPr="00A646BC">
        <w:rPr>
          <w:rFonts w:ascii="Arial" w:eastAsia="Times New Roman" w:hAnsi="Arial" w:cs="Times New Roman"/>
          <w:sz w:val="22"/>
          <w:lang w:val="en-US"/>
        </w:rPr>
        <w:t>time  Have</w:t>
      </w:r>
      <w:proofErr w:type="gramEnd"/>
      <w:r w:rsidRPr="00A646BC">
        <w:rPr>
          <w:rFonts w:ascii="Arial" w:eastAsia="Times New Roman" w:hAnsi="Arial" w:cs="Times New Roman"/>
          <w:sz w:val="22"/>
          <w:lang w:val="en-US"/>
        </w:rPr>
        <w:t xml:space="preserve"> you ever used a virtual tour before? (e.g. on Google Maps, Museums or renting agency)</w:t>
      </w:r>
    </w:p>
    <w:p w14:paraId="018EA4BC" w14:textId="77777777" w:rsidR="00A646BC" w:rsidRPr="00A646BC" w:rsidRDefault="00A646BC" w:rsidP="00A646BC">
      <w:pPr>
        <w:keepNext/>
        <w:numPr>
          <w:ilvl w:val="0"/>
          <w:numId w:val="32"/>
        </w:numPr>
        <w:spacing w:after="0" w:line="240" w:lineRule="auto"/>
        <w:jc w:val="left"/>
        <w:rPr>
          <w:rFonts w:ascii="Arial" w:eastAsia="Times New Roman" w:hAnsi="Arial" w:cs="Times New Roman"/>
          <w:sz w:val="22"/>
          <w:lang w:val="en-US"/>
        </w:rPr>
      </w:pPr>
      <w:proofErr w:type="gramStart"/>
      <w:r w:rsidRPr="00A646BC">
        <w:rPr>
          <w:rFonts w:ascii="Arial" w:eastAsia="Times New Roman" w:hAnsi="Arial" w:cs="Times New Roman"/>
          <w:sz w:val="22"/>
          <w:lang w:val="en-US"/>
        </w:rPr>
        <w:t>Yes  (</w:t>
      </w:r>
      <w:proofErr w:type="gramEnd"/>
      <w:r w:rsidRPr="00A646BC">
        <w:rPr>
          <w:rFonts w:ascii="Arial" w:eastAsia="Times New Roman" w:hAnsi="Arial" w:cs="Times New Roman"/>
          <w:sz w:val="22"/>
          <w:lang w:val="en-US"/>
        </w:rPr>
        <w:t xml:space="preserve">1) </w:t>
      </w:r>
    </w:p>
    <w:p w14:paraId="585275A5" w14:textId="77777777" w:rsidR="00A646BC" w:rsidRPr="00A646BC" w:rsidRDefault="00A646BC" w:rsidP="00A646BC">
      <w:pPr>
        <w:keepNext/>
        <w:numPr>
          <w:ilvl w:val="0"/>
          <w:numId w:val="32"/>
        </w:numPr>
        <w:spacing w:after="0" w:line="240" w:lineRule="auto"/>
        <w:jc w:val="left"/>
        <w:rPr>
          <w:rFonts w:ascii="Arial" w:eastAsia="Times New Roman" w:hAnsi="Arial" w:cs="Times New Roman"/>
          <w:sz w:val="22"/>
          <w:lang w:val="en-US"/>
        </w:rPr>
      </w:pPr>
      <w:proofErr w:type="gramStart"/>
      <w:r w:rsidRPr="00A646BC">
        <w:rPr>
          <w:rFonts w:ascii="Arial" w:eastAsia="Times New Roman" w:hAnsi="Arial" w:cs="Times New Roman"/>
          <w:sz w:val="22"/>
          <w:lang w:val="en-US"/>
        </w:rPr>
        <w:t>No  (</w:t>
      </w:r>
      <w:proofErr w:type="gramEnd"/>
      <w:r w:rsidRPr="00A646BC">
        <w:rPr>
          <w:rFonts w:ascii="Arial" w:eastAsia="Times New Roman" w:hAnsi="Arial" w:cs="Times New Roman"/>
          <w:sz w:val="22"/>
          <w:lang w:val="en-US"/>
        </w:rPr>
        <w:t xml:space="preserve">2) </w:t>
      </w:r>
    </w:p>
    <w:p w14:paraId="6E78215E" w14:textId="77777777" w:rsidR="00A646BC" w:rsidRPr="00A646BC" w:rsidRDefault="00A646BC" w:rsidP="00A646BC">
      <w:pPr>
        <w:spacing w:after="0" w:line="276" w:lineRule="auto"/>
        <w:jc w:val="left"/>
        <w:rPr>
          <w:rFonts w:ascii="Arial" w:eastAsia="Times New Roman" w:hAnsi="Arial" w:cs="Times New Roman"/>
          <w:sz w:val="22"/>
          <w:lang w:val="en-US"/>
        </w:rPr>
      </w:pPr>
    </w:p>
    <w:p w14:paraId="11A50412" w14:textId="77777777" w:rsidR="00A646BC" w:rsidRPr="00A646BC" w:rsidRDefault="00A646BC" w:rsidP="00A646BC">
      <w:pPr>
        <w:pBdr>
          <w:top w:val="dashed" w:sz="8" w:space="0" w:color="CCCCCC"/>
        </w:pBdr>
        <w:spacing w:before="120" w:after="120" w:line="120" w:lineRule="auto"/>
        <w:jc w:val="left"/>
        <w:rPr>
          <w:rFonts w:ascii="Arial" w:eastAsia="Times New Roman" w:hAnsi="Arial" w:cs="Times New Roman"/>
          <w:sz w:val="22"/>
          <w:lang w:val="en-US"/>
        </w:rPr>
      </w:pPr>
    </w:p>
    <w:p w14:paraId="0299CFD4" w14:textId="77777777" w:rsidR="00A646BC" w:rsidRPr="00A646BC" w:rsidRDefault="00A646BC" w:rsidP="00A646BC">
      <w:pPr>
        <w:spacing w:after="0" w:line="276" w:lineRule="auto"/>
        <w:jc w:val="left"/>
        <w:rPr>
          <w:rFonts w:ascii="Arial" w:eastAsia="Times New Roman" w:hAnsi="Arial" w:cs="Times New Roman"/>
          <w:sz w:val="22"/>
          <w:lang w:val="en-US"/>
        </w:rPr>
      </w:pPr>
    </w:p>
    <w:p w14:paraId="61C6AEB6" w14:textId="77777777" w:rsidR="00A646BC" w:rsidRPr="00A646BC" w:rsidRDefault="00A646BC" w:rsidP="00A646BC">
      <w:pPr>
        <w:keepNext/>
        <w:spacing w:after="0" w:line="276" w:lineRule="auto"/>
        <w:jc w:val="left"/>
        <w:rPr>
          <w:rFonts w:ascii="Arial" w:eastAsia="Times New Roman" w:hAnsi="Arial" w:cs="Times New Roman"/>
          <w:sz w:val="22"/>
          <w:lang w:val="en-US"/>
        </w:rPr>
      </w:pPr>
      <w:r w:rsidRPr="00A646BC">
        <w:rPr>
          <w:rFonts w:ascii="Arial" w:eastAsia="Times New Roman" w:hAnsi="Arial" w:cs="Times New Roman"/>
          <w:sz w:val="22"/>
          <w:lang w:val="en-US"/>
        </w:rPr>
        <w:t>gender What is your gender?</w:t>
      </w:r>
    </w:p>
    <w:p w14:paraId="1E296CE4" w14:textId="77777777" w:rsidR="00A646BC" w:rsidRPr="00A646BC" w:rsidRDefault="00A646BC" w:rsidP="00A646BC">
      <w:pPr>
        <w:keepNext/>
        <w:numPr>
          <w:ilvl w:val="0"/>
          <w:numId w:val="32"/>
        </w:numPr>
        <w:spacing w:after="0" w:line="240" w:lineRule="auto"/>
        <w:jc w:val="left"/>
        <w:rPr>
          <w:rFonts w:ascii="Arial" w:eastAsia="Times New Roman" w:hAnsi="Arial" w:cs="Times New Roman"/>
          <w:sz w:val="22"/>
          <w:lang w:val="en-US"/>
        </w:rPr>
      </w:pPr>
      <w:proofErr w:type="gramStart"/>
      <w:r w:rsidRPr="00A646BC">
        <w:rPr>
          <w:rFonts w:ascii="Arial" w:eastAsia="Times New Roman" w:hAnsi="Arial" w:cs="Times New Roman"/>
          <w:sz w:val="22"/>
          <w:lang w:val="en-US"/>
        </w:rPr>
        <w:t>Male  (</w:t>
      </w:r>
      <w:proofErr w:type="gramEnd"/>
      <w:r w:rsidRPr="00A646BC">
        <w:rPr>
          <w:rFonts w:ascii="Arial" w:eastAsia="Times New Roman" w:hAnsi="Arial" w:cs="Times New Roman"/>
          <w:sz w:val="22"/>
          <w:lang w:val="en-US"/>
        </w:rPr>
        <w:t xml:space="preserve">1) </w:t>
      </w:r>
    </w:p>
    <w:p w14:paraId="3643191B" w14:textId="77777777" w:rsidR="00A646BC" w:rsidRPr="00A646BC" w:rsidRDefault="00A646BC" w:rsidP="00A646BC">
      <w:pPr>
        <w:keepNext/>
        <w:numPr>
          <w:ilvl w:val="0"/>
          <w:numId w:val="32"/>
        </w:numPr>
        <w:spacing w:after="0" w:line="240" w:lineRule="auto"/>
        <w:jc w:val="left"/>
        <w:rPr>
          <w:rFonts w:ascii="Arial" w:eastAsia="Times New Roman" w:hAnsi="Arial" w:cs="Times New Roman"/>
          <w:sz w:val="22"/>
          <w:lang w:val="en-US"/>
        </w:rPr>
      </w:pPr>
      <w:proofErr w:type="gramStart"/>
      <w:r w:rsidRPr="00A646BC">
        <w:rPr>
          <w:rFonts w:ascii="Arial" w:eastAsia="Times New Roman" w:hAnsi="Arial" w:cs="Times New Roman"/>
          <w:sz w:val="22"/>
          <w:lang w:val="en-US"/>
        </w:rPr>
        <w:t>Female  (</w:t>
      </w:r>
      <w:proofErr w:type="gramEnd"/>
      <w:r w:rsidRPr="00A646BC">
        <w:rPr>
          <w:rFonts w:ascii="Arial" w:eastAsia="Times New Roman" w:hAnsi="Arial" w:cs="Times New Roman"/>
          <w:sz w:val="22"/>
          <w:lang w:val="en-US"/>
        </w:rPr>
        <w:t xml:space="preserve">2) </w:t>
      </w:r>
    </w:p>
    <w:p w14:paraId="4726F614" w14:textId="77777777" w:rsidR="00A646BC" w:rsidRPr="00A646BC" w:rsidRDefault="00A646BC" w:rsidP="00A646BC">
      <w:pPr>
        <w:keepNext/>
        <w:numPr>
          <w:ilvl w:val="0"/>
          <w:numId w:val="32"/>
        </w:numPr>
        <w:spacing w:after="0" w:line="240" w:lineRule="auto"/>
        <w:jc w:val="left"/>
        <w:rPr>
          <w:rFonts w:ascii="Arial" w:eastAsia="Times New Roman" w:hAnsi="Arial" w:cs="Times New Roman"/>
          <w:sz w:val="22"/>
          <w:lang w:val="en-US"/>
        </w:rPr>
      </w:pPr>
      <w:r w:rsidRPr="00A646BC">
        <w:rPr>
          <w:rFonts w:ascii="Arial" w:eastAsia="Times New Roman" w:hAnsi="Arial" w:cs="Times New Roman"/>
          <w:sz w:val="22"/>
          <w:lang w:val="en-US"/>
        </w:rPr>
        <w:t xml:space="preserve">Non-binary / third </w:t>
      </w:r>
      <w:proofErr w:type="gramStart"/>
      <w:r w:rsidRPr="00A646BC">
        <w:rPr>
          <w:rFonts w:ascii="Arial" w:eastAsia="Times New Roman" w:hAnsi="Arial" w:cs="Times New Roman"/>
          <w:sz w:val="22"/>
          <w:lang w:val="en-US"/>
        </w:rPr>
        <w:t>gender  (</w:t>
      </w:r>
      <w:proofErr w:type="gramEnd"/>
      <w:r w:rsidRPr="00A646BC">
        <w:rPr>
          <w:rFonts w:ascii="Arial" w:eastAsia="Times New Roman" w:hAnsi="Arial" w:cs="Times New Roman"/>
          <w:sz w:val="22"/>
          <w:lang w:val="en-US"/>
        </w:rPr>
        <w:t xml:space="preserve">3) </w:t>
      </w:r>
    </w:p>
    <w:p w14:paraId="3CBB2BDE" w14:textId="77777777" w:rsidR="00A646BC" w:rsidRPr="00A646BC" w:rsidRDefault="00A646BC" w:rsidP="00A646BC">
      <w:pPr>
        <w:keepNext/>
        <w:numPr>
          <w:ilvl w:val="0"/>
          <w:numId w:val="32"/>
        </w:numPr>
        <w:spacing w:after="0" w:line="240" w:lineRule="auto"/>
        <w:jc w:val="left"/>
        <w:rPr>
          <w:rFonts w:ascii="Arial" w:eastAsia="Times New Roman" w:hAnsi="Arial" w:cs="Times New Roman"/>
          <w:sz w:val="22"/>
          <w:lang w:val="en-US"/>
        </w:rPr>
      </w:pPr>
      <w:r w:rsidRPr="00A646BC">
        <w:rPr>
          <w:rFonts w:ascii="Arial" w:eastAsia="Times New Roman" w:hAnsi="Arial" w:cs="Times New Roman"/>
          <w:sz w:val="22"/>
          <w:lang w:val="en-US"/>
        </w:rPr>
        <w:t xml:space="preserve">Prefer not to say or </w:t>
      </w:r>
      <w:proofErr w:type="spellStart"/>
      <w:r w:rsidRPr="00A646BC">
        <w:rPr>
          <w:rFonts w:ascii="Arial" w:eastAsia="Times New Roman" w:hAnsi="Arial" w:cs="Times New Roman"/>
          <w:sz w:val="22"/>
          <w:lang w:val="en-US"/>
        </w:rPr>
        <w:t xml:space="preserve">self </w:t>
      </w:r>
      <w:proofErr w:type="gramStart"/>
      <w:r w:rsidRPr="00A646BC">
        <w:rPr>
          <w:rFonts w:ascii="Arial" w:eastAsia="Times New Roman" w:hAnsi="Arial" w:cs="Times New Roman"/>
          <w:sz w:val="22"/>
          <w:lang w:val="en-US"/>
        </w:rPr>
        <w:t>describe</w:t>
      </w:r>
      <w:proofErr w:type="spellEnd"/>
      <w:r w:rsidRPr="00A646BC">
        <w:rPr>
          <w:rFonts w:ascii="Arial" w:eastAsia="Times New Roman" w:hAnsi="Arial" w:cs="Times New Roman"/>
          <w:sz w:val="22"/>
          <w:lang w:val="en-US"/>
        </w:rPr>
        <w:t xml:space="preserve">  (</w:t>
      </w:r>
      <w:proofErr w:type="gramEnd"/>
      <w:r w:rsidRPr="00A646BC">
        <w:rPr>
          <w:rFonts w:ascii="Arial" w:eastAsia="Times New Roman" w:hAnsi="Arial" w:cs="Times New Roman"/>
          <w:sz w:val="22"/>
          <w:lang w:val="en-US"/>
        </w:rPr>
        <w:t>4) __________________________________________________</w:t>
      </w:r>
    </w:p>
    <w:p w14:paraId="738EABE0" w14:textId="77777777" w:rsidR="00A646BC" w:rsidRPr="00A646BC" w:rsidRDefault="00A646BC" w:rsidP="00A646BC">
      <w:pPr>
        <w:spacing w:after="0" w:line="276" w:lineRule="auto"/>
        <w:jc w:val="left"/>
        <w:rPr>
          <w:rFonts w:ascii="Arial" w:eastAsia="Times New Roman" w:hAnsi="Arial" w:cs="Times New Roman"/>
          <w:sz w:val="22"/>
          <w:lang w:val="en-US"/>
        </w:rPr>
      </w:pPr>
    </w:p>
    <w:p w14:paraId="4364B479" w14:textId="77777777" w:rsidR="00A646BC" w:rsidRPr="00A646BC" w:rsidRDefault="00A646BC" w:rsidP="00A646BC">
      <w:pPr>
        <w:pBdr>
          <w:top w:val="dashed" w:sz="8" w:space="0" w:color="CCCCCC"/>
        </w:pBdr>
        <w:spacing w:before="120" w:after="120" w:line="120" w:lineRule="auto"/>
        <w:jc w:val="left"/>
        <w:rPr>
          <w:rFonts w:ascii="Arial" w:eastAsia="Times New Roman" w:hAnsi="Arial" w:cs="Times New Roman"/>
          <w:sz w:val="22"/>
          <w:lang w:val="en-US"/>
        </w:rPr>
      </w:pPr>
    </w:p>
    <w:p w14:paraId="096C68CB" w14:textId="77777777" w:rsidR="00A646BC" w:rsidRPr="00A646BC" w:rsidRDefault="00A646BC" w:rsidP="00A646BC">
      <w:pPr>
        <w:spacing w:after="0" w:line="276" w:lineRule="auto"/>
        <w:jc w:val="left"/>
        <w:rPr>
          <w:rFonts w:ascii="Arial" w:eastAsia="Times New Roman" w:hAnsi="Arial" w:cs="Times New Roman"/>
          <w:sz w:val="22"/>
          <w:lang w:val="en-US"/>
        </w:rPr>
      </w:pPr>
    </w:p>
    <w:p w14:paraId="1EFCD744" w14:textId="77777777" w:rsidR="00A646BC" w:rsidRPr="00A646BC" w:rsidRDefault="00A646BC" w:rsidP="00A646BC">
      <w:pPr>
        <w:keepNext/>
        <w:spacing w:after="0" w:line="276" w:lineRule="auto"/>
        <w:jc w:val="left"/>
        <w:rPr>
          <w:rFonts w:ascii="Arial" w:eastAsia="Times New Roman" w:hAnsi="Arial" w:cs="Times New Roman"/>
          <w:sz w:val="22"/>
          <w:lang w:val="en-US"/>
        </w:rPr>
      </w:pPr>
      <w:r w:rsidRPr="00A646BC">
        <w:rPr>
          <w:rFonts w:ascii="Arial" w:eastAsia="Times New Roman" w:hAnsi="Arial" w:cs="Times New Roman"/>
          <w:sz w:val="22"/>
          <w:lang w:val="en-US"/>
        </w:rPr>
        <w:t xml:space="preserve">Ethnicity </w:t>
      </w:r>
      <w:r w:rsidRPr="00A646BC">
        <w:rPr>
          <w:rFonts w:ascii="Arial" w:eastAsia="Times New Roman" w:hAnsi="Arial" w:cs="Times New Roman"/>
          <w:sz w:val="22"/>
          <w:lang w:val="en-US"/>
        </w:rPr>
        <w:br/>
        <w:t xml:space="preserve">What is your ethnic group? </w:t>
      </w:r>
      <w:r w:rsidRPr="00A646BC">
        <w:rPr>
          <w:rFonts w:ascii="Arial" w:eastAsia="Times New Roman" w:hAnsi="Arial" w:cs="Times New Roman"/>
          <w:sz w:val="22"/>
          <w:lang w:val="en-US"/>
        </w:rPr>
        <w:br/>
      </w:r>
      <w:r w:rsidRPr="00A646BC">
        <w:rPr>
          <w:rFonts w:ascii="Arial" w:eastAsia="Times New Roman" w:hAnsi="Arial" w:cs="Times New Roman"/>
          <w:sz w:val="22"/>
          <w:lang w:val="en-US"/>
        </w:rPr>
        <w:br/>
        <w:t>Choose one option that best describes your ethnic group or background</w:t>
      </w:r>
      <w:r w:rsidRPr="00A646BC">
        <w:rPr>
          <w:rFonts w:ascii="Arial" w:eastAsia="Times New Roman" w:hAnsi="Arial" w:cs="Times New Roman"/>
          <w:sz w:val="22"/>
          <w:lang w:val="en-US"/>
        </w:rPr>
        <w:br/>
      </w:r>
    </w:p>
    <w:p w14:paraId="64DB02EC" w14:textId="77777777" w:rsidR="00A646BC" w:rsidRPr="00A646BC" w:rsidRDefault="00A646BC" w:rsidP="00A646BC">
      <w:pPr>
        <w:keepNext/>
        <w:numPr>
          <w:ilvl w:val="0"/>
          <w:numId w:val="32"/>
        </w:numPr>
        <w:spacing w:after="0" w:line="240" w:lineRule="auto"/>
        <w:jc w:val="left"/>
        <w:rPr>
          <w:rFonts w:ascii="Arial" w:eastAsia="Times New Roman" w:hAnsi="Arial" w:cs="Times New Roman"/>
          <w:sz w:val="22"/>
          <w:lang w:val="en-US"/>
        </w:rPr>
      </w:pPr>
      <w:proofErr w:type="gramStart"/>
      <w:r w:rsidRPr="00A646BC">
        <w:rPr>
          <w:rFonts w:ascii="Arial" w:eastAsia="Times New Roman" w:hAnsi="Arial" w:cs="Times New Roman"/>
          <w:sz w:val="22"/>
          <w:lang w:val="en-US"/>
        </w:rPr>
        <w:t>White  (</w:t>
      </w:r>
      <w:proofErr w:type="gramEnd"/>
      <w:r w:rsidRPr="00A646BC">
        <w:rPr>
          <w:rFonts w:ascii="Arial" w:eastAsia="Times New Roman" w:hAnsi="Arial" w:cs="Times New Roman"/>
          <w:sz w:val="22"/>
          <w:lang w:val="en-US"/>
        </w:rPr>
        <w:t xml:space="preserve">1) </w:t>
      </w:r>
    </w:p>
    <w:p w14:paraId="410C12EB" w14:textId="77777777" w:rsidR="00A646BC" w:rsidRPr="00A646BC" w:rsidRDefault="00A646BC" w:rsidP="00A646BC">
      <w:pPr>
        <w:keepNext/>
        <w:numPr>
          <w:ilvl w:val="0"/>
          <w:numId w:val="32"/>
        </w:numPr>
        <w:spacing w:after="0" w:line="240" w:lineRule="auto"/>
        <w:jc w:val="left"/>
        <w:rPr>
          <w:rFonts w:ascii="Arial" w:eastAsia="Times New Roman" w:hAnsi="Arial" w:cs="Times New Roman"/>
          <w:sz w:val="22"/>
          <w:lang w:val="en-US"/>
        </w:rPr>
      </w:pPr>
      <w:r w:rsidRPr="00A646BC">
        <w:rPr>
          <w:rFonts w:ascii="Arial" w:eastAsia="Times New Roman" w:hAnsi="Arial" w:cs="Times New Roman"/>
          <w:sz w:val="22"/>
          <w:lang w:val="en-US"/>
        </w:rPr>
        <w:t xml:space="preserve">Mixed/Multiple ethnic </w:t>
      </w:r>
      <w:proofErr w:type="gramStart"/>
      <w:r w:rsidRPr="00A646BC">
        <w:rPr>
          <w:rFonts w:ascii="Arial" w:eastAsia="Times New Roman" w:hAnsi="Arial" w:cs="Times New Roman"/>
          <w:sz w:val="22"/>
          <w:lang w:val="en-US"/>
        </w:rPr>
        <w:t>groups  (</w:t>
      </w:r>
      <w:proofErr w:type="gramEnd"/>
      <w:r w:rsidRPr="00A646BC">
        <w:rPr>
          <w:rFonts w:ascii="Arial" w:eastAsia="Times New Roman" w:hAnsi="Arial" w:cs="Times New Roman"/>
          <w:sz w:val="22"/>
          <w:lang w:val="en-US"/>
        </w:rPr>
        <w:t xml:space="preserve">2) </w:t>
      </w:r>
    </w:p>
    <w:p w14:paraId="073E8C87" w14:textId="77777777" w:rsidR="00A646BC" w:rsidRPr="00A646BC" w:rsidRDefault="00A646BC" w:rsidP="00A646BC">
      <w:pPr>
        <w:keepNext/>
        <w:numPr>
          <w:ilvl w:val="0"/>
          <w:numId w:val="32"/>
        </w:numPr>
        <w:spacing w:after="0" w:line="240" w:lineRule="auto"/>
        <w:jc w:val="left"/>
        <w:rPr>
          <w:rFonts w:ascii="Arial" w:eastAsia="Times New Roman" w:hAnsi="Arial" w:cs="Times New Roman"/>
          <w:sz w:val="22"/>
          <w:lang w:val="en-US"/>
        </w:rPr>
      </w:pPr>
      <w:proofErr w:type="gramStart"/>
      <w:r w:rsidRPr="00A646BC">
        <w:rPr>
          <w:rFonts w:ascii="Arial" w:eastAsia="Times New Roman" w:hAnsi="Arial" w:cs="Times New Roman"/>
          <w:sz w:val="22"/>
          <w:lang w:val="en-US"/>
        </w:rPr>
        <w:t>Asian  (</w:t>
      </w:r>
      <w:proofErr w:type="gramEnd"/>
      <w:r w:rsidRPr="00A646BC">
        <w:rPr>
          <w:rFonts w:ascii="Arial" w:eastAsia="Times New Roman" w:hAnsi="Arial" w:cs="Times New Roman"/>
          <w:sz w:val="22"/>
          <w:lang w:val="en-US"/>
        </w:rPr>
        <w:t xml:space="preserve">3) </w:t>
      </w:r>
    </w:p>
    <w:p w14:paraId="05A1D1A4" w14:textId="77777777" w:rsidR="00A646BC" w:rsidRPr="00A646BC" w:rsidRDefault="00A646BC" w:rsidP="00A646BC">
      <w:pPr>
        <w:keepNext/>
        <w:numPr>
          <w:ilvl w:val="0"/>
          <w:numId w:val="32"/>
        </w:numPr>
        <w:spacing w:after="0" w:line="240" w:lineRule="auto"/>
        <w:jc w:val="left"/>
        <w:rPr>
          <w:rFonts w:ascii="Arial" w:eastAsia="Times New Roman" w:hAnsi="Arial" w:cs="Times New Roman"/>
          <w:sz w:val="22"/>
          <w:lang w:val="en-US"/>
        </w:rPr>
      </w:pPr>
      <w:r w:rsidRPr="00A646BC">
        <w:rPr>
          <w:rFonts w:ascii="Arial" w:eastAsia="Times New Roman" w:hAnsi="Arial" w:cs="Times New Roman"/>
          <w:sz w:val="22"/>
          <w:lang w:val="en-US"/>
        </w:rPr>
        <w:t>Black/African/</w:t>
      </w:r>
      <w:proofErr w:type="gramStart"/>
      <w:r w:rsidRPr="00A646BC">
        <w:rPr>
          <w:rFonts w:ascii="Arial" w:eastAsia="Times New Roman" w:hAnsi="Arial" w:cs="Times New Roman"/>
          <w:sz w:val="22"/>
          <w:lang w:val="en-US"/>
        </w:rPr>
        <w:t>Caribbean  (</w:t>
      </w:r>
      <w:proofErr w:type="gramEnd"/>
      <w:r w:rsidRPr="00A646BC">
        <w:rPr>
          <w:rFonts w:ascii="Arial" w:eastAsia="Times New Roman" w:hAnsi="Arial" w:cs="Times New Roman"/>
          <w:sz w:val="22"/>
          <w:lang w:val="en-US"/>
        </w:rPr>
        <w:t xml:space="preserve">4) </w:t>
      </w:r>
    </w:p>
    <w:p w14:paraId="2BF435B4" w14:textId="77777777" w:rsidR="00A646BC" w:rsidRPr="00A646BC" w:rsidRDefault="00A646BC" w:rsidP="00A646BC">
      <w:pPr>
        <w:keepNext/>
        <w:numPr>
          <w:ilvl w:val="0"/>
          <w:numId w:val="32"/>
        </w:numPr>
        <w:spacing w:after="0" w:line="240" w:lineRule="auto"/>
        <w:jc w:val="left"/>
        <w:rPr>
          <w:rFonts w:ascii="Arial" w:eastAsia="Times New Roman" w:hAnsi="Arial" w:cs="Times New Roman"/>
          <w:sz w:val="22"/>
          <w:lang w:val="en-US"/>
        </w:rPr>
      </w:pPr>
      <w:r w:rsidRPr="00A646BC">
        <w:rPr>
          <w:rFonts w:ascii="Arial" w:eastAsia="Times New Roman" w:hAnsi="Arial" w:cs="Times New Roman"/>
          <w:sz w:val="22"/>
          <w:lang w:val="en-US"/>
        </w:rPr>
        <w:t xml:space="preserve">Other ethnic group (please </w:t>
      </w:r>
      <w:proofErr w:type="gramStart"/>
      <w:r w:rsidRPr="00A646BC">
        <w:rPr>
          <w:rFonts w:ascii="Arial" w:eastAsia="Times New Roman" w:hAnsi="Arial" w:cs="Times New Roman"/>
          <w:sz w:val="22"/>
          <w:lang w:val="en-US"/>
        </w:rPr>
        <w:t>describe)  (</w:t>
      </w:r>
      <w:proofErr w:type="gramEnd"/>
      <w:r w:rsidRPr="00A646BC">
        <w:rPr>
          <w:rFonts w:ascii="Arial" w:eastAsia="Times New Roman" w:hAnsi="Arial" w:cs="Times New Roman"/>
          <w:sz w:val="22"/>
          <w:lang w:val="en-US"/>
        </w:rPr>
        <w:t>5) __________________________________________________</w:t>
      </w:r>
    </w:p>
    <w:p w14:paraId="52BD0BE9" w14:textId="77777777" w:rsidR="00A646BC" w:rsidRPr="00A646BC" w:rsidRDefault="00A646BC" w:rsidP="00A646BC">
      <w:pPr>
        <w:spacing w:after="0" w:line="276" w:lineRule="auto"/>
        <w:jc w:val="left"/>
        <w:rPr>
          <w:rFonts w:ascii="Arial" w:eastAsia="Times New Roman" w:hAnsi="Arial" w:cs="Times New Roman"/>
          <w:sz w:val="22"/>
          <w:lang w:val="en-US"/>
        </w:rPr>
      </w:pPr>
    </w:p>
    <w:p w14:paraId="397EDB76" w14:textId="77777777" w:rsidR="00A646BC" w:rsidRPr="00A646BC" w:rsidRDefault="00A646BC" w:rsidP="00A646BC">
      <w:pPr>
        <w:pBdr>
          <w:top w:val="dashed" w:sz="8" w:space="0" w:color="CCCCCC"/>
        </w:pBdr>
        <w:spacing w:before="120" w:after="120" w:line="120" w:lineRule="auto"/>
        <w:jc w:val="left"/>
        <w:rPr>
          <w:rFonts w:ascii="Arial" w:eastAsia="Times New Roman" w:hAnsi="Arial" w:cs="Times New Roman"/>
          <w:sz w:val="22"/>
          <w:lang w:val="en-US"/>
        </w:rPr>
      </w:pPr>
    </w:p>
    <w:p w14:paraId="52B61455" w14:textId="77777777" w:rsidR="00A646BC" w:rsidRPr="00A646BC" w:rsidRDefault="00A646BC" w:rsidP="00A646BC">
      <w:pPr>
        <w:spacing w:after="0" w:line="276" w:lineRule="auto"/>
        <w:jc w:val="left"/>
        <w:rPr>
          <w:rFonts w:ascii="Arial" w:eastAsia="Times New Roman" w:hAnsi="Arial" w:cs="Times New Roman"/>
          <w:sz w:val="22"/>
          <w:lang w:val="en-US"/>
        </w:rPr>
      </w:pPr>
    </w:p>
    <w:p w14:paraId="2E36F23F" w14:textId="77777777" w:rsidR="00A646BC" w:rsidRPr="00A646BC" w:rsidRDefault="00A646BC" w:rsidP="00A646BC">
      <w:pPr>
        <w:keepNext/>
        <w:spacing w:after="0" w:line="276" w:lineRule="auto"/>
        <w:jc w:val="left"/>
        <w:rPr>
          <w:rFonts w:ascii="Arial" w:eastAsia="Times New Roman" w:hAnsi="Arial" w:cs="Times New Roman"/>
          <w:sz w:val="22"/>
          <w:lang w:val="en-US"/>
        </w:rPr>
      </w:pPr>
      <w:r w:rsidRPr="00A646BC">
        <w:rPr>
          <w:rFonts w:ascii="Arial" w:eastAsia="Times New Roman" w:hAnsi="Arial" w:cs="Times New Roman"/>
          <w:sz w:val="22"/>
          <w:lang w:val="en-US"/>
        </w:rPr>
        <w:t>age How old are you? Please type your age in years</w:t>
      </w:r>
      <w:r w:rsidRPr="00A646BC">
        <w:rPr>
          <w:rFonts w:ascii="Arial" w:eastAsia="Times New Roman" w:hAnsi="Arial" w:cs="Times New Roman"/>
          <w:sz w:val="22"/>
          <w:lang w:val="en-US"/>
        </w:rPr>
        <w:br/>
      </w:r>
    </w:p>
    <w:p w14:paraId="0CF82DE9" w14:textId="77777777" w:rsidR="00A646BC" w:rsidRPr="00A646BC" w:rsidRDefault="00A646BC" w:rsidP="00A646BC">
      <w:pPr>
        <w:spacing w:before="240" w:after="0" w:line="240" w:lineRule="auto"/>
        <w:ind w:firstLine="400"/>
        <w:jc w:val="left"/>
        <w:rPr>
          <w:rFonts w:ascii="Arial" w:eastAsia="Times New Roman" w:hAnsi="Arial" w:cs="Times New Roman"/>
          <w:sz w:val="22"/>
          <w:lang w:val="en-US"/>
        </w:rPr>
      </w:pPr>
      <w:r w:rsidRPr="00A646BC">
        <w:rPr>
          <w:rFonts w:ascii="Arial" w:eastAsia="Times New Roman" w:hAnsi="Arial" w:cs="Times New Roman"/>
          <w:sz w:val="22"/>
          <w:lang w:val="en-US"/>
        </w:rPr>
        <w:t>________________________________________________________________</w:t>
      </w:r>
    </w:p>
    <w:p w14:paraId="28060103" w14:textId="77777777" w:rsidR="00A646BC" w:rsidRPr="00A646BC" w:rsidRDefault="00A646BC" w:rsidP="00A646BC">
      <w:pPr>
        <w:spacing w:after="0" w:line="276" w:lineRule="auto"/>
        <w:jc w:val="left"/>
        <w:rPr>
          <w:rFonts w:ascii="Arial" w:eastAsia="Times New Roman" w:hAnsi="Arial" w:cs="Times New Roman"/>
          <w:sz w:val="22"/>
          <w:lang w:val="en-US"/>
        </w:rPr>
      </w:pPr>
    </w:p>
    <w:p w14:paraId="0961A0DE" w14:textId="77777777" w:rsidR="00A646BC" w:rsidRPr="00A646BC" w:rsidRDefault="00A646BC" w:rsidP="00A646BC">
      <w:pPr>
        <w:pBdr>
          <w:top w:val="dashed" w:sz="8" w:space="0" w:color="CCCCCC"/>
        </w:pBdr>
        <w:spacing w:before="120" w:after="120" w:line="120" w:lineRule="auto"/>
        <w:jc w:val="left"/>
        <w:rPr>
          <w:rFonts w:ascii="Arial" w:eastAsia="Times New Roman" w:hAnsi="Arial" w:cs="Times New Roman"/>
          <w:sz w:val="22"/>
          <w:lang w:val="en-US"/>
        </w:rPr>
      </w:pPr>
    </w:p>
    <w:p w14:paraId="016510C9" w14:textId="77777777" w:rsidR="00A646BC" w:rsidRPr="00A646BC" w:rsidRDefault="00A646BC" w:rsidP="00A646BC">
      <w:pPr>
        <w:spacing w:after="0" w:line="276" w:lineRule="auto"/>
        <w:jc w:val="left"/>
        <w:rPr>
          <w:rFonts w:ascii="Arial" w:eastAsia="Times New Roman" w:hAnsi="Arial" w:cs="Times New Roman"/>
          <w:sz w:val="22"/>
          <w:lang w:val="en-US"/>
        </w:rPr>
      </w:pPr>
    </w:p>
    <w:p w14:paraId="1D41A1F9" w14:textId="77777777" w:rsidR="00A646BC" w:rsidRPr="00A646BC" w:rsidRDefault="00A646BC" w:rsidP="00A646BC">
      <w:pPr>
        <w:keepNext/>
        <w:spacing w:after="0" w:line="276" w:lineRule="auto"/>
        <w:jc w:val="left"/>
        <w:rPr>
          <w:rFonts w:ascii="Arial" w:eastAsia="Times New Roman" w:hAnsi="Arial" w:cs="Times New Roman"/>
          <w:sz w:val="22"/>
          <w:lang w:val="en-US"/>
        </w:rPr>
      </w:pPr>
      <w:r w:rsidRPr="00A646BC">
        <w:rPr>
          <w:rFonts w:ascii="Arial" w:eastAsia="Times New Roman" w:hAnsi="Arial" w:cs="Times New Roman"/>
          <w:sz w:val="22"/>
          <w:lang w:val="en-US"/>
        </w:rPr>
        <w:lastRenderedPageBreak/>
        <w:t>education What is the highest educational level that you have achieved?</w:t>
      </w:r>
    </w:p>
    <w:p w14:paraId="79EF94B6" w14:textId="77777777" w:rsidR="00A646BC" w:rsidRPr="00A646BC" w:rsidRDefault="00A646BC" w:rsidP="00A646BC">
      <w:pPr>
        <w:keepNext/>
        <w:numPr>
          <w:ilvl w:val="0"/>
          <w:numId w:val="32"/>
        </w:numPr>
        <w:spacing w:after="0" w:line="240" w:lineRule="auto"/>
        <w:jc w:val="left"/>
        <w:rPr>
          <w:rFonts w:ascii="Arial" w:eastAsia="Times New Roman" w:hAnsi="Arial" w:cs="Times New Roman"/>
          <w:sz w:val="22"/>
          <w:lang w:val="en-US"/>
        </w:rPr>
      </w:pPr>
      <w:r w:rsidRPr="00A646BC">
        <w:rPr>
          <w:rFonts w:ascii="Arial" w:eastAsia="Times New Roman" w:hAnsi="Arial" w:cs="Times New Roman"/>
          <w:sz w:val="22"/>
          <w:lang w:val="en-US"/>
        </w:rPr>
        <w:t xml:space="preserve">High school, GCSE or </w:t>
      </w:r>
      <w:proofErr w:type="gramStart"/>
      <w:r w:rsidRPr="00A646BC">
        <w:rPr>
          <w:rFonts w:ascii="Arial" w:eastAsia="Times New Roman" w:hAnsi="Arial" w:cs="Times New Roman"/>
          <w:sz w:val="22"/>
          <w:lang w:val="en-US"/>
        </w:rPr>
        <w:t>equivalent  (</w:t>
      </w:r>
      <w:proofErr w:type="gramEnd"/>
      <w:r w:rsidRPr="00A646BC">
        <w:rPr>
          <w:rFonts w:ascii="Arial" w:eastAsia="Times New Roman" w:hAnsi="Arial" w:cs="Times New Roman"/>
          <w:sz w:val="22"/>
          <w:lang w:val="en-US"/>
        </w:rPr>
        <w:t xml:space="preserve">3) </w:t>
      </w:r>
    </w:p>
    <w:p w14:paraId="77290BDA" w14:textId="77777777" w:rsidR="00A646BC" w:rsidRPr="00A646BC" w:rsidRDefault="00A646BC" w:rsidP="00A646BC">
      <w:pPr>
        <w:keepNext/>
        <w:numPr>
          <w:ilvl w:val="0"/>
          <w:numId w:val="32"/>
        </w:numPr>
        <w:spacing w:after="0" w:line="240" w:lineRule="auto"/>
        <w:jc w:val="left"/>
        <w:rPr>
          <w:rFonts w:ascii="Arial" w:eastAsia="Times New Roman" w:hAnsi="Arial" w:cs="Times New Roman"/>
          <w:sz w:val="22"/>
          <w:lang w:val="en-US"/>
        </w:rPr>
      </w:pPr>
      <w:r w:rsidRPr="00A646BC">
        <w:rPr>
          <w:rFonts w:ascii="Arial" w:eastAsia="Times New Roman" w:hAnsi="Arial" w:cs="Times New Roman"/>
          <w:sz w:val="22"/>
          <w:lang w:val="en-US"/>
        </w:rPr>
        <w:t xml:space="preserve">Bachelor or </w:t>
      </w:r>
      <w:proofErr w:type="gramStart"/>
      <w:r w:rsidRPr="00A646BC">
        <w:rPr>
          <w:rFonts w:ascii="Arial" w:eastAsia="Times New Roman" w:hAnsi="Arial" w:cs="Times New Roman"/>
          <w:sz w:val="22"/>
          <w:lang w:val="en-US"/>
        </w:rPr>
        <w:t>equivalent  (</w:t>
      </w:r>
      <w:proofErr w:type="gramEnd"/>
      <w:r w:rsidRPr="00A646BC">
        <w:rPr>
          <w:rFonts w:ascii="Arial" w:eastAsia="Times New Roman" w:hAnsi="Arial" w:cs="Times New Roman"/>
          <w:sz w:val="22"/>
          <w:lang w:val="en-US"/>
        </w:rPr>
        <w:t xml:space="preserve">21) </w:t>
      </w:r>
    </w:p>
    <w:p w14:paraId="7CB8AAD8" w14:textId="77777777" w:rsidR="00A646BC" w:rsidRPr="00A646BC" w:rsidRDefault="00A646BC" w:rsidP="00A646BC">
      <w:pPr>
        <w:keepNext/>
        <w:numPr>
          <w:ilvl w:val="0"/>
          <w:numId w:val="32"/>
        </w:numPr>
        <w:spacing w:after="0" w:line="240" w:lineRule="auto"/>
        <w:jc w:val="left"/>
        <w:rPr>
          <w:rFonts w:ascii="Arial" w:eastAsia="Times New Roman" w:hAnsi="Arial" w:cs="Times New Roman"/>
          <w:sz w:val="22"/>
          <w:lang w:val="en-US"/>
        </w:rPr>
      </w:pPr>
      <w:r w:rsidRPr="00A646BC">
        <w:rPr>
          <w:rFonts w:ascii="Arial" w:eastAsia="Times New Roman" w:hAnsi="Arial" w:cs="Times New Roman"/>
          <w:sz w:val="22"/>
          <w:lang w:val="en-US"/>
        </w:rPr>
        <w:t xml:space="preserve">Masters or </w:t>
      </w:r>
      <w:proofErr w:type="gramStart"/>
      <w:r w:rsidRPr="00A646BC">
        <w:rPr>
          <w:rFonts w:ascii="Arial" w:eastAsia="Times New Roman" w:hAnsi="Arial" w:cs="Times New Roman"/>
          <w:sz w:val="22"/>
          <w:lang w:val="en-US"/>
        </w:rPr>
        <w:t>equivalent  (</w:t>
      </w:r>
      <w:proofErr w:type="gramEnd"/>
      <w:r w:rsidRPr="00A646BC">
        <w:rPr>
          <w:rFonts w:ascii="Arial" w:eastAsia="Times New Roman" w:hAnsi="Arial" w:cs="Times New Roman"/>
          <w:sz w:val="22"/>
          <w:lang w:val="en-US"/>
        </w:rPr>
        <w:t xml:space="preserve">22) </w:t>
      </w:r>
    </w:p>
    <w:p w14:paraId="537F1C06" w14:textId="77777777" w:rsidR="00A646BC" w:rsidRPr="00A646BC" w:rsidRDefault="00A646BC" w:rsidP="00A646BC">
      <w:pPr>
        <w:keepNext/>
        <w:numPr>
          <w:ilvl w:val="0"/>
          <w:numId w:val="32"/>
        </w:numPr>
        <w:spacing w:after="0" w:line="240" w:lineRule="auto"/>
        <w:jc w:val="left"/>
        <w:rPr>
          <w:rFonts w:ascii="Arial" w:eastAsia="Times New Roman" w:hAnsi="Arial" w:cs="Times New Roman"/>
          <w:sz w:val="22"/>
          <w:lang w:val="en-US"/>
        </w:rPr>
      </w:pPr>
      <w:r w:rsidRPr="00A646BC">
        <w:rPr>
          <w:rFonts w:ascii="Arial" w:eastAsia="Times New Roman" w:hAnsi="Arial" w:cs="Times New Roman"/>
          <w:sz w:val="22"/>
          <w:lang w:val="en-US"/>
        </w:rPr>
        <w:t xml:space="preserve">Doctoral or </w:t>
      </w:r>
      <w:proofErr w:type="gramStart"/>
      <w:r w:rsidRPr="00A646BC">
        <w:rPr>
          <w:rFonts w:ascii="Arial" w:eastAsia="Times New Roman" w:hAnsi="Arial" w:cs="Times New Roman"/>
          <w:sz w:val="22"/>
          <w:lang w:val="en-US"/>
        </w:rPr>
        <w:t>equivalent  (</w:t>
      </w:r>
      <w:proofErr w:type="gramEnd"/>
      <w:r w:rsidRPr="00A646BC">
        <w:rPr>
          <w:rFonts w:ascii="Arial" w:eastAsia="Times New Roman" w:hAnsi="Arial" w:cs="Times New Roman"/>
          <w:sz w:val="22"/>
          <w:lang w:val="en-US"/>
        </w:rPr>
        <w:t xml:space="preserve">23) </w:t>
      </w:r>
    </w:p>
    <w:p w14:paraId="4E630040" w14:textId="77777777" w:rsidR="00A646BC" w:rsidRPr="00A646BC" w:rsidRDefault="00A646BC" w:rsidP="00A646BC">
      <w:pPr>
        <w:keepNext/>
        <w:numPr>
          <w:ilvl w:val="0"/>
          <w:numId w:val="32"/>
        </w:numPr>
        <w:spacing w:after="0" w:line="240" w:lineRule="auto"/>
        <w:jc w:val="left"/>
        <w:rPr>
          <w:rFonts w:ascii="Arial" w:eastAsia="Times New Roman" w:hAnsi="Arial" w:cs="Times New Roman"/>
          <w:sz w:val="22"/>
          <w:lang w:val="en-US"/>
        </w:rPr>
      </w:pPr>
      <w:r w:rsidRPr="00A646BC">
        <w:rPr>
          <w:rFonts w:ascii="Arial" w:eastAsia="Times New Roman" w:hAnsi="Arial" w:cs="Times New Roman"/>
          <w:sz w:val="22"/>
          <w:lang w:val="en-US"/>
        </w:rPr>
        <w:t xml:space="preserve">Other (please </w:t>
      </w:r>
      <w:proofErr w:type="gramStart"/>
      <w:r w:rsidRPr="00A646BC">
        <w:rPr>
          <w:rFonts w:ascii="Arial" w:eastAsia="Times New Roman" w:hAnsi="Arial" w:cs="Times New Roman"/>
          <w:sz w:val="22"/>
          <w:lang w:val="en-US"/>
        </w:rPr>
        <w:t>describe)  (</w:t>
      </w:r>
      <w:proofErr w:type="gramEnd"/>
      <w:r w:rsidRPr="00A646BC">
        <w:rPr>
          <w:rFonts w:ascii="Arial" w:eastAsia="Times New Roman" w:hAnsi="Arial" w:cs="Times New Roman"/>
          <w:sz w:val="22"/>
          <w:lang w:val="en-US"/>
        </w:rPr>
        <w:t>24) __________________________________________________</w:t>
      </w:r>
    </w:p>
    <w:p w14:paraId="470D6A92" w14:textId="77777777" w:rsidR="00A646BC" w:rsidRPr="00A646BC" w:rsidRDefault="00A646BC" w:rsidP="00A646BC">
      <w:pPr>
        <w:spacing w:after="0" w:line="276" w:lineRule="auto"/>
        <w:jc w:val="left"/>
        <w:rPr>
          <w:rFonts w:ascii="Arial" w:eastAsia="Times New Roman" w:hAnsi="Arial" w:cs="Times New Roman"/>
          <w:sz w:val="22"/>
          <w:lang w:val="en-US"/>
        </w:rPr>
      </w:pPr>
    </w:p>
    <w:p w14:paraId="68BE3C47" w14:textId="77777777" w:rsidR="00A646BC" w:rsidRPr="00A646BC" w:rsidRDefault="00A646BC" w:rsidP="00A646BC">
      <w:pPr>
        <w:pBdr>
          <w:top w:val="dashed" w:sz="8" w:space="0" w:color="CCCCCC"/>
        </w:pBdr>
        <w:spacing w:before="120" w:after="120" w:line="120" w:lineRule="auto"/>
        <w:jc w:val="left"/>
        <w:rPr>
          <w:rFonts w:ascii="Arial" w:eastAsia="Times New Roman" w:hAnsi="Arial" w:cs="Times New Roman"/>
          <w:sz w:val="22"/>
          <w:lang w:val="en-US"/>
        </w:rPr>
      </w:pPr>
    </w:p>
    <w:p w14:paraId="651B5671" w14:textId="77777777" w:rsidR="00A646BC" w:rsidRPr="00A646BC" w:rsidRDefault="00A646BC" w:rsidP="00A646BC">
      <w:pPr>
        <w:spacing w:after="0" w:line="276" w:lineRule="auto"/>
        <w:jc w:val="left"/>
        <w:rPr>
          <w:rFonts w:ascii="Arial" w:eastAsia="Times New Roman" w:hAnsi="Arial" w:cs="Times New Roman"/>
          <w:sz w:val="22"/>
          <w:lang w:val="en-US"/>
        </w:rPr>
      </w:pPr>
    </w:p>
    <w:p w14:paraId="64D02768" w14:textId="77777777" w:rsidR="00A646BC" w:rsidRPr="00A646BC" w:rsidRDefault="00A646BC" w:rsidP="00A646BC">
      <w:pPr>
        <w:keepNext/>
        <w:spacing w:after="0" w:line="276" w:lineRule="auto"/>
        <w:jc w:val="left"/>
        <w:rPr>
          <w:rFonts w:ascii="Arial" w:eastAsia="Times New Roman" w:hAnsi="Arial" w:cs="Times New Roman"/>
          <w:sz w:val="22"/>
          <w:lang w:val="en-US"/>
        </w:rPr>
      </w:pPr>
      <w:proofErr w:type="spellStart"/>
      <w:r w:rsidRPr="00A646BC">
        <w:rPr>
          <w:rFonts w:ascii="Arial" w:eastAsia="Times New Roman" w:hAnsi="Arial" w:cs="Times New Roman"/>
          <w:sz w:val="22"/>
          <w:lang w:val="en-US"/>
        </w:rPr>
        <w:t>child_outside</w:t>
      </w:r>
      <w:proofErr w:type="spellEnd"/>
      <w:r w:rsidRPr="00A646BC">
        <w:rPr>
          <w:rFonts w:ascii="Arial" w:eastAsia="Times New Roman" w:hAnsi="Arial" w:cs="Times New Roman"/>
          <w:sz w:val="22"/>
          <w:lang w:val="en-US"/>
        </w:rPr>
        <w:t xml:space="preserve"> How much time did you spend outdoors as a child?</w:t>
      </w:r>
    </w:p>
    <w:p w14:paraId="2084B260" w14:textId="77777777" w:rsidR="00A646BC" w:rsidRPr="00A646BC" w:rsidRDefault="00A646BC" w:rsidP="00A646BC">
      <w:pPr>
        <w:keepNext/>
        <w:numPr>
          <w:ilvl w:val="0"/>
          <w:numId w:val="32"/>
        </w:numPr>
        <w:spacing w:after="0" w:line="240" w:lineRule="auto"/>
        <w:jc w:val="left"/>
        <w:rPr>
          <w:rFonts w:ascii="Arial" w:eastAsia="Times New Roman" w:hAnsi="Arial" w:cs="Times New Roman"/>
          <w:sz w:val="22"/>
          <w:lang w:val="en-US"/>
        </w:rPr>
      </w:pPr>
      <w:r w:rsidRPr="00A646BC">
        <w:rPr>
          <w:rFonts w:ascii="Arial" w:eastAsia="Times New Roman" w:hAnsi="Arial" w:cs="Times New Roman"/>
          <w:sz w:val="22"/>
          <w:lang w:val="en-US"/>
        </w:rPr>
        <w:t xml:space="preserve">A </w:t>
      </w:r>
      <w:proofErr w:type="gramStart"/>
      <w:r w:rsidRPr="00A646BC">
        <w:rPr>
          <w:rFonts w:ascii="Arial" w:eastAsia="Times New Roman" w:hAnsi="Arial" w:cs="Times New Roman"/>
          <w:sz w:val="22"/>
          <w:lang w:val="en-US"/>
        </w:rPr>
        <w:t>lot  (</w:t>
      </w:r>
      <w:proofErr w:type="gramEnd"/>
      <w:r w:rsidRPr="00A646BC">
        <w:rPr>
          <w:rFonts w:ascii="Arial" w:eastAsia="Times New Roman" w:hAnsi="Arial" w:cs="Times New Roman"/>
          <w:sz w:val="22"/>
          <w:lang w:val="en-US"/>
        </w:rPr>
        <w:t xml:space="preserve">1) </w:t>
      </w:r>
    </w:p>
    <w:p w14:paraId="1DBBCE71" w14:textId="77777777" w:rsidR="00A646BC" w:rsidRPr="00A646BC" w:rsidRDefault="00A646BC" w:rsidP="00A646BC">
      <w:pPr>
        <w:keepNext/>
        <w:numPr>
          <w:ilvl w:val="0"/>
          <w:numId w:val="32"/>
        </w:numPr>
        <w:spacing w:after="0" w:line="240" w:lineRule="auto"/>
        <w:jc w:val="left"/>
        <w:rPr>
          <w:rFonts w:ascii="Arial" w:eastAsia="Times New Roman" w:hAnsi="Arial" w:cs="Times New Roman"/>
          <w:sz w:val="22"/>
          <w:lang w:val="en-US"/>
        </w:rPr>
      </w:pPr>
      <w:r w:rsidRPr="00A646BC">
        <w:rPr>
          <w:rFonts w:ascii="Arial" w:eastAsia="Times New Roman" w:hAnsi="Arial" w:cs="Times New Roman"/>
          <w:sz w:val="22"/>
          <w:lang w:val="en-US"/>
        </w:rPr>
        <w:t xml:space="preserve">A moderate </w:t>
      </w:r>
      <w:proofErr w:type="gramStart"/>
      <w:r w:rsidRPr="00A646BC">
        <w:rPr>
          <w:rFonts w:ascii="Arial" w:eastAsia="Times New Roman" w:hAnsi="Arial" w:cs="Times New Roman"/>
          <w:sz w:val="22"/>
          <w:lang w:val="en-US"/>
        </w:rPr>
        <w:t>amount  (</w:t>
      </w:r>
      <w:proofErr w:type="gramEnd"/>
      <w:r w:rsidRPr="00A646BC">
        <w:rPr>
          <w:rFonts w:ascii="Arial" w:eastAsia="Times New Roman" w:hAnsi="Arial" w:cs="Times New Roman"/>
          <w:sz w:val="22"/>
          <w:lang w:val="en-US"/>
        </w:rPr>
        <w:t xml:space="preserve">2) </w:t>
      </w:r>
    </w:p>
    <w:p w14:paraId="48EB760E" w14:textId="77777777" w:rsidR="00A646BC" w:rsidRPr="00A646BC" w:rsidRDefault="00A646BC" w:rsidP="00A646BC">
      <w:pPr>
        <w:keepNext/>
        <w:numPr>
          <w:ilvl w:val="0"/>
          <w:numId w:val="32"/>
        </w:numPr>
        <w:spacing w:after="0" w:line="240" w:lineRule="auto"/>
        <w:jc w:val="left"/>
        <w:rPr>
          <w:rFonts w:ascii="Arial" w:eastAsia="Times New Roman" w:hAnsi="Arial" w:cs="Times New Roman"/>
          <w:sz w:val="22"/>
          <w:lang w:val="en-US"/>
        </w:rPr>
      </w:pPr>
      <w:r w:rsidRPr="00A646BC">
        <w:rPr>
          <w:rFonts w:ascii="Arial" w:eastAsia="Times New Roman" w:hAnsi="Arial" w:cs="Times New Roman"/>
          <w:sz w:val="22"/>
          <w:lang w:val="en-US"/>
        </w:rPr>
        <w:t xml:space="preserve">A </w:t>
      </w:r>
      <w:proofErr w:type="gramStart"/>
      <w:r w:rsidRPr="00A646BC">
        <w:rPr>
          <w:rFonts w:ascii="Arial" w:eastAsia="Times New Roman" w:hAnsi="Arial" w:cs="Times New Roman"/>
          <w:sz w:val="22"/>
          <w:lang w:val="en-US"/>
        </w:rPr>
        <w:t>little  (</w:t>
      </w:r>
      <w:proofErr w:type="gramEnd"/>
      <w:r w:rsidRPr="00A646BC">
        <w:rPr>
          <w:rFonts w:ascii="Arial" w:eastAsia="Times New Roman" w:hAnsi="Arial" w:cs="Times New Roman"/>
          <w:sz w:val="22"/>
          <w:lang w:val="en-US"/>
        </w:rPr>
        <w:t xml:space="preserve">3) </w:t>
      </w:r>
    </w:p>
    <w:p w14:paraId="0C1CC8FC" w14:textId="77777777" w:rsidR="00A646BC" w:rsidRPr="00A646BC" w:rsidRDefault="00A646BC" w:rsidP="00A646BC">
      <w:pPr>
        <w:keepNext/>
        <w:numPr>
          <w:ilvl w:val="0"/>
          <w:numId w:val="32"/>
        </w:numPr>
        <w:spacing w:after="0" w:line="240" w:lineRule="auto"/>
        <w:jc w:val="left"/>
        <w:rPr>
          <w:rFonts w:ascii="Arial" w:eastAsia="Times New Roman" w:hAnsi="Arial" w:cs="Times New Roman"/>
          <w:sz w:val="22"/>
          <w:lang w:val="en-US"/>
        </w:rPr>
      </w:pPr>
      <w:r w:rsidRPr="00A646BC">
        <w:rPr>
          <w:rFonts w:ascii="Arial" w:eastAsia="Times New Roman" w:hAnsi="Arial" w:cs="Times New Roman"/>
          <w:sz w:val="22"/>
          <w:lang w:val="en-US"/>
        </w:rPr>
        <w:t xml:space="preserve">None at </w:t>
      </w:r>
      <w:proofErr w:type="gramStart"/>
      <w:r w:rsidRPr="00A646BC">
        <w:rPr>
          <w:rFonts w:ascii="Arial" w:eastAsia="Times New Roman" w:hAnsi="Arial" w:cs="Times New Roman"/>
          <w:sz w:val="22"/>
          <w:lang w:val="en-US"/>
        </w:rPr>
        <w:t>all  (</w:t>
      </w:r>
      <w:proofErr w:type="gramEnd"/>
      <w:r w:rsidRPr="00A646BC">
        <w:rPr>
          <w:rFonts w:ascii="Arial" w:eastAsia="Times New Roman" w:hAnsi="Arial" w:cs="Times New Roman"/>
          <w:sz w:val="22"/>
          <w:lang w:val="en-US"/>
        </w:rPr>
        <w:t xml:space="preserve">4) </w:t>
      </w:r>
    </w:p>
    <w:p w14:paraId="4757337A" w14:textId="77777777" w:rsidR="00A646BC" w:rsidRPr="00A646BC" w:rsidRDefault="00A646BC" w:rsidP="00A646BC">
      <w:pPr>
        <w:spacing w:after="0" w:line="276" w:lineRule="auto"/>
        <w:jc w:val="left"/>
        <w:rPr>
          <w:rFonts w:ascii="Arial" w:eastAsia="Times New Roman" w:hAnsi="Arial" w:cs="Times New Roman"/>
          <w:sz w:val="22"/>
          <w:lang w:val="en-US"/>
        </w:rPr>
      </w:pPr>
    </w:p>
    <w:p w14:paraId="775EB78B" w14:textId="77777777" w:rsidR="00A646BC" w:rsidRPr="00A646BC" w:rsidRDefault="00A646BC" w:rsidP="00A646BC">
      <w:pPr>
        <w:pBdr>
          <w:top w:val="dashed" w:sz="8" w:space="0" w:color="CCCCCC"/>
        </w:pBdr>
        <w:spacing w:before="120" w:after="120" w:line="120" w:lineRule="auto"/>
        <w:jc w:val="left"/>
        <w:rPr>
          <w:rFonts w:ascii="Arial" w:eastAsia="Times New Roman" w:hAnsi="Arial" w:cs="Times New Roman"/>
          <w:sz w:val="22"/>
          <w:lang w:val="en-US"/>
        </w:rPr>
      </w:pPr>
    </w:p>
    <w:p w14:paraId="07B442BD" w14:textId="77777777" w:rsidR="00A646BC" w:rsidRPr="00A646BC" w:rsidRDefault="00A646BC" w:rsidP="00A646BC">
      <w:pPr>
        <w:spacing w:after="0" w:line="276" w:lineRule="auto"/>
        <w:jc w:val="left"/>
        <w:rPr>
          <w:rFonts w:ascii="Arial" w:eastAsia="Times New Roman" w:hAnsi="Arial" w:cs="Times New Roman"/>
          <w:sz w:val="22"/>
          <w:lang w:val="en-US"/>
        </w:rPr>
      </w:pPr>
    </w:p>
    <w:p w14:paraId="29710E39" w14:textId="77777777" w:rsidR="00A646BC" w:rsidRPr="00A646BC" w:rsidRDefault="00A646BC" w:rsidP="00A646BC">
      <w:pPr>
        <w:keepNext/>
        <w:spacing w:after="0" w:line="276" w:lineRule="auto"/>
        <w:jc w:val="left"/>
        <w:rPr>
          <w:rFonts w:ascii="Arial" w:eastAsia="Times New Roman" w:hAnsi="Arial" w:cs="Times New Roman"/>
          <w:sz w:val="22"/>
          <w:lang w:val="en-US"/>
        </w:rPr>
      </w:pPr>
      <w:proofErr w:type="spellStart"/>
      <w:r w:rsidRPr="00A646BC">
        <w:rPr>
          <w:rFonts w:ascii="Arial" w:eastAsia="Times New Roman" w:hAnsi="Arial" w:cs="Times New Roman"/>
          <w:sz w:val="22"/>
          <w:lang w:val="en-US"/>
        </w:rPr>
        <w:t>colour_blindness</w:t>
      </w:r>
      <w:proofErr w:type="spellEnd"/>
      <w:r w:rsidRPr="00A646BC">
        <w:rPr>
          <w:rFonts w:ascii="Arial" w:eastAsia="Times New Roman" w:hAnsi="Arial" w:cs="Times New Roman"/>
          <w:sz w:val="22"/>
          <w:lang w:val="en-US"/>
        </w:rPr>
        <w:t xml:space="preserve"> Do you have any difficulty perceiving </w:t>
      </w:r>
      <w:proofErr w:type="spellStart"/>
      <w:r w:rsidRPr="00A646BC">
        <w:rPr>
          <w:rFonts w:ascii="Arial" w:eastAsia="Times New Roman" w:hAnsi="Arial" w:cs="Times New Roman"/>
          <w:sz w:val="22"/>
          <w:lang w:val="en-US"/>
        </w:rPr>
        <w:t>colours</w:t>
      </w:r>
      <w:proofErr w:type="spellEnd"/>
      <w:r w:rsidRPr="00A646BC">
        <w:rPr>
          <w:rFonts w:ascii="Arial" w:eastAsia="Times New Roman" w:hAnsi="Arial" w:cs="Times New Roman"/>
          <w:sz w:val="22"/>
          <w:lang w:val="en-US"/>
        </w:rPr>
        <w:t xml:space="preserve">?  (e.g. </w:t>
      </w:r>
      <w:proofErr w:type="spellStart"/>
      <w:r w:rsidRPr="00A646BC">
        <w:rPr>
          <w:rFonts w:ascii="Arial" w:eastAsia="Times New Roman" w:hAnsi="Arial" w:cs="Times New Roman"/>
          <w:sz w:val="22"/>
          <w:lang w:val="en-US"/>
        </w:rPr>
        <w:t>Colour</w:t>
      </w:r>
      <w:proofErr w:type="spellEnd"/>
      <w:r w:rsidRPr="00A646BC">
        <w:rPr>
          <w:rFonts w:ascii="Arial" w:eastAsia="Times New Roman" w:hAnsi="Arial" w:cs="Times New Roman"/>
          <w:sz w:val="22"/>
          <w:lang w:val="en-US"/>
        </w:rPr>
        <w:t xml:space="preserve"> blindness, </w:t>
      </w:r>
      <w:proofErr w:type="spellStart"/>
      <w:r w:rsidRPr="00A646BC">
        <w:rPr>
          <w:rFonts w:ascii="Arial" w:eastAsia="Times New Roman" w:hAnsi="Arial" w:cs="Times New Roman"/>
          <w:sz w:val="22"/>
          <w:lang w:val="en-US"/>
        </w:rPr>
        <w:t>Colour</w:t>
      </w:r>
      <w:proofErr w:type="spellEnd"/>
      <w:r w:rsidRPr="00A646BC">
        <w:rPr>
          <w:rFonts w:ascii="Arial" w:eastAsia="Times New Roman" w:hAnsi="Arial" w:cs="Times New Roman"/>
          <w:sz w:val="22"/>
          <w:lang w:val="en-US"/>
        </w:rPr>
        <w:t xml:space="preserve"> vision deficiency)</w:t>
      </w:r>
    </w:p>
    <w:p w14:paraId="713B7812" w14:textId="77777777" w:rsidR="00A646BC" w:rsidRPr="00A646BC" w:rsidRDefault="00A646BC" w:rsidP="00A646BC">
      <w:pPr>
        <w:keepNext/>
        <w:numPr>
          <w:ilvl w:val="0"/>
          <w:numId w:val="32"/>
        </w:numPr>
        <w:spacing w:after="0" w:line="240" w:lineRule="auto"/>
        <w:jc w:val="left"/>
        <w:rPr>
          <w:rFonts w:ascii="Arial" w:eastAsia="Times New Roman" w:hAnsi="Arial" w:cs="Times New Roman"/>
          <w:sz w:val="22"/>
          <w:lang w:val="en-US"/>
        </w:rPr>
      </w:pPr>
      <w:proofErr w:type="gramStart"/>
      <w:r w:rsidRPr="00A646BC">
        <w:rPr>
          <w:rFonts w:ascii="Arial" w:eastAsia="Times New Roman" w:hAnsi="Arial" w:cs="Times New Roman"/>
          <w:sz w:val="22"/>
          <w:lang w:val="en-US"/>
        </w:rPr>
        <w:t>Yes  (</w:t>
      </w:r>
      <w:proofErr w:type="gramEnd"/>
      <w:r w:rsidRPr="00A646BC">
        <w:rPr>
          <w:rFonts w:ascii="Arial" w:eastAsia="Times New Roman" w:hAnsi="Arial" w:cs="Times New Roman"/>
          <w:sz w:val="22"/>
          <w:lang w:val="en-US"/>
        </w:rPr>
        <w:t xml:space="preserve">1) </w:t>
      </w:r>
    </w:p>
    <w:p w14:paraId="117A42CD" w14:textId="77777777" w:rsidR="00A646BC" w:rsidRPr="00A646BC" w:rsidRDefault="00A646BC" w:rsidP="00A646BC">
      <w:pPr>
        <w:keepNext/>
        <w:numPr>
          <w:ilvl w:val="0"/>
          <w:numId w:val="32"/>
        </w:numPr>
        <w:spacing w:after="0" w:line="240" w:lineRule="auto"/>
        <w:jc w:val="left"/>
        <w:rPr>
          <w:rFonts w:ascii="Arial" w:eastAsia="Times New Roman" w:hAnsi="Arial" w:cs="Times New Roman"/>
          <w:sz w:val="22"/>
          <w:lang w:val="en-US"/>
        </w:rPr>
      </w:pPr>
      <w:proofErr w:type="gramStart"/>
      <w:r w:rsidRPr="00A646BC">
        <w:rPr>
          <w:rFonts w:ascii="Arial" w:eastAsia="Times New Roman" w:hAnsi="Arial" w:cs="Times New Roman"/>
          <w:sz w:val="22"/>
          <w:lang w:val="en-US"/>
        </w:rPr>
        <w:t>No  (</w:t>
      </w:r>
      <w:proofErr w:type="gramEnd"/>
      <w:r w:rsidRPr="00A646BC">
        <w:rPr>
          <w:rFonts w:ascii="Arial" w:eastAsia="Times New Roman" w:hAnsi="Arial" w:cs="Times New Roman"/>
          <w:sz w:val="22"/>
          <w:lang w:val="en-US"/>
        </w:rPr>
        <w:t xml:space="preserve">2) </w:t>
      </w:r>
    </w:p>
    <w:p w14:paraId="1A617A7B" w14:textId="77777777" w:rsidR="00A646BC" w:rsidRPr="00A646BC" w:rsidRDefault="00A646BC" w:rsidP="00A646BC">
      <w:pPr>
        <w:spacing w:after="0" w:line="276" w:lineRule="auto"/>
        <w:jc w:val="left"/>
        <w:rPr>
          <w:rFonts w:ascii="Arial" w:eastAsia="Times New Roman" w:hAnsi="Arial" w:cs="Times New Roman"/>
          <w:sz w:val="22"/>
          <w:lang w:val="en-US"/>
        </w:rPr>
      </w:pPr>
    </w:p>
    <w:p w14:paraId="28A48984" w14:textId="77777777" w:rsidR="00A646BC" w:rsidRPr="00A646BC" w:rsidRDefault="00A646BC" w:rsidP="00A646BC">
      <w:pPr>
        <w:spacing w:before="120" w:after="0" w:line="240" w:lineRule="auto"/>
        <w:jc w:val="left"/>
        <w:rPr>
          <w:rFonts w:ascii="Arial" w:eastAsia="Times New Roman" w:hAnsi="Arial" w:cs="Times New Roman"/>
          <w:b/>
          <w:color w:val="CCCCCC"/>
          <w:sz w:val="22"/>
          <w:lang w:val="en-US"/>
        </w:rPr>
      </w:pPr>
      <w:r w:rsidRPr="00A646BC">
        <w:rPr>
          <w:rFonts w:ascii="Arial" w:eastAsia="Times New Roman" w:hAnsi="Arial" w:cs="Times New Roman"/>
          <w:b/>
          <w:color w:val="CCCCCC"/>
          <w:sz w:val="22"/>
          <w:lang w:val="en-US"/>
        </w:rPr>
        <w:t>End of Block: Demographics</w:t>
      </w:r>
    </w:p>
    <w:p w14:paraId="4B3C55B5" w14:textId="77777777" w:rsidR="00A646BC" w:rsidRPr="00A646BC" w:rsidRDefault="00A646BC" w:rsidP="00A646BC">
      <w:pPr>
        <w:pBdr>
          <w:bottom w:val="single" w:sz="8" w:space="0" w:color="CCCCCC"/>
        </w:pBdr>
        <w:spacing w:after="0" w:line="120" w:lineRule="auto"/>
        <w:jc w:val="center"/>
        <w:rPr>
          <w:rFonts w:ascii="Arial" w:eastAsia="Times New Roman" w:hAnsi="Arial" w:cs="Times New Roman"/>
          <w:b/>
          <w:color w:val="CCCCCC"/>
          <w:sz w:val="22"/>
          <w:lang w:val="en-US"/>
        </w:rPr>
      </w:pPr>
    </w:p>
    <w:p w14:paraId="64B0E8E7" w14:textId="77777777" w:rsidR="00A646BC" w:rsidRPr="00A646BC" w:rsidRDefault="00A646BC" w:rsidP="00A646BC">
      <w:pPr>
        <w:spacing w:before="120" w:after="120" w:line="240" w:lineRule="auto"/>
        <w:jc w:val="left"/>
        <w:rPr>
          <w:rFonts w:ascii="Arial" w:eastAsia="Times New Roman" w:hAnsi="Arial" w:cs="Times New Roman"/>
          <w:b/>
          <w:color w:val="CCCCCC"/>
          <w:sz w:val="22"/>
          <w:lang w:val="en-US"/>
        </w:rPr>
      </w:pPr>
      <w:r w:rsidRPr="00A646BC">
        <w:rPr>
          <w:rFonts w:ascii="Arial" w:eastAsia="Times New Roman" w:hAnsi="Arial" w:cs="Times New Roman"/>
          <w:b/>
          <w:color w:val="CCCCCC"/>
          <w:sz w:val="22"/>
          <w:lang w:val="en-US"/>
        </w:rPr>
        <w:t>Start of Block: INS</w:t>
      </w:r>
    </w:p>
    <w:tbl>
      <w:tblPr>
        <w:tblStyle w:val="QQuestionIconTable"/>
        <w:tblW w:w="50" w:type="auto"/>
        <w:tblLook w:val="07E0" w:firstRow="1" w:lastRow="1" w:firstColumn="1" w:lastColumn="1" w:noHBand="1" w:noVBand="1"/>
      </w:tblPr>
      <w:tblGrid>
        <w:gridCol w:w="380"/>
      </w:tblGrid>
      <w:tr w:rsidR="00A646BC" w:rsidRPr="00A646BC" w14:paraId="4C036755" w14:textId="77777777" w:rsidTr="003C7F42">
        <w:tc>
          <w:tcPr>
            <w:tcW w:w="50" w:type="dxa"/>
          </w:tcPr>
          <w:p w14:paraId="71E3D230" w14:textId="77777777" w:rsidR="00A646BC" w:rsidRPr="00A646BC" w:rsidRDefault="00A646BC" w:rsidP="00A646BC">
            <w:pPr>
              <w:keepNext/>
              <w:spacing w:line="240" w:lineRule="auto"/>
              <w:jc w:val="center"/>
              <w:rPr>
                <w:rFonts w:ascii="Arial" w:eastAsia="Times New Roman" w:hAnsi="Arial" w:cs="Times New Roman"/>
                <w:sz w:val="22"/>
                <w:lang w:val="en-US"/>
              </w:rPr>
            </w:pPr>
            <w:r w:rsidRPr="00A646BC">
              <w:rPr>
                <w:rFonts w:ascii="Arial" w:eastAsia="Times New Roman" w:hAnsi="Arial" w:cs="Times New Roman"/>
                <w:noProof/>
                <w:sz w:val="22"/>
                <w:lang w:val="en-US"/>
              </w:rPr>
              <w:drawing>
                <wp:inline distT="0" distB="0" distL="0" distR="0" wp14:anchorId="4F6AB3E6" wp14:editId="4B84705F">
                  <wp:extent cx="228600" cy="228600"/>
                  <wp:effectExtent l="0" t="0" r="0" b="0"/>
                  <wp:docPr id="154880304" name="WordQuestionJavaScrip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WordQuestionJavaScript.png"/>
                          <pic:cNvPicPr/>
                        </pic:nvPicPr>
                        <pic:blipFill>
                          <a:blip r:embed="rId69"/>
                          <a:stretch>
                            <a:fillRect/>
                          </a:stretch>
                        </pic:blipFill>
                        <pic:spPr>
                          <a:xfrm>
                            <a:off x="0" y="0"/>
                            <a:ext cx="228600" cy="228600"/>
                          </a:xfrm>
                          <a:prstGeom prst="rect">
                            <a:avLst/>
                          </a:prstGeom>
                        </pic:spPr>
                      </pic:pic>
                    </a:graphicData>
                  </a:graphic>
                </wp:inline>
              </w:drawing>
            </w:r>
          </w:p>
        </w:tc>
      </w:tr>
    </w:tbl>
    <w:p w14:paraId="39A0174C" w14:textId="77777777" w:rsidR="00A646BC" w:rsidRPr="00A646BC" w:rsidRDefault="00A646BC" w:rsidP="00A646BC">
      <w:pPr>
        <w:spacing w:after="0" w:line="276" w:lineRule="auto"/>
        <w:jc w:val="left"/>
        <w:rPr>
          <w:rFonts w:ascii="Arial" w:eastAsia="Times New Roman" w:hAnsi="Arial" w:cs="Times New Roman"/>
          <w:sz w:val="22"/>
          <w:lang w:val="en-US"/>
        </w:rPr>
      </w:pPr>
    </w:p>
    <w:p w14:paraId="4DAA9C45" w14:textId="77777777" w:rsidR="00A646BC" w:rsidRPr="00A646BC" w:rsidRDefault="00A646BC" w:rsidP="00A646BC">
      <w:pPr>
        <w:keepNext/>
        <w:spacing w:after="0" w:line="276" w:lineRule="auto"/>
        <w:jc w:val="left"/>
        <w:rPr>
          <w:rFonts w:ascii="Arial" w:eastAsia="Times New Roman" w:hAnsi="Arial" w:cs="Times New Roman"/>
          <w:sz w:val="22"/>
          <w:lang w:val="en-US"/>
        </w:rPr>
      </w:pPr>
      <w:r w:rsidRPr="00A646BC">
        <w:rPr>
          <w:rFonts w:ascii="Arial" w:eastAsia="Times New Roman" w:hAnsi="Arial" w:cs="Times New Roman"/>
          <w:sz w:val="22"/>
          <w:lang w:val="en-US"/>
        </w:rPr>
        <w:t xml:space="preserve">ins </w:t>
      </w:r>
      <w:r w:rsidRPr="00A646BC">
        <w:rPr>
          <w:rFonts w:ascii="Arial" w:eastAsia="Times New Roman" w:hAnsi="Arial" w:cs="Times New Roman"/>
          <w:sz w:val="22"/>
          <w:lang w:val="en-US"/>
        </w:rPr>
        <w:br/>
        <w:t>The two circles below represent your own concepts of self and nature.</w:t>
      </w:r>
      <w:r w:rsidRPr="00A646BC">
        <w:rPr>
          <w:rFonts w:ascii="Arial" w:eastAsia="Times New Roman" w:hAnsi="Arial" w:cs="Times New Roman"/>
          <w:sz w:val="22"/>
          <w:lang w:val="en-US"/>
        </w:rPr>
        <w:br/>
        <w:t xml:space="preserve"> </w:t>
      </w:r>
      <w:r w:rsidRPr="00A646BC">
        <w:rPr>
          <w:rFonts w:ascii="Arial" w:eastAsia="Times New Roman" w:hAnsi="Arial" w:cs="Times New Roman"/>
          <w:i/>
          <w:sz w:val="22"/>
          <w:lang w:val="en-US"/>
        </w:rPr>
        <w:t>(If you don't see the circles, try moving the slider and they should appear)</w:t>
      </w:r>
      <w:r w:rsidRPr="00A646BC">
        <w:rPr>
          <w:rFonts w:ascii="Arial" w:eastAsia="Times New Roman" w:hAnsi="Arial" w:cs="Times New Roman"/>
          <w:sz w:val="22"/>
          <w:lang w:val="en-US"/>
        </w:rPr>
        <w:t xml:space="preserve">  </w:t>
      </w:r>
      <w:r w:rsidRPr="00A646BC">
        <w:rPr>
          <w:rFonts w:ascii="Arial" w:eastAsia="Times New Roman" w:hAnsi="Arial" w:cs="Times New Roman"/>
          <w:sz w:val="22"/>
          <w:lang w:val="en-US"/>
        </w:rPr>
        <w:br/>
        <w:t xml:space="preserve">   </w:t>
      </w:r>
      <w:r w:rsidRPr="00A646BC">
        <w:rPr>
          <w:rFonts w:ascii="Arial" w:eastAsia="Times New Roman" w:hAnsi="Arial" w:cs="Times New Roman"/>
          <w:sz w:val="22"/>
          <w:lang w:val="en-US"/>
        </w:rPr>
        <w:br/>
        <w:t xml:space="preserve">Please use the slider below to describe your relationship with the natural environment.  </w:t>
      </w:r>
      <w:r w:rsidRPr="00A646BC">
        <w:rPr>
          <w:rFonts w:ascii="Arial" w:eastAsia="Times New Roman" w:hAnsi="Arial" w:cs="Times New Roman"/>
          <w:sz w:val="22"/>
          <w:lang w:val="en-US"/>
        </w:rPr>
        <w:br/>
        <w:t xml:space="preserve">   </w:t>
      </w:r>
      <w:r w:rsidRPr="00A646BC">
        <w:rPr>
          <w:rFonts w:ascii="Arial" w:eastAsia="Times New Roman" w:hAnsi="Arial" w:cs="Times New Roman"/>
          <w:sz w:val="22"/>
          <w:lang w:val="en-US"/>
        </w:rPr>
        <w:br/>
      </w:r>
      <w:r w:rsidRPr="00A646BC">
        <w:rPr>
          <w:rFonts w:ascii="Arial" w:eastAsia="Times New Roman" w:hAnsi="Arial" w:cs="Times New Roman"/>
          <w:sz w:val="22"/>
          <w:u w:val="single"/>
          <w:lang w:val="en-US"/>
        </w:rPr>
        <w:t>How interconnected are you with nature?</w:t>
      </w:r>
      <w:r w:rsidRPr="00A646BC">
        <w:rPr>
          <w:rFonts w:ascii="Arial" w:eastAsia="Times New Roman" w:hAnsi="Arial" w:cs="Times New Roman"/>
          <w:sz w:val="22"/>
          <w:lang w:val="en-US"/>
        </w:rPr>
        <w:t xml:space="preserve"> The more the circles overlap, the more connected you </w:t>
      </w:r>
      <w:r w:rsidRPr="00A646BC">
        <w:rPr>
          <w:rFonts w:ascii="Arial" w:eastAsia="Times New Roman" w:hAnsi="Arial" w:cs="Times New Roman"/>
          <w:sz w:val="22"/>
          <w:lang w:val="en-US"/>
        </w:rPr>
        <w:lastRenderedPageBreak/>
        <w:t xml:space="preserve">are.  </w:t>
      </w:r>
      <w:r w:rsidRPr="00A646BC">
        <w:rPr>
          <w:rFonts w:ascii="Arial" w:eastAsia="Times New Roman" w:hAnsi="Arial" w:cs="Times New Roman"/>
          <w:sz w:val="22"/>
          <w:lang w:val="en-US"/>
        </w:rPr>
        <w:br/>
      </w:r>
    </w:p>
    <w:tbl>
      <w:tblPr>
        <w:tblStyle w:val="QSliderLabelsTable4"/>
        <w:tblW w:w="9576" w:type="auto"/>
        <w:tblInd w:w="0" w:type="dxa"/>
        <w:tblLook w:val="07E0" w:firstRow="1" w:lastRow="1" w:firstColumn="1" w:lastColumn="1" w:noHBand="1" w:noVBand="1"/>
      </w:tblPr>
      <w:tblGrid>
        <w:gridCol w:w="4788"/>
        <w:gridCol w:w="684"/>
        <w:gridCol w:w="684"/>
        <w:gridCol w:w="684"/>
        <w:gridCol w:w="684"/>
        <w:gridCol w:w="684"/>
        <w:gridCol w:w="684"/>
        <w:gridCol w:w="684"/>
      </w:tblGrid>
      <w:tr w:rsidR="00A646BC" w:rsidRPr="00A646BC" w14:paraId="07E9C93A" w14:textId="77777777" w:rsidTr="003C7F42">
        <w:tc>
          <w:tcPr>
            <w:tcW w:w="4788" w:type="dxa"/>
          </w:tcPr>
          <w:p w14:paraId="2539DEDB" w14:textId="77777777" w:rsidR="00A646BC" w:rsidRPr="00A646BC" w:rsidRDefault="00A646BC" w:rsidP="00A646BC">
            <w:pPr>
              <w:spacing w:line="240" w:lineRule="auto"/>
              <w:jc w:val="center"/>
              <w:rPr>
                <w:rFonts w:ascii="Arial" w:hAnsi="Arial" w:cs="Times New Roman"/>
                <w:sz w:val="22"/>
                <w:lang w:val="en-US"/>
              </w:rPr>
            </w:pPr>
          </w:p>
        </w:tc>
        <w:tc>
          <w:tcPr>
            <w:tcW w:w="684" w:type="dxa"/>
          </w:tcPr>
          <w:p w14:paraId="38273E97" w14:textId="77777777" w:rsidR="00A646BC" w:rsidRPr="00A646BC" w:rsidRDefault="00A646BC" w:rsidP="00A646BC">
            <w:pPr>
              <w:spacing w:line="240" w:lineRule="auto"/>
              <w:jc w:val="center"/>
              <w:rPr>
                <w:rFonts w:ascii="Arial" w:hAnsi="Arial" w:cs="Times New Roman"/>
                <w:sz w:val="22"/>
                <w:lang w:val="en-US"/>
              </w:rPr>
            </w:pPr>
            <w:r w:rsidRPr="00A646BC">
              <w:rPr>
                <w:rFonts w:ascii="Arial" w:hAnsi="Arial" w:cs="Times New Roman"/>
                <w:sz w:val="22"/>
                <w:lang w:val="en-US"/>
              </w:rPr>
              <w:t>1</w:t>
            </w:r>
          </w:p>
        </w:tc>
        <w:tc>
          <w:tcPr>
            <w:tcW w:w="684" w:type="dxa"/>
          </w:tcPr>
          <w:p w14:paraId="54990830" w14:textId="77777777" w:rsidR="00A646BC" w:rsidRPr="00A646BC" w:rsidRDefault="00A646BC" w:rsidP="00A646BC">
            <w:pPr>
              <w:spacing w:line="240" w:lineRule="auto"/>
              <w:jc w:val="center"/>
              <w:rPr>
                <w:rFonts w:ascii="Arial" w:hAnsi="Arial" w:cs="Times New Roman"/>
                <w:sz w:val="22"/>
                <w:lang w:val="en-US"/>
              </w:rPr>
            </w:pPr>
            <w:r w:rsidRPr="00A646BC">
              <w:rPr>
                <w:rFonts w:ascii="Arial" w:hAnsi="Arial" w:cs="Times New Roman"/>
                <w:sz w:val="22"/>
                <w:lang w:val="en-US"/>
              </w:rPr>
              <w:t>2</w:t>
            </w:r>
          </w:p>
        </w:tc>
        <w:tc>
          <w:tcPr>
            <w:tcW w:w="684" w:type="dxa"/>
          </w:tcPr>
          <w:p w14:paraId="0DDBF168" w14:textId="77777777" w:rsidR="00A646BC" w:rsidRPr="00A646BC" w:rsidRDefault="00A646BC" w:rsidP="00A646BC">
            <w:pPr>
              <w:spacing w:line="240" w:lineRule="auto"/>
              <w:jc w:val="center"/>
              <w:rPr>
                <w:rFonts w:ascii="Arial" w:hAnsi="Arial" w:cs="Times New Roman"/>
                <w:sz w:val="22"/>
                <w:lang w:val="en-US"/>
              </w:rPr>
            </w:pPr>
            <w:r w:rsidRPr="00A646BC">
              <w:rPr>
                <w:rFonts w:ascii="Arial" w:hAnsi="Arial" w:cs="Times New Roman"/>
                <w:sz w:val="22"/>
                <w:lang w:val="en-US"/>
              </w:rPr>
              <w:t>3</w:t>
            </w:r>
          </w:p>
        </w:tc>
        <w:tc>
          <w:tcPr>
            <w:tcW w:w="684" w:type="dxa"/>
          </w:tcPr>
          <w:p w14:paraId="49C8DFB3" w14:textId="77777777" w:rsidR="00A646BC" w:rsidRPr="00A646BC" w:rsidRDefault="00A646BC" w:rsidP="00A646BC">
            <w:pPr>
              <w:spacing w:line="240" w:lineRule="auto"/>
              <w:jc w:val="center"/>
              <w:rPr>
                <w:rFonts w:ascii="Arial" w:hAnsi="Arial" w:cs="Times New Roman"/>
                <w:sz w:val="22"/>
                <w:lang w:val="en-US"/>
              </w:rPr>
            </w:pPr>
            <w:r w:rsidRPr="00A646BC">
              <w:rPr>
                <w:rFonts w:ascii="Arial" w:hAnsi="Arial" w:cs="Times New Roman"/>
                <w:sz w:val="22"/>
                <w:lang w:val="en-US"/>
              </w:rPr>
              <w:t>4</w:t>
            </w:r>
          </w:p>
        </w:tc>
        <w:tc>
          <w:tcPr>
            <w:tcW w:w="684" w:type="dxa"/>
          </w:tcPr>
          <w:p w14:paraId="3A3AA35B" w14:textId="77777777" w:rsidR="00A646BC" w:rsidRPr="00A646BC" w:rsidRDefault="00A646BC" w:rsidP="00A646BC">
            <w:pPr>
              <w:spacing w:line="240" w:lineRule="auto"/>
              <w:jc w:val="center"/>
              <w:rPr>
                <w:rFonts w:ascii="Arial" w:hAnsi="Arial" w:cs="Times New Roman"/>
                <w:sz w:val="22"/>
                <w:lang w:val="en-US"/>
              </w:rPr>
            </w:pPr>
            <w:r w:rsidRPr="00A646BC">
              <w:rPr>
                <w:rFonts w:ascii="Arial" w:hAnsi="Arial" w:cs="Times New Roman"/>
                <w:sz w:val="22"/>
                <w:lang w:val="en-US"/>
              </w:rPr>
              <w:t>5</w:t>
            </w:r>
          </w:p>
        </w:tc>
        <w:tc>
          <w:tcPr>
            <w:tcW w:w="684" w:type="dxa"/>
          </w:tcPr>
          <w:p w14:paraId="76999EEA" w14:textId="77777777" w:rsidR="00A646BC" w:rsidRPr="00A646BC" w:rsidRDefault="00A646BC" w:rsidP="00A646BC">
            <w:pPr>
              <w:spacing w:line="240" w:lineRule="auto"/>
              <w:jc w:val="center"/>
              <w:rPr>
                <w:rFonts w:ascii="Arial" w:hAnsi="Arial" w:cs="Times New Roman"/>
                <w:sz w:val="22"/>
                <w:lang w:val="en-US"/>
              </w:rPr>
            </w:pPr>
            <w:r w:rsidRPr="00A646BC">
              <w:rPr>
                <w:rFonts w:ascii="Arial" w:hAnsi="Arial" w:cs="Times New Roman"/>
                <w:sz w:val="22"/>
                <w:lang w:val="en-US"/>
              </w:rPr>
              <w:t>6</w:t>
            </w:r>
          </w:p>
        </w:tc>
        <w:tc>
          <w:tcPr>
            <w:tcW w:w="684" w:type="dxa"/>
          </w:tcPr>
          <w:p w14:paraId="7E72746F" w14:textId="77777777" w:rsidR="00A646BC" w:rsidRPr="00A646BC" w:rsidRDefault="00A646BC" w:rsidP="00A646BC">
            <w:pPr>
              <w:spacing w:line="240" w:lineRule="auto"/>
              <w:jc w:val="center"/>
              <w:rPr>
                <w:rFonts w:ascii="Arial" w:hAnsi="Arial" w:cs="Times New Roman"/>
                <w:sz w:val="22"/>
                <w:lang w:val="en-US"/>
              </w:rPr>
            </w:pPr>
            <w:r w:rsidRPr="00A646BC">
              <w:rPr>
                <w:rFonts w:ascii="Arial" w:hAnsi="Arial" w:cs="Times New Roman"/>
                <w:sz w:val="22"/>
                <w:lang w:val="en-US"/>
              </w:rPr>
              <w:t>7</w:t>
            </w:r>
          </w:p>
        </w:tc>
      </w:tr>
    </w:tbl>
    <w:p w14:paraId="2ED97623" w14:textId="77777777" w:rsidR="00A646BC" w:rsidRPr="00A646BC" w:rsidRDefault="00A646BC" w:rsidP="00A646BC">
      <w:pPr>
        <w:spacing w:after="0" w:line="276" w:lineRule="auto"/>
        <w:jc w:val="left"/>
        <w:rPr>
          <w:rFonts w:ascii="Arial" w:eastAsia="Times New Roman" w:hAnsi="Arial" w:cs="Times New Roman"/>
          <w:sz w:val="22"/>
          <w:lang w:val="en-US"/>
        </w:rPr>
      </w:pPr>
    </w:p>
    <w:tbl>
      <w:tblPr>
        <w:tblStyle w:val="QStandardSliderTable5"/>
        <w:tblW w:w="9576" w:type="auto"/>
        <w:tblLook w:val="07E0" w:firstRow="1" w:lastRow="1" w:firstColumn="1" w:lastColumn="1" w:noHBand="1" w:noVBand="1"/>
      </w:tblPr>
      <w:tblGrid>
        <w:gridCol w:w="4788"/>
        <w:gridCol w:w="4788"/>
      </w:tblGrid>
      <w:tr w:rsidR="00A646BC" w:rsidRPr="00A646BC" w14:paraId="535A4D66" w14:textId="77777777" w:rsidTr="003C7F42">
        <w:tc>
          <w:tcPr>
            <w:cnfStyle w:val="001000000000" w:firstRow="0" w:lastRow="0" w:firstColumn="1" w:lastColumn="0" w:oddVBand="0" w:evenVBand="0" w:oddHBand="0" w:evenHBand="0" w:firstRowFirstColumn="0" w:firstRowLastColumn="0" w:lastRowFirstColumn="0" w:lastRowLastColumn="0"/>
            <w:tcW w:w="4788" w:type="dxa"/>
          </w:tcPr>
          <w:p w14:paraId="6795DBCD" w14:textId="77777777" w:rsidR="00A646BC" w:rsidRPr="00A646BC" w:rsidRDefault="00A646BC" w:rsidP="00A646BC">
            <w:pPr>
              <w:keepNext/>
              <w:spacing w:line="240" w:lineRule="auto"/>
              <w:jc w:val="right"/>
              <w:rPr>
                <w:rFonts w:ascii="Arial" w:hAnsi="Arial" w:cs="Times New Roman"/>
                <w:sz w:val="22"/>
                <w:lang w:val="en-US"/>
              </w:rPr>
            </w:pPr>
            <w:r w:rsidRPr="00A646BC">
              <w:rPr>
                <w:rFonts w:ascii="Arial" w:hAnsi="Arial" w:cs="Times New Roman"/>
                <w:sz w:val="22"/>
                <w:lang w:val="en-US"/>
              </w:rPr>
              <w:t>  ()</w:t>
            </w:r>
          </w:p>
        </w:tc>
        <w:tc>
          <w:tcPr>
            <w:tcW w:w="4788" w:type="dxa"/>
          </w:tcPr>
          <w:p w14:paraId="7B1E456D" w14:textId="77777777" w:rsidR="00A646BC" w:rsidRPr="00A646BC" w:rsidRDefault="00A646BC" w:rsidP="00A646BC">
            <w:pPr>
              <w:keepNext/>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r w:rsidRPr="00A646BC">
              <w:rPr>
                <w:rFonts w:ascii="Arial" w:hAnsi="Arial" w:cs="Times New Roman"/>
                <w:noProof/>
                <w:sz w:val="22"/>
                <w:lang w:val="en-US"/>
              </w:rPr>
              <w:drawing>
                <wp:inline distT="0" distB="0" distL="0" distR="0" wp14:anchorId="32D7C2FB" wp14:editId="1A5FE230">
                  <wp:extent cx="1905000" cy="304800"/>
                  <wp:effectExtent l="0" t="0" r="0" b="0"/>
                  <wp:docPr id="1455215707" name="WordSliderHorizont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WordSliderHorizontal.png"/>
                          <pic:cNvPicPr/>
                        </pic:nvPicPr>
                        <pic:blipFill>
                          <a:blip r:embed="rId71"/>
                          <a:stretch>
                            <a:fillRect/>
                          </a:stretch>
                        </pic:blipFill>
                        <pic:spPr>
                          <a:xfrm>
                            <a:off x="0" y="0"/>
                            <a:ext cx="1905000" cy="304800"/>
                          </a:xfrm>
                          <a:prstGeom prst="rect">
                            <a:avLst/>
                          </a:prstGeom>
                        </pic:spPr>
                      </pic:pic>
                    </a:graphicData>
                  </a:graphic>
                </wp:inline>
              </w:drawing>
            </w:r>
          </w:p>
        </w:tc>
      </w:tr>
    </w:tbl>
    <w:p w14:paraId="4A5823FC" w14:textId="77777777" w:rsidR="00A646BC" w:rsidRPr="00A646BC" w:rsidRDefault="00A646BC" w:rsidP="00A646BC">
      <w:pPr>
        <w:spacing w:after="0" w:line="276" w:lineRule="auto"/>
        <w:jc w:val="left"/>
        <w:rPr>
          <w:rFonts w:ascii="Arial" w:eastAsia="Times New Roman" w:hAnsi="Arial" w:cs="Times New Roman"/>
          <w:sz w:val="22"/>
          <w:lang w:val="en-US"/>
        </w:rPr>
      </w:pPr>
    </w:p>
    <w:p w14:paraId="326963E6" w14:textId="77777777" w:rsidR="00A646BC" w:rsidRPr="00A646BC" w:rsidRDefault="00A646BC" w:rsidP="00A646BC">
      <w:pPr>
        <w:spacing w:after="0" w:line="276" w:lineRule="auto"/>
        <w:jc w:val="left"/>
        <w:rPr>
          <w:rFonts w:ascii="Arial" w:eastAsia="Times New Roman" w:hAnsi="Arial" w:cs="Times New Roman"/>
          <w:sz w:val="22"/>
          <w:lang w:val="en-US"/>
        </w:rPr>
      </w:pPr>
    </w:p>
    <w:p w14:paraId="102A30DF" w14:textId="77777777" w:rsidR="00A646BC" w:rsidRPr="00A646BC" w:rsidRDefault="00A646BC" w:rsidP="00A646BC">
      <w:pPr>
        <w:spacing w:before="120" w:after="0" w:line="240" w:lineRule="auto"/>
        <w:jc w:val="left"/>
        <w:rPr>
          <w:rFonts w:ascii="Arial" w:eastAsia="Times New Roman" w:hAnsi="Arial" w:cs="Times New Roman"/>
          <w:b/>
          <w:color w:val="CCCCCC"/>
          <w:sz w:val="22"/>
          <w:lang w:val="en-US"/>
        </w:rPr>
      </w:pPr>
      <w:r w:rsidRPr="00A646BC">
        <w:rPr>
          <w:rFonts w:ascii="Arial" w:eastAsia="Times New Roman" w:hAnsi="Arial" w:cs="Times New Roman"/>
          <w:b/>
          <w:color w:val="CCCCCC"/>
          <w:sz w:val="22"/>
          <w:lang w:val="en-US"/>
        </w:rPr>
        <w:t>End of Block: INS</w:t>
      </w:r>
    </w:p>
    <w:p w14:paraId="3DA184F9" w14:textId="77777777" w:rsidR="00A646BC" w:rsidRPr="00A646BC" w:rsidRDefault="00A646BC" w:rsidP="00A646BC">
      <w:pPr>
        <w:pBdr>
          <w:bottom w:val="single" w:sz="8" w:space="0" w:color="CCCCCC"/>
        </w:pBdr>
        <w:spacing w:after="0" w:line="120" w:lineRule="auto"/>
        <w:jc w:val="center"/>
        <w:rPr>
          <w:rFonts w:ascii="Arial" w:eastAsia="Times New Roman" w:hAnsi="Arial" w:cs="Times New Roman"/>
          <w:b/>
          <w:color w:val="CCCCCC"/>
          <w:sz w:val="22"/>
          <w:lang w:val="en-US"/>
        </w:rPr>
      </w:pPr>
    </w:p>
    <w:p w14:paraId="78771381" w14:textId="77777777" w:rsidR="00A646BC" w:rsidRPr="00A646BC" w:rsidRDefault="00A646BC" w:rsidP="00A646BC">
      <w:pPr>
        <w:spacing w:before="120" w:after="120" w:line="240" w:lineRule="auto"/>
        <w:jc w:val="left"/>
        <w:rPr>
          <w:rFonts w:ascii="Arial" w:eastAsia="Times New Roman" w:hAnsi="Arial" w:cs="Times New Roman"/>
          <w:b/>
          <w:color w:val="CCCCCC"/>
          <w:sz w:val="22"/>
          <w:lang w:val="en-US"/>
        </w:rPr>
      </w:pPr>
      <w:r w:rsidRPr="00A646BC">
        <w:rPr>
          <w:rFonts w:ascii="Arial" w:eastAsia="Times New Roman" w:hAnsi="Arial" w:cs="Times New Roman"/>
          <w:b/>
          <w:color w:val="CCCCCC"/>
          <w:sz w:val="22"/>
          <w:lang w:val="en-US"/>
        </w:rPr>
        <w:t>Start of Block: Baseline instructions</w:t>
      </w:r>
    </w:p>
    <w:p w14:paraId="0B342DE8" w14:textId="77777777" w:rsidR="00A646BC" w:rsidRPr="00A646BC" w:rsidRDefault="00A646BC" w:rsidP="00A646BC">
      <w:pPr>
        <w:spacing w:after="0" w:line="276" w:lineRule="auto"/>
        <w:jc w:val="left"/>
        <w:rPr>
          <w:rFonts w:ascii="Arial" w:eastAsia="Times New Roman" w:hAnsi="Arial" w:cs="Times New Roman"/>
          <w:sz w:val="22"/>
          <w:lang w:val="en-US"/>
        </w:rPr>
      </w:pPr>
    </w:p>
    <w:p w14:paraId="6BD1E270" w14:textId="77777777" w:rsidR="00A646BC" w:rsidRPr="00A646BC" w:rsidRDefault="00A646BC" w:rsidP="00A646BC">
      <w:pPr>
        <w:keepNext/>
        <w:spacing w:after="0" w:line="276" w:lineRule="auto"/>
        <w:jc w:val="left"/>
        <w:rPr>
          <w:rFonts w:ascii="Arial" w:eastAsia="Times New Roman" w:hAnsi="Arial" w:cs="Times New Roman"/>
          <w:sz w:val="22"/>
          <w:lang w:val="en-US"/>
        </w:rPr>
      </w:pPr>
      <w:r w:rsidRPr="00A646BC">
        <w:rPr>
          <w:rFonts w:ascii="Arial" w:eastAsia="Times New Roman" w:hAnsi="Arial" w:cs="Times New Roman"/>
          <w:sz w:val="22"/>
          <w:lang w:val="en-US"/>
        </w:rPr>
        <w:t>Q227 We are now about to start the baseline measurement.</w:t>
      </w:r>
      <w:r w:rsidRPr="00A646BC">
        <w:rPr>
          <w:rFonts w:ascii="Arial" w:eastAsia="Times New Roman" w:hAnsi="Arial" w:cs="Times New Roman"/>
          <w:sz w:val="22"/>
          <w:lang w:val="en-US"/>
        </w:rPr>
        <w:br/>
        <w:t xml:space="preserve"> On the next section, you will find a white page with a fixation cross like the one below.</w:t>
      </w:r>
      <w:r w:rsidRPr="00A646BC">
        <w:rPr>
          <w:rFonts w:ascii="Arial" w:eastAsia="Times New Roman" w:hAnsi="Arial" w:cs="Times New Roman"/>
          <w:sz w:val="22"/>
          <w:lang w:val="en-US"/>
        </w:rPr>
        <w:br/>
        <w:t xml:space="preserve"> </w:t>
      </w:r>
      <w:r w:rsidRPr="00A646BC">
        <w:rPr>
          <w:rFonts w:ascii="Arial" w:eastAsia="Times New Roman" w:hAnsi="Arial" w:cs="Times New Roman"/>
          <w:sz w:val="22"/>
          <w:lang w:val="en-US"/>
        </w:rPr>
        <w:br/>
        <w:t xml:space="preserve">   </w:t>
      </w:r>
      <w:r w:rsidRPr="00A646BC">
        <w:rPr>
          <w:rFonts w:ascii="Arial" w:eastAsia="Times New Roman" w:hAnsi="Arial" w:cs="Times New Roman"/>
          <w:sz w:val="22"/>
          <w:lang w:val="en-US"/>
        </w:rPr>
        <w:br/>
        <w:t>We will record the heart activity for about 3 minutes</w:t>
      </w:r>
      <w:r w:rsidRPr="00A646BC">
        <w:rPr>
          <w:rFonts w:ascii="Arial" w:eastAsia="Times New Roman" w:hAnsi="Arial" w:cs="Times New Roman"/>
          <w:sz w:val="22"/>
          <w:lang w:val="en-US"/>
        </w:rPr>
        <w:br/>
        <w:t xml:space="preserve"> Then, the page will turn automatically  </w:t>
      </w:r>
      <w:r w:rsidRPr="00A646BC">
        <w:rPr>
          <w:rFonts w:ascii="Arial" w:eastAsia="Times New Roman" w:hAnsi="Arial" w:cs="Times New Roman"/>
          <w:sz w:val="22"/>
          <w:lang w:val="en-US"/>
        </w:rPr>
        <w:br/>
        <w:t xml:space="preserve">   </w:t>
      </w:r>
      <w:r w:rsidRPr="00A646BC">
        <w:rPr>
          <w:rFonts w:ascii="Arial" w:eastAsia="Times New Roman" w:hAnsi="Arial" w:cs="Times New Roman"/>
          <w:sz w:val="22"/>
          <w:lang w:val="en-US"/>
        </w:rPr>
        <w:br/>
        <w:t xml:space="preserve">   </w:t>
      </w:r>
      <w:r w:rsidRPr="00A646BC">
        <w:rPr>
          <w:rFonts w:ascii="Arial" w:eastAsia="Times New Roman" w:hAnsi="Arial" w:cs="Times New Roman"/>
          <w:sz w:val="22"/>
          <w:lang w:val="en-US"/>
        </w:rPr>
        <w:br/>
        <w:t>Sit comfortably, with both feet on the ground; arms on the armrests, and the palm of the hands facing down.</w:t>
      </w:r>
      <w:r w:rsidRPr="00A646BC">
        <w:rPr>
          <w:rFonts w:ascii="Arial" w:eastAsia="Times New Roman" w:hAnsi="Arial" w:cs="Times New Roman"/>
          <w:sz w:val="22"/>
          <w:lang w:val="en-US"/>
        </w:rPr>
        <w:br/>
        <w:t xml:space="preserve"> </w:t>
      </w:r>
      <w:r w:rsidRPr="00A646BC">
        <w:rPr>
          <w:rFonts w:ascii="Arial" w:eastAsia="Times New Roman" w:hAnsi="Arial" w:cs="Times New Roman"/>
          <w:sz w:val="22"/>
          <w:lang w:val="en-US"/>
        </w:rPr>
        <w:br/>
        <w:t xml:space="preserve">   </w:t>
      </w:r>
      <w:r w:rsidRPr="00A646BC">
        <w:rPr>
          <w:rFonts w:ascii="Arial" w:eastAsia="Times New Roman" w:hAnsi="Arial" w:cs="Times New Roman"/>
          <w:sz w:val="22"/>
          <w:lang w:val="en-US"/>
        </w:rPr>
        <w:br/>
        <w:t xml:space="preserve">   </w:t>
      </w:r>
      <w:r w:rsidRPr="00A646BC">
        <w:rPr>
          <w:rFonts w:ascii="Arial" w:eastAsia="Times New Roman" w:hAnsi="Arial" w:cs="Times New Roman"/>
          <w:sz w:val="22"/>
          <w:lang w:val="en-US"/>
        </w:rPr>
        <w:br/>
        <w:t>When you are ready to start, proceed to the next page</w:t>
      </w:r>
    </w:p>
    <w:p w14:paraId="6DE8D5A0" w14:textId="77777777" w:rsidR="00A646BC" w:rsidRPr="00A646BC" w:rsidRDefault="00A646BC" w:rsidP="00A646BC">
      <w:pPr>
        <w:spacing w:after="0" w:line="276" w:lineRule="auto"/>
        <w:jc w:val="left"/>
        <w:rPr>
          <w:rFonts w:ascii="Arial" w:eastAsia="Times New Roman" w:hAnsi="Arial" w:cs="Times New Roman"/>
          <w:sz w:val="22"/>
          <w:lang w:val="en-US"/>
        </w:rPr>
      </w:pPr>
    </w:p>
    <w:p w14:paraId="18584D8B" w14:textId="77777777" w:rsidR="00A646BC" w:rsidRPr="00A646BC" w:rsidRDefault="00A646BC" w:rsidP="00A646BC">
      <w:pPr>
        <w:pBdr>
          <w:top w:val="dashed" w:sz="8" w:space="0" w:color="CCCCCC"/>
        </w:pBdr>
        <w:spacing w:before="120" w:after="120" w:line="120" w:lineRule="auto"/>
        <w:jc w:val="left"/>
        <w:rPr>
          <w:rFonts w:ascii="Arial" w:eastAsia="Times New Roman" w:hAnsi="Arial" w:cs="Times New Roman"/>
          <w:sz w:val="22"/>
          <w:lang w:val="en-US"/>
        </w:rPr>
      </w:pPr>
    </w:p>
    <w:tbl>
      <w:tblPr>
        <w:tblStyle w:val="QQuestionIconTable"/>
        <w:tblW w:w="50" w:type="auto"/>
        <w:tblLook w:val="07E0" w:firstRow="1" w:lastRow="1" w:firstColumn="1" w:lastColumn="1" w:noHBand="1" w:noVBand="1"/>
      </w:tblPr>
      <w:tblGrid>
        <w:gridCol w:w="380"/>
      </w:tblGrid>
      <w:tr w:rsidR="00A646BC" w:rsidRPr="00A646BC" w14:paraId="33B409D1" w14:textId="77777777" w:rsidTr="003C7F42">
        <w:tc>
          <w:tcPr>
            <w:tcW w:w="50" w:type="dxa"/>
          </w:tcPr>
          <w:p w14:paraId="0EA38F10" w14:textId="77777777" w:rsidR="00A646BC" w:rsidRPr="00A646BC" w:rsidRDefault="00A646BC" w:rsidP="00A646BC">
            <w:pPr>
              <w:keepNext/>
              <w:spacing w:line="240" w:lineRule="auto"/>
              <w:jc w:val="center"/>
              <w:rPr>
                <w:rFonts w:ascii="Arial" w:eastAsia="Times New Roman" w:hAnsi="Arial" w:cs="Times New Roman"/>
                <w:sz w:val="22"/>
                <w:lang w:val="en-US"/>
              </w:rPr>
            </w:pPr>
            <w:r w:rsidRPr="00A646BC">
              <w:rPr>
                <w:rFonts w:ascii="Arial" w:eastAsia="Times New Roman" w:hAnsi="Arial" w:cs="Times New Roman"/>
                <w:noProof/>
                <w:sz w:val="22"/>
                <w:lang w:val="en-US"/>
              </w:rPr>
              <w:drawing>
                <wp:inline distT="0" distB="0" distL="0" distR="0" wp14:anchorId="6B751E75" wp14:editId="071E523D">
                  <wp:extent cx="228600" cy="228600"/>
                  <wp:effectExtent l="0" t="0" r="0" b="0"/>
                  <wp:docPr id="582488457" name="WordQuestionJavaScrip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WordQuestionJavaScript.png"/>
                          <pic:cNvPicPr/>
                        </pic:nvPicPr>
                        <pic:blipFill>
                          <a:blip r:embed="rId69"/>
                          <a:stretch>
                            <a:fillRect/>
                          </a:stretch>
                        </pic:blipFill>
                        <pic:spPr>
                          <a:xfrm>
                            <a:off x="0" y="0"/>
                            <a:ext cx="228600" cy="228600"/>
                          </a:xfrm>
                          <a:prstGeom prst="rect">
                            <a:avLst/>
                          </a:prstGeom>
                        </pic:spPr>
                      </pic:pic>
                    </a:graphicData>
                  </a:graphic>
                </wp:inline>
              </w:drawing>
            </w:r>
          </w:p>
        </w:tc>
      </w:tr>
    </w:tbl>
    <w:p w14:paraId="1CE968D3" w14:textId="77777777" w:rsidR="00A646BC" w:rsidRPr="00A646BC" w:rsidRDefault="00A646BC" w:rsidP="00A646BC">
      <w:pPr>
        <w:spacing w:after="0" w:line="276" w:lineRule="auto"/>
        <w:jc w:val="left"/>
        <w:rPr>
          <w:rFonts w:ascii="Arial" w:eastAsia="Times New Roman" w:hAnsi="Arial" w:cs="Times New Roman"/>
          <w:sz w:val="22"/>
          <w:lang w:val="en-US"/>
        </w:rPr>
      </w:pPr>
    </w:p>
    <w:p w14:paraId="41672E95" w14:textId="77777777" w:rsidR="00A646BC" w:rsidRPr="00A646BC" w:rsidRDefault="00A646BC" w:rsidP="00A646BC">
      <w:pPr>
        <w:keepNext/>
        <w:spacing w:after="0" w:line="276" w:lineRule="auto"/>
        <w:jc w:val="left"/>
        <w:rPr>
          <w:rFonts w:ascii="Arial" w:eastAsia="Times New Roman" w:hAnsi="Arial" w:cs="Times New Roman"/>
          <w:sz w:val="22"/>
          <w:lang w:val="en-US"/>
        </w:rPr>
      </w:pPr>
      <w:proofErr w:type="spellStart"/>
      <w:r w:rsidRPr="00A646BC">
        <w:rPr>
          <w:rFonts w:ascii="Arial" w:eastAsia="Times New Roman" w:hAnsi="Arial" w:cs="Times New Roman"/>
          <w:sz w:val="22"/>
          <w:lang w:val="en-US"/>
        </w:rPr>
        <w:t>time_baseline_start</w:t>
      </w:r>
      <w:proofErr w:type="spellEnd"/>
      <w:r w:rsidRPr="00A646BC">
        <w:rPr>
          <w:rFonts w:ascii="Arial" w:eastAsia="Times New Roman" w:hAnsi="Arial" w:cs="Times New Roman"/>
          <w:sz w:val="22"/>
          <w:lang w:val="en-US"/>
        </w:rPr>
        <w:t xml:space="preserve"> Click to write the question text</w:t>
      </w:r>
    </w:p>
    <w:p w14:paraId="2E72F25B" w14:textId="77777777" w:rsidR="00A646BC" w:rsidRPr="00A646BC" w:rsidRDefault="00A646BC" w:rsidP="00A646BC">
      <w:pPr>
        <w:spacing w:before="240" w:after="0" w:line="240" w:lineRule="auto"/>
        <w:ind w:firstLine="400"/>
        <w:jc w:val="left"/>
        <w:rPr>
          <w:rFonts w:ascii="Arial" w:eastAsia="Times New Roman" w:hAnsi="Arial" w:cs="Times New Roman"/>
          <w:sz w:val="22"/>
          <w:lang w:val="en-US"/>
        </w:rPr>
      </w:pPr>
      <w:r w:rsidRPr="00A646BC">
        <w:rPr>
          <w:rFonts w:ascii="Arial" w:eastAsia="Times New Roman" w:hAnsi="Arial" w:cs="Times New Roman"/>
          <w:sz w:val="22"/>
          <w:lang w:val="en-US"/>
        </w:rPr>
        <w:t>________________________________________________________________</w:t>
      </w:r>
    </w:p>
    <w:p w14:paraId="0AC859F0" w14:textId="77777777" w:rsidR="00A646BC" w:rsidRPr="00A646BC" w:rsidRDefault="00A646BC" w:rsidP="00A646BC">
      <w:pPr>
        <w:spacing w:after="0" w:line="276" w:lineRule="auto"/>
        <w:jc w:val="left"/>
        <w:rPr>
          <w:rFonts w:ascii="Arial" w:eastAsia="Times New Roman" w:hAnsi="Arial" w:cs="Times New Roman"/>
          <w:sz w:val="22"/>
          <w:lang w:val="en-US"/>
        </w:rPr>
      </w:pPr>
    </w:p>
    <w:p w14:paraId="432F0D9A" w14:textId="77777777" w:rsidR="00A646BC" w:rsidRPr="00A646BC" w:rsidRDefault="00A646BC" w:rsidP="00A646BC">
      <w:pPr>
        <w:spacing w:before="120" w:after="0" w:line="240" w:lineRule="auto"/>
        <w:jc w:val="left"/>
        <w:rPr>
          <w:rFonts w:ascii="Arial" w:eastAsia="Times New Roman" w:hAnsi="Arial" w:cs="Times New Roman"/>
          <w:b/>
          <w:color w:val="CCCCCC"/>
          <w:sz w:val="22"/>
          <w:lang w:val="en-US"/>
        </w:rPr>
      </w:pPr>
      <w:r w:rsidRPr="00A646BC">
        <w:rPr>
          <w:rFonts w:ascii="Arial" w:eastAsia="Times New Roman" w:hAnsi="Arial" w:cs="Times New Roman"/>
          <w:b/>
          <w:color w:val="CCCCCC"/>
          <w:sz w:val="22"/>
          <w:lang w:val="en-US"/>
        </w:rPr>
        <w:t>End of Block: Baseline instructions</w:t>
      </w:r>
    </w:p>
    <w:p w14:paraId="7F29965F" w14:textId="77777777" w:rsidR="00A646BC" w:rsidRPr="00A646BC" w:rsidRDefault="00A646BC" w:rsidP="00A646BC">
      <w:pPr>
        <w:pBdr>
          <w:bottom w:val="single" w:sz="8" w:space="0" w:color="CCCCCC"/>
        </w:pBdr>
        <w:spacing w:after="0" w:line="120" w:lineRule="auto"/>
        <w:jc w:val="center"/>
        <w:rPr>
          <w:rFonts w:ascii="Arial" w:eastAsia="Times New Roman" w:hAnsi="Arial" w:cs="Times New Roman"/>
          <w:b/>
          <w:color w:val="CCCCCC"/>
          <w:sz w:val="22"/>
          <w:lang w:val="en-US"/>
        </w:rPr>
      </w:pPr>
    </w:p>
    <w:p w14:paraId="797ABB03" w14:textId="77777777" w:rsidR="00A646BC" w:rsidRPr="00A646BC" w:rsidRDefault="00A646BC" w:rsidP="00A646BC">
      <w:pPr>
        <w:spacing w:before="120" w:after="120" w:line="240" w:lineRule="auto"/>
        <w:jc w:val="left"/>
        <w:rPr>
          <w:rFonts w:ascii="Arial" w:eastAsia="Times New Roman" w:hAnsi="Arial" w:cs="Times New Roman"/>
          <w:b/>
          <w:color w:val="CCCCCC"/>
          <w:sz w:val="22"/>
          <w:lang w:val="en-US"/>
        </w:rPr>
      </w:pPr>
      <w:r w:rsidRPr="00A646BC">
        <w:rPr>
          <w:rFonts w:ascii="Arial" w:eastAsia="Times New Roman" w:hAnsi="Arial" w:cs="Times New Roman"/>
          <w:b/>
          <w:color w:val="CCCCCC"/>
          <w:sz w:val="22"/>
          <w:lang w:val="en-US"/>
        </w:rPr>
        <w:t>Start of Block: Baseline measurement</w:t>
      </w:r>
    </w:p>
    <w:p w14:paraId="74654FB5" w14:textId="77777777" w:rsidR="00A646BC" w:rsidRPr="00A646BC" w:rsidRDefault="00A646BC" w:rsidP="00A646BC">
      <w:pPr>
        <w:spacing w:after="0" w:line="276" w:lineRule="auto"/>
        <w:jc w:val="left"/>
        <w:rPr>
          <w:rFonts w:ascii="Arial" w:eastAsia="Times New Roman" w:hAnsi="Arial" w:cs="Times New Roman"/>
          <w:sz w:val="22"/>
          <w:lang w:val="en-US"/>
        </w:rPr>
      </w:pPr>
    </w:p>
    <w:p w14:paraId="6DAFC910" w14:textId="77777777" w:rsidR="00A646BC" w:rsidRPr="00A646BC" w:rsidRDefault="00A646BC" w:rsidP="00A646BC">
      <w:pPr>
        <w:keepNext/>
        <w:spacing w:after="0" w:line="276" w:lineRule="auto"/>
        <w:jc w:val="left"/>
        <w:rPr>
          <w:rFonts w:ascii="Arial" w:eastAsia="Times New Roman" w:hAnsi="Arial" w:cs="Times New Roman"/>
          <w:sz w:val="22"/>
          <w:lang w:val="en-US"/>
        </w:rPr>
      </w:pPr>
      <w:r w:rsidRPr="00A646BC">
        <w:rPr>
          <w:rFonts w:ascii="Arial" w:eastAsia="Times New Roman" w:hAnsi="Arial" w:cs="Times New Roman"/>
          <w:sz w:val="22"/>
          <w:lang w:val="en-US"/>
        </w:rPr>
        <w:t xml:space="preserve">Q245   </w:t>
      </w:r>
      <w:r w:rsidRPr="00A646BC">
        <w:rPr>
          <w:rFonts w:ascii="Arial" w:eastAsia="Times New Roman" w:hAnsi="Arial" w:cs="Times New Roman"/>
          <w:sz w:val="22"/>
          <w:lang w:val="en-US"/>
        </w:rPr>
        <w:br/>
      </w:r>
      <w:r w:rsidRPr="00A646BC">
        <w:rPr>
          <w:rFonts w:ascii="Arial" w:eastAsia="Times New Roman" w:hAnsi="Arial" w:cs="Times New Roman"/>
          <w:sz w:val="22"/>
          <w:lang w:val="en-US"/>
        </w:rPr>
        <w:br/>
        <w:t xml:space="preserve">    </w:t>
      </w:r>
      <w:r w:rsidRPr="00A646BC">
        <w:rPr>
          <w:rFonts w:ascii="Arial" w:eastAsia="Times New Roman" w:hAnsi="Arial" w:cs="Times New Roman"/>
          <w:sz w:val="22"/>
          <w:lang w:val="en-US"/>
        </w:rPr>
        <w:br/>
      </w:r>
    </w:p>
    <w:p w14:paraId="0BC163D3" w14:textId="77777777" w:rsidR="00A646BC" w:rsidRPr="00A646BC" w:rsidRDefault="00A646BC" w:rsidP="00A646BC">
      <w:pPr>
        <w:spacing w:after="0" w:line="276" w:lineRule="auto"/>
        <w:jc w:val="left"/>
        <w:rPr>
          <w:rFonts w:ascii="Arial" w:eastAsia="Times New Roman" w:hAnsi="Arial" w:cs="Times New Roman"/>
          <w:sz w:val="22"/>
          <w:lang w:val="en-US"/>
        </w:rPr>
      </w:pPr>
    </w:p>
    <w:p w14:paraId="151F569E" w14:textId="77777777" w:rsidR="00A646BC" w:rsidRPr="00A646BC" w:rsidRDefault="00A646BC" w:rsidP="00A646BC">
      <w:pPr>
        <w:pBdr>
          <w:top w:val="dashed" w:sz="8" w:space="0" w:color="CCCCCC"/>
        </w:pBdr>
        <w:spacing w:before="120" w:after="120" w:line="120" w:lineRule="auto"/>
        <w:jc w:val="left"/>
        <w:rPr>
          <w:rFonts w:ascii="Arial" w:eastAsia="Times New Roman" w:hAnsi="Arial" w:cs="Times New Roman"/>
          <w:sz w:val="22"/>
          <w:lang w:val="en-US"/>
        </w:rPr>
      </w:pPr>
    </w:p>
    <w:tbl>
      <w:tblPr>
        <w:tblStyle w:val="QQuestionIconTable"/>
        <w:tblW w:w="50" w:type="auto"/>
        <w:tblLook w:val="07E0" w:firstRow="1" w:lastRow="1" w:firstColumn="1" w:lastColumn="1" w:noHBand="1" w:noVBand="1"/>
      </w:tblPr>
      <w:tblGrid>
        <w:gridCol w:w="380"/>
      </w:tblGrid>
      <w:tr w:rsidR="00A646BC" w:rsidRPr="00A646BC" w14:paraId="4283C91B" w14:textId="77777777" w:rsidTr="003C7F42">
        <w:tc>
          <w:tcPr>
            <w:tcW w:w="50" w:type="dxa"/>
          </w:tcPr>
          <w:p w14:paraId="6E4AB161" w14:textId="77777777" w:rsidR="00A646BC" w:rsidRPr="00A646BC" w:rsidRDefault="00A646BC" w:rsidP="00A646BC">
            <w:pPr>
              <w:keepNext/>
              <w:spacing w:line="240" w:lineRule="auto"/>
              <w:jc w:val="center"/>
              <w:rPr>
                <w:rFonts w:ascii="Arial" w:eastAsia="Times New Roman" w:hAnsi="Arial" w:cs="Times New Roman"/>
                <w:sz w:val="22"/>
                <w:lang w:val="en-US"/>
              </w:rPr>
            </w:pPr>
            <w:r w:rsidRPr="00A646BC">
              <w:rPr>
                <w:rFonts w:ascii="Arial" w:eastAsia="Times New Roman" w:hAnsi="Arial" w:cs="Times New Roman"/>
                <w:noProof/>
                <w:sz w:val="22"/>
                <w:lang w:val="en-US"/>
              </w:rPr>
              <w:drawing>
                <wp:inline distT="0" distB="0" distL="0" distR="0" wp14:anchorId="314598A5" wp14:editId="55FDCB68">
                  <wp:extent cx="228600" cy="228600"/>
                  <wp:effectExtent l="0" t="0" r="0" b="0"/>
                  <wp:docPr id="102680935" name="WordQuestionJavaScrip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WordQuestionJavaScript.png"/>
                          <pic:cNvPicPr/>
                        </pic:nvPicPr>
                        <pic:blipFill>
                          <a:blip r:embed="rId69"/>
                          <a:stretch>
                            <a:fillRect/>
                          </a:stretch>
                        </pic:blipFill>
                        <pic:spPr>
                          <a:xfrm>
                            <a:off x="0" y="0"/>
                            <a:ext cx="228600" cy="228600"/>
                          </a:xfrm>
                          <a:prstGeom prst="rect">
                            <a:avLst/>
                          </a:prstGeom>
                        </pic:spPr>
                      </pic:pic>
                    </a:graphicData>
                  </a:graphic>
                </wp:inline>
              </w:drawing>
            </w:r>
          </w:p>
        </w:tc>
      </w:tr>
    </w:tbl>
    <w:p w14:paraId="54C6D5D1" w14:textId="77777777" w:rsidR="00A646BC" w:rsidRPr="00A646BC" w:rsidRDefault="00A646BC" w:rsidP="00A646BC">
      <w:pPr>
        <w:spacing w:after="0" w:line="276" w:lineRule="auto"/>
        <w:jc w:val="left"/>
        <w:rPr>
          <w:rFonts w:ascii="Arial" w:eastAsia="Times New Roman" w:hAnsi="Arial" w:cs="Times New Roman"/>
          <w:sz w:val="22"/>
          <w:lang w:val="en-US"/>
        </w:rPr>
      </w:pPr>
    </w:p>
    <w:p w14:paraId="6B0597ED" w14:textId="77777777" w:rsidR="00A646BC" w:rsidRPr="00A646BC" w:rsidRDefault="00A646BC" w:rsidP="00A646BC">
      <w:pPr>
        <w:keepNext/>
        <w:spacing w:after="0" w:line="276" w:lineRule="auto"/>
        <w:jc w:val="left"/>
        <w:rPr>
          <w:rFonts w:ascii="Arial" w:eastAsia="Times New Roman" w:hAnsi="Arial" w:cs="Times New Roman"/>
          <w:sz w:val="22"/>
          <w:lang w:val="en-US"/>
        </w:rPr>
      </w:pPr>
      <w:proofErr w:type="spellStart"/>
      <w:r w:rsidRPr="00A646BC">
        <w:rPr>
          <w:rFonts w:ascii="Arial" w:eastAsia="Times New Roman" w:hAnsi="Arial" w:cs="Times New Roman"/>
          <w:sz w:val="22"/>
          <w:lang w:val="en-US"/>
        </w:rPr>
        <w:lastRenderedPageBreak/>
        <w:t>time_baseline_end</w:t>
      </w:r>
      <w:proofErr w:type="spellEnd"/>
      <w:r w:rsidRPr="00A646BC">
        <w:rPr>
          <w:rFonts w:ascii="Arial" w:eastAsia="Times New Roman" w:hAnsi="Arial" w:cs="Times New Roman"/>
          <w:sz w:val="22"/>
          <w:lang w:val="en-US"/>
        </w:rPr>
        <w:t xml:space="preserve"> Click to write the question text</w:t>
      </w:r>
    </w:p>
    <w:p w14:paraId="50A2599B" w14:textId="77777777" w:rsidR="00A646BC" w:rsidRPr="00A646BC" w:rsidRDefault="00A646BC" w:rsidP="00A646BC">
      <w:pPr>
        <w:spacing w:before="240" w:after="0" w:line="240" w:lineRule="auto"/>
        <w:ind w:firstLine="400"/>
        <w:jc w:val="left"/>
        <w:rPr>
          <w:rFonts w:ascii="Arial" w:eastAsia="Times New Roman" w:hAnsi="Arial" w:cs="Times New Roman"/>
          <w:sz w:val="22"/>
          <w:lang w:val="en-US"/>
        </w:rPr>
      </w:pPr>
      <w:r w:rsidRPr="00A646BC">
        <w:rPr>
          <w:rFonts w:ascii="Arial" w:eastAsia="Times New Roman" w:hAnsi="Arial" w:cs="Times New Roman"/>
          <w:sz w:val="22"/>
          <w:lang w:val="en-US"/>
        </w:rPr>
        <w:t>________________________________________________________________</w:t>
      </w:r>
    </w:p>
    <w:p w14:paraId="7F54688B" w14:textId="77777777" w:rsidR="00A646BC" w:rsidRPr="00A646BC" w:rsidRDefault="00A646BC" w:rsidP="00A646BC">
      <w:pPr>
        <w:spacing w:after="0" w:line="276" w:lineRule="auto"/>
        <w:jc w:val="left"/>
        <w:rPr>
          <w:rFonts w:ascii="Arial" w:eastAsia="Times New Roman" w:hAnsi="Arial" w:cs="Times New Roman"/>
          <w:sz w:val="22"/>
          <w:lang w:val="en-US"/>
        </w:rPr>
      </w:pPr>
    </w:p>
    <w:p w14:paraId="643BA982" w14:textId="77777777" w:rsidR="00A646BC" w:rsidRPr="00A646BC" w:rsidRDefault="00A646BC" w:rsidP="00A646BC">
      <w:pPr>
        <w:spacing w:after="0" w:line="276" w:lineRule="auto"/>
        <w:jc w:val="left"/>
        <w:rPr>
          <w:rFonts w:ascii="Arial" w:eastAsia="Times New Roman" w:hAnsi="Arial" w:cs="Times New Roman"/>
          <w:sz w:val="22"/>
          <w:lang w:val="en-US"/>
        </w:rPr>
      </w:pPr>
    </w:p>
    <w:p w14:paraId="5FE2DABC" w14:textId="77777777" w:rsidR="00A646BC" w:rsidRPr="00A646BC" w:rsidRDefault="00A646BC" w:rsidP="00A646BC">
      <w:pPr>
        <w:spacing w:before="120" w:after="0" w:line="240" w:lineRule="auto"/>
        <w:jc w:val="left"/>
        <w:rPr>
          <w:rFonts w:ascii="Arial" w:eastAsia="Times New Roman" w:hAnsi="Arial" w:cs="Times New Roman"/>
          <w:b/>
          <w:color w:val="CCCCCC"/>
          <w:sz w:val="22"/>
          <w:lang w:val="en-US"/>
        </w:rPr>
      </w:pPr>
      <w:r w:rsidRPr="00A646BC">
        <w:rPr>
          <w:rFonts w:ascii="Arial" w:eastAsia="Times New Roman" w:hAnsi="Arial" w:cs="Times New Roman"/>
          <w:b/>
          <w:color w:val="CCCCCC"/>
          <w:sz w:val="22"/>
          <w:lang w:val="en-US"/>
        </w:rPr>
        <w:t>End of Block: Baseline measurement</w:t>
      </w:r>
    </w:p>
    <w:p w14:paraId="1CEE3777" w14:textId="77777777" w:rsidR="00A646BC" w:rsidRPr="00A646BC" w:rsidRDefault="00A646BC" w:rsidP="00A646BC">
      <w:pPr>
        <w:pBdr>
          <w:bottom w:val="single" w:sz="8" w:space="0" w:color="CCCCCC"/>
        </w:pBdr>
        <w:spacing w:after="0" w:line="120" w:lineRule="auto"/>
        <w:jc w:val="center"/>
        <w:rPr>
          <w:rFonts w:ascii="Arial" w:eastAsia="Times New Roman" w:hAnsi="Arial" w:cs="Times New Roman"/>
          <w:b/>
          <w:color w:val="CCCCCC"/>
          <w:sz w:val="22"/>
          <w:lang w:val="en-US"/>
        </w:rPr>
      </w:pPr>
    </w:p>
    <w:p w14:paraId="79D2898C" w14:textId="77777777" w:rsidR="00A646BC" w:rsidRPr="00A646BC" w:rsidRDefault="00A646BC" w:rsidP="00A646BC">
      <w:pPr>
        <w:spacing w:before="120" w:after="120" w:line="240" w:lineRule="auto"/>
        <w:jc w:val="left"/>
        <w:rPr>
          <w:rFonts w:ascii="Arial" w:eastAsia="Times New Roman" w:hAnsi="Arial" w:cs="Times New Roman"/>
          <w:b/>
          <w:color w:val="CCCCCC"/>
          <w:sz w:val="22"/>
          <w:lang w:val="en-US"/>
        </w:rPr>
      </w:pPr>
      <w:r w:rsidRPr="00A646BC">
        <w:rPr>
          <w:rFonts w:ascii="Arial" w:eastAsia="Times New Roman" w:hAnsi="Arial" w:cs="Times New Roman"/>
          <w:b/>
          <w:color w:val="CCCCCC"/>
          <w:sz w:val="22"/>
          <w:lang w:val="en-US"/>
        </w:rPr>
        <w:t xml:space="preserve">Start of Block: </w:t>
      </w:r>
      <w:proofErr w:type="spellStart"/>
      <w:r w:rsidRPr="00A646BC">
        <w:rPr>
          <w:rFonts w:ascii="Arial" w:eastAsia="Times New Roman" w:hAnsi="Arial" w:cs="Times New Roman"/>
          <w:b/>
          <w:color w:val="CCCCCC"/>
          <w:sz w:val="22"/>
          <w:lang w:val="en-US"/>
        </w:rPr>
        <w:t>PanasX_cool_Base</w:t>
      </w:r>
      <w:proofErr w:type="spellEnd"/>
    </w:p>
    <w:tbl>
      <w:tblPr>
        <w:tblStyle w:val="QQuestionIconTable"/>
        <w:tblW w:w="50" w:type="auto"/>
        <w:tblLook w:val="07E0" w:firstRow="1" w:lastRow="1" w:firstColumn="1" w:lastColumn="1" w:noHBand="1" w:noVBand="1"/>
      </w:tblPr>
      <w:tblGrid>
        <w:gridCol w:w="50"/>
      </w:tblGrid>
      <w:tr w:rsidR="00A646BC" w:rsidRPr="00A646BC" w14:paraId="4DD9DA75" w14:textId="77777777" w:rsidTr="003C7F42">
        <w:tc>
          <w:tcPr>
            <w:tcW w:w="50" w:type="dxa"/>
          </w:tcPr>
          <w:p w14:paraId="1CF3BE57" w14:textId="77777777" w:rsidR="00A646BC" w:rsidRPr="00A646BC" w:rsidRDefault="00A646BC" w:rsidP="00A646BC">
            <w:pPr>
              <w:keepNext/>
              <w:spacing w:line="240" w:lineRule="auto"/>
              <w:jc w:val="center"/>
              <w:rPr>
                <w:rFonts w:ascii="Arial" w:eastAsia="Times New Roman" w:hAnsi="Arial" w:cs="Times New Roman"/>
                <w:sz w:val="22"/>
                <w:lang w:val="en-US"/>
              </w:rPr>
            </w:pPr>
          </w:p>
        </w:tc>
      </w:tr>
    </w:tbl>
    <w:p w14:paraId="399EA5F4" w14:textId="77777777" w:rsidR="00A646BC" w:rsidRPr="00A646BC" w:rsidRDefault="00A646BC" w:rsidP="00A646BC">
      <w:pPr>
        <w:spacing w:after="0" w:line="276" w:lineRule="auto"/>
        <w:jc w:val="left"/>
        <w:rPr>
          <w:rFonts w:ascii="Arial" w:eastAsia="Times New Roman" w:hAnsi="Arial" w:cs="Times New Roman"/>
          <w:sz w:val="22"/>
          <w:lang w:val="en-US"/>
        </w:rPr>
      </w:pPr>
    </w:p>
    <w:p w14:paraId="16514740" w14:textId="77777777" w:rsidR="00A646BC" w:rsidRPr="00A646BC" w:rsidRDefault="00A646BC" w:rsidP="00A646BC">
      <w:pPr>
        <w:keepNext/>
        <w:spacing w:after="0" w:line="276" w:lineRule="auto"/>
        <w:jc w:val="left"/>
        <w:rPr>
          <w:rFonts w:ascii="Arial" w:eastAsia="Times New Roman" w:hAnsi="Arial" w:cs="Times New Roman"/>
          <w:sz w:val="22"/>
          <w:lang w:val="en-US"/>
        </w:rPr>
      </w:pPr>
      <w:proofErr w:type="spellStart"/>
      <w:r w:rsidRPr="00A646BC">
        <w:rPr>
          <w:rFonts w:ascii="Arial" w:eastAsia="Times New Roman" w:hAnsi="Arial" w:cs="Times New Roman"/>
          <w:sz w:val="22"/>
          <w:lang w:val="en-US"/>
        </w:rPr>
        <w:lastRenderedPageBreak/>
        <w:t>PanasX_cool_Base</w:t>
      </w:r>
      <w:proofErr w:type="spellEnd"/>
      <w:r w:rsidRPr="00A646BC">
        <w:rPr>
          <w:rFonts w:ascii="Arial" w:eastAsia="Times New Roman" w:hAnsi="Arial" w:cs="Times New Roman"/>
          <w:sz w:val="22"/>
          <w:lang w:val="en-US"/>
        </w:rPr>
        <w:t xml:space="preserve"> Please rate according to how you feel RIGHT NOW. You should answer this quickly based on your first instincts</w:t>
      </w:r>
    </w:p>
    <w:tbl>
      <w:tblPr>
        <w:tblStyle w:val="QQuestionTable5"/>
        <w:tblW w:w="9576" w:type="auto"/>
        <w:tblLook w:val="07E0" w:firstRow="1" w:lastRow="1" w:firstColumn="1" w:lastColumn="1" w:noHBand="1" w:noVBand="1"/>
      </w:tblPr>
      <w:tblGrid>
        <w:gridCol w:w="1596"/>
        <w:gridCol w:w="1596"/>
        <w:gridCol w:w="1596"/>
        <w:gridCol w:w="1596"/>
        <w:gridCol w:w="1596"/>
        <w:gridCol w:w="1596"/>
      </w:tblGrid>
      <w:tr w:rsidR="00A646BC" w:rsidRPr="00A646BC" w14:paraId="0FCF4243" w14:textId="77777777" w:rsidTr="003C7F4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96" w:type="dxa"/>
          </w:tcPr>
          <w:p w14:paraId="47273246" w14:textId="77777777" w:rsidR="00A646BC" w:rsidRPr="00A646BC" w:rsidRDefault="00A646BC" w:rsidP="00A646BC">
            <w:pPr>
              <w:keepNext/>
              <w:spacing w:line="240" w:lineRule="auto"/>
              <w:jc w:val="center"/>
              <w:rPr>
                <w:rFonts w:ascii="Arial" w:hAnsi="Arial" w:cs="Times New Roman"/>
                <w:sz w:val="22"/>
                <w:lang w:val="en-US"/>
              </w:rPr>
            </w:pPr>
          </w:p>
        </w:tc>
        <w:tc>
          <w:tcPr>
            <w:tcW w:w="1596" w:type="dxa"/>
          </w:tcPr>
          <w:p w14:paraId="45C080F8" w14:textId="77777777" w:rsidR="00A646BC" w:rsidRPr="00A646BC" w:rsidRDefault="00A646BC" w:rsidP="00A646BC">
            <w:pPr>
              <w:spacing w:line="240" w:lineRule="auto"/>
              <w:jc w:val="center"/>
              <w:cnfStyle w:val="100000000000" w:firstRow="1" w:lastRow="0" w:firstColumn="0" w:lastColumn="0" w:oddVBand="0" w:evenVBand="0" w:oddHBand="0" w:evenHBand="0" w:firstRowFirstColumn="0" w:firstRowLastColumn="0" w:lastRowFirstColumn="0" w:lastRowLastColumn="0"/>
              <w:rPr>
                <w:rFonts w:ascii="Arial" w:hAnsi="Arial" w:cs="Times New Roman"/>
                <w:sz w:val="22"/>
                <w:lang w:val="en-US"/>
              </w:rPr>
            </w:pPr>
            <w:r w:rsidRPr="00A646BC">
              <w:rPr>
                <w:rFonts w:ascii="Arial" w:hAnsi="Arial" w:cs="Times New Roman"/>
                <w:sz w:val="22"/>
                <w:lang w:val="en-US"/>
              </w:rPr>
              <w:t>Not at all (1)</w:t>
            </w:r>
          </w:p>
        </w:tc>
        <w:tc>
          <w:tcPr>
            <w:tcW w:w="1596" w:type="dxa"/>
          </w:tcPr>
          <w:p w14:paraId="05208642" w14:textId="77777777" w:rsidR="00A646BC" w:rsidRPr="00A646BC" w:rsidRDefault="00A646BC" w:rsidP="00A646BC">
            <w:pPr>
              <w:spacing w:line="240" w:lineRule="auto"/>
              <w:jc w:val="center"/>
              <w:cnfStyle w:val="100000000000" w:firstRow="1" w:lastRow="0" w:firstColumn="0" w:lastColumn="0" w:oddVBand="0" w:evenVBand="0" w:oddHBand="0" w:evenHBand="0" w:firstRowFirstColumn="0" w:firstRowLastColumn="0" w:lastRowFirstColumn="0" w:lastRowLastColumn="0"/>
              <w:rPr>
                <w:rFonts w:ascii="Arial" w:hAnsi="Arial" w:cs="Times New Roman"/>
                <w:sz w:val="22"/>
                <w:lang w:val="en-US"/>
              </w:rPr>
            </w:pPr>
            <w:r w:rsidRPr="00A646BC">
              <w:rPr>
                <w:rFonts w:ascii="Arial" w:hAnsi="Arial" w:cs="Times New Roman"/>
                <w:sz w:val="22"/>
                <w:lang w:val="en-US"/>
              </w:rPr>
              <w:t>A little (2)</w:t>
            </w:r>
          </w:p>
        </w:tc>
        <w:tc>
          <w:tcPr>
            <w:tcW w:w="1596" w:type="dxa"/>
          </w:tcPr>
          <w:p w14:paraId="4BCB557D" w14:textId="77777777" w:rsidR="00A646BC" w:rsidRPr="00A646BC" w:rsidRDefault="00A646BC" w:rsidP="00A646BC">
            <w:pPr>
              <w:spacing w:line="240" w:lineRule="auto"/>
              <w:jc w:val="center"/>
              <w:cnfStyle w:val="100000000000" w:firstRow="1" w:lastRow="0" w:firstColumn="0" w:lastColumn="0" w:oddVBand="0" w:evenVBand="0" w:oddHBand="0" w:evenHBand="0" w:firstRowFirstColumn="0" w:firstRowLastColumn="0" w:lastRowFirstColumn="0" w:lastRowLastColumn="0"/>
              <w:rPr>
                <w:rFonts w:ascii="Arial" w:hAnsi="Arial" w:cs="Times New Roman"/>
                <w:sz w:val="22"/>
                <w:lang w:val="en-US"/>
              </w:rPr>
            </w:pPr>
            <w:r w:rsidRPr="00A646BC">
              <w:rPr>
                <w:rFonts w:ascii="Arial" w:hAnsi="Arial" w:cs="Times New Roman"/>
                <w:sz w:val="22"/>
                <w:lang w:val="en-US"/>
              </w:rPr>
              <w:t>Moderately (3)</w:t>
            </w:r>
          </w:p>
        </w:tc>
        <w:tc>
          <w:tcPr>
            <w:tcW w:w="1596" w:type="dxa"/>
          </w:tcPr>
          <w:p w14:paraId="529B6923" w14:textId="77777777" w:rsidR="00A646BC" w:rsidRPr="00A646BC" w:rsidRDefault="00A646BC" w:rsidP="00A646BC">
            <w:pPr>
              <w:spacing w:line="240" w:lineRule="auto"/>
              <w:jc w:val="center"/>
              <w:cnfStyle w:val="100000000000" w:firstRow="1" w:lastRow="0" w:firstColumn="0" w:lastColumn="0" w:oddVBand="0" w:evenVBand="0" w:oddHBand="0" w:evenHBand="0" w:firstRowFirstColumn="0" w:firstRowLastColumn="0" w:lastRowFirstColumn="0" w:lastRowLastColumn="0"/>
              <w:rPr>
                <w:rFonts w:ascii="Arial" w:hAnsi="Arial" w:cs="Times New Roman"/>
                <w:sz w:val="22"/>
                <w:lang w:val="en-US"/>
              </w:rPr>
            </w:pPr>
            <w:r w:rsidRPr="00A646BC">
              <w:rPr>
                <w:rFonts w:ascii="Arial" w:hAnsi="Arial" w:cs="Times New Roman"/>
                <w:sz w:val="22"/>
                <w:lang w:val="en-US"/>
              </w:rPr>
              <w:t>Quite a bit (4)</w:t>
            </w:r>
          </w:p>
        </w:tc>
        <w:tc>
          <w:tcPr>
            <w:tcW w:w="1596" w:type="dxa"/>
          </w:tcPr>
          <w:p w14:paraId="2F1D3D8E" w14:textId="77777777" w:rsidR="00A646BC" w:rsidRPr="00A646BC" w:rsidRDefault="00A646BC" w:rsidP="00A646BC">
            <w:pPr>
              <w:spacing w:line="240" w:lineRule="auto"/>
              <w:jc w:val="center"/>
              <w:cnfStyle w:val="100000000000" w:firstRow="1" w:lastRow="0" w:firstColumn="0" w:lastColumn="0" w:oddVBand="0" w:evenVBand="0" w:oddHBand="0" w:evenHBand="0" w:firstRowFirstColumn="0" w:firstRowLastColumn="0" w:lastRowFirstColumn="0" w:lastRowLastColumn="0"/>
              <w:rPr>
                <w:rFonts w:ascii="Arial" w:hAnsi="Arial" w:cs="Times New Roman"/>
                <w:sz w:val="22"/>
                <w:lang w:val="en-US"/>
              </w:rPr>
            </w:pPr>
            <w:r w:rsidRPr="00A646BC">
              <w:rPr>
                <w:rFonts w:ascii="Arial" w:hAnsi="Arial" w:cs="Times New Roman"/>
                <w:sz w:val="22"/>
                <w:lang w:val="en-US"/>
              </w:rPr>
              <w:t>Extremely (5)</w:t>
            </w:r>
          </w:p>
        </w:tc>
      </w:tr>
      <w:tr w:rsidR="00A646BC" w:rsidRPr="00A646BC" w14:paraId="57089AEE" w14:textId="77777777" w:rsidTr="003C7F42">
        <w:tc>
          <w:tcPr>
            <w:cnfStyle w:val="001000000000" w:firstRow="0" w:lastRow="0" w:firstColumn="1" w:lastColumn="0" w:oddVBand="0" w:evenVBand="0" w:oddHBand="0" w:evenHBand="0" w:firstRowFirstColumn="0" w:firstRowLastColumn="0" w:lastRowFirstColumn="0" w:lastRowLastColumn="0"/>
            <w:tcW w:w="1596" w:type="dxa"/>
          </w:tcPr>
          <w:p w14:paraId="1D2DB75E" w14:textId="77777777" w:rsidR="00A646BC" w:rsidRPr="00A646BC" w:rsidRDefault="00A646BC" w:rsidP="00A646BC">
            <w:pPr>
              <w:keepNext/>
              <w:spacing w:line="240" w:lineRule="auto"/>
              <w:jc w:val="center"/>
              <w:rPr>
                <w:rFonts w:ascii="Arial" w:hAnsi="Arial" w:cs="Times New Roman"/>
                <w:sz w:val="22"/>
                <w:lang w:val="en-US"/>
              </w:rPr>
            </w:pPr>
            <w:r w:rsidRPr="00A646BC">
              <w:rPr>
                <w:rFonts w:ascii="Arial" w:hAnsi="Arial" w:cs="Times New Roman"/>
                <w:sz w:val="22"/>
                <w:lang w:val="en-US"/>
              </w:rPr>
              <w:t xml:space="preserve">Happy (1) </w:t>
            </w:r>
          </w:p>
        </w:tc>
        <w:tc>
          <w:tcPr>
            <w:tcW w:w="1596" w:type="dxa"/>
          </w:tcPr>
          <w:p w14:paraId="7DE05F5F" w14:textId="77777777" w:rsidR="00A646BC" w:rsidRPr="00A646BC" w:rsidRDefault="00A646BC" w:rsidP="00A646BC">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23B7B1A1" w14:textId="77777777" w:rsidR="00A646BC" w:rsidRPr="00A646BC" w:rsidRDefault="00A646BC" w:rsidP="00A646BC">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5926398A" w14:textId="77777777" w:rsidR="00A646BC" w:rsidRPr="00A646BC" w:rsidRDefault="00A646BC" w:rsidP="00A646BC">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2A7A4AFC" w14:textId="77777777" w:rsidR="00A646BC" w:rsidRPr="00A646BC" w:rsidRDefault="00A646BC" w:rsidP="00A646BC">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309B75F2" w14:textId="77777777" w:rsidR="00A646BC" w:rsidRPr="00A646BC" w:rsidRDefault="00A646BC" w:rsidP="00A646BC">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r>
      <w:tr w:rsidR="00A646BC" w:rsidRPr="00A646BC" w14:paraId="78B1EE62" w14:textId="77777777" w:rsidTr="003C7F42">
        <w:tc>
          <w:tcPr>
            <w:cnfStyle w:val="001000000000" w:firstRow="0" w:lastRow="0" w:firstColumn="1" w:lastColumn="0" w:oddVBand="0" w:evenVBand="0" w:oddHBand="0" w:evenHBand="0" w:firstRowFirstColumn="0" w:firstRowLastColumn="0" w:lastRowFirstColumn="0" w:lastRowLastColumn="0"/>
            <w:tcW w:w="1596" w:type="dxa"/>
          </w:tcPr>
          <w:p w14:paraId="002C8A63" w14:textId="77777777" w:rsidR="00A646BC" w:rsidRPr="00A646BC" w:rsidRDefault="00A646BC" w:rsidP="00A646BC">
            <w:pPr>
              <w:keepNext/>
              <w:spacing w:line="240" w:lineRule="auto"/>
              <w:jc w:val="center"/>
              <w:rPr>
                <w:rFonts w:ascii="Arial" w:hAnsi="Arial" w:cs="Times New Roman"/>
                <w:sz w:val="22"/>
                <w:lang w:val="en-US"/>
              </w:rPr>
            </w:pPr>
            <w:r w:rsidRPr="00A646BC">
              <w:rPr>
                <w:rFonts w:ascii="Arial" w:hAnsi="Arial" w:cs="Times New Roman"/>
                <w:sz w:val="22"/>
                <w:lang w:val="en-US"/>
              </w:rPr>
              <w:t xml:space="preserve">Joyful (2) </w:t>
            </w:r>
          </w:p>
        </w:tc>
        <w:tc>
          <w:tcPr>
            <w:tcW w:w="1596" w:type="dxa"/>
          </w:tcPr>
          <w:p w14:paraId="47C596FC" w14:textId="77777777" w:rsidR="00A646BC" w:rsidRPr="00A646BC" w:rsidRDefault="00A646BC" w:rsidP="00A646BC">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023E2309" w14:textId="77777777" w:rsidR="00A646BC" w:rsidRPr="00A646BC" w:rsidRDefault="00A646BC" w:rsidP="00A646BC">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24D2B7D5" w14:textId="77777777" w:rsidR="00A646BC" w:rsidRPr="00A646BC" w:rsidRDefault="00A646BC" w:rsidP="00A646BC">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42E33CA0" w14:textId="77777777" w:rsidR="00A646BC" w:rsidRPr="00A646BC" w:rsidRDefault="00A646BC" w:rsidP="00A646BC">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2299933A" w14:textId="77777777" w:rsidR="00A646BC" w:rsidRPr="00A646BC" w:rsidRDefault="00A646BC" w:rsidP="00A646BC">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r>
      <w:tr w:rsidR="00A646BC" w:rsidRPr="00A646BC" w14:paraId="7035870A" w14:textId="77777777" w:rsidTr="003C7F42">
        <w:tc>
          <w:tcPr>
            <w:cnfStyle w:val="001000000000" w:firstRow="0" w:lastRow="0" w:firstColumn="1" w:lastColumn="0" w:oddVBand="0" w:evenVBand="0" w:oddHBand="0" w:evenHBand="0" w:firstRowFirstColumn="0" w:firstRowLastColumn="0" w:lastRowFirstColumn="0" w:lastRowLastColumn="0"/>
            <w:tcW w:w="1596" w:type="dxa"/>
          </w:tcPr>
          <w:p w14:paraId="5D132F65" w14:textId="77777777" w:rsidR="00A646BC" w:rsidRPr="00A646BC" w:rsidRDefault="00A646BC" w:rsidP="00A646BC">
            <w:pPr>
              <w:keepNext/>
              <w:spacing w:line="240" w:lineRule="auto"/>
              <w:jc w:val="center"/>
              <w:rPr>
                <w:rFonts w:ascii="Arial" w:hAnsi="Arial" w:cs="Times New Roman"/>
                <w:sz w:val="22"/>
                <w:lang w:val="en-US"/>
              </w:rPr>
            </w:pPr>
            <w:r w:rsidRPr="00A646BC">
              <w:rPr>
                <w:rFonts w:ascii="Arial" w:hAnsi="Arial" w:cs="Times New Roman"/>
                <w:sz w:val="22"/>
                <w:lang w:val="en-US"/>
              </w:rPr>
              <w:t xml:space="preserve">Delighted (3) </w:t>
            </w:r>
          </w:p>
        </w:tc>
        <w:tc>
          <w:tcPr>
            <w:tcW w:w="1596" w:type="dxa"/>
          </w:tcPr>
          <w:p w14:paraId="440E1107" w14:textId="77777777" w:rsidR="00A646BC" w:rsidRPr="00A646BC" w:rsidRDefault="00A646BC" w:rsidP="00A646BC">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6AB0237D" w14:textId="77777777" w:rsidR="00A646BC" w:rsidRPr="00A646BC" w:rsidRDefault="00A646BC" w:rsidP="00A646BC">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024E6C79" w14:textId="77777777" w:rsidR="00A646BC" w:rsidRPr="00A646BC" w:rsidRDefault="00A646BC" w:rsidP="00A646BC">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15A40D51" w14:textId="77777777" w:rsidR="00A646BC" w:rsidRPr="00A646BC" w:rsidRDefault="00A646BC" w:rsidP="00A646BC">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519F881C" w14:textId="77777777" w:rsidR="00A646BC" w:rsidRPr="00A646BC" w:rsidRDefault="00A646BC" w:rsidP="00A646BC">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r>
      <w:tr w:rsidR="00A646BC" w:rsidRPr="00A646BC" w14:paraId="09C5D19B" w14:textId="77777777" w:rsidTr="003C7F42">
        <w:tc>
          <w:tcPr>
            <w:cnfStyle w:val="001000000000" w:firstRow="0" w:lastRow="0" w:firstColumn="1" w:lastColumn="0" w:oddVBand="0" w:evenVBand="0" w:oddHBand="0" w:evenHBand="0" w:firstRowFirstColumn="0" w:firstRowLastColumn="0" w:lastRowFirstColumn="0" w:lastRowLastColumn="0"/>
            <w:tcW w:w="1596" w:type="dxa"/>
          </w:tcPr>
          <w:p w14:paraId="508A87EA" w14:textId="77777777" w:rsidR="00A646BC" w:rsidRPr="00A646BC" w:rsidRDefault="00A646BC" w:rsidP="00A646BC">
            <w:pPr>
              <w:keepNext/>
              <w:spacing w:line="240" w:lineRule="auto"/>
              <w:jc w:val="center"/>
              <w:rPr>
                <w:rFonts w:ascii="Arial" w:hAnsi="Arial" w:cs="Times New Roman"/>
                <w:sz w:val="22"/>
                <w:lang w:val="en-US"/>
              </w:rPr>
            </w:pPr>
            <w:r w:rsidRPr="00A646BC">
              <w:rPr>
                <w:rFonts w:ascii="Arial" w:hAnsi="Arial" w:cs="Times New Roman"/>
                <w:sz w:val="22"/>
                <w:lang w:val="en-US"/>
              </w:rPr>
              <w:t xml:space="preserve">Cheerful (4) </w:t>
            </w:r>
          </w:p>
        </w:tc>
        <w:tc>
          <w:tcPr>
            <w:tcW w:w="1596" w:type="dxa"/>
          </w:tcPr>
          <w:p w14:paraId="6D8CEA75" w14:textId="77777777" w:rsidR="00A646BC" w:rsidRPr="00A646BC" w:rsidRDefault="00A646BC" w:rsidP="00A646BC">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520B6B29" w14:textId="77777777" w:rsidR="00A646BC" w:rsidRPr="00A646BC" w:rsidRDefault="00A646BC" w:rsidP="00A646BC">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1B1AEA06" w14:textId="77777777" w:rsidR="00A646BC" w:rsidRPr="00A646BC" w:rsidRDefault="00A646BC" w:rsidP="00A646BC">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7290B1C2" w14:textId="77777777" w:rsidR="00A646BC" w:rsidRPr="00A646BC" w:rsidRDefault="00A646BC" w:rsidP="00A646BC">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3400478E" w14:textId="77777777" w:rsidR="00A646BC" w:rsidRPr="00A646BC" w:rsidRDefault="00A646BC" w:rsidP="00A646BC">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r>
      <w:tr w:rsidR="00A646BC" w:rsidRPr="00A646BC" w14:paraId="7554C305" w14:textId="77777777" w:rsidTr="003C7F42">
        <w:tc>
          <w:tcPr>
            <w:cnfStyle w:val="001000000000" w:firstRow="0" w:lastRow="0" w:firstColumn="1" w:lastColumn="0" w:oddVBand="0" w:evenVBand="0" w:oddHBand="0" w:evenHBand="0" w:firstRowFirstColumn="0" w:firstRowLastColumn="0" w:lastRowFirstColumn="0" w:lastRowLastColumn="0"/>
            <w:tcW w:w="1596" w:type="dxa"/>
          </w:tcPr>
          <w:p w14:paraId="0506D192" w14:textId="77777777" w:rsidR="00A646BC" w:rsidRPr="00A646BC" w:rsidRDefault="00A646BC" w:rsidP="00A646BC">
            <w:pPr>
              <w:keepNext/>
              <w:spacing w:line="240" w:lineRule="auto"/>
              <w:jc w:val="center"/>
              <w:rPr>
                <w:rFonts w:ascii="Arial" w:hAnsi="Arial" w:cs="Times New Roman"/>
                <w:sz w:val="22"/>
                <w:lang w:val="en-US"/>
              </w:rPr>
            </w:pPr>
            <w:r w:rsidRPr="00A646BC">
              <w:rPr>
                <w:rFonts w:ascii="Arial" w:hAnsi="Arial" w:cs="Times New Roman"/>
                <w:sz w:val="22"/>
                <w:lang w:val="en-US"/>
              </w:rPr>
              <w:t xml:space="preserve">Excited (5) </w:t>
            </w:r>
          </w:p>
        </w:tc>
        <w:tc>
          <w:tcPr>
            <w:tcW w:w="1596" w:type="dxa"/>
          </w:tcPr>
          <w:p w14:paraId="71A29299" w14:textId="77777777" w:rsidR="00A646BC" w:rsidRPr="00A646BC" w:rsidRDefault="00A646BC" w:rsidP="00A646BC">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04DED925" w14:textId="77777777" w:rsidR="00A646BC" w:rsidRPr="00A646BC" w:rsidRDefault="00A646BC" w:rsidP="00A646BC">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743D00BC" w14:textId="77777777" w:rsidR="00A646BC" w:rsidRPr="00A646BC" w:rsidRDefault="00A646BC" w:rsidP="00A646BC">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63521126" w14:textId="77777777" w:rsidR="00A646BC" w:rsidRPr="00A646BC" w:rsidRDefault="00A646BC" w:rsidP="00A646BC">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5E68CB86" w14:textId="77777777" w:rsidR="00A646BC" w:rsidRPr="00A646BC" w:rsidRDefault="00A646BC" w:rsidP="00A646BC">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r>
      <w:tr w:rsidR="00A646BC" w:rsidRPr="00A646BC" w14:paraId="19E79428" w14:textId="77777777" w:rsidTr="003C7F42">
        <w:tc>
          <w:tcPr>
            <w:cnfStyle w:val="001000000000" w:firstRow="0" w:lastRow="0" w:firstColumn="1" w:lastColumn="0" w:oddVBand="0" w:evenVBand="0" w:oddHBand="0" w:evenHBand="0" w:firstRowFirstColumn="0" w:firstRowLastColumn="0" w:lastRowFirstColumn="0" w:lastRowLastColumn="0"/>
            <w:tcW w:w="1596" w:type="dxa"/>
          </w:tcPr>
          <w:p w14:paraId="4FCA93DF" w14:textId="77777777" w:rsidR="00A646BC" w:rsidRPr="00A646BC" w:rsidRDefault="00A646BC" w:rsidP="00A646BC">
            <w:pPr>
              <w:keepNext/>
              <w:spacing w:line="240" w:lineRule="auto"/>
              <w:jc w:val="center"/>
              <w:rPr>
                <w:rFonts w:ascii="Arial" w:hAnsi="Arial" w:cs="Times New Roman"/>
                <w:sz w:val="22"/>
                <w:lang w:val="en-US"/>
              </w:rPr>
            </w:pPr>
            <w:r w:rsidRPr="00A646BC">
              <w:rPr>
                <w:rFonts w:ascii="Arial" w:hAnsi="Arial" w:cs="Times New Roman"/>
                <w:sz w:val="22"/>
                <w:lang w:val="en-US"/>
              </w:rPr>
              <w:t xml:space="preserve">Enthusiastic (6) </w:t>
            </w:r>
          </w:p>
        </w:tc>
        <w:tc>
          <w:tcPr>
            <w:tcW w:w="1596" w:type="dxa"/>
          </w:tcPr>
          <w:p w14:paraId="2997B1FF" w14:textId="77777777" w:rsidR="00A646BC" w:rsidRPr="00A646BC" w:rsidRDefault="00A646BC" w:rsidP="00A646BC">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3B945143" w14:textId="77777777" w:rsidR="00A646BC" w:rsidRPr="00A646BC" w:rsidRDefault="00A646BC" w:rsidP="00A646BC">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43FE5813" w14:textId="77777777" w:rsidR="00A646BC" w:rsidRPr="00A646BC" w:rsidRDefault="00A646BC" w:rsidP="00A646BC">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0F85977D" w14:textId="77777777" w:rsidR="00A646BC" w:rsidRPr="00A646BC" w:rsidRDefault="00A646BC" w:rsidP="00A646BC">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13114DEF" w14:textId="77777777" w:rsidR="00A646BC" w:rsidRPr="00A646BC" w:rsidRDefault="00A646BC" w:rsidP="00A646BC">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r>
      <w:tr w:rsidR="00A646BC" w:rsidRPr="00A646BC" w14:paraId="598405C4" w14:textId="77777777" w:rsidTr="003C7F42">
        <w:tc>
          <w:tcPr>
            <w:cnfStyle w:val="001000000000" w:firstRow="0" w:lastRow="0" w:firstColumn="1" w:lastColumn="0" w:oddVBand="0" w:evenVBand="0" w:oddHBand="0" w:evenHBand="0" w:firstRowFirstColumn="0" w:firstRowLastColumn="0" w:lastRowFirstColumn="0" w:lastRowLastColumn="0"/>
            <w:tcW w:w="1596" w:type="dxa"/>
          </w:tcPr>
          <w:p w14:paraId="642B7D33" w14:textId="77777777" w:rsidR="00A646BC" w:rsidRPr="00A646BC" w:rsidRDefault="00A646BC" w:rsidP="00A646BC">
            <w:pPr>
              <w:keepNext/>
              <w:spacing w:line="240" w:lineRule="auto"/>
              <w:jc w:val="center"/>
              <w:rPr>
                <w:rFonts w:ascii="Arial" w:hAnsi="Arial" w:cs="Times New Roman"/>
                <w:sz w:val="22"/>
                <w:lang w:val="en-US"/>
              </w:rPr>
            </w:pPr>
            <w:r w:rsidRPr="00A646BC">
              <w:rPr>
                <w:rFonts w:ascii="Arial" w:hAnsi="Arial" w:cs="Times New Roman"/>
                <w:sz w:val="22"/>
                <w:lang w:val="en-US"/>
              </w:rPr>
              <w:t xml:space="preserve">Lively (7) </w:t>
            </w:r>
          </w:p>
        </w:tc>
        <w:tc>
          <w:tcPr>
            <w:tcW w:w="1596" w:type="dxa"/>
          </w:tcPr>
          <w:p w14:paraId="736EEFFB" w14:textId="77777777" w:rsidR="00A646BC" w:rsidRPr="00A646BC" w:rsidRDefault="00A646BC" w:rsidP="00A646BC">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01F963F4" w14:textId="77777777" w:rsidR="00A646BC" w:rsidRPr="00A646BC" w:rsidRDefault="00A646BC" w:rsidP="00A646BC">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577C2D2E" w14:textId="77777777" w:rsidR="00A646BC" w:rsidRPr="00A646BC" w:rsidRDefault="00A646BC" w:rsidP="00A646BC">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51DE17A0" w14:textId="77777777" w:rsidR="00A646BC" w:rsidRPr="00A646BC" w:rsidRDefault="00A646BC" w:rsidP="00A646BC">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503D44C4" w14:textId="77777777" w:rsidR="00A646BC" w:rsidRPr="00A646BC" w:rsidRDefault="00A646BC" w:rsidP="00A646BC">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r>
      <w:tr w:rsidR="00A646BC" w:rsidRPr="00A646BC" w14:paraId="729DECEE" w14:textId="77777777" w:rsidTr="003C7F42">
        <w:tc>
          <w:tcPr>
            <w:cnfStyle w:val="001000000000" w:firstRow="0" w:lastRow="0" w:firstColumn="1" w:lastColumn="0" w:oddVBand="0" w:evenVBand="0" w:oddHBand="0" w:evenHBand="0" w:firstRowFirstColumn="0" w:firstRowLastColumn="0" w:lastRowFirstColumn="0" w:lastRowLastColumn="0"/>
            <w:tcW w:w="1596" w:type="dxa"/>
          </w:tcPr>
          <w:p w14:paraId="38DE25FE" w14:textId="77777777" w:rsidR="00A646BC" w:rsidRPr="00A646BC" w:rsidRDefault="00A646BC" w:rsidP="00A646BC">
            <w:pPr>
              <w:keepNext/>
              <w:spacing w:line="240" w:lineRule="auto"/>
              <w:jc w:val="center"/>
              <w:rPr>
                <w:rFonts w:ascii="Arial" w:hAnsi="Arial" w:cs="Times New Roman"/>
                <w:sz w:val="22"/>
                <w:lang w:val="en-US"/>
              </w:rPr>
            </w:pPr>
            <w:r w:rsidRPr="00A646BC">
              <w:rPr>
                <w:rFonts w:ascii="Arial" w:hAnsi="Arial" w:cs="Times New Roman"/>
                <w:sz w:val="22"/>
                <w:lang w:val="en-US"/>
              </w:rPr>
              <w:t xml:space="preserve">Energetic (8) </w:t>
            </w:r>
          </w:p>
        </w:tc>
        <w:tc>
          <w:tcPr>
            <w:tcW w:w="1596" w:type="dxa"/>
          </w:tcPr>
          <w:p w14:paraId="3D64496E" w14:textId="77777777" w:rsidR="00A646BC" w:rsidRPr="00A646BC" w:rsidRDefault="00A646BC" w:rsidP="00A646BC">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4B61D7BA" w14:textId="77777777" w:rsidR="00A646BC" w:rsidRPr="00A646BC" w:rsidRDefault="00A646BC" w:rsidP="00A646BC">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039DE173" w14:textId="77777777" w:rsidR="00A646BC" w:rsidRPr="00A646BC" w:rsidRDefault="00A646BC" w:rsidP="00A646BC">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5ADEBB50" w14:textId="77777777" w:rsidR="00A646BC" w:rsidRPr="00A646BC" w:rsidRDefault="00A646BC" w:rsidP="00A646BC">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2DC4D14B" w14:textId="77777777" w:rsidR="00A646BC" w:rsidRPr="00A646BC" w:rsidRDefault="00A646BC" w:rsidP="00A646BC">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r>
      <w:tr w:rsidR="00A646BC" w:rsidRPr="00A646BC" w14:paraId="31EA40C5" w14:textId="77777777" w:rsidTr="003C7F42">
        <w:tc>
          <w:tcPr>
            <w:cnfStyle w:val="001000000000" w:firstRow="0" w:lastRow="0" w:firstColumn="1" w:lastColumn="0" w:oddVBand="0" w:evenVBand="0" w:oddHBand="0" w:evenHBand="0" w:firstRowFirstColumn="0" w:firstRowLastColumn="0" w:lastRowFirstColumn="0" w:lastRowLastColumn="0"/>
            <w:tcW w:w="1596" w:type="dxa"/>
          </w:tcPr>
          <w:p w14:paraId="2F9759A1" w14:textId="77777777" w:rsidR="00A646BC" w:rsidRPr="00A646BC" w:rsidRDefault="00A646BC" w:rsidP="00A646BC">
            <w:pPr>
              <w:keepNext/>
              <w:spacing w:line="240" w:lineRule="auto"/>
              <w:jc w:val="center"/>
              <w:rPr>
                <w:rFonts w:ascii="Arial" w:hAnsi="Arial" w:cs="Times New Roman"/>
                <w:sz w:val="22"/>
                <w:lang w:val="en-US"/>
              </w:rPr>
            </w:pPr>
            <w:r w:rsidRPr="00A646BC">
              <w:rPr>
                <w:rFonts w:ascii="Arial" w:hAnsi="Arial" w:cs="Times New Roman"/>
                <w:sz w:val="22"/>
                <w:lang w:val="en-US"/>
              </w:rPr>
              <w:t xml:space="preserve">Calm (9) </w:t>
            </w:r>
          </w:p>
        </w:tc>
        <w:tc>
          <w:tcPr>
            <w:tcW w:w="1596" w:type="dxa"/>
          </w:tcPr>
          <w:p w14:paraId="5C563002" w14:textId="77777777" w:rsidR="00A646BC" w:rsidRPr="00A646BC" w:rsidRDefault="00A646BC" w:rsidP="00A646BC">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717C913E" w14:textId="77777777" w:rsidR="00A646BC" w:rsidRPr="00A646BC" w:rsidRDefault="00A646BC" w:rsidP="00A646BC">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52DCF387" w14:textId="77777777" w:rsidR="00A646BC" w:rsidRPr="00A646BC" w:rsidRDefault="00A646BC" w:rsidP="00A646BC">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01777390" w14:textId="77777777" w:rsidR="00A646BC" w:rsidRPr="00A646BC" w:rsidRDefault="00A646BC" w:rsidP="00A646BC">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5E9915E8" w14:textId="77777777" w:rsidR="00A646BC" w:rsidRPr="00A646BC" w:rsidRDefault="00A646BC" w:rsidP="00A646BC">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r>
      <w:tr w:rsidR="00A646BC" w:rsidRPr="00A646BC" w14:paraId="27AC3808" w14:textId="77777777" w:rsidTr="003C7F42">
        <w:tc>
          <w:tcPr>
            <w:cnfStyle w:val="001000000000" w:firstRow="0" w:lastRow="0" w:firstColumn="1" w:lastColumn="0" w:oddVBand="0" w:evenVBand="0" w:oddHBand="0" w:evenHBand="0" w:firstRowFirstColumn="0" w:firstRowLastColumn="0" w:lastRowFirstColumn="0" w:lastRowLastColumn="0"/>
            <w:tcW w:w="1596" w:type="dxa"/>
          </w:tcPr>
          <w:p w14:paraId="02C3A28E" w14:textId="77777777" w:rsidR="00A646BC" w:rsidRPr="00A646BC" w:rsidRDefault="00A646BC" w:rsidP="00A646BC">
            <w:pPr>
              <w:keepNext/>
              <w:spacing w:line="240" w:lineRule="auto"/>
              <w:jc w:val="center"/>
              <w:rPr>
                <w:rFonts w:ascii="Arial" w:hAnsi="Arial" w:cs="Times New Roman"/>
                <w:sz w:val="22"/>
                <w:lang w:val="en-US"/>
              </w:rPr>
            </w:pPr>
            <w:r w:rsidRPr="00A646BC">
              <w:rPr>
                <w:rFonts w:ascii="Arial" w:hAnsi="Arial" w:cs="Times New Roman"/>
                <w:sz w:val="22"/>
                <w:lang w:val="en-US"/>
              </w:rPr>
              <w:t xml:space="preserve">Relaxed (10) </w:t>
            </w:r>
          </w:p>
        </w:tc>
        <w:tc>
          <w:tcPr>
            <w:tcW w:w="1596" w:type="dxa"/>
          </w:tcPr>
          <w:p w14:paraId="263FE506" w14:textId="77777777" w:rsidR="00A646BC" w:rsidRPr="00A646BC" w:rsidRDefault="00A646BC" w:rsidP="00A646BC">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7C41DCF0" w14:textId="77777777" w:rsidR="00A646BC" w:rsidRPr="00A646BC" w:rsidRDefault="00A646BC" w:rsidP="00A646BC">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05C5D828" w14:textId="77777777" w:rsidR="00A646BC" w:rsidRPr="00A646BC" w:rsidRDefault="00A646BC" w:rsidP="00A646BC">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1202187A" w14:textId="77777777" w:rsidR="00A646BC" w:rsidRPr="00A646BC" w:rsidRDefault="00A646BC" w:rsidP="00A646BC">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7571BEA8" w14:textId="77777777" w:rsidR="00A646BC" w:rsidRPr="00A646BC" w:rsidRDefault="00A646BC" w:rsidP="00A646BC">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r>
      <w:tr w:rsidR="00A646BC" w:rsidRPr="00A646BC" w14:paraId="37DFE090" w14:textId="77777777" w:rsidTr="003C7F42">
        <w:tc>
          <w:tcPr>
            <w:cnfStyle w:val="001000000000" w:firstRow="0" w:lastRow="0" w:firstColumn="1" w:lastColumn="0" w:oddVBand="0" w:evenVBand="0" w:oddHBand="0" w:evenHBand="0" w:firstRowFirstColumn="0" w:firstRowLastColumn="0" w:lastRowFirstColumn="0" w:lastRowLastColumn="0"/>
            <w:tcW w:w="1596" w:type="dxa"/>
          </w:tcPr>
          <w:p w14:paraId="14EE4E45" w14:textId="77777777" w:rsidR="00A646BC" w:rsidRPr="00A646BC" w:rsidRDefault="00A646BC" w:rsidP="00A646BC">
            <w:pPr>
              <w:keepNext/>
              <w:spacing w:line="240" w:lineRule="auto"/>
              <w:jc w:val="center"/>
              <w:rPr>
                <w:rFonts w:ascii="Arial" w:hAnsi="Arial" w:cs="Times New Roman"/>
                <w:sz w:val="22"/>
                <w:lang w:val="en-US"/>
              </w:rPr>
            </w:pPr>
            <w:r w:rsidRPr="00A646BC">
              <w:rPr>
                <w:rFonts w:ascii="Arial" w:hAnsi="Arial" w:cs="Times New Roman"/>
                <w:sz w:val="22"/>
                <w:lang w:val="en-US"/>
              </w:rPr>
              <w:t xml:space="preserve">At ease (11) </w:t>
            </w:r>
          </w:p>
        </w:tc>
        <w:tc>
          <w:tcPr>
            <w:tcW w:w="1596" w:type="dxa"/>
          </w:tcPr>
          <w:p w14:paraId="153D6BDC" w14:textId="77777777" w:rsidR="00A646BC" w:rsidRPr="00A646BC" w:rsidRDefault="00A646BC" w:rsidP="00A646BC">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705F92A3" w14:textId="77777777" w:rsidR="00A646BC" w:rsidRPr="00A646BC" w:rsidRDefault="00A646BC" w:rsidP="00A646BC">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1D896E81" w14:textId="77777777" w:rsidR="00A646BC" w:rsidRPr="00A646BC" w:rsidRDefault="00A646BC" w:rsidP="00A646BC">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3C6104EF" w14:textId="77777777" w:rsidR="00A646BC" w:rsidRPr="00A646BC" w:rsidRDefault="00A646BC" w:rsidP="00A646BC">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710715E5" w14:textId="77777777" w:rsidR="00A646BC" w:rsidRPr="00A646BC" w:rsidRDefault="00A646BC" w:rsidP="00A646BC">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r>
      <w:tr w:rsidR="00A646BC" w:rsidRPr="00A646BC" w14:paraId="1D1E3726" w14:textId="77777777" w:rsidTr="003C7F42">
        <w:tc>
          <w:tcPr>
            <w:cnfStyle w:val="001000000000" w:firstRow="0" w:lastRow="0" w:firstColumn="1" w:lastColumn="0" w:oddVBand="0" w:evenVBand="0" w:oddHBand="0" w:evenHBand="0" w:firstRowFirstColumn="0" w:firstRowLastColumn="0" w:lastRowFirstColumn="0" w:lastRowLastColumn="0"/>
            <w:tcW w:w="1596" w:type="dxa"/>
          </w:tcPr>
          <w:p w14:paraId="22B6BD38" w14:textId="77777777" w:rsidR="00A646BC" w:rsidRPr="00A646BC" w:rsidRDefault="00A646BC" w:rsidP="00A646BC">
            <w:pPr>
              <w:keepNext/>
              <w:spacing w:line="240" w:lineRule="auto"/>
              <w:jc w:val="center"/>
              <w:rPr>
                <w:rFonts w:ascii="Arial" w:hAnsi="Arial" w:cs="Times New Roman"/>
                <w:sz w:val="22"/>
                <w:lang w:val="en-US"/>
              </w:rPr>
            </w:pPr>
            <w:r w:rsidRPr="00A646BC">
              <w:rPr>
                <w:rFonts w:ascii="Arial" w:hAnsi="Arial" w:cs="Times New Roman"/>
                <w:sz w:val="22"/>
                <w:lang w:val="en-US"/>
              </w:rPr>
              <w:t xml:space="preserve">Afraid (12) </w:t>
            </w:r>
          </w:p>
        </w:tc>
        <w:tc>
          <w:tcPr>
            <w:tcW w:w="1596" w:type="dxa"/>
          </w:tcPr>
          <w:p w14:paraId="5785DD11" w14:textId="77777777" w:rsidR="00A646BC" w:rsidRPr="00A646BC" w:rsidRDefault="00A646BC" w:rsidP="00A646BC">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457EB934" w14:textId="77777777" w:rsidR="00A646BC" w:rsidRPr="00A646BC" w:rsidRDefault="00A646BC" w:rsidP="00A646BC">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2993EC8A" w14:textId="77777777" w:rsidR="00A646BC" w:rsidRPr="00A646BC" w:rsidRDefault="00A646BC" w:rsidP="00A646BC">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2AE62C25" w14:textId="77777777" w:rsidR="00A646BC" w:rsidRPr="00A646BC" w:rsidRDefault="00A646BC" w:rsidP="00A646BC">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5B386241" w14:textId="77777777" w:rsidR="00A646BC" w:rsidRPr="00A646BC" w:rsidRDefault="00A646BC" w:rsidP="00A646BC">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r>
      <w:tr w:rsidR="00A646BC" w:rsidRPr="00A646BC" w14:paraId="25545E14" w14:textId="77777777" w:rsidTr="003C7F42">
        <w:tc>
          <w:tcPr>
            <w:cnfStyle w:val="001000000000" w:firstRow="0" w:lastRow="0" w:firstColumn="1" w:lastColumn="0" w:oddVBand="0" w:evenVBand="0" w:oddHBand="0" w:evenHBand="0" w:firstRowFirstColumn="0" w:firstRowLastColumn="0" w:lastRowFirstColumn="0" w:lastRowLastColumn="0"/>
            <w:tcW w:w="1596" w:type="dxa"/>
          </w:tcPr>
          <w:p w14:paraId="2B3676FC" w14:textId="77777777" w:rsidR="00A646BC" w:rsidRPr="00A646BC" w:rsidRDefault="00A646BC" w:rsidP="00A646BC">
            <w:pPr>
              <w:keepNext/>
              <w:spacing w:line="240" w:lineRule="auto"/>
              <w:jc w:val="center"/>
              <w:rPr>
                <w:rFonts w:ascii="Arial" w:hAnsi="Arial" w:cs="Times New Roman"/>
                <w:sz w:val="22"/>
                <w:lang w:val="en-US"/>
              </w:rPr>
            </w:pPr>
            <w:r w:rsidRPr="00A646BC">
              <w:rPr>
                <w:rFonts w:ascii="Arial" w:hAnsi="Arial" w:cs="Times New Roman"/>
                <w:sz w:val="22"/>
                <w:lang w:val="en-US"/>
              </w:rPr>
              <w:t xml:space="preserve">Upset (13) </w:t>
            </w:r>
          </w:p>
        </w:tc>
        <w:tc>
          <w:tcPr>
            <w:tcW w:w="1596" w:type="dxa"/>
          </w:tcPr>
          <w:p w14:paraId="637F74A4" w14:textId="77777777" w:rsidR="00A646BC" w:rsidRPr="00A646BC" w:rsidRDefault="00A646BC" w:rsidP="00A646BC">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2BAAA247" w14:textId="77777777" w:rsidR="00A646BC" w:rsidRPr="00A646BC" w:rsidRDefault="00A646BC" w:rsidP="00A646BC">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4C204A72" w14:textId="77777777" w:rsidR="00A646BC" w:rsidRPr="00A646BC" w:rsidRDefault="00A646BC" w:rsidP="00A646BC">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0DD4CA4A" w14:textId="77777777" w:rsidR="00A646BC" w:rsidRPr="00A646BC" w:rsidRDefault="00A646BC" w:rsidP="00A646BC">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37612850" w14:textId="77777777" w:rsidR="00A646BC" w:rsidRPr="00A646BC" w:rsidRDefault="00A646BC" w:rsidP="00A646BC">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r>
      <w:tr w:rsidR="00A646BC" w:rsidRPr="00A646BC" w14:paraId="2BF8D15A" w14:textId="77777777" w:rsidTr="003C7F42">
        <w:tc>
          <w:tcPr>
            <w:cnfStyle w:val="001000000000" w:firstRow="0" w:lastRow="0" w:firstColumn="1" w:lastColumn="0" w:oddVBand="0" w:evenVBand="0" w:oddHBand="0" w:evenHBand="0" w:firstRowFirstColumn="0" w:firstRowLastColumn="0" w:lastRowFirstColumn="0" w:lastRowLastColumn="0"/>
            <w:tcW w:w="1596" w:type="dxa"/>
          </w:tcPr>
          <w:p w14:paraId="30A9F703" w14:textId="77777777" w:rsidR="00A646BC" w:rsidRPr="00A646BC" w:rsidRDefault="00A646BC" w:rsidP="00A646BC">
            <w:pPr>
              <w:keepNext/>
              <w:spacing w:line="240" w:lineRule="auto"/>
              <w:jc w:val="center"/>
              <w:rPr>
                <w:rFonts w:ascii="Arial" w:hAnsi="Arial" w:cs="Times New Roman"/>
                <w:sz w:val="22"/>
                <w:lang w:val="en-US"/>
              </w:rPr>
            </w:pPr>
            <w:r w:rsidRPr="00A646BC">
              <w:rPr>
                <w:rFonts w:ascii="Arial" w:hAnsi="Arial" w:cs="Times New Roman"/>
                <w:sz w:val="22"/>
                <w:lang w:val="en-US"/>
              </w:rPr>
              <w:t xml:space="preserve">Hostile (14) </w:t>
            </w:r>
          </w:p>
        </w:tc>
        <w:tc>
          <w:tcPr>
            <w:tcW w:w="1596" w:type="dxa"/>
          </w:tcPr>
          <w:p w14:paraId="03760E74" w14:textId="77777777" w:rsidR="00A646BC" w:rsidRPr="00A646BC" w:rsidRDefault="00A646BC" w:rsidP="00A646BC">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63151BE1" w14:textId="77777777" w:rsidR="00A646BC" w:rsidRPr="00A646BC" w:rsidRDefault="00A646BC" w:rsidP="00A646BC">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3BDB793B" w14:textId="77777777" w:rsidR="00A646BC" w:rsidRPr="00A646BC" w:rsidRDefault="00A646BC" w:rsidP="00A646BC">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6DC694E3" w14:textId="77777777" w:rsidR="00A646BC" w:rsidRPr="00A646BC" w:rsidRDefault="00A646BC" w:rsidP="00A646BC">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764ABB1A" w14:textId="77777777" w:rsidR="00A646BC" w:rsidRPr="00A646BC" w:rsidRDefault="00A646BC" w:rsidP="00A646BC">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r>
      <w:tr w:rsidR="00A646BC" w:rsidRPr="00A646BC" w14:paraId="73EDAC24" w14:textId="77777777" w:rsidTr="003C7F42">
        <w:tc>
          <w:tcPr>
            <w:cnfStyle w:val="001000000000" w:firstRow="0" w:lastRow="0" w:firstColumn="1" w:lastColumn="0" w:oddVBand="0" w:evenVBand="0" w:oddHBand="0" w:evenHBand="0" w:firstRowFirstColumn="0" w:firstRowLastColumn="0" w:lastRowFirstColumn="0" w:lastRowLastColumn="0"/>
            <w:tcW w:w="1596" w:type="dxa"/>
          </w:tcPr>
          <w:p w14:paraId="03843BBF" w14:textId="77777777" w:rsidR="00A646BC" w:rsidRPr="00A646BC" w:rsidRDefault="00A646BC" w:rsidP="00A646BC">
            <w:pPr>
              <w:keepNext/>
              <w:spacing w:line="240" w:lineRule="auto"/>
              <w:jc w:val="center"/>
              <w:rPr>
                <w:rFonts w:ascii="Arial" w:hAnsi="Arial" w:cs="Times New Roman"/>
                <w:sz w:val="22"/>
                <w:lang w:val="en-US"/>
              </w:rPr>
            </w:pPr>
            <w:r w:rsidRPr="00A646BC">
              <w:rPr>
                <w:rFonts w:ascii="Arial" w:hAnsi="Arial" w:cs="Times New Roman"/>
                <w:sz w:val="22"/>
                <w:lang w:val="en-US"/>
              </w:rPr>
              <w:t xml:space="preserve">Ashamed (15) </w:t>
            </w:r>
          </w:p>
        </w:tc>
        <w:tc>
          <w:tcPr>
            <w:tcW w:w="1596" w:type="dxa"/>
          </w:tcPr>
          <w:p w14:paraId="02F4BDE5" w14:textId="77777777" w:rsidR="00A646BC" w:rsidRPr="00A646BC" w:rsidRDefault="00A646BC" w:rsidP="00A646BC">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0225B3D1" w14:textId="77777777" w:rsidR="00A646BC" w:rsidRPr="00A646BC" w:rsidRDefault="00A646BC" w:rsidP="00A646BC">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7B700030" w14:textId="77777777" w:rsidR="00A646BC" w:rsidRPr="00A646BC" w:rsidRDefault="00A646BC" w:rsidP="00A646BC">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12C4292C" w14:textId="77777777" w:rsidR="00A646BC" w:rsidRPr="00A646BC" w:rsidRDefault="00A646BC" w:rsidP="00A646BC">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0A6C3303" w14:textId="77777777" w:rsidR="00A646BC" w:rsidRPr="00A646BC" w:rsidRDefault="00A646BC" w:rsidP="00A646BC">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r>
      <w:tr w:rsidR="00A646BC" w:rsidRPr="00A646BC" w14:paraId="76A8BE3D" w14:textId="77777777" w:rsidTr="003C7F42">
        <w:tc>
          <w:tcPr>
            <w:cnfStyle w:val="001000000000" w:firstRow="0" w:lastRow="0" w:firstColumn="1" w:lastColumn="0" w:oddVBand="0" w:evenVBand="0" w:oddHBand="0" w:evenHBand="0" w:firstRowFirstColumn="0" w:firstRowLastColumn="0" w:lastRowFirstColumn="0" w:lastRowLastColumn="0"/>
            <w:tcW w:w="1596" w:type="dxa"/>
          </w:tcPr>
          <w:p w14:paraId="7FF1C7CD" w14:textId="77777777" w:rsidR="00A646BC" w:rsidRPr="00A646BC" w:rsidRDefault="00A646BC" w:rsidP="00A646BC">
            <w:pPr>
              <w:keepNext/>
              <w:spacing w:line="240" w:lineRule="auto"/>
              <w:jc w:val="center"/>
              <w:rPr>
                <w:rFonts w:ascii="Arial" w:hAnsi="Arial" w:cs="Times New Roman"/>
                <w:sz w:val="22"/>
                <w:lang w:val="en-US"/>
              </w:rPr>
            </w:pPr>
            <w:r w:rsidRPr="00A646BC">
              <w:rPr>
                <w:rFonts w:ascii="Arial" w:hAnsi="Arial" w:cs="Times New Roman"/>
                <w:sz w:val="22"/>
                <w:lang w:val="en-US"/>
              </w:rPr>
              <w:t xml:space="preserve">Nervous (16) </w:t>
            </w:r>
          </w:p>
        </w:tc>
        <w:tc>
          <w:tcPr>
            <w:tcW w:w="1596" w:type="dxa"/>
          </w:tcPr>
          <w:p w14:paraId="798B04DF" w14:textId="77777777" w:rsidR="00A646BC" w:rsidRPr="00A646BC" w:rsidRDefault="00A646BC" w:rsidP="00A646BC">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6546D386" w14:textId="77777777" w:rsidR="00A646BC" w:rsidRPr="00A646BC" w:rsidRDefault="00A646BC" w:rsidP="00A646BC">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692DA6E6" w14:textId="77777777" w:rsidR="00A646BC" w:rsidRPr="00A646BC" w:rsidRDefault="00A646BC" w:rsidP="00A646BC">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1768C2FD" w14:textId="77777777" w:rsidR="00A646BC" w:rsidRPr="00A646BC" w:rsidRDefault="00A646BC" w:rsidP="00A646BC">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290D19EF" w14:textId="77777777" w:rsidR="00A646BC" w:rsidRPr="00A646BC" w:rsidRDefault="00A646BC" w:rsidP="00A646BC">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r>
    </w:tbl>
    <w:p w14:paraId="429710E3" w14:textId="77777777" w:rsidR="00A646BC" w:rsidRPr="00A646BC" w:rsidRDefault="00A646BC" w:rsidP="00A646BC">
      <w:pPr>
        <w:spacing w:after="0" w:line="276" w:lineRule="auto"/>
        <w:jc w:val="left"/>
        <w:rPr>
          <w:rFonts w:ascii="Arial" w:eastAsia="Times New Roman" w:hAnsi="Arial" w:cs="Times New Roman"/>
          <w:sz w:val="22"/>
          <w:lang w:val="en-US"/>
        </w:rPr>
      </w:pPr>
    </w:p>
    <w:p w14:paraId="386FAF81" w14:textId="77777777" w:rsidR="00A646BC" w:rsidRPr="00A646BC" w:rsidRDefault="00A646BC" w:rsidP="00A646BC">
      <w:pPr>
        <w:spacing w:after="0" w:line="276" w:lineRule="auto"/>
        <w:jc w:val="left"/>
        <w:rPr>
          <w:rFonts w:ascii="Arial" w:eastAsia="Times New Roman" w:hAnsi="Arial" w:cs="Times New Roman"/>
          <w:sz w:val="22"/>
          <w:lang w:val="en-US"/>
        </w:rPr>
      </w:pPr>
    </w:p>
    <w:p w14:paraId="2FACB5F1" w14:textId="77777777" w:rsidR="00A646BC" w:rsidRPr="00A646BC" w:rsidRDefault="00A646BC" w:rsidP="00A646BC">
      <w:pPr>
        <w:pBdr>
          <w:top w:val="dashed" w:sz="8" w:space="0" w:color="CCCCCC"/>
        </w:pBdr>
        <w:spacing w:before="120" w:after="120" w:line="120" w:lineRule="auto"/>
        <w:jc w:val="left"/>
        <w:rPr>
          <w:rFonts w:ascii="Arial" w:eastAsia="Times New Roman" w:hAnsi="Arial" w:cs="Times New Roman"/>
          <w:sz w:val="22"/>
          <w:lang w:val="en-US"/>
        </w:rPr>
      </w:pPr>
    </w:p>
    <w:tbl>
      <w:tblPr>
        <w:tblStyle w:val="QQuestionIconTable"/>
        <w:tblW w:w="50" w:type="auto"/>
        <w:tblLook w:val="07E0" w:firstRow="1" w:lastRow="1" w:firstColumn="1" w:lastColumn="1" w:noHBand="1" w:noVBand="1"/>
      </w:tblPr>
      <w:tblGrid>
        <w:gridCol w:w="380"/>
      </w:tblGrid>
      <w:tr w:rsidR="00A646BC" w:rsidRPr="00A646BC" w14:paraId="3797965E" w14:textId="77777777" w:rsidTr="003C7F42">
        <w:tc>
          <w:tcPr>
            <w:tcW w:w="50" w:type="dxa"/>
          </w:tcPr>
          <w:p w14:paraId="0FCC9C5F" w14:textId="77777777" w:rsidR="00A646BC" w:rsidRPr="00A646BC" w:rsidRDefault="00A646BC" w:rsidP="00A646BC">
            <w:pPr>
              <w:keepNext/>
              <w:spacing w:line="240" w:lineRule="auto"/>
              <w:jc w:val="center"/>
              <w:rPr>
                <w:rFonts w:ascii="Arial" w:eastAsia="Times New Roman" w:hAnsi="Arial" w:cs="Times New Roman"/>
                <w:sz w:val="22"/>
                <w:lang w:val="en-US"/>
              </w:rPr>
            </w:pPr>
            <w:r w:rsidRPr="00A646BC">
              <w:rPr>
                <w:rFonts w:ascii="Arial" w:eastAsia="Times New Roman" w:hAnsi="Arial" w:cs="Times New Roman"/>
                <w:noProof/>
                <w:sz w:val="22"/>
                <w:lang w:val="en-US"/>
              </w:rPr>
              <w:drawing>
                <wp:inline distT="0" distB="0" distL="0" distR="0" wp14:anchorId="047129FB" wp14:editId="04642375">
                  <wp:extent cx="228600" cy="228600"/>
                  <wp:effectExtent l="0" t="0" r="0" b="0"/>
                  <wp:docPr id="1853522368" name="WordQuestionJavaScrip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WordQuestionJavaScript.png"/>
                          <pic:cNvPicPr/>
                        </pic:nvPicPr>
                        <pic:blipFill>
                          <a:blip r:embed="rId69"/>
                          <a:stretch>
                            <a:fillRect/>
                          </a:stretch>
                        </pic:blipFill>
                        <pic:spPr>
                          <a:xfrm>
                            <a:off x="0" y="0"/>
                            <a:ext cx="228600" cy="228600"/>
                          </a:xfrm>
                          <a:prstGeom prst="rect">
                            <a:avLst/>
                          </a:prstGeom>
                        </pic:spPr>
                      </pic:pic>
                    </a:graphicData>
                  </a:graphic>
                </wp:inline>
              </w:drawing>
            </w:r>
          </w:p>
        </w:tc>
      </w:tr>
    </w:tbl>
    <w:p w14:paraId="4D707448" w14:textId="77777777" w:rsidR="00A646BC" w:rsidRPr="00A646BC" w:rsidRDefault="00A646BC" w:rsidP="00A646BC">
      <w:pPr>
        <w:spacing w:after="0" w:line="276" w:lineRule="auto"/>
        <w:jc w:val="left"/>
        <w:rPr>
          <w:rFonts w:ascii="Arial" w:eastAsia="Times New Roman" w:hAnsi="Arial" w:cs="Times New Roman"/>
          <w:sz w:val="22"/>
          <w:lang w:val="en-US"/>
        </w:rPr>
      </w:pPr>
    </w:p>
    <w:p w14:paraId="6E29C9B7" w14:textId="77777777" w:rsidR="00A646BC" w:rsidRPr="00A646BC" w:rsidRDefault="00A646BC" w:rsidP="00A646BC">
      <w:pPr>
        <w:keepNext/>
        <w:spacing w:after="0" w:line="276" w:lineRule="auto"/>
        <w:jc w:val="left"/>
        <w:rPr>
          <w:rFonts w:ascii="Arial" w:eastAsia="Times New Roman" w:hAnsi="Arial" w:cs="Times New Roman"/>
          <w:sz w:val="22"/>
          <w:lang w:val="en-US"/>
        </w:rPr>
      </w:pPr>
      <w:proofErr w:type="spellStart"/>
      <w:r w:rsidRPr="00A646BC">
        <w:rPr>
          <w:rFonts w:ascii="Arial" w:eastAsia="Times New Roman" w:hAnsi="Arial" w:cs="Times New Roman"/>
          <w:sz w:val="22"/>
          <w:lang w:val="en-US"/>
        </w:rPr>
        <w:t>time_stressor_start</w:t>
      </w:r>
      <w:proofErr w:type="spellEnd"/>
      <w:r w:rsidRPr="00A646BC">
        <w:rPr>
          <w:rFonts w:ascii="Arial" w:eastAsia="Times New Roman" w:hAnsi="Arial" w:cs="Times New Roman"/>
          <w:sz w:val="22"/>
          <w:lang w:val="en-US"/>
        </w:rPr>
        <w:t xml:space="preserve"> Click to write the question text</w:t>
      </w:r>
    </w:p>
    <w:p w14:paraId="542C7055" w14:textId="77777777" w:rsidR="00A646BC" w:rsidRPr="00A646BC" w:rsidRDefault="00A646BC" w:rsidP="00A646BC">
      <w:pPr>
        <w:spacing w:before="240" w:after="0" w:line="240" w:lineRule="auto"/>
        <w:ind w:firstLine="400"/>
        <w:jc w:val="left"/>
        <w:rPr>
          <w:rFonts w:ascii="Arial" w:eastAsia="Times New Roman" w:hAnsi="Arial" w:cs="Times New Roman"/>
          <w:sz w:val="22"/>
          <w:lang w:val="en-US"/>
        </w:rPr>
      </w:pPr>
      <w:r w:rsidRPr="00A646BC">
        <w:rPr>
          <w:rFonts w:ascii="Arial" w:eastAsia="Times New Roman" w:hAnsi="Arial" w:cs="Times New Roman"/>
          <w:sz w:val="22"/>
          <w:lang w:val="en-US"/>
        </w:rPr>
        <w:t>________________________________________________________________</w:t>
      </w:r>
    </w:p>
    <w:p w14:paraId="47DE5AA6" w14:textId="77777777" w:rsidR="00A646BC" w:rsidRPr="00A646BC" w:rsidRDefault="00A646BC" w:rsidP="00A646BC">
      <w:pPr>
        <w:spacing w:after="0" w:line="276" w:lineRule="auto"/>
        <w:jc w:val="left"/>
        <w:rPr>
          <w:rFonts w:ascii="Arial" w:eastAsia="Times New Roman" w:hAnsi="Arial" w:cs="Times New Roman"/>
          <w:sz w:val="22"/>
          <w:lang w:val="en-US"/>
        </w:rPr>
      </w:pPr>
    </w:p>
    <w:p w14:paraId="3848701E" w14:textId="77777777" w:rsidR="00A646BC" w:rsidRPr="00A646BC" w:rsidRDefault="00A646BC" w:rsidP="00A646BC">
      <w:pPr>
        <w:spacing w:before="120" w:after="0" w:line="240" w:lineRule="auto"/>
        <w:jc w:val="left"/>
        <w:rPr>
          <w:rFonts w:ascii="Arial" w:eastAsia="Times New Roman" w:hAnsi="Arial" w:cs="Times New Roman"/>
          <w:b/>
          <w:color w:val="CCCCCC"/>
          <w:sz w:val="22"/>
          <w:lang w:val="en-US"/>
        </w:rPr>
      </w:pPr>
      <w:r w:rsidRPr="00A646BC">
        <w:rPr>
          <w:rFonts w:ascii="Arial" w:eastAsia="Times New Roman" w:hAnsi="Arial" w:cs="Times New Roman"/>
          <w:b/>
          <w:color w:val="CCCCCC"/>
          <w:sz w:val="22"/>
          <w:lang w:val="en-US"/>
        </w:rPr>
        <w:t xml:space="preserve">End of Block: </w:t>
      </w:r>
      <w:proofErr w:type="spellStart"/>
      <w:r w:rsidRPr="00A646BC">
        <w:rPr>
          <w:rFonts w:ascii="Arial" w:eastAsia="Times New Roman" w:hAnsi="Arial" w:cs="Times New Roman"/>
          <w:b/>
          <w:color w:val="CCCCCC"/>
          <w:sz w:val="22"/>
          <w:lang w:val="en-US"/>
        </w:rPr>
        <w:t>PanasX_cool_Base</w:t>
      </w:r>
      <w:proofErr w:type="spellEnd"/>
    </w:p>
    <w:p w14:paraId="4E01F242" w14:textId="77777777" w:rsidR="00A646BC" w:rsidRPr="00A646BC" w:rsidRDefault="00A646BC" w:rsidP="00A646BC">
      <w:pPr>
        <w:pBdr>
          <w:bottom w:val="single" w:sz="8" w:space="0" w:color="CCCCCC"/>
        </w:pBdr>
        <w:spacing w:after="0" w:line="120" w:lineRule="auto"/>
        <w:jc w:val="center"/>
        <w:rPr>
          <w:rFonts w:ascii="Arial" w:eastAsia="Times New Roman" w:hAnsi="Arial" w:cs="Times New Roman"/>
          <w:b/>
          <w:color w:val="CCCCCC"/>
          <w:sz w:val="22"/>
          <w:lang w:val="en-US"/>
        </w:rPr>
      </w:pPr>
    </w:p>
    <w:p w14:paraId="3BB7B321" w14:textId="77777777" w:rsidR="00A646BC" w:rsidRPr="00A646BC" w:rsidRDefault="00A646BC" w:rsidP="00A646BC">
      <w:pPr>
        <w:spacing w:before="120" w:after="120" w:line="240" w:lineRule="auto"/>
        <w:jc w:val="left"/>
        <w:rPr>
          <w:rFonts w:ascii="Arial" w:eastAsia="Times New Roman" w:hAnsi="Arial" w:cs="Times New Roman"/>
          <w:b/>
          <w:color w:val="CCCCCC"/>
          <w:sz w:val="22"/>
          <w:lang w:val="en-US"/>
        </w:rPr>
      </w:pPr>
      <w:r w:rsidRPr="00A646BC">
        <w:rPr>
          <w:rFonts w:ascii="Arial" w:eastAsia="Times New Roman" w:hAnsi="Arial" w:cs="Times New Roman"/>
          <w:b/>
          <w:color w:val="CCCCCC"/>
          <w:sz w:val="22"/>
          <w:lang w:val="en-US"/>
        </w:rPr>
        <w:t>Start of Block: Stressor</w:t>
      </w:r>
    </w:p>
    <w:p w14:paraId="115FDB13" w14:textId="77777777" w:rsidR="00A646BC" w:rsidRPr="00A646BC" w:rsidRDefault="00A646BC" w:rsidP="00A646BC">
      <w:pPr>
        <w:keepNext/>
        <w:shd w:val="clear" w:color="auto" w:fill="6898BB"/>
        <w:spacing w:before="120" w:after="120" w:line="240" w:lineRule="auto"/>
        <w:jc w:val="left"/>
        <w:rPr>
          <w:rFonts w:ascii="Arial" w:eastAsia="Times New Roman" w:hAnsi="Arial" w:cs="Times New Roman"/>
          <w:i/>
          <w:color w:val="FFFFFF"/>
          <w:sz w:val="20"/>
          <w:lang w:val="en-US"/>
        </w:rPr>
      </w:pPr>
      <w:r w:rsidRPr="00A646BC">
        <w:rPr>
          <w:rFonts w:ascii="Arial" w:eastAsia="Times New Roman" w:hAnsi="Arial" w:cs="Times New Roman"/>
          <w:i/>
          <w:color w:val="FFFFFF"/>
          <w:sz w:val="20"/>
          <w:lang w:val="en-US"/>
        </w:rPr>
        <w:t>Display This Question:</w:t>
      </w:r>
    </w:p>
    <w:p w14:paraId="25641277" w14:textId="77777777" w:rsidR="00A646BC" w:rsidRPr="00A646BC" w:rsidRDefault="00A646BC" w:rsidP="00A646BC">
      <w:pPr>
        <w:keepNext/>
        <w:shd w:val="clear" w:color="auto" w:fill="6898BB"/>
        <w:spacing w:before="120" w:after="120" w:line="240" w:lineRule="auto"/>
        <w:ind w:firstLine="400"/>
        <w:jc w:val="left"/>
        <w:rPr>
          <w:rFonts w:ascii="Arial" w:eastAsia="Times New Roman" w:hAnsi="Arial" w:cs="Times New Roman"/>
          <w:i/>
          <w:color w:val="FFFFFF"/>
          <w:sz w:val="20"/>
          <w:lang w:val="en-US"/>
        </w:rPr>
      </w:pPr>
      <w:r w:rsidRPr="00A646BC">
        <w:rPr>
          <w:rFonts w:ascii="Arial" w:eastAsia="Times New Roman" w:hAnsi="Arial" w:cs="Times New Roman"/>
          <w:i/>
          <w:color w:val="FFFFFF"/>
          <w:sz w:val="20"/>
          <w:lang w:val="en-US"/>
        </w:rPr>
        <w:t>If Device Type Is Not iPhone</w:t>
      </w:r>
    </w:p>
    <w:p w14:paraId="0B25194E" w14:textId="77777777" w:rsidR="00A646BC" w:rsidRPr="00A646BC" w:rsidRDefault="00A646BC" w:rsidP="00A646BC">
      <w:pPr>
        <w:spacing w:after="0" w:line="276" w:lineRule="auto"/>
        <w:jc w:val="left"/>
        <w:rPr>
          <w:rFonts w:ascii="Arial" w:eastAsia="Times New Roman" w:hAnsi="Arial" w:cs="Times New Roman"/>
          <w:sz w:val="22"/>
          <w:lang w:val="en-US"/>
        </w:rPr>
      </w:pPr>
    </w:p>
    <w:p w14:paraId="2948700C" w14:textId="77777777" w:rsidR="00A646BC" w:rsidRPr="00A646BC" w:rsidRDefault="00A646BC" w:rsidP="00A646BC">
      <w:pPr>
        <w:keepNext/>
        <w:spacing w:after="0" w:line="276" w:lineRule="auto"/>
        <w:jc w:val="left"/>
        <w:rPr>
          <w:rFonts w:ascii="Arial" w:eastAsia="Times New Roman" w:hAnsi="Arial" w:cs="Times New Roman"/>
          <w:sz w:val="22"/>
          <w:lang w:val="en-US"/>
        </w:rPr>
      </w:pPr>
      <w:proofErr w:type="spellStart"/>
      <w:r w:rsidRPr="00A646BC">
        <w:rPr>
          <w:rFonts w:ascii="Arial" w:eastAsia="Times New Roman" w:hAnsi="Arial" w:cs="Times New Roman"/>
          <w:sz w:val="22"/>
          <w:lang w:val="en-US"/>
        </w:rPr>
        <w:t>Stressor_cool</w:t>
      </w:r>
      <w:proofErr w:type="spellEnd"/>
      <w:r w:rsidRPr="00A646BC">
        <w:rPr>
          <w:rFonts w:ascii="Arial" w:eastAsia="Times New Roman" w:hAnsi="Arial" w:cs="Times New Roman"/>
          <w:sz w:val="22"/>
          <w:lang w:val="en-US"/>
        </w:rPr>
        <w:t xml:space="preserve"> </w:t>
      </w:r>
      <w:r w:rsidRPr="00A646BC">
        <w:rPr>
          <w:rFonts w:ascii="Arial" w:eastAsia="Times New Roman" w:hAnsi="Arial" w:cs="Times New Roman"/>
          <w:sz w:val="22"/>
          <w:lang w:val="en-US"/>
        </w:rPr>
        <w:br/>
      </w:r>
      <w:r w:rsidRPr="00A646BC">
        <w:rPr>
          <w:rFonts w:ascii="Arial" w:eastAsia="Times New Roman" w:hAnsi="Arial" w:cs="Times New Roman"/>
          <w:b/>
          <w:sz w:val="22"/>
          <w:lang w:val="en-US"/>
        </w:rPr>
        <w:t xml:space="preserve">This sound is </w:t>
      </w:r>
      <w:r w:rsidRPr="00A646BC">
        <w:rPr>
          <w:rFonts w:ascii="Arial" w:eastAsia="Times New Roman" w:hAnsi="Arial" w:cs="Times New Roman"/>
          <w:b/>
          <w:sz w:val="22"/>
          <w:u w:val="single"/>
          <w:lang w:val="en-US"/>
        </w:rPr>
        <w:t>part of the survey</w:t>
      </w:r>
      <w:r w:rsidRPr="00A646BC">
        <w:rPr>
          <w:rFonts w:ascii="Arial" w:eastAsia="Times New Roman" w:hAnsi="Arial" w:cs="Times New Roman"/>
          <w:b/>
          <w:sz w:val="22"/>
          <w:lang w:val="en-US"/>
        </w:rPr>
        <w:t xml:space="preserve"> and it will only last a few more seconds.</w:t>
      </w:r>
      <w:r w:rsidRPr="00A646BC">
        <w:rPr>
          <w:rFonts w:ascii="Arial" w:eastAsia="Times New Roman" w:hAnsi="Arial" w:cs="Times New Roman"/>
          <w:sz w:val="22"/>
          <w:lang w:val="en-US"/>
        </w:rPr>
        <w:t xml:space="preserve"> </w:t>
      </w:r>
      <w:r w:rsidRPr="00A646BC">
        <w:rPr>
          <w:rFonts w:ascii="Arial" w:eastAsia="Times New Roman" w:hAnsi="Arial" w:cs="Times New Roman"/>
          <w:sz w:val="22"/>
          <w:lang w:val="en-US"/>
        </w:rPr>
        <w:br/>
        <w:t xml:space="preserve"> </w:t>
      </w:r>
      <w:r w:rsidRPr="00A646BC">
        <w:rPr>
          <w:rFonts w:ascii="Arial" w:eastAsia="Times New Roman" w:hAnsi="Arial" w:cs="Times New Roman"/>
          <w:sz w:val="22"/>
          <w:lang w:val="en-US"/>
        </w:rPr>
        <w:br/>
      </w:r>
      <w:r w:rsidRPr="00A646BC">
        <w:rPr>
          <w:rFonts w:ascii="Arial" w:eastAsia="Times New Roman" w:hAnsi="Arial" w:cs="Times New Roman"/>
          <w:b/>
          <w:sz w:val="22"/>
          <w:lang w:val="en-US"/>
        </w:rPr>
        <w:t>The page will move on automatically.</w:t>
      </w:r>
      <w:r w:rsidRPr="00A646BC">
        <w:rPr>
          <w:rFonts w:ascii="Arial" w:eastAsia="Times New Roman" w:hAnsi="Arial" w:cs="Times New Roman"/>
          <w:sz w:val="22"/>
          <w:lang w:val="en-US"/>
        </w:rPr>
        <w:t xml:space="preserve">  </w:t>
      </w:r>
      <w:r w:rsidRPr="00A646BC">
        <w:rPr>
          <w:rFonts w:ascii="Arial" w:eastAsia="Times New Roman" w:hAnsi="Arial" w:cs="Times New Roman"/>
          <w:sz w:val="22"/>
          <w:lang w:val="en-US"/>
        </w:rPr>
        <w:br/>
        <w:t xml:space="preserve">   </w:t>
      </w:r>
      <w:r w:rsidRPr="00A646BC">
        <w:rPr>
          <w:rFonts w:ascii="Arial" w:eastAsia="Times New Roman" w:hAnsi="Arial" w:cs="Times New Roman"/>
          <w:sz w:val="22"/>
          <w:lang w:val="en-US"/>
        </w:rPr>
        <w:br/>
        <w:t xml:space="preserve">    </w:t>
      </w:r>
    </w:p>
    <w:p w14:paraId="5AFF445D" w14:textId="77777777" w:rsidR="00A646BC" w:rsidRPr="00A646BC" w:rsidRDefault="00A646BC" w:rsidP="00A646BC">
      <w:pPr>
        <w:spacing w:after="0" w:line="276" w:lineRule="auto"/>
        <w:jc w:val="left"/>
        <w:rPr>
          <w:rFonts w:ascii="Arial" w:eastAsia="Times New Roman" w:hAnsi="Arial" w:cs="Times New Roman"/>
          <w:sz w:val="22"/>
          <w:lang w:val="en-US"/>
        </w:rPr>
      </w:pPr>
    </w:p>
    <w:p w14:paraId="0DEE92FB" w14:textId="77777777" w:rsidR="00A646BC" w:rsidRPr="00A646BC" w:rsidRDefault="00A646BC" w:rsidP="00A646BC">
      <w:pPr>
        <w:pBdr>
          <w:top w:val="dashed" w:sz="8" w:space="0" w:color="CCCCCC"/>
        </w:pBdr>
        <w:spacing w:before="120" w:after="120" w:line="120" w:lineRule="auto"/>
        <w:jc w:val="left"/>
        <w:rPr>
          <w:rFonts w:ascii="Arial" w:eastAsia="Times New Roman" w:hAnsi="Arial" w:cs="Times New Roman"/>
          <w:sz w:val="22"/>
          <w:lang w:val="en-US"/>
        </w:rPr>
      </w:pPr>
    </w:p>
    <w:p w14:paraId="14896FF1" w14:textId="77777777" w:rsidR="00A646BC" w:rsidRPr="00A646BC" w:rsidRDefault="00A646BC" w:rsidP="00A646BC">
      <w:pPr>
        <w:keepNext/>
        <w:shd w:val="clear" w:color="auto" w:fill="6898BB"/>
        <w:spacing w:before="120" w:after="120" w:line="240" w:lineRule="auto"/>
        <w:jc w:val="left"/>
        <w:rPr>
          <w:rFonts w:ascii="Arial" w:eastAsia="Times New Roman" w:hAnsi="Arial" w:cs="Times New Roman"/>
          <w:i/>
          <w:color w:val="FFFFFF"/>
          <w:sz w:val="20"/>
          <w:lang w:val="en-US"/>
        </w:rPr>
      </w:pPr>
      <w:r w:rsidRPr="00A646BC">
        <w:rPr>
          <w:rFonts w:ascii="Arial" w:eastAsia="Times New Roman" w:hAnsi="Arial" w:cs="Times New Roman"/>
          <w:i/>
          <w:color w:val="FFFFFF"/>
          <w:sz w:val="20"/>
          <w:lang w:val="en-US"/>
        </w:rPr>
        <w:t>Display This Question:</w:t>
      </w:r>
    </w:p>
    <w:p w14:paraId="77983256" w14:textId="77777777" w:rsidR="00A646BC" w:rsidRPr="00A646BC" w:rsidRDefault="00A646BC" w:rsidP="00A646BC">
      <w:pPr>
        <w:keepNext/>
        <w:shd w:val="clear" w:color="auto" w:fill="6898BB"/>
        <w:spacing w:before="120" w:after="120" w:line="240" w:lineRule="auto"/>
        <w:ind w:firstLine="400"/>
        <w:jc w:val="left"/>
        <w:rPr>
          <w:rFonts w:ascii="Arial" w:eastAsia="Times New Roman" w:hAnsi="Arial" w:cs="Times New Roman"/>
          <w:i/>
          <w:color w:val="FFFFFF"/>
          <w:sz w:val="20"/>
          <w:lang w:val="en-US"/>
        </w:rPr>
      </w:pPr>
      <w:r w:rsidRPr="00A646BC">
        <w:rPr>
          <w:rFonts w:ascii="Arial" w:eastAsia="Times New Roman" w:hAnsi="Arial" w:cs="Times New Roman"/>
          <w:i/>
          <w:color w:val="FFFFFF"/>
          <w:sz w:val="20"/>
          <w:lang w:val="en-US"/>
        </w:rPr>
        <w:t>If Device Type Is Not iPhone</w:t>
      </w:r>
    </w:p>
    <w:p w14:paraId="24CFF984" w14:textId="77777777" w:rsidR="00A646BC" w:rsidRPr="00A646BC" w:rsidRDefault="00A646BC" w:rsidP="00A646BC">
      <w:pPr>
        <w:spacing w:after="0" w:line="276" w:lineRule="auto"/>
        <w:jc w:val="left"/>
        <w:rPr>
          <w:rFonts w:ascii="Arial" w:eastAsia="Times New Roman" w:hAnsi="Arial" w:cs="Times New Roman"/>
          <w:sz w:val="22"/>
          <w:lang w:val="en-US"/>
        </w:rPr>
      </w:pPr>
    </w:p>
    <w:p w14:paraId="59A4028F" w14:textId="77777777" w:rsidR="00A646BC" w:rsidRPr="00A646BC" w:rsidRDefault="00A646BC" w:rsidP="00A646BC">
      <w:pPr>
        <w:keepNext/>
        <w:spacing w:after="0" w:line="276" w:lineRule="auto"/>
        <w:jc w:val="left"/>
        <w:rPr>
          <w:rFonts w:ascii="Arial" w:eastAsia="Times New Roman" w:hAnsi="Arial" w:cs="Times New Roman"/>
          <w:sz w:val="22"/>
          <w:lang w:val="en-US"/>
        </w:rPr>
      </w:pPr>
      <w:proofErr w:type="spellStart"/>
      <w:r w:rsidRPr="00A646BC">
        <w:rPr>
          <w:rFonts w:ascii="Arial" w:eastAsia="Times New Roman" w:hAnsi="Arial" w:cs="Times New Roman"/>
          <w:sz w:val="22"/>
          <w:lang w:val="en-US"/>
        </w:rPr>
        <w:t>Stressor_warm_timer</w:t>
      </w:r>
      <w:proofErr w:type="spellEnd"/>
      <w:r w:rsidRPr="00A646BC">
        <w:rPr>
          <w:rFonts w:ascii="Arial" w:eastAsia="Times New Roman" w:hAnsi="Arial" w:cs="Times New Roman"/>
          <w:sz w:val="22"/>
          <w:lang w:val="en-US"/>
        </w:rPr>
        <w:t xml:space="preserve"> Timing</w:t>
      </w:r>
    </w:p>
    <w:p w14:paraId="04031E57" w14:textId="77777777" w:rsidR="00A646BC" w:rsidRPr="00A646BC" w:rsidRDefault="00A646BC" w:rsidP="00A646BC">
      <w:pPr>
        <w:keepNext/>
        <w:spacing w:after="0" w:line="276" w:lineRule="auto"/>
        <w:jc w:val="left"/>
        <w:rPr>
          <w:rFonts w:ascii="Arial" w:eastAsia="Times New Roman" w:hAnsi="Arial" w:cs="Times New Roman"/>
          <w:sz w:val="22"/>
          <w:lang w:val="en-US"/>
        </w:rPr>
      </w:pPr>
      <w:r w:rsidRPr="00A646BC">
        <w:rPr>
          <w:rFonts w:ascii="Arial" w:eastAsia="Times New Roman" w:hAnsi="Arial" w:cs="Times New Roman"/>
          <w:sz w:val="22"/>
          <w:lang w:val="en-US"/>
        </w:rPr>
        <w:t xml:space="preserve">First </w:t>
      </w:r>
      <w:proofErr w:type="gramStart"/>
      <w:r w:rsidRPr="00A646BC">
        <w:rPr>
          <w:rFonts w:ascii="Arial" w:eastAsia="Times New Roman" w:hAnsi="Arial" w:cs="Times New Roman"/>
          <w:sz w:val="22"/>
          <w:lang w:val="en-US"/>
        </w:rPr>
        <w:t>Click  (</w:t>
      </w:r>
      <w:proofErr w:type="gramEnd"/>
      <w:r w:rsidRPr="00A646BC">
        <w:rPr>
          <w:rFonts w:ascii="Arial" w:eastAsia="Times New Roman" w:hAnsi="Arial" w:cs="Times New Roman"/>
          <w:sz w:val="22"/>
          <w:lang w:val="en-US"/>
        </w:rPr>
        <w:t>1)</w:t>
      </w:r>
    </w:p>
    <w:p w14:paraId="06AFA2C9" w14:textId="77777777" w:rsidR="00A646BC" w:rsidRPr="00A646BC" w:rsidRDefault="00A646BC" w:rsidP="00A646BC">
      <w:pPr>
        <w:keepNext/>
        <w:spacing w:after="0" w:line="276" w:lineRule="auto"/>
        <w:jc w:val="left"/>
        <w:rPr>
          <w:rFonts w:ascii="Arial" w:eastAsia="Times New Roman" w:hAnsi="Arial" w:cs="Times New Roman"/>
          <w:sz w:val="22"/>
          <w:lang w:val="en-US"/>
        </w:rPr>
      </w:pPr>
      <w:r w:rsidRPr="00A646BC">
        <w:rPr>
          <w:rFonts w:ascii="Arial" w:eastAsia="Times New Roman" w:hAnsi="Arial" w:cs="Times New Roman"/>
          <w:sz w:val="22"/>
          <w:lang w:val="en-US"/>
        </w:rPr>
        <w:t xml:space="preserve">Last </w:t>
      </w:r>
      <w:proofErr w:type="gramStart"/>
      <w:r w:rsidRPr="00A646BC">
        <w:rPr>
          <w:rFonts w:ascii="Arial" w:eastAsia="Times New Roman" w:hAnsi="Arial" w:cs="Times New Roman"/>
          <w:sz w:val="22"/>
          <w:lang w:val="en-US"/>
        </w:rPr>
        <w:t>Click  (</w:t>
      </w:r>
      <w:proofErr w:type="gramEnd"/>
      <w:r w:rsidRPr="00A646BC">
        <w:rPr>
          <w:rFonts w:ascii="Arial" w:eastAsia="Times New Roman" w:hAnsi="Arial" w:cs="Times New Roman"/>
          <w:sz w:val="22"/>
          <w:lang w:val="en-US"/>
        </w:rPr>
        <w:t>2)</w:t>
      </w:r>
    </w:p>
    <w:p w14:paraId="1B04AED2" w14:textId="77777777" w:rsidR="00A646BC" w:rsidRPr="00A646BC" w:rsidRDefault="00A646BC" w:rsidP="00A646BC">
      <w:pPr>
        <w:keepNext/>
        <w:spacing w:after="0" w:line="276" w:lineRule="auto"/>
        <w:jc w:val="left"/>
        <w:rPr>
          <w:rFonts w:ascii="Arial" w:eastAsia="Times New Roman" w:hAnsi="Arial" w:cs="Times New Roman"/>
          <w:sz w:val="22"/>
          <w:lang w:val="en-US"/>
        </w:rPr>
      </w:pPr>
      <w:r w:rsidRPr="00A646BC">
        <w:rPr>
          <w:rFonts w:ascii="Arial" w:eastAsia="Times New Roman" w:hAnsi="Arial" w:cs="Times New Roman"/>
          <w:sz w:val="22"/>
          <w:lang w:val="en-US"/>
        </w:rPr>
        <w:t xml:space="preserve">Page </w:t>
      </w:r>
      <w:proofErr w:type="gramStart"/>
      <w:r w:rsidRPr="00A646BC">
        <w:rPr>
          <w:rFonts w:ascii="Arial" w:eastAsia="Times New Roman" w:hAnsi="Arial" w:cs="Times New Roman"/>
          <w:sz w:val="22"/>
          <w:lang w:val="en-US"/>
        </w:rPr>
        <w:t>Submit  (</w:t>
      </w:r>
      <w:proofErr w:type="gramEnd"/>
      <w:r w:rsidRPr="00A646BC">
        <w:rPr>
          <w:rFonts w:ascii="Arial" w:eastAsia="Times New Roman" w:hAnsi="Arial" w:cs="Times New Roman"/>
          <w:sz w:val="22"/>
          <w:lang w:val="en-US"/>
        </w:rPr>
        <w:t>3)</w:t>
      </w:r>
    </w:p>
    <w:p w14:paraId="1DB371CD" w14:textId="77777777" w:rsidR="00A646BC" w:rsidRPr="00A646BC" w:rsidRDefault="00A646BC" w:rsidP="00A646BC">
      <w:pPr>
        <w:keepNext/>
        <w:spacing w:after="0" w:line="276" w:lineRule="auto"/>
        <w:jc w:val="left"/>
        <w:rPr>
          <w:rFonts w:ascii="Arial" w:eastAsia="Times New Roman" w:hAnsi="Arial" w:cs="Times New Roman"/>
          <w:sz w:val="22"/>
          <w:lang w:val="en-US"/>
        </w:rPr>
      </w:pPr>
      <w:r w:rsidRPr="00A646BC">
        <w:rPr>
          <w:rFonts w:ascii="Arial" w:eastAsia="Times New Roman" w:hAnsi="Arial" w:cs="Times New Roman"/>
          <w:sz w:val="22"/>
          <w:lang w:val="en-US"/>
        </w:rPr>
        <w:t xml:space="preserve">Click </w:t>
      </w:r>
      <w:proofErr w:type="gramStart"/>
      <w:r w:rsidRPr="00A646BC">
        <w:rPr>
          <w:rFonts w:ascii="Arial" w:eastAsia="Times New Roman" w:hAnsi="Arial" w:cs="Times New Roman"/>
          <w:sz w:val="22"/>
          <w:lang w:val="en-US"/>
        </w:rPr>
        <w:t>Count  (</w:t>
      </w:r>
      <w:proofErr w:type="gramEnd"/>
      <w:r w:rsidRPr="00A646BC">
        <w:rPr>
          <w:rFonts w:ascii="Arial" w:eastAsia="Times New Roman" w:hAnsi="Arial" w:cs="Times New Roman"/>
          <w:sz w:val="22"/>
          <w:lang w:val="en-US"/>
        </w:rPr>
        <w:t>4)</w:t>
      </w:r>
    </w:p>
    <w:p w14:paraId="08219234" w14:textId="77777777" w:rsidR="00A646BC" w:rsidRPr="00A646BC" w:rsidRDefault="00A646BC" w:rsidP="00A646BC">
      <w:pPr>
        <w:spacing w:after="0" w:line="276" w:lineRule="auto"/>
        <w:jc w:val="left"/>
        <w:rPr>
          <w:rFonts w:ascii="Arial" w:eastAsia="Times New Roman" w:hAnsi="Arial" w:cs="Times New Roman"/>
          <w:sz w:val="22"/>
          <w:lang w:val="en-US"/>
        </w:rPr>
      </w:pPr>
    </w:p>
    <w:p w14:paraId="0AF2885F" w14:textId="77777777" w:rsidR="00A646BC" w:rsidRPr="00A646BC" w:rsidRDefault="00A646BC" w:rsidP="00A646BC">
      <w:pPr>
        <w:pBdr>
          <w:top w:val="dashed" w:sz="8" w:space="0" w:color="CCCCCC"/>
        </w:pBdr>
        <w:spacing w:before="120" w:after="120" w:line="120" w:lineRule="auto"/>
        <w:jc w:val="left"/>
        <w:rPr>
          <w:rFonts w:ascii="Arial" w:eastAsia="Times New Roman" w:hAnsi="Arial" w:cs="Times New Roman"/>
          <w:sz w:val="22"/>
          <w:lang w:val="en-US"/>
        </w:rPr>
      </w:pPr>
    </w:p>
    <w:tbl>
      <w:tblPr>
        <w:tblStyle w:val="QQuestionIconTable"/>
        <w:tblW w:w="50" w:type="auto"/>
        <w:tblLook w:val="07E0" w:firstRow="1" w:lastRow="1" w:firstColumn="1" w:lastColumn="1" w:noHBand="1" w:noVBand="1"/>
      </w:tblPr>
      <w:tblGrid>
        <w:gridCol w:w="380"/>
      </w:tblGrid>
      <w:tr w:rsidR="00A646BC" w:rsidRPr="00A646BC" w14:paraId="111104AF" w14:textId="77777777" w:rsidTr="003C7F42">
        <w:tc>
          <w:tcPr>
            <w:tcW w:w="50" w:type="dxa"/>
          </w:tcPr>
          <w:p w14:paraId="15664FD3" w14:textId="77777777" w:rsidR="00A646BC" w:rsidRPr="00A646BC" w:rsidRDefault="00A646BC" w:rsidP="00A646BC">
            <w:pPr>
              <w:keepNext/>
              <w:spacing w:line="240" w:lineRule="auto"/>
              <w:jc w:val="center"/>
              <w:rPr>
                <w:rFonts w:ascii="Arial" w:eastAsia="Times New Roman" w:hAnsi="Arial" w:cs="Times New Roman"/>
                <w:sz w:val="22"/>
                <w:lang w:val="en-US"/>
              </w:rPr>
            </w:pPr>
            <w:r w:rsidRPr="00A646BC">
              <w:rPr>
                <w:rFonts w:ascii="Arial" w:eastAsia="Times New Roman" w:hAnsi="Arial" w:cs="Times New Roman"/>
                <w:noProof/>
                <w:sz w:val="22"/>
                <w:lang w:val="en-US"/>
              </w:rPr>
              <w:drawing>
                <wp:inline distT="0" distB="0" distL="0" distR="0" wp14:anchorId="10B0E57F" wp14:editId="6D60F022">
                  <wp:extent cx="228600" cy="228600"/>
                  <wp:effectExtent l="0" t="0" r="0" b="0"/>
                  <wp:docPr id="188481425" name="WordQuestionJavaScrip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WordQuestionJavaScript.png"/>
                          <pic:cNvPicPr/>
                        </pic:nvPicPr>
                        <pic:blipFill>
                          <a:blip r:embed="rId69"/>
                          <a:stretch>
                            <a:fillRect/>
                          </a:stretch>
                        </pic:blipFill>
                        <pic:spPr>
                          <a:xfrm>
                            <a:off x="0" y="0"/>
                            <a:ext cx="228600" cy="228600"/>
                          </a:xfrm>
                          <a:prstGeom prst="rect">
                            <a:avLst/>
                          </a:prstGeom>
                        </pic:spPr>
                      </pic:pic>
                    </a:graphicData>
                  </a:graphic>
                </wp:inline>
              </w:drawing>
            </w:r>
          </w:p>
        </w:tc>
      </w:tr>
    </w:tbl>
    <w:p w14:paraId="54ED556F" w14:textId="77777777" w:rsidR="00A646BC" w:rsidRPr="00A646BC" w:rsidRDefault="00A646BC" w:rsidP="00A646BC">
      <w:pPr>
        <w:spacing w:after="0" w:line="276" w:lineRule="auto"/>
        <w:jc w:val="left"/>
        <w:rPr>
          <w:rFonts w:ascii="Arial" w:eastAsia="Times New Roman" w:hAnsi="Arial" w:cs="Times New Roman"/>
          <w:sz w:val="22"/>
          <w:lang w:val="en-US"/>
        </w:rPr>
      </w:pPr>
    </w:p>
    <w:p w14:paraId="2FF37571" w14:textId="77777777" w:rsidR="00A646BC" w:rsidRPr="00A646BC" w:rsidRDefault="00A646BC" w:rsidP="00A646BC">
      <w:pPr>
        <w:keepNext/>
        <w:spacing w:after="0" w:line="276" w:lineRule="auto"/>
        <w:jc w:val="left"/>
        <w:rPr>
          <w:rFonts w:ascii="Arial" w:eastAsia="Times New Roman" w:hAnsi="Arial" w:cs="Times New Roman"/>
          <w:sz w:val="22"/>
          <w:lang w:val="en-US"/>
        </w:rPr>
      </w:pPr>
      <w:proofErr w:type="spellStart"/>
      <w:r w:rsidRPr="00A646BC">
        <w:rPr>
          <w:rFonts w:ascii="Arial" w:eastAsia="Times New Roman" w:hAnsi="Arial" w:cs="Times New Roman"/>
          <w:sz w:val="22"/>
          <w:lang w:val="en-US"/>
        </w:rPr>
        <w:t>time_stressor_end</w:t>
      </w:r>
      <w:proofErr w:type="spellEnd"/>
      <w:r w:rsidRPr="00A646BC">
        <w:rPr>
          <w:rFonts w:ascii="Arial" w:eastAsia="Times New Roman" w:hAnsi="Arial" w:cs="Times New Roman"/>
          <w:sz w:val="22"/>
          <w:lang w:val="en-US"/>
        </w:rPr>
        <w:t xml:space="preserve"> Click to write the question text</w:t>
      </w:r>
    </w:p>
    <w:p w14:paraId="29ED3C08" w14:textId="77777777" w:rsidR="00A646BC" w:rsidRPr="00A646BC" w:rsidRDefault="00A646BC" w:rsidP="00A646BC">
      <w:pPr>
        <w:spacing w:before="240" w:after="0" w:line="240" w:lineRule="auto"/>
        <w:ind w:firstLine="400"/>
        <w:jc w:val="left"/>
        <w:rPr>
          <w:rFonts w:ascii="Arial" w:eastAsia="Times New Roman" w:hAnsi="Arial" w:cs="Times New Roman"/>
          <w:sz w:val="22"/>
          <w:lang w:val="en-US"/>
        </w:rPr>
      </w:pPr>
      <w:r w:rsidRPr="00A646BC">
        <w:rPr>
          <w:rFonts w:ascii="Arial" w:eastAsia="Times New Roman" w:hAnsi="Arial" w:cs="Times New Roman"/>
          <w:sz w:val="22"/>
          <w:lang w:val="en-US"/>
        </w:rPr>
        <w:t>________________________________________________________________</w:t>
      </w:r>
    </w:p>
    <w:p w14:paraId="0D24B96E" w14:textId="77777777" w:rsidR="00A646BC" w:rsidRPr="00A646BC" w:rsidRDefault="00A646BC" w:rsidP="00A646BC">
      <w:pPr>
        <w:spacing w:after="0" w:line="276" w:lineRule="auto"/>
        <w:jc w:val="left"/>
        <w:rPr>
          <w:rFonts w:ascii="Arial" w:eastAsia="Times New Roman" w:hAnsi="Arial" w:cs="Times New Roman"/>
          <w:sz w:val="22"/>
          <w:lang w:val="en-US"/>
        </w:rPr>
      </w:pPr>
    </w:p>
    <w:p w14:paraId="54EA5F1E" w14:textId="77777777" w:rsidR="00A646BC" w:rsidRPr="00A646BC" w:rsidRDefault="00A646BC" w:rsidP="00A646BC">
      <w:pPr>
        <w:spacing w:before="120" w:after="0" w:line="240" w:lineRule="auto"/>
        <w:jc w:val="left"/>
        <w:rPr>
          <w:rFonts w:ascii="Arial" w:eastAsia="Times New Roman" w:hAnsi="Arial" w:cs="Times New Roman"/>
          <w:b/>
          <w:color w:val="CCCCCC"/>
          <w:sz w:val="22"/>
          <w:lang w:val="en-US"/>
        </w:rPr>
      </w:pPr>
      <w:r w:rsidRPr="00A646BC">
        <w:rPr>
          <w:rFonts w:ascii="Arial" w:eastAsia="Times New Roman" w:hAnsi="Arial" w:cs="Times New Roman"/>
          <w:b/>
          <w:color w:val="CCCCCC"/>
          <w:sz w:val="22"/>
          <w:lang w:val="en-US"/>
        </w:rPr>
        <w:t>End of Block: Stressor</w:t>
      </w:r>
    </w:p>
    <w:p w14:paraId="3E4FD78B" w14:textId="77777777" w:rsidR="00A646BC" w:rsidRPr="00A646BC" w:rsidRDefault="00A646BC" w:rsidP="00A646BC">
      <w:pPr>
        <w:pBdr>
          <w:bottom w:val="single" w:sz="8" w:space="0" w:color="CCCCCC"/>
        </w:pBdr>
        <w:spacing w:after="0" w:line="120" w:lineRule="auto"/>
        <w:jc w:val="center"/>
        <w:rPr>
          <w:rFonts w:ascii="Arial" w:eastAsia="Times New Roman" w:hAnsi="Arial" w:cs="Times New Roman"/>
          <w:b/>
          <w:color w:val="CCCCCC"/>
          <w:sz w:val="22"/>
          <w:lang w:val="en-US"/>
        </w:rPr>
      </w:pPr>
    </w:p>
    <w:p w14:paraId="180CBA94" w14:textId="77777777" w:rsidR="00A646BC" w:rsidRPr="00A646BC" w:rsidRDefault="00A646BC" w:rsidP="00A646BC">
      <w:pPr>
        <w:spacing w:before="120" w:after="120" w:line="240" w:lineRule="auto"/>
        <w:jc w:val="left"/>
        <w:rPr>
          <w:rFonts w:ascii="Arial" w:eastAsia="Times New Roman" w:hAnsi="Arial" w:cs="Times New Roman"/>
          <w:b/>
          <w:color w:val="CCCCCC"/>
          <w:sz w:val="22"/>
          <w:lang w:val="en-US"/>
        </w:rPr>
      </w:pPr>
      <w:r w:rsidRPr="00A646BC">
        <w:rPr>
          <w:rFonts w:ascii="Arial" w:eastAsia="Times New Roman" w:hAnsi="Arial" w:cs="Times New Roman"/>
          <w:b/>
          <w:color w:val="CCCCCC"/>
          <w:sz w:val="22"/>
          <w:lang w:val="en-US"/>
        </w:rPr>
        <w:t xml:space="preserve">Start of Block: </w:t>
      </w:r>
      <w:proofErr w:type="spellStart"/>
      <w:r w:rsidRPr="00A646BC">
        <w:rPr>
          <w:rFonts w:ascii="Arial" w:eastAsia="Times New Roman" w:hAnsi="Arial" w:cs="Times New Roman"/>
          <w:b/>
          <w:color w:val="CCCCCC"/>
          <w:sz w:val="22"/>
          <w:lang w:val="en-US"/>
        </w:rPr>
        <w:t>PanasX_cool_stress</w:t>
      </w:r>
      <w:proofErr w:type="spellEnd"/>
    </w:p>
    <w:tbl>
      <w:tblPr>
        <w:tblStyle w:val="QQuestionIconTable"/>
        <w:tblW w:w="50" w:type="auto"/>
        <w:tblLook w:val="07E0" w:firstRow="1" w:lastRow="1" w:firstColumn="1" w:lastColumn="1" w:noHBand="1" w:noVBand="1"/>
      </w:tblPr>
      <w:tblGrid>
        <w:gridCol w:w="380"/>
      </w:tblGrid>
      <w:tr w:rsidR="00A646BC" w:rsidRPr="00A646BC" w14:paraId="317DA2F0" w14:textId="77777777" w:rsidTr="003C7F42">
        <w:tc>
          <w:tcPr>
            <w:tcW w:w="50" w:type="dxa"/>
          </w:tcPr>
          <w:p w14:paraId="3B5E7364" w14:textId="77777777" w:rsidR="00A646BC" w:rsidRPr="00A646BC" w:rsidRDefault="00A646BC" w:rsidP="00A646BC">
            <w:pPr>
              <w:keepNext/>
              <w:spacing w:line="240" w:lineRule="auto"/>
              <w:jc w:val="center"/>
              <w:rPr>
                <w:rFonts w:ascii="Arial" w:eastAsia="Times New Roman" w:hAnsi="Arial" w:cs="Times New Roman"/>
                <w:sz w:val="22"/>
                <w:lang w:val="en-US"/>
              </w:rPr>
            </w:pPr>
            <w:r w:rsidRPr="00A646BC">
              <w:rPr>
                <w:rFonts w:ascii="Arial" w:eastAsia="Times New Roman" w:hAnsi="Arial" w:cs="Times New Roman"/>
                <w:noProof/>
                <w:sz w:val="22"/>
                <w:lang w:val="en-US"/>
              </w:rPr>
              <w:drawing>
                <wp:inline distT="0" distB="0" distL="0" distR="0" wp14:anchorId="3AE92EA1" wp14:editId="1EAEAE15">
                  <wp:extent cx="228600" cy="228600"/>
                  <wp:effectExtent l="0" t="0" r="0" b="0"/>
                  <wp:docPr id="1019772548" name="WordQuestionRandomiza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WordQuestionRandomization.png"/>
                          <pic:cNvPicPr/>
                        </pic:nvPicPr>
                        <pic:blipFill>
                          <a:blip r:embed="rId68"/>
                          <a:stretch>
                            <a:fillRect/>
                          </a:stretch>
                        </pic:blipFill>
                        <pic:spPr>
                          <a:xfrm>
                            <a:off x="0" y="0"/>
                            <a:ext cx="228600" cy="228600"/>
                          </a:xfrm>
                          <a:prstGeom prst="rect">
                            <a:avLst/>
                          </a:prstGeom>
                        </pic:spPr>
                      </pic:pic>
                    </a:graphicData>
                  </a:graphic>
                </wp:inline>
              </w:drawing>
            </w:r>
          </w:p>
        </w:tc>
      </w:tr>
    </w:tbl>
    <w:p w14:paraId="3BE0A256" w14:textId="77777777" w:rsidR="00A646BC" w:rsidRPr="00A646BC" w:rsidRDefault="00A646BC" w:rsidP="00A646BC">
      <w:pPr>
        <w:spacing w:after="0" w:line="276" w:lineRule="auto"/>
        <w:jc w:val="left"/>
        <w:rPr>
          <w:rFonts w:ascii="Arial" w:eastAsia="Times New Roman" w:hAnsi="Arial" w:cs="Times New Roman"/>
          <w:sz w:val="22"/>
          <w:lang w:val="en-US"/>
        </w:rPr>
      </w:pPr>
    </w:p>
    <w:p w14:paraId="33C08C38" w14:textId="77777777" w:rsidR="00A646BC" w:rsidRPr="00A646BC" w:rsidRDefault="00A646BC" w:rsidP="00A646BC">
      <w:pPr>
        <w:keepNext/>
        <w:spacing w:after="0" w:line="276" w:lineRule="auto"/>
        <w:jc w:val="left"/>
        <w:rPr>
          <w:rFonts w:ascii="Arial" w:eastAsia="Times New Roman" w:hAnsi="Arial" w:cs="Times New Roman"/>
          <w:sz w:val="22"/>
          <w:lang w:val="en-US"/>
        </w:rPr>
      </w:pPr>
      <w:proofErr w:type="spellStart"/>
      <w:r w:rsidRPr="00A646BC">
        <w:rPr>
          <w:rFonts w:ascii="Arial" w:eastAsia="Times New Roman" w:hAnsi="Arial" w:cs="Times New Roman"/>
          <w:sz w:val="22"/>
          <w:lang w:val="en-US"/>
        </w:rPr>
        <w:lastRenderedPageBreak/>
        <w:t>PanasX_cool_stress</w:t>
      </w:r>
      <w:proofErr w:type="spellEnd"/>
      <w:r w:rsidRPr="00A646BC">
        <w:rPr>
          <w:rFonts w:ascii="Arial" w:eastAsia="Times New Roman" w:hAnsi="Arial" w:cs="Times New Roman"/>
          <w:sz w:val="22"/>
          <w:lang w:val="en-US"/>
        </w:rPr>
        <w:t xml:space="preserve"> Please rate according to how you feel RIGHT NOW. You should answer this quickly based on your first instincts</w:t>
      </w:r>
    </w:p>
    <w:tbl>
      <w:tblPr>
        <w:tblStyle w:val="QQuestionTable5"/>
        <w:tblW w:w="9576" w:type="auto"/>
        <w:tblLook w:val="07E0" w:firstRow="1" w:lastRow="1" w:firstColumn="1" w:lastColumn="1" w:noHBand="1" w:noVBand="1"/>
      </w:tblPr>
      <w:tblGrid>
        <w:gridCol w:w="1596"/>
        <w:gridCol w:w="1596"/>
        <w:gridCol w:w="1596"/>
        <w:gridCol w:w="1596"/>
        <w:gridCol w:w="1596"/>
        <w:gridCol w:w="1596"/>
      </w:tblGrid>
      <w:tr w:rsidR="00A646BC" w:rsidRPr="00A646BC" w14:paraId="4787FA86" w14:textId="77777777" w:rsidTr="003C7F4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96" w:type="dxa"/>
          </w:tcPr>
          <w:p w14:paraId="7CD0050D" w14:textId="77777777" w:rsidR="00A646BC" w:rsidRPr="00A646BC" w:rsidRDefault="00A646BC" w:rsidP="00A646BC">
            <w:pPr>
              <w:keepNext/>
              <w:spacing w:line="240" w:lineRule="auto"/>
              <w:jc w:val="center"/>
              <w:rPr>
                <w:rFonts w:ascii="Arial" w:hAnsi="Arial" w:cs="Times New Roman"/>
                <w:sz w:val="22"/>
                <w:lang w:val="en-US"/>
              </w:rPr>
            </w:pPr>
          </w:p>
        </w:tc>
        <w:tc>
          <w:tcPr>
            <w:tcW w:w="1596" w:type="dxa"/>
          </w:tcPr>
          <w:p w14:paraId="535EB337" w14:textId="77777777" w:rsidR="00A646BC" w:rsidRPr="00A646BC" w:rsidRDefault="00A646BC" w:rsidP="00A646BC">
            <w:pPr>
              <w:spacing w:line="240" w:lineRule="auto"/>
              <w:jc w:val="center"/>
              <w:cnfStyle w:val="100000000000" w:firstRow="1" w:lastRow="0" w:firstColumn="0" w:lastColumn="0" w:oddVBand="0" w:evenVBand="0" w:oddHBand="0" w:evenHBand="0" w:firstRowFirstColumn="0" w:firstRowLastColumn="0" w:lastRowFirstColumn="0" w:lastRowLastColumn="0"/>
              <w:rPr>
                <w:rFonts w:ascii="Arial" w:hAnsi="Arial" w:cs="Times New Roman"/>
                <w:sz w:val="22"/>
                <w:lang w:val="en-US"/>
              </w:rPr>
            </w:pPr>
            <w:r w:rsidRPr="00A646BC">
              <w:rPr>
                <w:rFonts w:ascii="Arial" w:hAnsi="Arial" w:cs="Times New Roman"/>
                <w:sz w:val="22"/>
                <w:lang w:val="en-US"/>
              </w:rPr>
              <w:t>Not at all (1)</w:t>
            </w:r>
          </w:p>
        </w:tc>
        <w:tc>
          <w:tcPr>
            <w:tcW w:w="1596" w:type="dxa"/>
          </w:tcPr>
          <w:p w14:paraId="730E299B" w14:textId="77777777" w:rsidR="00A646BC" w:rsidRPr="00A646BC" w:rsidRDefault="00A646BC" w:rsidP="00A646BC">
            <w:pPr>
              <w:spacing w:line="240" w:lineRule="auto"/>
              <w:jc w:val="center"/>
              <w:cnfStyle w:val="100000000000" w:firstRow="1" w:lastRow="0" w:firstColumn="0" w:lastColumn="0" w:oddVBand="0" w:evenVBand="0" w:oddHBand="0" w:evenHBand="0" w:firstRowFirstColumn="0" w:firstRowLastColumn="0" w:lastRowFirstColumn="0" w:lastRowLastColumn="0"/>
              <w:rPr>
                <w:rFonts w:ascii="Arial" w:hAnsi="Arial" w:cs="Times New Roman"/>
                <w:sz w:val="22"/>
                <w:lang w:val="en-US"/>
              </w:rPr>
            </w:pPr>
            <w:r w:rsidRPr="00A646BC">
              <w:rPr>
                <w:rFonts w:ascii="Arial" w:hAnsi="Arial" w:cs="Times New Roman"/>
                <w:sz w:val="22"/>
                <w:lang w:val="en-US"/>
              </w:rPr>
              <w:t>A little (2)</w:t>
            </w:r>
          </w:p>
        </w:tc>
        <w:tc>
          <w:tcPr>
            <w:tcW w:w="1596" w:type="dxa"/>
          </w:tcPr>
          <w:p w14:paraId="015F1D58" w14:textId="77777777" w:rsidR="00A646BC" w:rsidRPr="00A646BC" w:rsidRDefault="00A646BC" w:rsidP="00A646BC">
            <w:pPr>
              <w:spacing w:line="240" w:lineRule="auto"/>
              <w:jc w:val="center"/>
              <w:cnfStyle w:val="100000000000" w:firstRow="1" w:lastRow="0" w:firstColumn="0" w:lastColumn="0" w:oddVBand="0" w:evenVBand="0" w:oddHBand="0" w:evenHBand="0" w:firstRowFirstColumn="0" w:firstRowLastColumn="0" w:lastRowFirstColumn="0" w:lastRowLastColumn="0"/>
              <w:rPr>
                <w:rFonts w:ascii="Arial" w:hAnsi="Arial" w:cs="Times New Roman"/>
                <w:sz w:val="22"/>
                <w:lang w:val="en-US"/>
              </w:rPr>
            </w:pPr>
            <w:r w:rsidRPr="00A646BC">
              <w:rPr>
                <w:rFonts w:ascii="Arial" w:hAnsi="Arial" w:cs="Times New Roman"/>
                <w:sz w:val="22"/>
                <w:lang w:val="en-US"/>
              </w:rPr>
              <w:t>Moderately (3)</w:t>
            </w:r>
          </w:p>
        </w:tc>
        <w:tc>
          <w:tcPr>
            <w:tcW w:w="1596" w:type="dxa"/>
          </w:tcPr>
          <w:p w14:paraId="38F55A2A" w14:textId="77777777" w:rsidR="00A646BC" w:rsidRPr="00A646BC" w:rsidRDefault="00A646BC" w:rsidP="00A646BC">
            <w:pPr>
              <w:spacing w:line="240" w:lineRule="auto"/>
              <w:jc w:val="center"/>
              <w:cnfStyle w:val="100000000000" w:firstRow="1" w:lastRow="0" w:firstColumn="0" w:lastColumn="0" w:oddVBand="0" w:evenVBand="0" w:oddHBand="0" w:evenHBand="0" w:firstRowFirstColumn="0" w:firstRowLastColumn="0" w:lastRowFirstColumn="0" w:lastRowLastColumn="0"/>
              <w:rPr>
                <w:rFonts w:ascii="Arial" w:hAnsi="Arial" w:cs="Times New Roman"/>
                <w:sz w:val="22"/>
                <w:lang w:val="en-US"/>
              </w:rPr>
            </w:pPr>
            <w:r w:rsidRPr="00A646BC">
              <w:rPr>
                <w:rFonts w:ascii="Arial" w:hAnsi="Arial" w:cs="Times New Roman"/>
                <w:sz w:val="22"/>
                <w:lang w:val="en-US"/>
              </w:rPr>
              <w:t>Quite a bit (4)</w:t>
            </w:r>
          </w:p>
        </w:tc>
        <w:tc>
          <w:tcPr>
            <w:tcW w:w="1596" w:type="dxa"/>
          </w:tcPr>
          <w:p w14:paraId="3790C2A5" w14:textId="77777777" w:rsidR="00A646BC" w:rsidRPr="00A646BC" w:rsidRDefault="00A646BC" w:rsidP="00A646BC">
            <w:pPr>
              <w:spacing w:line="240" w:lineRule="auto"/>
              <w:jc w:val="center"/>
              <w:cnfStyle w:val="100000000000" w:firstRow="1" w:lastRow="0" w:firstColumn="0" w:lastColumn="0" w:oddVBand="0" w:evenVBand="0" w:oddHBand="0" w:evenHBand="0" w:firstRowFirstColumn="0" w:firstRowLastColumn="0" w:lastRowFirstColumn="0" w:lastRowLastColumn="0"/>
              <w:rPr>
                <w:rFonts w:ascii="Arial" w:hAnsi="Arial" w:cs="Times New Roman"/>
                <w:sz w:val="22"/>
                <w:lang w:val="en-US"/>
              </w:rPr>
            </w:pPr>
            <w:r w:rsidRPr="00A646BC">
              <w:rPr>
                <w:rFonts w:ascii="Arial" w:hAnsi="Arial" w:cs="Times New Roman"/>
                <w:sz w:val="22"/>
                <w:lang w:val="en-US"/>
              </w:rPr>
              <w:t>Extremely (5)</w:t>
            </w:r>
          </w:p>
        </w:tc>
      </w:tr>
      <w:tr w:rsidR="00A646BC" w:rsidRPr="00A646BC" w14:paraId="3733079D" w14:textId="77777777" w:rsidTr="003C7F42">
        <w:tc>
          <w:tcPr>
            <w:cnfStyle w:val="001000000000" w:firstRow="0" w:lastRow="0" w:firstColumn="1" w:lastColumn="0" w:oddVBand="0" w:evenVBand="0" w:oddHBand="0" w:evenHBand="0" w:firstRowFirstColumn="0" w:firstRowLastColumn="0" w:lastRowFirstColumn="0" w:lastRowLastColumn="0"/>
            <w:tcW w:w="1596" w:type="dxa"/>
          </w:tcPr>
          <w:p w14:paraId="46A2C491" w14:textId="77777777" w:rsidR="00A646BC" w:rsidRPr="00A646BC" w:rsidRDefault="00A646BC" w:rsidP="00A646BC">
            <w:pPr>
              <w:keepNext/>
              <w:spacing w:line="240" w:lineRule="auto"/>
              <w:jc w:val="center"/>
              <w:rPr>
                <w:rFonts w:ascii="Arial" w:hAnsi="Arial" w:cs="Times New Roman"/>
                <w:sz w:val="22"/>
                <w:lang w:val="en-US"/>
              </w:rPr>
            </w:pPr>
            <w:r w:rsidRPr="00A646BC">
              <w:rPr>
                <w:rFonts w:ascii="Arial" w:hAnsi="Arial" w:cs="Times New Roman"/>
                <w:sz w:val="22"/>
                <w:lang w:val="en-US"/>
              </w:rPr>
              <w:t xml:space="preserve">Happy (1) </w:t>
            </w:r>
          </w:p>
        </w:tc>
        <w:tc>
          <w:tcPr>
            <w:tcW w:w="1596" w:type="dxa"/>
          </w:tcPr>
          <w:p w14:paraId="6D5BB901" w14:textId="77777777" w:rsidR="00A646BC" w:rsidRPr="00A646BC" w:rsidRDefault="00A646BC" w:rsidP="00A646BC">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72D53C65" w14:textId="77777777" w:rsidR="00A646BC" w:rsidRPr="00A646BC" w:rsidRDefault="00A646BC" w:rsidP="00A646BC">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797AD138" w14:textId="77777777" w:rsidR="00A646BC" w:rsidRPr="00A646BC" w:rsidRDefault="00A646BC" w:rsidP="00A646BC">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77B94C26" w14:textId="77777777" w:rsidR="00A646BC" w:rsidRPr="00A646BC" w:rsidRDefault="00A646BC" w:rsidP="00A646BC">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1AAB42EC" w14:textId="77777777" w:rsidR="00A646BC" w:rsidRPr="00A646BC" w:rsidRDefault="00A646BC" w:rsidP="00A646BC">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r>
      <w:tr w:rsidR="00A646BC" w:rsidRPr="00A646BC" w14:paraId="3DEBC06B" w14:textId="77777777" w:rsidTr="003C7F42">
        <w:tc>
          <w:tcPr>
            <w:cnfStyle w:val="001000000000" w:firstRow="0" w:lastRow="0" w:firstColumn="1" w:lastColumn="0" w:oddVBand="0" w:evenVBand="0" w:oddHBand="0" w:evenHBand="0" w:firstRowFirstColumn="0" w:firstRowLastColumn="0" w:lastRowFirstColumn="0" w:lastRowLastColumn="0"/>
            <w:tcW w:w="1596" w:type="dxa"/>
          </w:tcPr>
          <w:p w14:paraId="3BB7EE7F" w14:textId="77777777" w:rsidR="00A646BC" w:rsidRPr="00A646BC" w:rsidRDefault="00A646BC" w:rsidP="00A646BC">
            <w:pPr>
              <w:keepNext/>
              <w:spacing w:line="240" w:lineRule="auto"/>
              <w:jc w:val="center"/>
              <w:rPr>
                <w:rFonts w:ascii="Arial" w:hAnsi="Arial" w:cs="Times New Roman"/>
                <w:sz w:val="22"/>
                <w:lang w:val="en-US"/>
              </w:rPr>
            </w:pPr>
            <w:r w:rsidRPr="00A646BC">
              <w:rPr>
                <w:rFonts w:ascii="Arial" w:hAnsi="Arial" w:cs="Times New Roman"/>
                <w:sz w:val="22"/>
                <w:lang w:val="en-US"/>
              </w:rPr>
              <w:t xml:space="preserve">Joyful (2) </w:t>
            </w:r>
          </w:p>
        </w:tc>
        <w:tc>
          <w:tcPr>
            <w:tcW w:w="1596" w:type="dxa"/>
          </w:tcPr>
          <w:p w14:paraId="1A455D86" w14:textId="77777777" w:rsidR="00A646BC" w:rsidRPr="00A646BC" w:rsidRDefault="00A646BC" w:rsidP="00A646BC">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722199EB" w14:textId="77777777" w:rsidR="00A646BC" w:rsidRPr="00A646BC" w:rsidRDefault="00A646BC" w:rsidP="00A646BC">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0E1ACE13" w14:textId="77777777" w:rsidR="00A646BC" w:rsidRPr="00A646BC" w:rsidRDefault="00A646BC" w:rsidP="00A646BC">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35607290" w14:textId="77777777" w:rsidR="00A646BC" w:rsidRPr="00A646BC" w:rsidRDefault="00A646BC" w:rsidP="00A646BC">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5017D8FA" w14:textId="77777777" w:rsidR="00A646BC" w:rsidRPr="00A646BC" w:rsidRDefault="00A646BC" w:rsidP="00A646BC">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r>
      <w:tr w:rsidR="00A646BC" w:rsidRPr="00A646BC" w14:paraId="55F77CBA" w14:textId="77777777" w:rsidTr="003C7F42">
        <w:tc>
          <w:tcPr>
            <w:cnfStyle w:val="001000000000" w:firstRow="0" w:lastRow="0" w:firstColumn="1" w:lastColumn="0" w:oddVBand="0" w:evenVBand="0" w:oddHBand="0" w:evenHBand="0" w:firstRowFirstColumn="0" w:firstRowLastColumn="0" w:lastRowFirstColumn="0" w:lastRowLastColumn="0"/>
            <w:tcW w:w="1596" w:type="dxa"/>
          </w:tcPr>
          <w:p w14:paraId="18419B4C" w14:textId="77777777" w:rsidR="00A646BC" w:rsidRPr="00A646BC" w:rsidRDefault="00A646BC" w:rsidP="00A646BC">
            <w:pPr>
              <w:keepNext/>
              <w:spacing w:line="240" w:lineRule="auto"/>
              <w:jc w:val="center"/>
              <w:rPr>
                <w:rFonts w:ascii="Arial" w:hAnsi="Arial" w:cs="Times New Roman"/>
                <w:sz w:val="22"/>
                <w:lang w:val="en-US"/>
              </w:rPr>
            </w:pPr>
            <w:r w:rsidRPr="00A646BC">
              <w:rPr>
                <w:rFonts w:ascii="Arial" w:hAnsi="Arial" w:cs="Times New Roman"/>
                <w:sz w:val="22"/>
                <w:lang w:val="en-US"/>
              </w:rPr>
              <w:t xml:space="preserve">Delighted (3) </w:t>
            </w:r>
          </w:p>
        </w:tc>
        <w:tc>
          <w:tcPr>
            <w:tcW w:w="1596" w:type="dxa"/>
          </w:tcPr>
          <w:p w14:paraId="27EF5E98" w14:textId="77777777" w:rsidR="00A646BC" w:rsidRPr="00A646BC" w:rsidRDefault="00A646BC" w:rsidP="00A646BC">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250CB899" w14:textId="77777777" w:rsidR="00A646BC" w:rsidRPr="00A646BC" w:rsidRDefault="00A646BC" w:rsidP="00A646BC">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74129514" w14:textId="77777777" w:rsidR="00A646BC" w:rsidRPr="00A646BC" w:rsidRDefault="00A646BC" w:rsidP="00A646BC">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07EE15C2" w14:textId="77777777" w:rsidR="00A646BC" w:rsidRPr="00A646BC" w:rsidRDefault="00A646BC" w:rsidP="00A646BC">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53C55FC2" w14:textId="77777777" w:rsidR="00A646BC" w:rsidRPr="00A646BC" w:rsidRDefault="00A646BC" w:rsidP="00A646BC">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r>
      <w:tr w:rsidR="00A646BC" w:rsidRPr="00A646BC" w14:paraId="600C3749" w14:textId="77777777" w:rsidTr="003C7F42">
        <w:tc>
          <w:tcPr>
            <w:cnfStyle w:val="001000000000" w:firstRow="0" w:lastRow="0" w:firstColumn="1" w:lastColumn="0" w:oddVBand="0" w:evenVBand="0" w:oddHBand="0" w:evenHBand="0" w:firstRowFirstColumn="0" w:firstRowLastColumn="0" w:lastRowFirstColumn="0" w:lastRowLastColumn="0"/>
            <w:tcW w:w="1596" w:type="dxa"/>
          </w:tcPr>
          <w:p w14:paraId="1278D0F4" w14:textId="77777777" w:rsidR="00A646BC" w:rsidRPr="00A646BC" w:rsidRDefault="00A646BC" w:rsidP="00A646BC">
            <w:pPr>
              <w:keepNext/>
              <w:spacing w:line="240" w:lineRule="auto"/>
              <w:jc w:val="center"/>
              <w:rPr>
                <w:rFonts w:ascii="Arial" w:hAnsi="Arial" w:cs="Times New Roman"/>
                <w:sz w:val="22"/>
                <w:lang w:val="en-US"/>
              </w:rPr>
            </w:pPr>
            <w:r w:rsidRPr="00A646BC">
              <w:rPr>
                <w:rFonts w:ascii="Arial" w:hAnsi="Arial" w:cs="Times New Roman"/>
                <w:sz w:val="22"/>
                <w:lang w:val="en-US"/>
              </w:rPr>
              <w:t xml:space="preserve">Cheerful (4) </w:t>
            </w:r>
          </w:p>
        </w:tc>
        <w:tc>
          <w:tcPr>
            <w:tcW w:w="1596" w:type="dxa"/>
          </w:tcPr>
          <w:p w14:paraId="3FF4CAE7" w14:textId="77777777" w:rsidR="00A646BC" w:rsidRPr="00A646BC" w:rsidRDefault="00A646BC" w:rsidP="00A646BC">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2D18C47B" w14:textId="77777777" w:rsidR="00A646BC" w:rsidRPr="00A646BC" w:rsidRDefault="00A646BC" w:rsidP="00A646BC">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2A365DE1" w14:textId="77777777" w:rsidR="00A646BC" w:rsidRPr="00A646BC" w:rsidRDefault="00A646BC" w:rsidP="00A646BC">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02BC4740" w14:textId="77777777" w:rsidR="00A646BC" w:rsidRPr="00A646BC" w:rsidRDefault="00A646BC" w:rsidP="00A646BC">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0C0612CF" w14:textId="77777777" w:rsidR="00A646BC" w:rsidRPr="00A646BC" w:rsidRDefault="00A646BC" w:rsidP="00A646BC">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r>
      <w:tr w:rsidR="00A646BC" w:rsidRPr="00A646BC" w14:paraId="505C2ACC" w14:textId="77777777" w:rsidTr="003C7F42">
        <w:tc>
          <w:tcPr>
            <w:cnfStyle w:val="001000000000" w:firstRow="0" w:lastRow="0" w:firstColumn="1" w:lastColumn="0" w:oddVBand="0" w:evenVBand="0" w:oddHBand="0" w:evenHBand="0" w:firstRowFirstColumn="0" w:firstRowLastColumn="0" w:lastRowFirstColumn="0" w:lastRowLastColumn="0"/>
            <w:tcW w:w="1596" w:type="dxa"/>
          </w:tcPr>
          <w:p w14:paraId="4FB1E32C" w14:textId="77777777" w:rsidR="00A646BC" w:rsidRPr="00A646BC" w:rsidRDefault="00A646BC" w:rsidP="00A646BC">
            <w:pPr>
              <w:keepNext/>
              <w:spacing w:line="240" w:lineRule="auto"/>
              <w:jc w:val="center"/>
              <w:rPr>
                <w:rFonts w:ascii="Arial" w:hAnsi="Arial" w:cs="Times New Roman"/>
                <w:sz w:val="22"/>
                <w:lang w:val="en-US"/>
              </w:rPr>
            </w:pPr>
            <w:r w:rsidRPr="00A646BC">
              <w:rPr>
                <w:rFonts w:ascii="Arial" w:hAnsi="Arial" w:cs="Times New Roman"/>
                <w:sz w:val="22"/>
                <w:lang w:val="en-US"/>
              </w:rPr>
              <w:t xml:space="preserve">Excited (5) </w:t>
            </w:r>
          </w:p>
        </w:tc>
        <w:tc>
          <w:tcPr>
            <w:tcW w:w="1596" w:type="dxa"/>
          </w:tcPr>
          <w:p w14:paraId="7664DC9B" w14:textId="77777777" w:rsidR="00A646BC" w:rsidRPr="00A646BC" w:rsidRDefault="00A646BC" w:rsidP="00A646BC">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16702D68" w14:textId="77777777" w:rsidR="00A646BC" w:rsidRPr="00A646BC" w:rsidRDefault="00A646BC" w:rsidP="00A646BC">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688AB570" w14:textId="77777777" w:rsidR="00A646BC" w:rsidRPr="00A646BC" w:rsidRDefault="00A646BC" w:rsidP="00A646BC">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2C5F6E8B" w14:textId="77777777" w:rsidR="00A646BC" w:rsidRPr="00A646BC" w:rsidRDefault="00A646BC" w:rsidP="00A646BC">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642090B4" w14:textId="77777777" w:rsidR="00A646BC" w:rsidRPr="00A646BC" w:rsidRDefault="00A646BC" w:rsidP="00A646BC">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r>
      <w:tr w:rsidR="00A646BC" w:rsidRPr="00A646BC" w14:paraId="77DEE1DE" w14:textId="77777777" w:rsidTr="003C7F42">
        <w:tc>
          <w:tcPr>
            <w:cnfStyle w:val="001000000000" w:firstRow="0" w:lastRow="0" w:firstColumn="1" w:lastColumn="0" w:oddVBand="0" w:evenVBand="0" w:oddHBand="0" w:evenHBand="0" w:firstRowFirstColumn="0" w:firstRowLastColumn="0" w:lastRowFirstColumn="0" w:lastRowLastColumn="0"/>
            <w:tcW w:w="1596" w:type="dxa"/>
          </w:tcPr>
          <w:p w14:paraId="7AE2B30A" w14:textId="77777777" w:rsidR="00A646BC" w:rsidRPr="00A646BC" w:rsidRDefault="00A646BC" w:rsidP="00A646BC">
            <w:pPr>
              <w:keepNext/>
              <w:spacing w:line="240" w:lineRule="auto"/>
              <w:jc w:val="center"/>
              <w:rPr>
                <w:rFonts w:ascii="Arial" w:hAnsi="Arial" w:cs="Times New Roman"/>
                <w:sz w:val="22"/>
                <w:lang w:val="en-US"/>
              </w:rPr>
            </w:pPr>
            <w:r w:rsidRPr="00A646BC">
              <w:rPr>
                <w:rFonts w:ascii="Arial" w:hAnsi="Arial" w:cs="Times New Roman"/>
                <w:sz w:val="22"/>
                <w:lang w:val="en-US"/>
              </w:rPr>
              <w:t xml:space="preserve">Enthusiastic (6) </w:t>
            </w:r>
          </w:p>
        </w:tc>
        <w:tc>
          <w:tcPr>
            <w:tcW w:w="1596" w:type="dxa"/>
          </w:tcPr>
          <w:p w14:paraId="65FB8C27" w14:textId="77777777" w:rsidR="00A646BC" w:rsidRPr="00A646BC" w:rsidRDefault="00A646BC" w:rsidP="00A646BC">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7E3CA861" w14:textId="77777777" w:rsidR="00A646BC" w:rsidRPr="00A646BC" w:rsidRDefault="00A646BC" w:rsidP="00A646BC">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781486DF" w14:textId="77777777" w:rsidR="00A646BC" w:rsidRPr="00A646BC" w:rsidRDefault="00A646BC" w:rsidP="00A646BC">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4687201B" w14:textId="77777777" w:rsidR="00A646BC" w:rsidRPr="00A646BC" w:rsidRDefault="00A646BC" w:rsidP="00A646BC">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48E798D4" w14:textId="77777777" w:rsidR="00A646BC" w:rsidRPr="00A646BC" w:rsidRDefault="00A646BC" w:rsidP="00A646BC">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r>
      <w:tr w:rsidR="00A646BC" w:rsidRPr="00A646BC" w14:paraId="566BF0F9" w14:textId="77777777" w:rsidTr="003C7F42">
        <w:tc>
          <w:tcPr>
            <w:cnfStyle w:val="001000000000" w:firstRow="0" w:lastRow="0" w:firstColumn="1" w:lastColumn="0" w:oddVBand="0" w:evenVBand="0" w:oddHBand="0" w:evenHBand="0" w:firstRowFirstColumn="0" w:firstRowLastColumn="0" w:lastRowFirstColumn="0" w:lastRowLastColumn="0"/>
            <w:tcW w:w="1596" w:type="dxa"/>
          </w:tcPr>
          <w:p w14:paraId="3C8BEE38" w14:textId="77777777" w:rsidR="00A646BC" w:rsidRPr="00A646BC" w:rsidRDefault="00A646BC" w:rsidP="00A646BC">
            <w:pPr>
              <w:keepNext/>
              <w:spacing w:line="240" w:lineRule="auto"/>
              <w:jc w:val="center"/>
              <w:rPr>
                <w:rFonts w:ascii="Arial" w:hAnsi="Arial" w:cs="Times New Roman"/>
                <w:sz w:val="22"/>
                <w:lang w:val="en-US"/>
              </w:rPr>
            </w:pPr>
            <w:r w:rsidRPr="00A646BC">
              <w:rPr>
                <w:rFonts w:ascii="Arial" w:hAnsi="Arial" w:cs="Times New Roman"/>
                <w:sz w:val="22"/>
                <w:lang w:val="en-US"/>
              </w:rPr>
              <w:t xml:space="preserve">Lively (7) </w:t>
            </w:r>
          </w:p>
        </w:tc>
        <w:tc>
          <w:tcPr>
            <w:tcW w:w="1596" w:type="dxa"/>
          </w:tcPr>
          <w:p w14:paraId="5F3EBBD3" w14:textId="77777777" w:rsidR="00A646BC" w:rsidRPr="00A646BC" w:rsidRDefault="00A646BC" w:rsidP="00A646BC">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04B8738F" w14:textId="77777777" w:rsidR="00A646BC" w:rsidRPr="00A646BC" w:rsidRDefault="00A646BC" w:rsidP="00A646BC">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3335E9A0" w14:textId="77777777" w:rsidR="00A646BC" w:rsidRPr="00A646BC" w:rsidRDefault="00A646BC" w:rsidP="00A646BC">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36506D34" w14:textId="77777777" w:rsidR="00A646BC" w:rsidRPr="00A646BC" w:rsidRDefault="00A646BC" w:rsidP="00A646BC">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467A21B5" w14:textId="77777777" w:rsidR="00A646BC" w:rsidRPr="00A646BC" w:rsidRDefault="00A646BC" w:rsidP="00A646BC">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r>
      <w:tr w:rsidR="00A646BC" w:rsidRPr="00A646BC" w14:paraId="684CA6A4" w14:textId="77777777" w:rsidTr="003C7F42">
        <w:tc>
          <w:tcPr>
            <w:cnfStyle w:val="001000000000" w:firstRow="0" w:lastRow="0" w:firstColumn="1" w:lastColumn="0" w:oddVBand="0" w:evenVBand="0" w:oddHBand="0" w:evenHBand="0" w:firstRowFirstColumn="0" w:firstRowLastColumn="0" w:lastRowFirstColumn="0" w:lastRowLastColumn="0"/>
            <w:tcW w:w="1596" w:type="dxa"/>
          </w:tcPr>
          <w:p w14:paraId="06086098" w14:textId="77777777" w:rsidR="00A646BC" w:rsidRPr="00A646BC" w:rsidRDefault="00A646BC" w:rsidP="00A646BC">
            <w:pPr>
              <w:keepNext/>
              <w:spacing w:line="240" w:lineRule="auto"/>
              <w:jc w:val="center"/>
              <w:rPr>
                <w:rFonts w:ascii="Arial" w:hAnsi="Arial" w:cs="Times New Roman"/>
                <w:sz w:val="22"/>
                <w:lang w:val="en-US"/>
              </w:rPr>
            </w:pPr>
            <w:r w:rsidRPr="00A646BC">
              <w:rPr>
                <w:rFonts w:ascii="Arial" w:hAnsi="Arial" w:cs="Times New Roman"/>
                <w:sz w:val="22"/>
                <w:lang w:val="en-US"/>
              </w:rPr>
              <w:t xml:space="preserve">Energetic (8) </w:t>
            </w:r>
          </w:p>
        </w:tc>
        <w:tc>
          <w:tcPr>
            <w:tcW w:w="1596" w:type="dxa"/>
          </w:tcPr>
          <w:p w14:paraId="0A6E5C6C" w14:textId="77777777" w:rsidR="00A646BC" w:rsidRPr="00A646BC" w:rsidRDefault="00A646BC" w:rsidP="00A646BC">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46DC4D5C" w14:textId="77777777" w:rsidR="00A646BC" w:rsidRPr="00A646BC" w:rsidRDefault="00A646BC" w:rsidP="00A646BC">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0C90B01F" w14:textId="77777777" w:rsidR="00A646BC" w:rsidRPr="00A646BC" w:rsidRDefault="00A646BC" w:rsidP="00A646BC">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25C145BE" w14:textId="77777777" w:rsidR="00A646BC" w:rsidRPr="00A646BC" w:rsidRDefault="00A646BC" w:rsidP="00A646BC">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029D5182" w14:textId="77777777" w:rsidR="00A646BC" w:rsidRPr="00A646BC" w:rsidRDefault="00A646BC" w:rsidP="00A646BC">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r>
      <w:tr w:rsidR="00A646BC" w:rsidRPr="00A646BC" w14:paraId="5BD85A5F" w14:textId="77777777" w:rsidTr="003C7F42">
        <w:tc>
          <w:tcPr>
            <w:cnfStyle w:val="001000000000" w:firstRow="0" w:lastRow="0" w:firstColumn="1" w:lastColumn="0" w:oddVBand="0" w:evenVBand="0" w:oddHBand="0" w:evenHBand="0" w:firstRowFirstColumn="0" w:firstRowLastColumn="0" w:lastRowFirstColumn="0" w:lastRowLastColumn="0"/>
            <w:tcW w:w="1596" w:type="dxa"/>
          </w:tcPr>
          <w:p w14:paraId="5FA1C72E" w14:textId="77777777" w:rsidR="00A646BC" w:rsidRPr="00A646BC" w:rsidRDefault="00A646BC" w:rsidP="00A646BC">
            <w:pPr>
              <w:keepNext/>
              <w:spacing w:line="240" w:lineRule="auto"/>
              <w:jc w:val="center"/>
              <w:rPr>
                <w:rFonts w:ascii="Arial" w:hAnsi="Arial" w:cs="Times New Roman"/>
                <w:sz w:val="22"/>
                <w:lang w:val="en-US"/>
              </w:rPr>
            </w:pPr>
            <w:r w:rsidRPr="00A646BC">
              <w:rPr>
                <w:rFonts w:ascii="Arial" w:hAnsi="Arial" w:cs="Times New Roman"/>
                <w:sz w:val="22"/>
                <w:lang w:val="en-US"/>
              </w:rPr>
              <w:t xml:space="preserve">Calm (9) </w:t>
            </w:r>
          </w:p>
        </w:tc>
        <w:tc>
          <w:tcPr>
            <w:tcW w:w="1596" w:type="dxa"/>
          </w:tcPr>
          <w:p w14:paraId="5C632C3E" w14:textId="77777777" w:rsidR="00A646BC" w:rsidRPr="00A646BC" w:rsidRDefault="00A646BC" w:rsidP="00A646BC">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63A51C04" w14:textId="77777777" w:rsidR="00A646BC" w:rsidRPr="00A646BC" w:rsidRDefault="00A646BC" w:rsidP="00A646BC">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5030A8F5" w14:textId="77777777" w:rsidR="00A646BC" w:rsidRPr="00A646BC" w:rsidRDefault="00A646BC" w:rsidP="00A646BC">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75CEA13B" w14:textId="77777777" w:rsidR="00A646BC" w:rsidRPr="00A646BC" w:rsidRDefault="00A646BC" w:rsidP="00A646BC">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130C59A9" w14:textId="77777777" w:rsidR="00A646BC" w:rsidRPr="00A646BC" w:rsidRDefault="00A646BC" w:rsidP="00A646BC">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r>
      <w:tr w:rsidR="00A646BC" w:rsidRPr="00A646BC" w14:paraId="7055C4FA" w14:textId="77777777" w:rsidTr="003C7F42">
        <w:tc>
          <w:tcPr>
            <w:cnfStyle w:val="001000000000" w:firstRow="0" w:lastRow="0" w:firstColumn="1" w:lastColumn="0" w:oddVBand="0" w:evenVBand="0" w:oddHBand="0" w:evenHBand="0" w:firstRowFirstColumn="0" w:firstRowLastColumn="0" w:lastRowFirstColumn="0" w:lastRowLastColumn="0"/>
            <w:tcW w:w="1596" w:type="dxa"/>
          </w:tcPr>
          <w:p w14:paraId="160FCE46" w14:textId="77777777" w:rsidR="00A646BC" w:rsidRPr="00A646BC" w:rsidRDefault="00A646BC" w:rsidP="00A646BC">
            <w:pPr>
              <w:keepNext/>
              <w:spacing w:line="240" w:lineRule="auto"/>
              <w:jc w:val="center"/>
              <w:rPr>
                <w:rFonts w:ascii="Arial" w:hAnsi="Arial" w:cs="Times New Roman"/>
                <w:sz w:val="22"/>
                <w:lang w:val="en-US"/>
              </w:rPr>
            </w:pPr>
            <w:r w:rsidRPr="00A646BC">
              <w:rPr>
                <w:rFonts w:ascii="Arial" w:hAnsi="Arial" w:cs="Times New Roman"/>
                <w:sz w:val="22"/>
                <w:lang w:val="en-US"/>
              </w:rPr>
              <w:t xml:space="preserve">Relaxed (10) </w:t>
            </w:r>
          </w:p>
        </w:tc>
        <w:tc>
          <w:tcPr>
            <w:tcW w:w="1596" w:type="dxa"/>
          </w:tcPr>
          <w:p w14:paraId="77690C26" w14:textId="77777777" w:rsidR="00A646BC" w:rsidRPr="00A646BC" w:rsidRDefault="00A646BC" w:rsidP="00A646BC">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1403FAE7" w14:textId="77777777" w:rsidR="00A646BC" w:rsidRPr="00A646BC" w:rsidRDefault="00A646BC" w:rsidP="00A646BC">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77BD3560" w14:textId="77777777" w:rsidR="00A646BC" w:rsidRPr="00A646BC" w:rsidRDefault="00A646BC" w:rsidP="00A646BC">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30B58C54" w14:textId="77777777" w:rsidR="00A646BC" w:rsidRPr="00A646BC" w:rsidRDefault="00A646BC" w:rsidP="00A646BC">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3FD52E15" w14:textId="77777777" w:rsidR="00A646BC" w:rsidRPr="00A646BC" w:rsidRDefault="00A646BC" w:rsidP="00A646BC">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r>
      <w:tr w:rsidR="00A646BC" w:rsidRPr="00A646BC" w14:paraId="720B2E3C" w14:textId="77777777" w:rsidTr="003C7F42">
        <w:tc>
          <w:tcPr>
            <w:cnfStyle w:val="001000000000" w:firstRow="0" w:lastRow="0" w:firstColumn="1" w:lastColumn="0" w:oddVBand="0" w:evenVBand="0" w:oddHBand="0" w:evenHBand="0" w:firstRowFirstColumn="0" w:firstRowLastColumn="0" w:lastRowFirstColumn="0" w:lastRowLastColumn="0"/>
            <w:tcW w:w="1596" w:type="dxa"/>
          </w:tcPr>
          <w:p w14:paraId="2572937F" w14:textId="77777777" w:rsidR="00A646BC" w:rsidRPr="00A646BC" w:rsidRDefault="00A646BC" w:rsidP="00A646BC">
            <w:pPr>
              <w:keepNext/>
              <w:spacing w:line="240" w:lineRule="auto"/>
              <w:jc w:val="center"/>
              <w:rPr>
                <w:rFonts w:ascii="Arial" w:hAnsi="Arial" w:cs="Times New Roman"/>
                <w:sz w:val="22"/>
                <w:lang w:val="en-US"/>
              </w:rPr>
            </w:pPr>
            <w:r w:rsidRPr="00A646BC">
              <w:rPr>
                <w:rFonts w:ascii="Arial" w:hAnsi="Arial" w:cs="Times New Roman"/>
                <w:sz w:val="22"/>
                <w:lang w:val="en-US"/>
              </w:rPr>
              <w:t xml:space="preserve">At ease (11) </w:t>
            </w:r>
          </w:p>
        </w:tc>
        <w:tc>
          <w:tcPr>
            <w:tcW w:w="1596" w:type="dxa"/>
          </w:tcPr>
          <w:p w14:paraId="37913F89" w14:textId="77777777" w:rsidR="00A646BC" w:rsidRPr="00A646BC" w:rsidRDefault="00A646BC" w:rsidP="00A646BC">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5A3F40C9" w14:textId="77777777" w:rsidR="00A646BC" w:rsidRPr="00A646BC" w:rsidRDefault="00A646BC" w:rsidP="00A646BC">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47A54CF0" w14:textId="77777777" w:rsidR="00A646BC" w:rsidRPr="00A646BC" w:rsidRDefault="00A646BC" w:rsidP="00A646BC">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2B857EF0" w14:textId="77777777" w:rsidR="00A646BC" w:rsidRPr="00A646BC" w:rsidRDefault="00A646BC" w:rsidP="00A646BC">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3B63784E" w14:textId="77777777" w:rsidR="00A646BC" w:rsidRPr="00A646BC" w:rsidRDefault="00A646BC" w:rsidP="00A646BC">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r>
      <w:tr w:rsidR="00A646BC" w:rsidRPr="00A646BC" w14:paraId="6D27E19F" w14:textId="77777777" w:rsidTr="003C7F42">
        <w:tc>
          <w:tcPr>
            <w:cnfStyle w:val="001000000000" w:firstRow="0" w:lastRow="0" w:firstColumn="1" w:lastColumn="0" w:oddVBand="0" w:evenVBand="0" w:oddHBand="0" w:evenHBand="0" w:firstRowFirstColumn="0" w:firstRowLastColumn="0" w:lastRowFirstColumn="0" w:lastRowLastColumn="0"/>
            <w:tcW w:w="1596" w:type="dxa"/>
          </w:tcPr>
          <w:p w14:paraId="31F9B533" w14:textId="77777777" w:rsidR="00A646BC" w:rsidRPr="00A646BC" w:rsidRDefault="00A646BC" w:rsidP="00A646BC">
            <w:pPr>
              <w:keepNext/>
              <w:spacing w:line="240" w:lineRule="auto"/>
              <w:jc w:val="center"/>
              <w:rPr>
                <w:rFonts w:ascii="Arial" w:hAnsi="Arial" w:cs="Times New Roman"/>
                <w:sz w:val="22"/>
                <w:lang w:val="en-US"/>
              </w:rPr>
            </w:pPr>
            <w:r w:rsidRPr="00A646BC">
              <w:rPr>
                <w:rFonts w:ascii="Arial" w:hAnsi="Arial" w:cs="Times New Roman"/>
                <w:sz w:val="22"/>
                <w:lang w:val="en-US"/>
              </w:rPr>
              <w:t xml:space="preserve">Afraid (12) </w:t>
            </w:r>
          </w:p>
        </w:tc>
        <w:tc>
          <w:tcPr>
            <w:tcW w:w="1596" w:type="dxa"/>
          </w:tcPr>
          <w:p w14:paraId="53A933AD" w14:textId="77777777" w:rsidR="00A646BC" w:rsidRPr="00A646BC" w:rsidRDefault="00A646BC" w:rsidP="00A646BC">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1D305EFF" w14:textId="77777777" w:rsidR="00A646BC" w:rsidRPr="00A646BC" w:rsidRDefault="00A646BC" w:rsidP="00A646BC">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63B92CBC" w14:textId="77777777" w:rsidR="00A646BC" w:rsidRPr="00A646BC" w:rsidRDefault="00A646BC" w:rsidP="00A646BC">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51F608CE" w14:textId="77777777" w:rsidR="00A646BC" w:rsidRPr="00A646BC" w:rsidRDefault="00A646BC" w:rsidP="00A646BC">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66BC9EE0" w14:textId="77777777" w:rsidR="00A646BC" w:rsidRPr="00A646BC" w:rsidRDefault="00A646BC" w:rsidP="00A646BC">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r>
      <w:tr w:rsidR="00A646BC" w:rsidRPr="00A646BC" w14:paraId="011380FD" w14:textId="77777777" w:rsidTr="003C7F42">
        <w:tc>
          <w:tcPr>
            <w:cnfStyle w:val="001000000000" w:firstRow="0" w:lastRow="0" w:firstColumn="1" w:lastColumn="0" w:oddVBand="0" w:evenVBand="0" w:oddHBand="0" w:evenHBand="0" w:firstRowFirstColumn="0" w:firstRowLastColumn="0" w:lastRowFirstColumn="0" w:lastRowLastColumn="0"/>
            <w:tcW w:w="1596" w:type="dxa"/>
          </w:tcPr>
          <w:p w14:paraId="2E078055" w14:textId="77777777" w:rsidR="00A646BC" w:rsidRPr="00A646BC" w:rsidRDefault="00A646BC" w:rsidP="00A646BC">
            <w:pPr>
              <w:keepNext/>
              <w:spacing w:line="240" w:lineRule="auto"/>
              <w:jc w:val="center"/>
              <w:rPr>
                <w:rFonts w:ascii="Arial" w:hAnsi="Arial" w:cs="Times New Roman"/>
                <w:sz w:val="22"/>
                <w:lang w:val="en-US"/>
              </w:rPr>
            </w:pPr>
            <w:r w:rsidRPr="00A646BC">
              <w:rPr>
                <w:rFonts w:ascii="Arial" w:hAnsi="Arial" w:cs="Times New Roman"/>
                <w:sz w:val="22"/>
                <w:lang w:val="en-US"/>
              </w:rPr>
              <w:t xml:space="preserve">Upset (13) </w:t>
            </w:r>
          </w:p>
        </w:tc>
        <w:tc>
          <w:tcPr>
            <w:tcW w:w="1596" w:type="dxa"/>
          </w:tcPr>
          <w:p w14:paraId="70D3022F" w14:textId="77777777" w:rsidR="00A646BC" w:rsidRPr="00A646BC" w:rsidRDefault="00A646BC" w:rsidP="00A646BC">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6A07C5F3" w14:textId="77777777" w:rsidR="00A646BC" w:rsidRPr="00A646BC" w:rsidRDefault="00A646BC" w:rsidP="00A646BC">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4741E54D" w14:textId="77777777" w:rsidR="00A646BC" w:rsidRPr="00A646BC" w:rsidRDefault="00A646BC" w:rsidP="00A646BC">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460695A3" w14:textId="77777777" w:rsidR="00A646BC" w:rsidRPr="00A646BC" w:rsidRDefault="00A646BC" w:rsidP="00A646BC">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05A75FD1" w14:textId="77777777" w:rsidR="00A646BC" w:rsidRPr="00A646BC" w:rsidRDefault="00A646BC" w:rsidP="00A646BC">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r>
      <w:tr w:rsidR="00A646BC" w:rsidRPr="00A646BC" w14:paraId="1932FF00" w14:textId="77777777" w:rsidTr="003C7F42">
        <w:tc>
          <w:tcPr>
            <w:cnfStyle w:val="001000000000" w:firstRow="0" w:lastRow="0" w:firstColumn="1" w:lastColumn="0" w:oddVBand="0" w:evenVBand="0" w:oddHBand="0" w:evenHBand="0" w:firstRowFirstColumn="0" w:firstRowLastColumn="0" w:lastRowFirstColumn="0" w:lastRowLastColumn="0"/>
            <w:tcW w:w="1596" w:type="dxa"/>
          </w:tcPr>
          <w:p w14:paraId="644815E4" w14:textId="77777777" w:rsidR="00A646BC" w:rsidRPr="00A646BC" w:rsidRDefault="00A646BC" w:rsidP="00A646BC">
            <w:pPr>
              <w:keepNext/>
              <w:spacing w:line="240" w:lineRule="auto"/>
              <w:jc w:val="center"/>
              <w:rPr>
                <w:rFonts w:ascii="Arial" w:hAnsi="Arial" w:cs="Times New Roman"/>
                <w:sz w:val="22"/>
                <w:lang w:val="en-US"/>
              </w:rPr>
            </w:pPr>
            <w:r w:rsidRPr="00A646BC">
              <w:rPr>
                <w:rFonts w:ascii="Arial" w:hAnsi="Arial" w:cs="Times New Roman"/>
                <w:sz w:val="22"/>
                <w:lang w:val="en-US"/>
              </w:rPr>
              <w:t xml:space="preserve">Hostile (14) </w:t>
            </w:r>
          </w:p>
        </w:tc>
        <w:tc>
          <w:tcPr>
            <w:tcW w:w="1596" w:type="dxa"/>
          </w:tcPr>
          <w:p w14:paraId="3C7CBD92" w14:textId="77777777" w:rsidR="00A646BC" w:rsidRPr="00A646BC" w:rsidRDefault="00A646BC" w:rsidP="00A646BC">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18816501" w14:textId="77777777" w:rsidR="00A646BC" w:rsidRPr="00A646BC" w:rsidRDefault="00A646BC" w:rsidP="00A646BC">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370C9E79" w14:textId="77777777" w:rsidR="00A646BC" w:rsidRPr="00A646BC" w:rsidRDefault="00A646BC" w:rsidP="00A646BC">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7A2849E4" w14:textId="77777777" w:rsidR="00A646BC" w:rsidRPr="00A646BC" w:rsidRDefault="00A646BC" w:rsidP="00A646BC">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76A7AA08" w14:textId="77777777" w:rsidR="00A646BC" w:rsidRPr="00A646BC" w:rsidRDefault="00A646BC" w:rsidP="00A646BC">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r>
      <w:tr w:rsidR="00A646BC" w:rsidRPr="00A646BC" w14:paraId="5DEEB693" w14:textId="77777777" w:rsidTr="003C7F42">
        <w:tc>
          <w:tcPr>
            <w:cnfStyle w:val="001000000000" w:firstRow="0" w:lastRow="0" w:firstColumn="1" w:lastColumn="0" w:oddVBand="0" w:evenVBand="0" w:oddHBand="0" w:evenHBand="0" w:firstRowFirstColumn="0" w:firstRowLastColumn="0" w:lastRowFirstColumn="0" w:lastRowLastColumn="0"/>
            <w:tcW w:w="1596" w:type="dxa"/>
          </w:tcPr>
          <w:p w14:paraId="546D73D9" w14:textId="77777777" w:rsidR="00A646BC" w:rsidRPr="00A646BC" w:rsidRDefault="00A646BC" w:rsidP="00A646BC">
            <w:pPr>
              <w:keepNext/>
              <w:spacing w:line="240" w:lineRule="auto"/>
              <w:jc w:val="center"/>
              <w:rPr>
                <w:rFonts w:ascii="Arial" w:hAnsi="Arial" w:cs="Times New Roman"/>
                <w:sz w:val="22"/>
                <w:lang w:val="en-US"/>
              </w:rPr>
            </w:pPr>
            <w:r w:rsidRPr="00A646BC">
              <w:rPr>
                <w:rFonts w:ascii="Arial" w:hAnsi="Arial" w:cs="Times New Roman"/>
                <w:sz w:val="22"/>
                <w:lang w:val="en-US"/>
              </w:rPr>
              <w:t xml:space="preserve">Ashamed (15) </w:t>
            </w:r>
          </w:p>
        </w:tc>
        <w:tc>
          <w:tcPr>
            <w:tcW w:w="1596" w:type="dxa"/>
          </w:tcPr>
          <w:p w14:paraId="0602254D" w14:textId="77777777" w:rsidR="00A646BC" w:rsidRPr="00A646BC" w:rsidRDefault="00A646BC" w:rsidP="00A646BC">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1B5DA9CE" w14:textId="77777777" w:rsidR="00A646BC" w:rsidRPr="00A646BC" w:rsidRDefault="00A646BC" w:rsidP="00A646BC">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73480B77" w14:textId="77777777" w:rsidR="00A646BC" w:rsidRPr="00A646BC" w:rsidRDefault="00A646BC" w:rsidP="00A646BC">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2DECC6F2" w14:textId="77777777" w:rsidR="00A646BC" w:rsidRPr="00A646BC" w:rsidRDefault="00A646BC" w:rsidP="00A646BC">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6F990F59" w14:textId="77777777" w:rsidR="00A646BC" w:rsidRPr="00A646BC" w:rsidRDefault="00A646BC" w:rsidP="00A646BC">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r>
      <w:tr w:rsidR="00A646BC" w:rsidRPr="00A646BC" w14:paraId="3F2FE7B0" w14:textId="77777777" w:rsidTr="003C7F42">
        <w:tc>
          <w:tcPr>
            <w:cnfStyle w:val="001000000000" w:firstRow="0" w:lastRow="0" w:firstColumn="1" w:lastColumn="0" w:oddVBand="0" w:evenVBand="0" w:oddHBand="0" w:evenHBand="0" w:firstRowFirstColumn="0" w:firstRowLastColumn="0" w:lastRowFirstColumn="0" w:lastRowLastColumn="0"/>
            <w:tcW w:w="1596" w:type="dxa"/>
          </w:tcPr>
          <w:p w14:paraId="29DF1F50" w14:textId="77777777" w:rsidR="00A646BC" w:rsidRPr="00A646BC" w:rsidRDefault="00A646BC" w:rsidP="00A646BC">
            <w:pPr>
              <w:keepNext/>
              <w:spacing w:line="240" w:lineRule="auto"/>
              <w:jc w:val="center"/>
              <w:rPr>
                <w:rFonts w:ascii="Arial" w:hAnsi="Arial" w:cs="Times New Roman"/>
                <w:sz w:val="22"/>
                <w:lang w:val="en-US"/>
              </w:rPr>
            </w:pPr>
            <w:r w:rsidRPr="00A646BC">
              <w:rPr>
                <w:rFonts w:ascii="Arial" w:hAnsi="Arial" w:cs="Times New Roman"/>
                <w:sz w:val="22"/>
                <w:lang w:val="en-US"/>
              </w:rPr>
              <w:t xml:space="preserve">Nervous (16) </w:t>
            </w:r>
          </w:p>
        </w:tc>
        <w:tc>
          <w:tcPr>
            <w:tcW w:w="1596" w:type="dxa"/>
          </w:tcPr>
          <w:p w14:paraId="6FC107D7" w14:textId="77777777" w:rsidR="00A646BC" w:rsidRPr="00A646BC" w:rsidRDefault="00A646BC" w:rsidP="00A646BC">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5B56C3C2" w14:textId="77777777" w:rsidR="00A646BC" w:rsidRPr="00A646BC" w:rsidRDefault="00A646BC" w:rsidP="00A646BC">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2AA0BEAC" w14:textId="77777777" w:rsidR="00A646BC" w:rsidRPr="00A646BC" w:rsidRDefault="00A646BC" w:rsidP="00A646BC">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73BF941D" w14:textId="77777777" w:rsidR="00A646BC" w:rsidRPr="00A646BC" w:rsidRDefault="00A646BC" w:rsidP="00A646BC">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17A20F41" w14:textId="77777777" w:rsidR="00A646BC" w:rsidRPr="00A646BC" w:rsidRDefault="00A646BC" w:rsidP="00A646BC">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r>
    </w:tbl>
    <w:p w14:paraId="2BD811D2" w14:textId="77777777" w:rsidR="00A646BC" w:rsidRPr="00A646BC" w:rsidRDefault="00A646BC" w:rsidP="00A646BC">
      <w:pPr>
        <w:spacing w:after="0" w:line="276" w:lineRule="auto"/>
        <w:jc w:val="left"/>
        <w:rPr>
          <w:rFonts w:ascii="Arial" w:eastAsia="Times New Roman" w:hAnsi="Arial" w:cs="Times New Roman"/>
          <w:sz w:val="22"/>
          <w:lang w:val="en-US"/>
        </w:rPr>
      </w:pPr>
    </w:p>
    <w:p w14:paraId="1B3078B0" w14:textId="77777777" w:rsidR="00A646BC" w:rsidRPr="00A646BC" w:rsidRDefault="00A646BC" w:rsidP="00A646BC">
      <w:pPr>
        <w:spacing w:after="0" w:line="276" w:lineRule="auto"/>
        <w:jc w:val="left"/>
        <w:rPr>
          <w:rFonts w:ascii="Arial" w:eastAsia="Times New Roman" w:hAnsi="Arial" w:cs="Times New Roman"/>
          <w:sz w:val="22"/>
          <w:lang w:val="en-US"/>
        </w:rPr>
      </w:pPr>
    </w:p>
    <w:p w14:paraId="2D92B1C9" w14:textId="77777777" w:rsidR="00A646BC" w:rsidRPr="00A646BC" w:rsidRDefault="00A646BC" w:rsidP="00A646BC">
      <w:pPr>
        <w:pBdr>
          <w:top w:val="dashed" w:sz="8" w:space="0" w:color="CCCCCC"/>
        </w:pBdr>
        <w:spacing w:before="120" w:after="120" w:line="120" w:lineRule="auto"/>
        <w:jc w:val="left"/>
        <w:rPr>
          <w:rFonts w:ascii="Arial" w:eastAsia="Times New Roman" w:hAnsi="Arial" w:cs="Times New Roman"/>
          <w:sz w:val="22"/>
          <w:lang w:val="en-US"/>
        </w:rPr>
      </w:pPr>
    </w:p>
    <w:tbl>
      <w:tblPr>
        <w:tblStyle w:val="QQuestionIconTable"/>
        <w:tblW w:w="50" w:type="auto"/>
        <w:tblLook w:val="07E0" w:firstRow="1" w:lastRow="1" w:firstColumn="1" w:lastColumn="1" w:noHBand="1" w:noVBand="1"/>
      </w:tblPr>
      <w:tblGrid>
        <w:gridCol w:w="380"/>
      </w:tblGrid>
      <w:tr w:rsidR="00A646BC" w:rsidRPr="00A646BC" w14:paraId="7A018DCE" w14:textId="77777777" w:rsidTr="003C7F42">
        <w:tc>
          <w:tcPr>
            <w:tcW w:w="50" w:type="dxa"/>
          </w:tcPr>
          <w:p w14:paraId="6FBB282F" w14:textId="77777777" w:rsidR="00A646BC" w:rsidRPr="00A646BC" w:rsidRDefault="00A646BC" w:rsidP="00A646BC">
            <w:pPr>
              <w:keepNext/>
              <w:spacing w:line="240" w:lineRule="auto"/>
              <w:jc w:val="center"/>
              <w:rPr>
                <w:rFonts w:ascii="Arial" w:eastAsia="Times New Roman" w:hAnsi="Arial" w:cs="Times New Roman"/>
                <w:sz w:val="22"/>
                <w:lang w:val="en-US"/>
              </w:rPr>
            </w:pPr>
            <w:r w:rsidRPr="00A646BC">
              <w:rPr>
                <w:rFonts w:ascii="Arial" w:eastAsia="Times New Roman" w:hAnsi="Arial" w:cs="Times New Roman"/>
                <w:noProof/>
                <w:sz w:val="22"/>
                <w:lang w:val="en-US"/>
              </w:rPr>
              <w:drawing>
                <wp:inline distT="0" distB="0" distL="0" distR="0" wp14:anchorId="2E591C12" wp14:editId="2B969A1C">
                  <wp:extent cx="228600" cy="228600"/>
                  <wp:effectExtent l="0" t="0" r="0" b="0"/>
                  <wp:docPr id="10" name="WordQuestionJavaScrip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WordQuestionJavaScript.png"/>
                          <pic:cNvPicPr/>
                        </pic:nvPicPr>
                        <pic:blipFill>
                          <a:blip r:embed="rId69"/>
                          <a:stretch>
                            <a:fillRect/>
                          </a:stretch>
                        </pic:blipFill>
                        <pic:spPr>
                          <a:xfrm>
                            <a:off x="0" y="0"/>
                            <a:ext cx="228600" cy="228600"/>
                          </a:xfrm>
                          <a:prstGeom prst="rect">
                            <a:avLst/>
                          </a:prstGeom>
                        </pic:spPr>
                      </pic:pic>
                    </a:graphicData>
                  </a:graphic>
                </wp:inline>
              </w:drawing>
            </w:r>
          </w:p>
        </w:tc>
      </w:tr>
    </w:tbl>
    <w:p w14:paraId="28AA060F" w14:textId="77777777" w:rsidR="00A646BC" w:rsidRPr="00A646BC" w:rsidRDefault="00A646BC" w:rsidP="00A646BC">
      <w:pPr>
        <w:spacing w:after="0" w:line="276" w:lineRule="auto"/>
        <w:jc w:val="left"/>
        <w:rPr>
          <w:rFonts w:ascii="Arial" w:eastAsia="Times New Roman" w:hAnsi="Arial" w:cs="Times New Roman"/>
          <w:sz w:val="22"/>
          <w:lang w:val="en-US"/>
        </w:rPr>
      </w:pPr>
    </w:p>
    <w:p w14:paraId="1DB7286C" w14:textId="77777777" w:rsidR="00A646BC" w:rsidRPr="00A646BC" w:rsidRDefault="00A646BC" w:rsidP="00A646BC">
      <w:pPr>
        <w:keepNext/>
        <w:spacing w:after="0" w:line="276" w:lineRule="auto"/>
        <w:jc w:val="left"/>
        <w:rPr>
          <w:rFonts w:ascii="Arial" w:eastAsia="Times New Roman" w:hAnsi="Arial" w:cs="Times New Roman"/>
          <w:sz w:val="22"/>
          <w:lang w:val="en-US"/>
        </w:rPr>
      </w:pPr>
      <w:proofErr w:type="spellStart"/>
      <w:r w:rsidRPr="00A646BC">
        <w:rPr>
          <w:rFonts w:ascii="Arial" w:eastAsia="Times New Roman" w:hAnsi="Arial" w:cs="Times New Roman"/>
          <w:sz w:val="22"/>
          <w:lang w:val="en-US"/>
        </w:rPr>
        <w:t>time_park_start</w:t>
      </w:r>
      <w:proofErr w:type="spellEnd"/>
      <w:r w:rsidRPr="00A646BC">
        <w:rPr>
          <w:rFonts w:ascii="Arial" w:eastAsia="Times New Roman" w:hAnsi="Arial" w:cs="Times New Roman"/>
          <w:sz w:val="22"/>
          <w:lang w:val="en-US"/>
        </w:rPr>
        <w:t xml:space="preserve"> Click to write the question text</w:t>
      </w:r>
    </w:p>
    <w:p w14:paraId="169668D7" w14:textId="77777777" w:rsidR="00A646BC" w:rsidRPr="00A646BC" w:rsidRDefault="00A646BC" w:rsidP="00A646BC">
      <w:pPr>
        <w:spacing w:before="240" w:after="0" w:line="240" w:lineRule="auto"/>
        <w:ind w:firstLine="400"/>
        <w:jc w:val="left"/>
        <w:rPr>
          <w:rFonts w:ascii="Arial" w:eastAsia="Times New Roman" w:hAnsi="Arial" w:cs="Times New Roman"/>
          <w:sz w:val="22"/>
          <w:lang w:val="en-US"/>
        </w:rPr>
      </w:pPr>
      <w:r w:rsidRPr="00A646BC">
        <w:rPr>
          <w:rFonts w:ascii="Arial" w:eastAsia="Times New Roman" w:hAnsi="Arial" w:cs="Times New Roman"/>
          <w:sz w:val="22"/>
          <w:lang w:val="en-US"/>
        </w:rPr>
        <w:t>________________________________________________________________</w:t>
      </w:r>
    </w:p>
    <w:p w14:paraId="2340BD06" w14:textId="77777777" w:rsidR="00A646BC" w:rsidRPr="00A646BC" w:rsidRDefault="00A646BC" w:rsidP="00A646BC">
      <w:pPr>
        <w:spacing w:after="0" w:line="276" w:lineRule="auto"/>
        <w:jc w:val="left"/>
        <w:rPr>
          <w:rFonts w:ascii="Arial" w:eastAsia="Times New Roman" w:hAnsi="Arial" w:cs="Times New Roman"/>
          <w:sz w:val="22"/>
          <w:lang w:val="en-US"/>
        </w:rPr>
      </w:pPr>
    </w:p>
    <w:p w14:paraId="05A05C82" w14:textId="77777777" w:rsidR="00A646BC" w:rsidRPr="00A646BC" w:rsidRDefault="00A646BC" w:rsidP="00A646BC">
      <w:pPr>
        <w:spacing w:before="120" w:after="0" w:line="240" w:lineRule="auto"/>
        <w:jc w:val="left"/>
        <w:rPr>
          <w:rFonts w:ascii="Arial" w:eastAsia="Times New Roman" w:hAnsi="Arial" w:cs="Times New Roman"/>
          <w:b/>
          <w:color w:val="CCCCCC"/>
          <w:sz w:val="22"/>
          <w:lang w:val="en-US"/>
        </w:rPr>
      </w:pPr>
      <w:r w:rsidRPr="00A646BC">
        <w:rPr>
          <w:rFonts w:ascii="Arial" w:eastAsia="Times New Roman" w:hAnsi="Arial" w:cs="Times New Roman"/>
          <w:b/>
          <w:color w:val="CCCCCC"/>
          <w:sz w:val="22"/>
          <w:lang w:val="en-US"/>
        </w:rPr>
        <w:t xml:space="preserve">End of Block: </w:t>
      </w:r>
      <w:proofErr w:type="spellStart"/>
      <w:r w:rsidRPr="00A646BC">
        <w:rPr>
          <w:rFonts w:ascii="Arial" w:eastAsia="Times New Roman" w:hAnsi="Arial" w:cs="Times New Roman"/>
          <w:b/>
          <w:color w:val="CCCCCC"/>
          <w:sz w:val="22"/>
          <w:lang w:val="en-US"/>
        </w:rPr>
        <w:t>PanasX_cool_stress</w:t>
      </w:r>
      <w:proofErr w:type="spellEnd"/>
    </w:p>
    <w:p w14:paraId="7409AC15" w14:textId="77777777" w:rsidR="00A646BC" w:rsidRPr="00A646BC" w:rsidRDefault="00A646BC" w:rsidP="00A646BC">
      <w:pPr>
        <w:pBdr>
          <w:bottom w:val="single" w:sz="8" w:space="0" w:color="CCCCCC"/>
        </w:pBdr>
        <w:spacing w:after="0" w:line="120" w:lineRule="auto"/>
        <w:jc w:val="center"/>
        <w:rPr>
          <w:rFonts w:ascii="Arial" w:eastAsia="Times New Roman" w:hAnsi="Arial" w:cs="Times New Roman"/>
          <w:b/>
          <w:color w:val="CCCCCC"/>
          <w:sz w:val="22"/>
          <w:lang w:val="en-US"/>
        </w:rPr>
      </w:pPr>
    </w:p>
    <w:p w14:paraId="321B9F0F" w14:textId="77777777" w:rsidR="00A646BC" w:rsidRPr="00A646BC" w:rsidRDefault="00A646BC" w:rsidP="00A646BC">
      <w:pPr>
        <w:spacing w:before="120" w:after="120" w:line="240" w:lineRule="auto"/>
        <w:jc w:val="left"/>
        <w:rPr>
          <w:rFonts w:ascii="Arial" w:eastAsia="Times New Roman" w:hAnsi="Arial" w:cs="Times New Roman"/>
          <w:b/>
          <w:color w:val="CCCCCC"/>
          <w:sz w:val="22"/>
          <w:lang w:val="en-US"/>
        </w:rPr>
      </w:pPr>
      <w:r w:rsidRPr="00A646BC">
        <w:rPr>
          <w:rFonts w:ascii="Arial" w:eastAsia="Times New Roman" w:hAnsi="Arial" w:cs="Times New Roman"/>
          <w:b/>
          <w:color w:val="CCCCCC"/>
          <w:sz w:val="22"/>
          <w:lang w:val="en-US"/>
        </w:rPr>
        <w:t>Start of Block: Relax_tour5</w:t>
      </w:r>
    </w:p>
    <w:p w14:paraId="68B1DEFC" w14:textId="77777777" w:rsidR="00A646BC" w:rsidRPr="00A646BC" w:rsidRDefault="00A646BC" w:rsidP="00A646BC">
      <w:pPr>
        <w:spacing w:before="120" w:after="120" w:line="240" w:lineRule="auto"/>
        <w:jc w:val="left"/>
        <w:rPr>
          <w:rFonts w:ascii="Arial" w:eastAsia="Times New Roman" w:hAnsi="Arial" w:cs="Times New Roman"/>
          <w:b/>
          <w:color w:val="CCCCCC"/>
          <w:sz w:val="22"/>
          <w:lang w:val="en-US"/>
        </w:rPr>
      </w:pPr>
      <w:r w:rsidRPr="00A646BC">
        <w:rPr>
          <w:rFonts w:ascii="Arial" w:eastAsia="Times New Roman" w:hAnsi="Arial" w:cs="Times New Roman"/>
          <w:b/>
          <w:color w:val="CCCCCC"/>
          <w:sz w:val="22"/>
          <w:lang w:val="en-US"/>
        </w:rPr>
        <w:br/>
        <w:t xml:space="preserve">This page contains your second task. You will explore an urban park through a virtual tour for a few minutes.  </w:t>
      </w:r>
      <w:r w:rsidRPr="00A646BC">
        <w:rPr>
          <w:rFonts w:ascii="Arial" w:eastAsia="Times New Roman" w:hAnsi="Arial" w:cs="Times New Roman"/>
          <w:b/>
          <w:color w:val="CCCCCC"/>
          <w:sz w:val="22"/>
          <w:lang w:val="en-US"/>
        </w:rPr>
        <w:br/>
        <w:t xml:space="preserve">   </w:t>
      </w:r>
      <w:r w:rsidRPr="00A646BC">
        <w:rPr>
          <w:rFonts w:ascii="Arial" w:eastAsia="Times New Roman" w:hAnsi="Arial" w:cs="Times New Roman"/>
          <w:b/>
          <w:color w:val="CCCCCC"/>
          <w:sz w:val="22"/>
          <w:lang w:val="en-US"/>
        </w:rPr>
        <w:br/>
        <w:t xml:space="preserve">Your tour will start in the </w:t>
      </w:r>
      <w:proofErr w:type="spellStart"/>
      <w:r w:rsidRPr="00A646BC">
        <w:rPr>
          <w:rFonts w:ascii="Arial" w:eastAsia="Times New Roman" w:hAnsi="Arial" w:cs="Times New Roman"/>
          <w:b/>
          <w:color w:val="CCCCCC"/>
          <w:sz w:val="22"/>
          <w:lang w:val="en-US"/>
        </w:rPr>
        <w:t>centre</w:t>
      </w:r>
      <w:proofErr w:type="spellEnd"/>
      <w:r w:rsidRPr="00A646BC">
        <w:rPr>
          <w:rFonts w:ascii="Arial" w:eastAsia="Times New Roman" w:hAnsi="Arial" w:cs="Times New Roman"/>
          <w:b/>
          <w:color w:val="CCCCCC"/>
          <w:sz w:val="22"/>
          <w:lang w:val="en-US"/>
        </w:rPr>
        <w:t xml:space="preserve"> of the park, but you are free to "walk" in any direction.  </w:t>
      </w:r>
      <w:r w:rsidRPr="00A646BC">
        <w:rPr>
          <w:rFonts w:ascii="Arial" w:eastAsia="Times New Roman" w:hAnsi="Arial" w:cs="Times New Roman"/>
          <w:b/>
          <w:color w:val="CCCCCC"/>
          <w:sz w:val="22"/>
          <w:lang w:val="en-US"/>
        </w:rPr>
        <w:br/>
        <w:t xml:space="preserve">Click and drag to move the camera around. This works just like </w:t>
      </w:r>
      <w:proofErr w:type="gramStart"/>
      <w:r w:rsidRPr="00A646BC">
        <w:rPr>
          <w:rFonts w:ascii="Arial" w:eastAsia="Times New Roman" w:hAnsi="Arial" w:cs="Times New Roman"/>
          <w:b/>
          <w:color w:val="CCCCCC"/>
          <w:sz w:val="22"/>
          <w:lang w:val="en-US"/>
        </w:rPr>
        <w:t>Google street</w:t>
      </w:r>
      <w:proofErr w:type="gramEnd"/>
      <w:r w:rsidRPr="00A646BC">
        <w:rPr>
          <w:rFonts w:ascii="Arial" w:eastAsia="Times New Roman" w:hAnsi="Arial" w:cs="Times New Roman"/>
          <w:b/>
          <w:color w:val="CCCCCC"/>
          <w:sz w:val="22"/>
          <w:lang w:val="en-US"/>
        </w:rPr>
        <w:t xml:space="preserve"> view!  </w:t>
      </w:r>
      <w:r w:rsidRPr="00A646BC">
        <w:rPr>
          <w:rFonts w:ascii="Arial" w:eastAsia="Times New Roman" w:hAnsi="Arial" w:cs="Times New Roman"/>
          <w:b/>
          <w:color w:val="CCCCCC"/>
          <w:sz w:val="22"/>
          <w:lang w:val="en-US"/>
        </w:rPr>
        <w:br/>
        <w:t xml:space="preserve">   </w:t>
      </w:r>
      <w:r w:rsidRPr="00A646BC">
        <w:rPr>
          <w:rFonts w:ascii="Arial" w:eastAsia="Times New Roman" w:hAnsi="Arial" w:cs="Times New Roman"/>
          <w:b/>
          <w:color w:val="CCCCCC"/>
          <w:sz w:val="22"/>
          <w:lang w:val="en-US"/>
        </w:rPr>
        <w:br/>
        <w:t xml:space="preserve">  </w:t>
      </w:r>
      <w:r w:rsidRPr="00A646BC">
        <w:rPr>
          <w:rFonts w:ascii="Arial" w:eastAsia="Times New Roman" w:hAnsi="Arial" w:cs="Times New Roman"/>
          <w:b/>
          <w:color w:val="CCCCCC"/>
          <w:sz w:val="22"/>
          <w:lang w:val="en-US"/>
        </w:rPr>
        <w:br/>
        <w:t xml:space="preserve">   </w:t>
      </w:r>
      <w:r w:rsidRPr="00A646BC">
        <w:rPr>
          <w:rFonts w:ascii="Arial" w:eastAsia="Times New Roman" w:hAnsi="Arial" w:cs="Times New Roman"/>
          <w:b/>
          <w:color w:val="CCCCCC"/>
          <w:sz w:val="22"/>
          <w:lang w:val="en-US"/>
        </w:rPr>
        <w:br/>
        <w:t> </w:t>
      </w:r>
    </w:p>
    <w:p w14:paraId="0AC44FE7" w14:textId="77777777" w:rsidR="00A646BC" w:rsidRPr="00A646BC" w:rsidRDefault="00A646BC" w:rsidP="00A646BC">
      <w:pPr>
        <w:spacing w:after="0" w:line="276" w:lineRule="auto"/>
        <w:jc w:val="left"/>
        <w:rPr>
          <w:rFonts w:ascii="Arial" w:eastAsia="Times New Roman" w:hAnsi="Arial" w:cs="Times New Roman"/>
          <w:sz w:val="22"/>
          <w:lang w:val="en-US"/>
        </w:rPr>
      </w:pPr>
    </w:p>
    <w:p w14:paraId="283A090B" w14:textId="77777777" w:rsidR="00A646BC" w:rsidRPr="00A646BC" w:rsidRDefault="00A646BC" w:rsidP="00A646BC">
      <w:pPr>
        <w:pBdr>
          <w:top w:val="dashed" w:sz="8" w:space="0" w:color="CCCCCC"/>
        </w:pBdr>
        <w:spacing w:before="120" w:after="120" w:line="120" w:lineRule="auto"/>
        <w:jc w:val="left"/>
        <w:rPr>
          <w:rFonts w:ascii="Arial" w:eastAsia="Times New Roman" w:hAnsi="Arial" w:cs="Times New Roman"/>
          <w:sz w:val="22"/>
          <w:lang w:val="en-US"/>
        </w:rPr>
      </w:pPr>
    </w:p>
    <w:p w14:paraId="5579A058" w14:textId="77777777" w:rsidR="00A646BC" w:rsidRPr="00A646BC" w:rsidRDefault="00A646BC" w:rsidP="00A646BC">
      <w:pPr>
        <w:keepNext/>
        <w:shd w:val="clear" w:color="auto" w:fill="6898BB"/>
        <w:spacing w:before="120" w:after="120" w:line="240" w:lineRule="auto"/>
        <w:jc w:val="left"/>
        <w:rPr>
          <w:rFonts w:ascii="Arial" w:eastAsia="Times New Roman" w:hAnsi="Arial" w:cs="Times New Roman"/>
          <w:i/>
          <w:color w:val="FFFFFF"/>
          <w:sz w:val="20"/>
          <w:lang w:val="en-US"/>
        </w:rPr>
      </w:pPr>
      <w:r w:rsidRPr="00A646BC">
        <w:rPr>
          <w:rFonts w:ascii="Arial" w:eastAsia="Times New Roman" w:hAnsi="Arial" w:cs="Times New Roman"/>
          <w:i/>
          <w:color w:val="FFFFFF"/>
          <w:sz w:val="20"/>
          <w:lang w:val="en-US"/>
        </w:rPr>
        <w:t>Display This Question:</w:t>
      </w:r>
    </w:p>
    <w:p w14:paraId="36093666" w14:textId="77777777" w:rsidR="00A646BC" w:rsidRPr="00A646BC" w:rsidRDefault="00A646BC" w:rsidP="00A646BC">
      <w:pPr>
        <w:keepNext/>
        <w:shd w:val="clear" w:color="auto" w:fill="6898BB"/>
        <w:spacing w:before="120" w:after="120" w:line="240" w:lineRule="auto"/>
        <w:ind w:firstLine="400"/>
        <w:jc w:val="left"/>
        <w:rPr>
          <w:rFonts w:ascii="Arial" w:eastAsia="Times New Roman" w:hAnsi="Arial" w:cs="Times New Roman"/>
          <w:i/>
          <w:color w:val="FFFFFF"/>
          <w:sz w:val="20"/>
          <w:lang w:val="en-US"/>
        </w:rPr>
      </w:pPr>
      <w:r w:rsidRPr="00A646BC">
        <w:rPr>
          <w:rFonts w:ascii="Arial" w:eastAsia="Times New Roman" w:hAnsi="Arial" w:cs="Times New Roman"/>
          <w:i/>
          <w:color w:val="FFFFFF"/>
          <w:sz w:val="20"/>
          <w:lang w:val="en-US"/>
        </w:rPr>
        <w:t>If Device Type Is Not Mobile</w:t>
      </w:r>
    </w:p>
    <w:p w14:paraId="1A78A626" w14:textId="77777777" w:rsidR="00A646BC" w:rsidRPr="00A646BC" w:rsidRDefault="00A646BC" w:rsidP="00A646BC">
      <w:pPr>
        <w:spacing w:after="0" w:line="276" w:lineRule="auto"/>
        <w:jc w:val="left"/>
        <w:rPr>
          <w:rFonts w:ascii="Arial" w:eastAsia="Times New Roman" w:hAnsi="Arial" w:cs="Times New Roman"/>
          <w:sz w:val="22"/>
          <w:lang w:val="en-US"/>
        </w:rPr>
      </w:pPr>
    </w:p>
    <w:p w14:paraId="218AB109" w14:textId="77777777" w:rsidR="00A646BC" w:rsidRPr="00A646BC" w:rsidRDefault="00A646BC" w:rsidP="00A646BC">
      <w:pPr>
        <w:keepNext/>
        <w:spacing w:after="0" w:line="276" w:lineRule="auto"/>
        <w:jc w:val="left"/>
        <w:rPr>
          <w:rFonts w:ascii="Arial" w:eastAsia="Times New Roman" w:hAnsi="Arial" w:cs="Times New Roman"/>
          <w:sz w:val="22"/>
          <w:lang w:val="en-US"/>
        </w:rPr>
      </w:pPr>
      <w:r w:rsidRPr="00A646BC">
        <w:rPr>
          <w:rFonts w:ascii="Arial" w:eastAsia="Times New Roman" w:hAnsi="Arial" w:cs="Times New Roman"/>
          <w:sz w:val="22"/>
          <w:lang w:val="en-US"/>
        </w:rPr>
        <w:t xml:space="preserve">tour5_PC </w:t>
      </w:r>
      <w:r w:rsidRPr="00A646BC">
        <w:rPr>
          <w:rFonts w:ascii="Arial" w:eastAsia="Times New Roman" w:hAnsi="Arial" w:cs="Times New Roman"/>
          <w:sz w:val="22"/>
          <w:lang w:val="en-US"/>
        </w:rPr>
        <w:br/>
        <w:t xml:space="preserve">Please, use the player below to start your exploration.  </w:t>
      </w:r>
      <w:r w:rsidRPr="00A646BC">
        <w:rPr>
          <w:rFonts w:ascii="Arial" w:eastAsia="Times New Roman" w:hAnsi="Arial" w:cs="Times New Roman"/>
          <w:sz w:val="22"/>
          <w:lang w:val="en-US"/>
        </w:rPr>
        <w:br/>
        <w:t xml:space="preserve">It is essential that you activate the full screen (you can do this by clicking on this button   on the top right of the video </w:t>
      </w:r>
      <w:proofErr w:type="gramStart"/>
      <w:r w:rsidRPr="00A646BC">
        <w:rPr>
          <w:rFonts w:ascii="Arial" w:eastAsia="Times New Roman" w:hAnsi="Arial" w:cs="Times New Roman"/>
          <w:sz w:val="22"/>
          <w:lang w:val="en-US"/>
        </w:rPr>
        <w:t xml:space="preserve">frame)   </w:t>
      </w:r>
      <w:proofErr w:type="gramEnd"/>
      <w:r w:rsidRPr="00A646BC">
        <w:rPr>
          <w:rFonts w:ascii="Arial" w:eastAsia="Times New Roman" w:hAnsi="Arial" w:cs="Times New Roman"/>
          <w:sz w:val="22"/>
          <w:lang w:val="en-US"/>
        </w:rPr>
        <w:br/>
      </w:r>
      <w:r w:rsidRPr="00A646BC">
        <w:rPr>
          <w:rFonts w:ascii="Arial" w:eastAsia="Times New Roman" w:hAnsi="Arial" w:cs="Times New Roman"/>
          <w:sz w:val="22"/>
          <w:lang w:val="en-US"/>
        </w:rPr>
        <w:br/>
        <w:t xml:space="preserve">    </w:t>
      </w:r>
      <w:r w:rsidRPr="00A646BC">
        <w:rPr>
          <w:rFonts w:ascii="Arial" w:eastAsia="Times New Roman" w:hAnsi="Arial" w:cs="Times New Roman"/>
          <w:sz w:val="22"/>
          <w:lang w:val="en-US"/>
        </w:rPr>
        <w:br/>
      </w:r>
    </w:p>
    <w:p w14:paraId="60B666B5" w14:textId="77777777" w:rsidR="00A646BC" w:rsidRPr="00A646BC" w:rsidRDefault="00A646BC" w:rsidP="00A646BC">
      <w:pPr>
        <w:spacing w:after="0" w:line="276" w:lineRule="auto"/>
        <w:jc w:val="left"/>
        <w:rPr>
          <w:rFonts w:ascii="Arial" w:eastAsia="Times New Roman" w:hAnsi="Arial" w:cs="Times New Roman"/>
          <w:sz w:val="22"/>
          <w:lang w:val="en-US"/>
        </w:rPr>
      </w:pPr>
    </w:p>
    <w:p w14:paraId="508F0FAF" w14:textId="77777777" w:rsidR="00A646BC" w:rsidRPr="00A646BC" w:rsidRDefault="00A646BC" w:rsidP="00A646BC">
      <w:pPr>
        <w:pBdr>
          <w:top w:val="dashed" w:sz="8" w:space="0" w:color="CCCCCC"/>
        </w:pBdr>
        <w:spacing w:before="120" w:after="120" w:line="120" w:lineRule="auto"/>
        <w:jc w:val="left"/>
        <w:rPr>
          <w:rFonts w:ascii="Arial" w:eastAsia="Times New Roman" w:hAnsi="Arial" w:cs="Times New Roman"/>
          <w:sz w:val="22"/>
          <w:lang w:val="en-US"/>
        </w:rPr>
      </w:pPr>
    </w:p>
    <w:p w14:paraId="1B5995ED" w14:textId="77777777" w:rsidR="00A646BC" w:rsidRPr="00A646BC" w:rsidRDefault="00A646BC" w:rsidP="00A646BC">
      <w:pPr>
        <w:spacing w:after="0" w:line="276" w:lineRule="auto"/>
        <w:jc w:val="left"/>
        <w:rPr>
          <w:rFonts w:ascii="Arial" w:eastAsia="Times New Roman" w:hAnsi="Arial" w:cs="Times New Roman"/>
          <w:sz w:val="22"/>
          <w:lang w:val="en-US"/>
        </w:rPr>
      </w:pPr>
    </w:p>
    <w:p w14:paraId="56D96768" w14:textId="77777777" w:rsidR="00A646BC" w:rsidRPr="00A646BC" w:rsidRDefault="00A646BC" w:rsidP="00A646BC">
      <w:pPr>
        <w:keepNext/>
        <w:spacing w:after="0" w:line="276" w:lineRule="auto"/>
        <w:jc w:val="left"/>
        <w:rPr>
          <w:rFonts w:ascii="Arial" w:eastAsia="Times New Roman" w:hAnsi="Arial" w:cs="Times New Roman"/>
          <w:sz w:val="22"/>
          <w:lang w:val="en-US"/>
        </w:rPr>
      </w:pPr>
      <w:proofErr w:type="spellStart"/>
      <w:r w:rsidRPr="00A646BC">
        <w:rPr>
          <w:rFonts w:ascii="Arial" w:eastAsia="Times New Roman" w:hAnsi="Arial" w:cs="Times New Roman"/>
          <w:sz w:val="22"/>
          <w:lang w:val="en-US"/>
        </w:rPr>
        <w:t>autoadvance_HBHC</w:t>
      </w:r>
      <w:proofErr w:type="spellEnd"/>
      <w:r w:rsidRPr="00A646BC">
        <w:rPr>
          <w:rFonts w:ascii="Arial" w:eastAsia="Times New Roman" w:hAnsi="Arial" w:cs="Times New Roman"/>
          <w:sz w:val="22"/>
          <w:lang w:val="en-US"/>
        </w:rPr>
        <w:t xml:space="preserve"> Timing</w:t>
      </w:r>
    </w:p>
    <w:p w14:paraId="6D60F777" w14:textId="77777777" w:rsidR="00A646BC" w:rsidRPr="00A646BC" w:rsidRDefault="00A646BC" w:rsidP="00A646BC">
      <w:pPr>
        <w:keepNext/>
        <w:spacing w:after="0" w:line="276" w:lineRule="auto"/>
        <w:jc w:val="left"/>
        <w:rPr>
          <w:rFonts w:ascii="Arial" w:eastAsia="Times New Roman" w:hAnsi="Arial" w:cs="Times New Roman"/>
          <w:sz w:val="22"/>
          <w:lang w:val="en-US"/>
        </w:rPr>
      </w:pPr>
      <w:r w:rsidRPr="00A646BC">
        <w:rPr>
          <w:rFonts w:ascii="Arial" w:eastAsia="Times New Roman" w:hAnsi="Arial" w:cs="Times New Roman"/>
          <w:sz w:val="22"/>
          <w:lang w:val="en-US"/>
        </w:rPr>
        <w:t xml:space="preserve">First </w:t>
      </w:r>
      <w:proofErr w:type="gramStart"/>
      <w:r w:rsidRPr="00A646BC">
        <w:rPr>
          <w:rFonts w:ascii="Arial" w:eastAsia="Times New Roman" w:hAnsi="Arial" w:cs="Times New Roman"/>
          <w:sz w:val="22"/>
          <w:lang w:val="en-US"/>
        </w:rPr>
        <w:t>Click  (</w:t>
      </w:r>
      <w:proofErr w:type="gramEnd"/>
      <w:r w:rsidRPr="00A646BC">
        <w:rPr>
          <w:rFonts w:ascii="Arial" w:eastAsia="Times New Roman" w:hAnsi="Arial" w:cs="Times New Roman"/>
          <w:sz w:val="22"/>
          <w:lang w:val="en-US"/>
        </w:rPr>
        <w:t>1)</w:t>
      </w:r>
    </w:p>
    <w:p w14:paraId="3C0285A5" w14:textId="77777777" w:rsidR="00A646BC" w:rsidRPr="00A646BC" w:rsidRDefault="00A646BC" w:rsidP="00A646BC">
      <w:pPr>
        <w:keepNext/>
        <w:spacing w:after="0" w:line="276" w:lineRule="auto"/>
        <w:jc w:val="left"/>
        <w:rPr>
          <w:rFonts w:ascii="Arial" w:eastAsia="Times New Roman" w:hAnsi="Arial" w:cs="Times New Roman"/>
          <w:sz w:val="22"/>
          <w:lang w:val="en-US"/>
        </w:rPr>
      </w:pPr>
      <w:r w:rsidRPr="00A646BC">
        <w:rPr>
          <w:rFonts w:ascii="Arial" w:eastAsia="Times New Roman" w:hAnsi="Arial" w:cs="Times New Roman"/>
          <w:sz w:val="22"/>
          <w:lang w:val="en-US"/>
        </w:rPr>
        <w:t xml:space="preserve">Last </w:t>
      </w:r>
      <w:proofErr w:type="gramStart"/>
      <w:r w:rsidRPr="00A646BC">
        <w:rPr>
          <w:rFonts w:ascii="Arial" w:eastAsia="Times New Roman" w:hAnsi="Arial" w:cs="Times New Roman"/>
          <w:sz w:val="22"/>
          <w:lang w:val="en-US"/>
        </w:rPr>
        <w:t>Click  (</w:t>
      </w:r>
      <w:proofErr w:type="gramEnd"/>
      <w:r w:rsidRPr="00A646BC">
        <w:rPr>
          <w:rFonts w:ascii="Arial" w:eastAsia="Times New Roman" w:hAnsi="Arial" w:cs="Times New Roman"/>
          <w:sz w:val="22"/>
          <w:lang w:val="en-US"/>
        </w:rPr>
        <w:t>2)</w:t>
      </w:r>
    </w:p>
    <w:p w14:paraId="47CDD6B2" w14:textId="77777777" w:rsidR="00A646BC" w:rsidRPr="00A646BC" w:rsidRDefault="00A646BC" w:rsidP="00A646BC">
      <w:pPr>
        <w:keepNext/>
        <w:spacing w:after="0" w:line="276" w:lineRule="auto"/>
        <w:jc w:val="left"/>
        <w:rPr>
          <w:rFonts w:ascii="Arial" w:eastAsia="Times New Roman" w:hAnsi="Arial" w:cs="Times New Roman"/>
          <w:sz w:val="22"/>
          <w:lang w:val="en-US"/>
        </w:rPr>
      </w:pPr>
      <w:r w:rsidRPr="00A646BC">
        <w:rPr>
          <w:rFonts w:ascii="Arial" w:eastAsia="Times New Roman" w:hAnsi="Arial" w:cs="Times New Roman"/>
          <w:sz w:val="22"/>
          <w:lang w:val="en-US"/>
        </w:rPr>
        <w:t xml:space="preserve">Page </w:t>
      </w:r>
      <w:proofErr w:type="gramStart"/>
      <w:r w:rsidRPr="00A646BC">
        <w:rPr>
          <w:rFonts w:ascii="Arial" w:eastAsia="Times New Roman" w:hAnsi="Arial" w:cs="Times New Roman"/>
          <w:sz w:val="22"/>
          <w:lang w:val="en-US"/>
        </w:rPr>
        <w:t>Submit  (</w:t>
      </w:r>
      <w:proofErr w:type="gramEnd"/>
      <w:r w:rsidRPr="00A646BC">
        <w:rPr>
          <w:rFonts w:ascii="Arial" w:eastAsia="Times New Roman" w:hAnsi="Arial" w:cs="Times New Roman"/>
          <w:sz w:val="22"/>
          <w:lang w:val="en-US"/>
        </w:rPr>
        <w:t>3)</w:t>
      </w:r>
    </w:p>
    <w:p w14:paraId="3EB236A4" w14:textId="77777777" w:rsidR="00A646BC" w:rsidRPr="00A646BC" w:rsidRDefault="00A646BC" w:rsidP="00A646BC">
      <w:pPr>
        <w:keepNext/>
        <w:spacing w:after="0" w:line="276" w:lineRule="auto"/>
        <w:jc w:val="left"/>
        <w:rPr>
          <w:rFonts w:ascii="Arial" w:eastAsia="Times New Roman" w:hAnsi="Arial" w:cs="Times New Roman"/>
          <w:sz w:val="22"/>
          <w:lang w:val="en-US"/>
        </w:rPr>
      </w:pPr>
      <w:r w:rsidRPr="00A646BC">
        <w:rPr>
          <w:rFonts w:ascii="Arial" w:eastAsia="Times New Roman" w:hAnsi="Arial" w:cs="Times New Roman"/>
          <w:sz w:val="22"/>
          <w:lang w:val="en-US"/>
        </w:rPr>
        <w:t xml:space="preserve">Click </w:t>
      </w:r>
      <w:proofErr w:type="gramStart"/>
      <w:r w:rsidRPr="00A646BC">
        <w:rPr>
          <w:rFonts w:ascii="Arial" w:eastAsia="Times New Roman" w:hAnsi="Arial" w:cs="Times New Roman"/>
          <w:sz w:val="22"/>
          <w:lang w:val="en-US"/>
        </w:rPr>
        <w:t>Count  (</w:t>
      </w:r>
      <w:proofErr w:type="gramEnd"/>
      <w:r w:rsidRPr="00A646BC">
        <w:rPr>
          <w:rFonts w:ascii="Arial" w:eastAsia="Times New Roman" w:hAnsi="Arial" w:cs="Times New Roman"/>
          <w:sz w:val="22"/>
          <w:lang w:val="en-US"/>
        </w:rPr>
        <w:t>4)</w:t>
      </w:r>
    </w:p>
    <w:p w14:paraId="55E71276" w14:textId="77777777" w:rsidR="00A646BC" w:rsidRPr="00A646BC" w:rsidRDefault="00A646BC" w:rsidP="00A646BC">
      <w:pPr>
        <w:spacing w:after="0" w:line="276" w:lineRule="auto"/>
        <w:jc w:val="left"/>
        <w:rPr>
          <w:rFonts w:ascii="Arial" w:eastAsia="Times New Roman" w:hAnsi="Arial" w:cs="Times New Roman"/>
          <w:sz w:val="22"/>
          <w:lang w:val="en-US"/>
        </w:rPr>
      </w:pPr>
    </w:p>
    <w:p w14:paraId="1CBC0D64" w14:textId="77777777" w:rsidR="00A646BC" w:rsidRPr="00A646BC" w:rsidRDefault="00A646BC" w:rsidP="00A646BC">
      <w:pPr>
        <w:pBdr>
          <w:top w:val="dashed" w:sz="8" w:space="0" w:color="CCCCCC"/>
        </w:pBdr>
        <w:spacing w:before="120" w:after="120" w:line="120" w:lineRule="auto"/>
        <w:jc w:val="left"/>
        <w:rPr>
          <w:rFonts w:ascii="Arial" w:eastAsia="Times New Roman" w:hAnsi="Arial" w:cs="Times New Roman"/>
          <w:sz w:val="22"/>
          <w:lang w:val="en-US"/>
        </w:rPr>
      </w:pPr>
    </w:p>
    <w:tbl>
      <w:tblPr>
        <w:tblStyle w:val="QQuestionIconTable"/>
        <w:tblW w:w="50" w:type="auto"/>
        <w:tblLook w:val="07E0" w:firstRow="1" w:lastRow="1" w:firstColumn="1" w:lastColumn="1" w:noHBand="1" w:noVBand="1"/>
      </w:tblPr>
      <w:tblGrid>
        <w:gridCol w:w="380"/>
      </w:tblGrid>
      <w:tr w:rsidR="00A646BC" w:rsidRPr="00A646BC" w14:paraId="27D27FC0" w14:textId="77777777" w:rsidTr="003C7F42">
        <w:tc>
          <w:tcPr>
            <w:tcW w:w="50" w:type="dxa"/>
          </w:tcPr>
          <w:p w14:paraId="755A649B" w14:textId="77777777" w:rsidR="00A646BC" w:rsidRPr="00A646BC" w:rsidRDefault="00A646BC" w:rsidP="00A646BC">
            <w:pPr>
              <w:keepNext/>
              <w:spacing w:line="240" w:lineRule="auto"/>
              <w:jc w:val="center"/>
              <w:rPr>
                <w:rFonts w:ascii="Arial" w:eastAsia="Times New Roman" w:hAnsi="Arial" w:cs="Times New Roman"/>
                <w:sz w:val="22"/>
                <w:lang w:val="en-US"/>
              </w:rPr>
            </w:pPr>
            <w:r w:rsidRPr="00A646BC">
              <w:rPr>
                <w:rFonts w:ascii="Arial" w:eastAsia="Times New Roman" w:hAnsi="Arial" w:cs="Times New Roman"/>
                <w:noProof/>
                <w:sz w:val="22"/>
                <w:lang w:val="en-US"/>
              </w:rPr>
              <w:drawing>
                <wp:inline distT="0" distB="0" distL="0" distR="0" wp14:anchorId="4BA2E728" wp14:editId="438AD235">
                  <wp:extent cx="228600" cy="228600"/>
                  <wp:effectExtent l="0" t="0" r="0" b="0"/>
                  <wp:docPr id="11" name="WordQuestionJavaScrip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WordQuestionJavaScript.png"/>
                          <pic:cNvPicPr/>
                        </pic:nvPicPr>
                        <pic:blipFill>
                          <a:blip r:embed="rId69"/>
                          <a:stretch>
                            <a:fillRect/>
                          </a:stretch>
                        </pic:blipFill>
                        <pic:spPr>
                          <a:xfrm>
                            <a:off x="0" y="0"/>
                            <a:ext cx="228600" cy="228600"/>
                          </a:xfrm>
                          <a:prstGeom prst="rect">
                            <a:avLst/>
                          </a:prstGeom>
                        </pic:spPr>
                      </pic:pic>
                    </a:graphicData>
                  </a:graphic>
                </wp:inline>
              </w:drawing>
            </w:r>
          </w:p>
        </w:tc>
      </w:tr>
    </w:tbl>
    <w:p w14:paraId="517BC2E3" w14:textId="77777777" w:rsidR="00A646BC" w:rsidRPr="00A646BC" w:rsidRDefault="00A646BC" w:rsidP="00A646BC">
      <w:pPr>
        <w:spacing w:after="0" w:line="276" w:lineRule="auto"/>
        <w:jc w:val="left"/>
        <w:rPr>
          <w:rFonts w:ascii="Arial" w:eastAsia="Times New Roman" w:hAnsi="Arial" w:cs="Times New Roman"/>
          <w:sz w:val="22"/>
          <w:lang w:val="en-US"/>
        </w:rPr>
      </w:pPr>
    </w:p>
    <w:p w14:paraId="13F06C03" w14:textId="77777777" w:rsidR="00A646BC" w:rsidRPr="00A646BC" w:rsidRDefault="00A646BC" w:rsidP="00A646BC">
      <w:pPr>
        <w:keepNext/>
        <w:spacing w:after="0" w:line="276" w:lineRule="auto"/>
        <w:jc w:val="left"/>
        <w:rPr>
          <w:rFonts w:ascii="Arial" w:eastAsia="Times New Roman" w:hAnsi="Arial" w:cs="Times New Roman"/>
          <w:sz w:val="22"/>
          <w:lang w:val="en-US"/>
        </w:rPr>
      </w:pPr>
      <w:r w:rsidRPr="00A646BC">
        <w:rPr>
          <w:rFonts w:ascii="Arial" w:eastAsia="Times New Roman" w:hAnsi="Arial" w:cs="Times New Roman"/>
          <w:sz w:val="22"/>
          <w:lang w:val="en-US"/>
        </w:rPr>
        <w:t>time_park5_end Click to write the question text</w:t>
      </w:r>
    </w:p>
    <w:p w14:paraId="096C7800" w14:textId="77777777" w:rsidR="00A646BC" w:rsidRPr="00A646BC" w:rsidRDefault="00A646BC" w:rsidP="00A646BC">
      <w:pPr>
        <w:spacing w:before="240" w:after="0" w:line="240" w:lineRule="auto"/>
        <w:ind w:firstLine="400"/>
        <w:jc w:val="left"/>
        <w:rPr>
          <w:rFonts w:ascii="Arial" w:eastAsia="Times New Roman" w:hAnsi="Arial" w:cs="Times New Roman"/>
          <w:sz w:val="22"/>
          <w:lang w:val="en-US"/>
        </w:rPr>
      </w:pPr>
      <w:r w:rsidRPr="00A646BC">
        <w:rPr>
          <w:rFonts w:ascii="Arial" w:eastAsia="Times New Roman" w:hAnsi="Arial" w:cs="Times New Roman"/>
          <w:sz w:val="22"/>
          <w:lang w:val="en-US"/>
        </w:rPr>
        <w:t>________________________________________________________________</w:t>
      </w:r>
    </w:p>
    <w:p w14:paraId="2144415D" w14:textId="77777777" w:rsidR="00A646BC" w:rsidRPr="00A646BC" w:rsidRDefault="00A646BC" w:rsidP="00A646BC">
      <w:pPr>
        <w:spacing w:after="0" w:line="276" w:lineRule="auto"/>
        <w:jc w:val="left"/>
        <w:rPr>
          <w:rFonts w:ascii="Arial" w:eastAsia="Times New Roman" w:hAnsi="Arial" w:cs="Times New Roman"/>
          <w:sz w:val="22"/>
          <w:lang w:val="en-US"/>
        </w:rPr>
      </w:pPr>
    </w:p>
    <w:p w14:paraId="528C4A73" w14:textId="77777777" w:rsidR="00A646BC" w:rsidRPr="00A646BC" w:rsidRDefault="00A646BC" w:rsidP="00A646BC">
      <w:pPr>
        <w:spacing w:before="120" w:after="0" w:line="240" w:lineRule="auto"/>
        <w:jc w:val="left"/>
        <w:rPr>
          <w:rFonts w:ascii="Arial" w:eastAsia="Times New Roman" w:hAnsi="Arial" w:cs="Times New Roman"/>
          <w:b/>
          <w:color w:val="CCCCCC"/>
          <w:sz w:val="22"/>
          <w:lang w:val="en-US"/>
        </w:rPr>
      </w:pPr>
      <w:r w:rsidRPr="00A646BC">
        <w:rPr>
          <w:rFonts w:ascii="Arial" w:eastAsia="Times New Roman" w:hAnsi="Arial" w:cs="Times New Roman"/>
          <w:b/>
          <w:color w:val="CCCCCC"/>
          <w:sz w:val="22"/>
          <w:lang w:val="en-US"/>
        </w:rPr>
        <w:t>End of Block: Relax_tour5</w:t>
      </w:r>
    </w:p>
    <w:p w14:paraId="6B110A6C" w14:textId="77777777" w:rsidR="00A646BC" w:rsidRPr="00A646BC" w:rsidRDefault="00A646BC" w:rsidP="00A646BC">
      <w:pPr>
        <w:pBdr>
          <w:bottom w:val="single" w:sz="8" w:space="0" w:color="CCCCCC"/>
        </w:pBdr>
        <w:spacing w:after="0" w:line="120" w:lineRule="auto"/>
        <w:jc w:val="center"/>
        <w:rPr>
          <w:rFonts w:ascii="Arial" w:eastAsia="Times New Roman" w:hAnsi="Arial" w:cs="Times New Roman"/>
          <w:b/>
          <w:color w:val="CCCCCC"/>
          <w:sz w:val="22"/>
          <w:lang w:val="en-US"/>
        </w:rPr>
      </w:pPr>
    </w:p>
    <w:p w14:paraId="07C9B99D" w14:textId="77777777" w:rsidR="00A646BC" w:rsidRPr="00A646BC" w:rsidRDefault="00A646BC" w:rsidP="00A646BC">
      <w:pPr>
        <w:spacing w:before="120" w:after="120" w:line="240" w:lineRule="auto"/>
        <w:jc w:val="left"/>
        <w:rPr>
          <w:rFonts w:ascii="Arial" w:eastAsia="Times New Roman" w:hAnsi="Arial" w:cs="Times New Roman"/>
          <w:b/>
          <w:color w:val="CCCCCC"/>
          <w:sz w:val="22"/>
          <w:lang w:val="en-US"/>
        </w:rPr>
      </w:pPr>
      <w:r w:rsidRPr="00A646BC">
        <w:rPr>
          <w:rFonts w:ascii="Arial" w:eastAsia="Times New Roman" w:hAnsi="Arial" w:cs="Times New Roman"/>
          <w:b/>
          <w:color w:val="CCCCCC"/>
          <w:sz w:val="22"/>
          <w:lang w:val="en-US"/>
        </w:rPr>
        <w:t>Start of Block: Relax_tour7</w:t>
      </w:r>
    </w:p>
    <w:p w14:paraId="60E2708F" w14:textId="77777777" w:rsidR="00A646BC" w:rsidRPr="00A646BC" w:rsidRDefault="00A646BC" w:rsidP="00A646BC">
      <w:pPr>
        <w:spacing w:after="0" w:line="276" w:lineRule="auto"/>
        <w:jc w:val="left"/>
        <w:rPr>
          <w:rFonts w:ascii="Arial" w:eastAsia="Times New Roman" w:hAnsi="Arial" w:cs="Times New Roman"/>
          <w:sz w:val="22"/>
          <w:lang w:val="en-US"/>
        </w:rPr>
      </w:pPr>
    </w:p>
    <w:p w14:paraId="6A050473" w14:textId="77777777" w:rsidR="00A646BC" w:rsidRPr="00A646BC" w:rsidRDefault="00A646BC" w:rsidP="00A646BC">
      <w:pPr>
        <w:keepNext/>
        <w:spacing w:after="0" w:line="276" w:lineRule="auto"/>
        <w:jc w:val="left"/>
        <w:rPr>
          <w:rFonts w:ascii="Arial" w:eastAsia="Times New Roman" w:hAnsi="Arial" w:cs="Times New Roman"/>
          <w:sz w:val="22"/>
          <w:lang w:val="en-US"/>
        </w:rPr>
      </w:pPr>
      <w:proofErr w:type="spellStart"/>
      <w:r w:rsidRPr="00A646BC">
        <w:rPr>
          <w:rFonts w:ascii="Arial" w:eastAsia="Times New Roman" w:hAnsi="Arial" w:cs="Times New Roman"/>
          <w:sz w:val="22"/>
          <w:lang w:val="en-US"/>
        </w:rPr>
        <w:t>tour_info_warm</w:t>
      </w:r>
      <w:proofErr w:type="spellEnd"/>
      <w:r w:rsidRPr="00A646BC">
        <w:rPr>
          <w:rFonts w:ascii="Arial" w:eastAsia="Times New Roman" w:hAnsi="Arial" w:cs="Times New Roman"/>
          <w:sz w:val="22"/>
          <w:lang w:val="en-US"/>
        </w:rPr>
        <w:t xml:space="preserve"> </w:t>
      </w:r>
      <w:r w:rsidRPr="00A646BC">
        <w:rPr>
          <w:rFonts w:ascii="Arial" w:eastAsia="Times New Roman" w:hAnsi="Arial" w:cs="Times New Roman"/>
          <w:sz w:val="22"/>
          <w:lang w:val="en-US"/>
        </w:rPr>
        <w:br/>
        <w:t xml:space="preserve">This page contains your second task. You will explore an urban park through a virtual tour for a few minutes.  </w:t>
      </w:r>
      <w:r w:rsidRPr="00A646BC">
        <w:rPr>
          <w:rFonts w:ascii="Arial" w:eastAsia="Times New Roman" w:hAnsi="Arial" w:cs="Times New Roman"/>
          <w:sz w:val="22"/>
          <w:lang w:val="en-US"/>
        </w:rPr>
        <w:br/>
        <w:t xml:space="preserve">   </w:t>
      </w:r>
      <w:r w:rsidRPr="00A646BC">
        <w:rPr>
          <w:rFonts w:ascii="Arial" w:eastAsia="Times New Roman" w:hAnsi="Arial" w:cs="Times New Roman"/>
          <w:sz w:val="22"/>
          <w:lang w:val="en-US"/>
        </w:rPr>
        <w:br/>
        <w:t xml:space="preserve">Your tour will start in the </w:t>
      </w:r>
      <w:proofErr w:type="spellStart"/>
      <w:r w:rsidRPr="00A646BC">
        <w:rPr>
          <w:rFonts w:ascii="Arial" w:eastAsia="Times New Roman" w:hAnsi="Arial" w:cs="Times New Roman"/>
          <w:sz w:val="22"/>
          <w:lang w:val="en-US"/>
        </w:rPr>
        <w:t>centre</w:t>
      </w:r>
      <w:proofErr w:type="spellEnd"/>
      <w:r w:rsidRPr="00A646BC">
        <w:rPr>
          <w:rFonts w:ascii="Arial" w:eastAsia="Times New Roman" w:hAnsi="Arial" w:cs="Times New Roman"/>
          <w:sz w:val="22"/>
          <w:lang w:val="en-US"/>
        </w:rPr>
        <w:t xml:space="preserve"> of the park, but you are free to "walk" in any direction.</w:t>
      </w:r>
      <w:r w:rsidRPr="00A646BC">
        <w:rPr>
          <w:rFonts w:ascii="Arial" w:eastAsia="Times New Roman" w:hAnsi="Arial" w:cs="Times New Roman"/>
          <w:sz w:val="22"/>
          <w:lang w:val="en-US"/>
        </w:rPr>
        <w:br/>
        <w:t xml:space="preserve">Click and drag to move the camera around. This works just like </w:t>
      </w:r>
      <w:proofErr w:type="gramStart"/>
      <w:r w:rsidRPr="00A646BC">
        <w:rPr>
          <w:rFonts w:ascii="Arial" w:eastAsia="Times New Roman" w:hAnsi="Arial" w:cs="Times New Roman"/>
          <w:sz w:val="22"/>
          <w:lang w:val="en-US"/>
        </w:rPr>
        <w:t>Google street</w:t>
      </w:r>
      <w:proofErr w:type="gramEnd"/>
      <w:r w:rsidRPr="00A646BC">
        <w:rPr>
          <w:rFonts w:ascii="Arial" w:eastAsia="Times New Roman" w:hAnsi="Arial" w:cs="Times New Roman"/>
          <w:sz w:val="22"/>
          <w:lang w:val="en-US"/>
        </w:rPr>
        <w:t xml:space="preserve"> view!</w:t>
      </w:r>
      <w:r w:rsidRPr="00A646BC">
        <w:rPr>
          <w:rFonts w:ascii="Arial" w:eastAsia="Times New Roman" w:hAnsi="Arial" w:cs="Times New Roman"/>
          <w:sz w:val="22"/>
          <w:lang w:val="en-US"/>
        </w:rPr>
        <w:br/>
      </w:r>
      <w:r w:rsidRPr="00A646BC">
        <w:rPr>
          <w:rFonts w:ascii="Arial" w:eastAsia="Times New Roman" w:hAnsi="Arial" w:cs="Times New Roman"/>
          <w:sz w:val="22"/>
          <w:lang w:val="en-US"/>
        </w:rPr>
        <w:br/>
      </w:r>
      <w:r w:rsidRPr="00A646BC">
        <w:rPr>
          <w:rFonts w:ascii="Arial" w:eastAsia="Times New Roman" w:hAnsi="Arial" w:cs="Times New Roman"/>
          <w:sz w:val="22"/>
          <w:lang w:val="en-US"/>
        </w:rPr>
        <w:br/>
      </w:r>
      <w:r w:rsidRPr="00A646BC">
        <w:rPr>
          <w:rFonts w:ascii="Arial" w:eastAsia="Times New Roman" w:hAnsi="Arial" w:cs="Times New Roman"/>
          <w:sz w:val="22"/>
          <w:lang w:val="en-US"/>
        </w:rPr>
        <w:br/>
        <w:t xml:space="preserve">  </w:t>
      </w:r>
      <w:r w:rsidRPr="00A646BC">
        <w:rPr>
          <w:rFonts w:ascii="Arial" w:eastAsia="Times New Roman" w:hAnsi="Arial" w:cs="Times New Roman"/>
          <w:sz w:val="22"/>
          <w:lang w:val="en-US"/>
        </w:rPr>
        <w:br/>
      </w:r>
      <w:r w:rsidRPr="00A646BC">
        <w:rPr>
          <w:rFonts w:ascii="Arial" w:eastAsia="Times New Roman" w:hAnsi="Arial" w:cs="Times New Roman"/>
          <w:sz w:val="22"/>
          <w:lang w:val="en-US"/>
        </w:rPr>
        <w:br/>
      </w:r>
      <w:r w:rsidRPr="00A646BC">
        <w:rPr>
          <w:rFonts w:ascii="Arial" w:eastAsia="Times New Roman" w:hAnsi="Arial" w:cs="Times New Roman"/>
          <w:sz w:val="22"/>
          <w:lang w:val="en-US"/>
        </w:rPr>
        <w:br/>
      </w:r>
      <w:r w:rsidRPr="00A646BC">
        <w:rPr>
          <w:rFonts w:ascii="Arial" w:eastAsia="Times New Roman" w:hAnsi="Arial" w:cs="Times New Roman"/>
          <w:sz w:val="22"/>
          <w:lang w:val="en-US"/>
        </w:rPr>
        <w:br/>
      </w:r>
    </w:p>
    <w:p w14:paraId="5D889C32" w14:textId="77777777" w:rsidR="00A646BC" w:rsidRPr="00A646BC" w:rsidRDefault="00A646BC" w:rsidP="00A646BC">
      <w:pPr>
        <w:spacing w:after="0" w:line="276" w:lineRule="auto"/>
        <w:jc w:val="left"/>
        <w:rPr>
          <w:rFonts w:ascii="Arial" w:eastAsia="Times New Roman" w:hAnsi="Arial" w:cs="Times New Roman"/>
          <w:sz w:val="22"/>
          <w:lang w:val="en-US"/>
        </w:rPr>
      </w:pPr>
    </w:p>
    <w:p w14:paraId="5CDD23FF" w14:textId="77777777" w:rsidR="00A646BC" w:rsidRPr="00A646BC" w:rsidRDefault="00A646BC" w:rsidP="00A646BC">
      <w:pPr>
        <w:pBdr>
          <w:top w:val="dashed" w:sz="8" w:space="0" w:color="CCCCCC"/>
        </w:pBdr>
        <w:spacing w:before="120" w:after="120" w:line="120" w:lineRule="auto"/>
        <w:jc w:val="left"/>
        <w:rPr>
          <w:rFonts w:ascii="Arial" w:eastAsia="Times New Roman" w:hAnsi="Arial" w:cs="Times New Roman"/>
          <w:sz w:val="22"/>
          <w:lang w:val="en-US"/>
        </w:rPr>
      </w:pPr>
    </w:p>
    <w:p w14:paraId="2ABAD4D1" w14:textId="77777777" w:rsidR="00A646BC" w:rsidRPr="00A646BC" w:rsidRDefault="00A646BC" w:rsidP="00A646BC">
      <w:pPr>
        <w:keepNext/>
        <w:shd w:val="clear" w:color="auto" w:fill="6898BB"/>
        <w:spacing w:before="120" w:after="120" w:line="240" w:lineRule="auto"/>
        <w:jc w:val="left"/>
        <w:rPr>
          <w:rFonts w:ascii="Arial" w:eastAsia="Times New Roman" w:hAnsi="Arial" w:cs="Times New Roman"/>
          <w:i/>
          <w:color w:val="FFFFFF"/>
          <w:sz w:val="20"/>
          <w:lang w:val="en-US"/>
        </w:rPr>
      </w:pPr>
      <w:r w:rsidRPr="00A646BC">
        <w:rPr>
          <w:rFonts w:ascii="Arial" w:eastAsia="Times New Roman" w:hAnsi="Arial" w:cs="Times New Roman"/>
          <w:i/>
          <w:color w:val="FFFFFF"/>
          <w:sz w:val="20"/>
          <w:lang w:val="en-US"/>
        </w:rPr>
        <w:t>Display This Question:</w:t>
      </w:r>
    </w:p>
    <w:p w14:paraId="5C830DF9" w14:textId="77777777" w:rsidR="00A646BC" w:rsidRPr="00A646BC" w:rsidRDefault="00A646BC" w:rsidP="00A646BC">
      <w:pPr>
        <w:keepNext/>
        <w:shd w:val="clear" w:color="auto" w:fill="6898BB"/>
        <w:spacing w:before="120" w:after="120" w:line="240" w:lineRule="auto"/>
        <w:ind w:firstLine="400"/>
        <w:jc w:val="left"/>
        <w:rPr>
          <w:rFonts w:ascii="Arial" w:eastAsia="Times New Roman" w:hAnsi="Arial" w:cs="Times New Roman"/>
          <w:i/>
          <w:color w:val="FFFFFF"/>
          <w:sz w:val="20"/>
          <w:lang w:val="en-US"/>
        </w:rPr>
      </w:pPr>
      <w:r w:rsidRPr="00A646BC">
        <w:rPr>
          <w:rFonts w:ascii="Arial" w:eastAsia="Times New Roman" w:hAnsi="Arial" w:cs="Times New Roman"/>
          <w:i/>
          <w:color w:val="FFFFFF"/>
          <w:sz w:val="20"/>
          <w:lang w:val="en-US"/>
        </w:rPr>
        <w:t>If Device Type Is Not Mobile</w:t>
      </w:r>
    </w:p>
    <w:p w14:paraId="2ABBDE34" w14:textId="77777777" w:rsidR="00A646BC" w:rsidRPr="00A646BC" w:rsidRDefault="00A646BC" w:rsidP="00A646BC">
      <w:pPr>
        <w:spacing w:after="0" w:line="276" w:lineRule="auto"/>
        <w:jc w:val="left"/>
        <w:rPr>
          <w:rFonts w:ascii="Arial" w:eastAsia="Times New Roman" w:hAnsi="Arial" w:cs="Times New Roman"/>
          <w:sz w:val="22"/>
          <w:lang w:val="en-US"/>
        </w:rPr>
      </w:pPr>
    </w:p>
    <w:p w14:paraId="04483514" w14:textId="77777777" w:rsidR="00A646BC" w:rsidRPr="00A646BC" w:rsidRDefault="00A646BC" w:rsidP="00A646BC">
      <w:pPr>
        <w:keepNext/>
        <w:spacing w:after="0" w:line="276" w:lineRule="auto"/>
        <w:jc w:val="left"/>
        <w:rPr>
          <w:rFonts w:ascii="Arial" w:eastAsia="Times New Roman" w:hAnsi="Arial" w:cs="Times New Roman"/>
          <w:sz w:val="22"/>
          <w:lang w:val="en-US"/>
        </w:rPr>
      </w:pPr>
      <w:r w:rsidRPr="00A646BC">
        <w:rPr>
          <w:rFonts w:ascii="Arial" w:eastAsia="Times New Roman" w:hAnsi="Arial" w:cs="Times New Roman"/>
          <w:sz w:val="22"/>
          <w:lang w:val="en-US"/>
        </w:rPr>
        <w:t xml:space="preserve">tour7_PC </w:t>
      </w:r>
      <w:r w:rsidRPr="00A646BC">
        <w:rPr>
          <w:rFonts w:ascii="Arial" w:eastAsia="Times New Roman" w:hAnsi="Arial" w:cs="Times New Roman"/>
          <w:sz w:val="22"/>
          <w:lang w:val="en-US"/>
        </w:rPr>
        <w:br/>
        <w:t xml:space="preserve">Please, use the player below to start your exploration.  </w:t>
      </w:r>
      <w:r w:rsidRPr="00A646BC">
        <w:rPr>
          <w:rFonts w:ascii="Arial" w:eastAsia="Times New Roman" w:hAnsi="Arial" w:cs="Times New Roman"/>
          <w:sz w:val="22"/>
          <w:lang w:val="en-US"/>
        </w:rPr>
        <w:br/>
        <w:t xml:space="preserve">It is essential that you activate the full screen (you can do this by clicking on this button   on the top right of the video </w:t>
      </w:r>
      <w:proofErr w:type="gramStart"/>
      <w:r w:rsidRPr="00A646BC">
        <w:rPr>
          <w:rFonts w:ascii="Arial" w:eastAsia="Times New Roman" w:hAnsi="Arial" w:cs="Times New Roman"/>
          <w:sz w:val="22"/>
          <w:lang w:val="en-US"/>
        </w:rPr>
        <w:t xml:space="preserve">frame)   </w:t>
      </w:r>
      <w:proofErr w:type="gramEnd"/>
      <w:r w:rsidRPr="00A646BC">
        <w:rPr>
          <w:rFonts w:ascii="Arial" w:eastAsia="Times New Roman" w:hAnsi="Arial" w:cs="Times New Roman"/>
          <w:sz w:val="22"/>
          <w:lang w:val="en-US"/>
        </w:rPr>
        <w:t xml:space="preserve"> </w:t>
      </w:r>
      <w:r w:rsidRPr="00A646BC">
        <w:rPr>
          <w:rFonts w:ascii="Arial" w:eastAsia="Times New Roman" w:hAnsi="Arial" w:cs="Times New Roman"/>
          <w:sz w:val="22"/>
          <w:lang w:val="en-US"/>
        </w:rPr>
        <w:br/>
      </w:r>
      <w:r w:rsidRPr="00A646BC">
        <w:rPr>
          <w:rFonts w:ascii="Arial" w:eastAsia="Times New Roman" w:hAnsi="Arial" w:cs="Times New Roman"/>
          <w:sz w:val="22"/>
          <w:lang w:val="en-US"/>
        </w:rPr>
        <w:br/>
        <w:t xml:space="preserve">   </w:t>
      </w:r>
    </w:p>
    <w:tbl>
      <w:tblPr>
        <w:tblStyle w:val="QQuestionIconTable"/>
        <w:tblW w:w="50" w:type="auto"/>
        <w:tblLook w:val="07E0" w:firstRow="1" w:lastRow="1" w:firstColumn="1" w:lastColumn="1" w:noHBand="1" w:noVBand="1"/>
      </w:tblPr>
      <w:tblGrid>
        <w:gridCol w:w="380"/>
      </w:tblGrid>
      <w:tr w:rsidR="00A646BC" w:rsidRPr="00A646BC" w14:paraId="7CCABE4B" w14:textId="77777777" w:rsidTr="003C7F42">
        <w:tc>
          <w:tcPr>
            <w:tcW w:w="50" w:type="dxa"/>
          </w:tcPr>
          <w:p w14:paraId="6128FEFB" w14:textId="77777777" w:rsidR="00A646BC" w:rsidRPr="00A646BC" w:rsidRDefault="00A646BC" w:rsidP="00A646BC">
            <w:pPr>
              <w:keepNext/>
              <w:spacing w:line="240" w:lineRule="auto"/>
              <w:jc w:val="center"/>
              <w:rPr>
                <w:rFonts w:ascii="Arial" w:eastAsia="Times New Roman" w:hAnsi="Arial" w:cs="Times New Roman"/>
                <w:sz w:val="22"/>
                <w:lang w:val="en-US"/>
              </w:rPr>
            </w:pPr>
            <w:r w:rsidRPr="00A646BC">
              <w:rPr>
                <w:rFonts w:ascii="Arial" w:eastAsia="Times New Roman" w:hAnsi="Arial" w:cs="Times New Roman"/>
                <w:noProof/>
                <w:sz w:val="22"/>
                <w:lang w:val="en-US"/>
              </w:rPr>
              <w:drawing>
                <wp:inline distT="0" distB="0" distL="0" distR="0" wp14:anchorId="3FAF0B94" wp14:editId="395BFBD1">
                  <wp:extent cx="228600" cy="228600"/>
                  <wp:effectExtent l="0" t="0" r="0" b="0"/>
                  <wp:docPr id="12" name="WordQuestionJavaScrip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WordQuestionJavaScript.png"/>
                          <pic:cNvPicPr/>
                        </pic:nvPicPr>
                        <pic:blipFill>
                          <a:blip r:embed="rId69"/>
                          <a:stretch>
                            <a:fillRect/>
                          </a:stretch>
                        </pic:blipFill>
                        <pic:spPr>
                          <a:xfrm>
                            <a:off x="0" y="0"/>
                            <a:ext cx="228600" cy="228600"/>
                          </a:xfrm>
                          <a:prstGeom prst="rect">
                            <a:avLst/>
                          </a:prstGeom>
                        </pic:spPr>
                      </pic:pic>
                    </a:graphicData>
                  </a:graphic>
                </wp:inline>
              </w:drawing>
            </w:r>
          </w:p>
        </w:tc>
      </w:tr>
    </w:tbl>
    <w:p w14:paraId="08F33EA8" w14:textId="77777777" w:rsidR="00A646BC" w:rsidRPr="00A646BC" w:rsidRDefault="00A646BC" w:rsidP="00A646BC">
      <w:pPr>
        <w:spacing w:after="0" w:line="276" w:lineRule="auto"/>
        <w:jc w:val="left"/>
        <w:rPr>
          <w:rFonts w:ascii="Arial" w:eastAsia="Times New Roman" w:hAnsi="Arial" w:cs="Times New Roman"/>
          <w:sz w:val="22"/>
          <w:lang w:val="en-US"/>
        </w:rPr>
      </w:pPr>
    </w:p>
    <w:p w14:paraId="76B76CCC" w14:textId="77777777" w:rsidR="00A646BC" w:rsidRPr="00A646BC" w:rsidRDefault="00A646BC" w:rsidP="00A646BC">
      <w:pPr>
        <w:keepNext/>
        <w:spacing w:after="0" w:line="276" w:lineRule="auto"/>
        <w:jc w:val="left"/>
        <w:rPr>
          <w:rFonts w:ascii="Arial" w:eastAsia="Times New Roman" w:hAnsi="Arial" w:cs="Times New Roman"/>
          <w:sz w:val="22"/>
          <w:lang w:val="en-US"/>
        </w:rPr>
      </w:pPr>
      <w:r w:rsidRPr="00A646BC">
        <w:rPr>
          <w:rFonts w:ascii="Arial" w:eastAsia="Times New Roman" w:hAnsi="Arial" w:cs="Times New Roman"/>
          <w:sz w:val="22"/>
          <w:lang w:val="en-US"/>
        </w:rPr>
        <w:t>time_park7_end Click to write the question text</w:t>
      </w:r>
    </w:p>
    <w:p w14:paraId="75D5D008" w14:textId="77777777" w:rsidR="00A646BC" w:rsidRPr="00A646BC" w:rsidRDefault="00A646BC" w:rsidP="00A646BC">
      <w:pPr>
        <w:spacing w:before="240" w:after="0" w:line="240" w:lineRule="auto"/>
        <w:ind w:firstLine="400"/>
        <w:jc w:val="left"/>
        <w:rPr>
          <w:rFonts w:ascii="Arial" w:eastAsia="Times New Roman" w:hAnsi="Arial" w:cs="Times New Roman"/>
          <w:sz w:val="22"/>
          <w:lang w:val="en-US"/>
        </w:rPr>
      </w:pPr>
      <w:r w:rsidRPr="00A646BC">
        <w:rPr>
          <w:rFonts w:ascii="Arial" w:eastAsia="Times New Roman" w:hAnsi="Arial" w:cs="Times New Roman"/>
          <w:sz w:val="22"/>
          <w:lang w:val="en-US"/>
        </w:rPr>
        <w:t>________________________________________________________________</w:t>
      </w:r>
    </w:p>
    <w:p w14:paraId="269AC1E9" w14:textId="77777777" w:rsidR="00A646BC" w:rsidRPr="00A646BC" w:rsidRDefault="00A646BC" w:rsidP="00A646BC">
      <w:pPr>
        <w:spacing w:after="0" w:line="276" w:lineRule="auto"/>
        <w:jc w:val="left"/>
        <w:rPr>
          <w:rFonts w:ascii="Arial" w:eastAsia="Times New Roman" w:hAnsi="Arial" w:cs="Times New Roman"/>
          <w:sz w:val="22"/>
          <w:lang w:val="en-US"/>
        </w:rPr>
      </w:pPr>
    </w:p>
    <w:p w14:paraId="1A0DDCFE" w14:textId="77777777" w:rsidR="00A646BC" w:rsidRPr="00A646BC" w:rsidRDefault="00A646BC" w:rsidP="00A646BC">
      <w:pPr>
        <w:spacing w:before="120" w:after="0" w:line="240" w:lineRule="auto"/>
        <w:jc w:val="left"/>
        <w:rPr>
          <w:rFonts w:ascii="Arial" w:eastAsia="Times New Roman" w:hAnsi="Arial" w:cs="Times New Roman"/>
          <w:b/>
          <w:color w:val="CCCCCC"/>
          <w:sz w:val="22"/>
          <w:lang w:val="en-US"/>
        </w:rPr>
      </w:pPr>
      <w:r w:rsidRPr="00A646BC">
        <w:rPr>
          <w:rFonts w:ascii="Arial" w:eastAsia="Times New Roman" w:hAnsi="Arial" w:cs="Times New Roman"/>
          <w:b/>
          <w:color w:val="CCCCCC"/>
          <w:sz w:val="22"/>
          <w:lang w:val="en-US"/>
        </w:rPr>
        <w:t>End of Block: Relax_tour7</w:t>
      </w:r>
    </w:p>
    <w:p w14:paraId="20E3AB7B" w14:textId="77777777" w:rsidR="00A646BC" w:rsidRPr="00A646BC" w:rsidRDefault="00A646BC" w:rsidP="00A646BC">
      <w:pPr>
        <w:pBdr>
          <w:bottom w:val="single" w:sz="8" w:space="0" w:color="CCCCCC"/>
        </w:pBdr>
        <w:spacing w:after="0" w:line="120" w:lineRule="auto"/>
        <w:jc w:val="center"/>
        <w:rPr>
          <w:rFonts w:ascii="Arial" w:eastAsia="Times New Roman" w:hAnsi="Arial" w:cs="Times New Roman"/>
          <w:b/>
          <w:color w:val="CCCCCC"/>
          <w:sz w:val="22"/>
          <w:lang w:val="en-US"/>
        </w:rPr>
      </w:pPr>
    </w:p>
    <w:p w14:paraId="593651CB" w14:textId="77777777" w:rsidR="00A646BC" w:rsidRPr="00A646BC" w:rsidRDefault="00A646BC" w:rsidP="00A646BC">
      <w:pPr>
        <w:spacing w:before="120" w:after="120" w:line="240" w:lineRule="auto"/>
        <w:jc w:val="left"/>
        <w:rPr>
          <w:rFonts w:ascii="Arial" w:eastAsia="Times New Roman" w:hAnsi="Arial" w:cs="Times New Roman"/>
          <w:b/>
          <w:color w:val="CCCCCC"/>
          <w:sz w:val="22"/>
          <w:lang w:val="en-US"/>
        </w:rPr>
      </w:pPr>
      <w:r w:rsidRPr="00A646BC">
        <w:rPr>
          <w:rFonts w:ascii="Arial" w:eastAsia="Times New Roman" w:hAnsi="Arial" w:cs="Times New Roman"/>
          <w:b/>
          <w:color w:val="CCCCCC"/>
          <w:sz w:val="22"/>
          <w:lang w:val="en-US"/>
        </w:rPr>
        <w:t xml:space="preserve">Start of Block: </w:t>
      </w:r>
      <w:proofErr w:type="spellStart"/>
      <w:r w:rsidRPr="00A646BC">
        <w:rPr>
          <w:rFonts w:ascii="Arial" w:eastAsia="Times New Roman" w:hAnsi="Arial" w:cs="Times New Roman"/>
          <w:b/>
          <w:color w:val="CCCCCC"/>
          <w:sz w:val="22"/>
          <w:lang w:val="en-US"/>
        </w:rPr>
        <w:t>Relax_carparka</w:t>
      </w:r>
      <w:proofErr w:type="spellEnd"/>
    </w:p>
    <w:p w14:paraId="13ECB6DC" w14:textId="77777777" w:rsidR="00A646BC" w:rsidRPr="00A646BC" w:rsidRDefault="00A646BC" w:rsidP="00A646BC">
      <w:pPr>
        <w:spacing w:after="0" w:line="276" w:lineRule="auto"/>
        <w:jc w:val="left"/>
        <w:rPr>
          <w:rFonts w:ascii="Arial" w:eastAsia="Times New Roman" w:hAnsi="Arial" w:cs="Times New Roman"/>
          <w:sz w:val="22"/>
          <w:lang w:val="en-US"/>
        </w:rPr>
      </w:pPr>
    </w:p>
    <w:p w14:paraId="7B2FCECA" w14:textId="77777777" w:rsidR="00A646BC" w:rsidRPr="00A646BC" w:rsidRDefault="00A646BC" w:rsidP="00A646BC">
      <w:pPr>
        <w:keepNext/>
        <w:spacing w:after="0" w:line="276" w:lineRule="auto"/>
        <w:jc w:val="left"/>
        <w:rPr>
          <w:rFonts w:ascii="Arial" w:eastAsia="Times New Roman" w:hAnsi="Arial" w:cs="Times New Roman"/>
          <w:sz w:val="22"/>
          <w:lang w:val="en-US"/>
        </w:rPr>
      </w:pPr>
      <w:proofErr w:type="spellStart"/>
      <w:r w:rsidRPr="00A646BC">
        <w:rPr>
          <w:rFonts w:ascii="Arial" w:eastAsia="Times New Roman" w:hAnsi="Arial" w:cs="Times New Roman"/>
          <w:sz w:val="22"/>
          <w:lang w:val="en-US"/>
        </w:rPr>
        <w:t>tour_info_cool</w:t>
      </w:r>
      <w:proofErr w:type="spellEnd"/>
      <w:r w:rsidRPr="00A646BC">
        <w:rPr>
          <w:rFonts w:ascii="Arial" w:eastAsia="Times New Roman" w:hAnsi="Arial" w:cs="Times New Roman"/>
          <w:sz w:val="22"/>
          <w:lang w:val="en-US"/>
        </w:rPr>
        <w:t xml:space="preserve"> </w:t>
      </w:r>
      <w:r w:rsidRPr="00A646BC">
        <w:rPr>
          <w:rFonts w:ascii="Arial" w:eastAsia="Times New Roman" w:hAnsi="Arial" w:cs="Times New Roman"/>
          <w:sz w:val="22"/>
          <w:lang w:val="en-US"/>
        </w:rPr>
        <w:br/>
        <w:t xml:space="preserve">This page contains your final task. You will "walk" across a car park through a virtual tour for a few minutes.  </w:t>
      </w:r>
      <w:r w:rsidRPr="00A646BC">
        <w:rPr>
          <w:rFonts w:ascii="Arial" w:eastAsia="Times New Roman" w:hAnsi="Arial" w:cs="Times New Roman"/>
          <w:sz w:val="22"/>
          <w:lang w:val="en-US"/>
        </w:rPr>
        <w:br/>
        <w:t xml:space="preserve">   </w:t>
      </w:r>
      <w:r w:rsidRPr="00A646BC">
        <w:rPr>
          <w:rFonts w:ascii="Arial" w:eastAsia="Times New Roman" w:hAnsi="Arial" w:cs="Times New Roman"/>
          <w:sz w:val="22"/>
          <w:lang w:val="en-US"/>
        </w:rPr>
        <w:br/>
        <w:t xml:space="preserve">Your tour will start at one of the gates and you will be able to reach the other one. You are free to move back or forward as you please.  </w:t>
      </w:r>
      <w:r w:rsidRPr="00A646BC">
        <w:rPr>
          <w:rFonts w:ascii="Arial" w:eastAsia="Times New Roman" w:hAnsi="Arial" w:cs="Times New Roman"/>
          <w:sz w:val="22"/>
          <w:lang w:val="en-US"/>
        </w:rPr>
        <w:br/>
      </w:r>
      <w:r w:rsidRPr="00A646BC">
        <w:rPr>
          <w:rFonts w:ascii="Arial" w:eastAsia="Times New Roman" w:hAnsi="Arial" w:cs="Times New Roman"/>
          <w:sz w:val="22"/>
          <w:lang w:val="en-US"/>
        </w:rPr>
        <w:lastRenderedPageBreak/>
        <w:t xml:space="preserve">Click and drag to move the camera around. This works just like </w:t>
      </w:r>
      <w:proofErr w:type="gramStart"/>
      <w:r w:rsidRPr="00A646BC">
        <w:rPr>
          <w:rFonts w:ascii="Arial" w:eastAsia="Times New Roman" w:hAnsi="Arial" w:cs="Times New Roman"/>
          <w:sz w:val="22"/>
          <w:lang w:val="en-US"/>
        </w:rPr>
        <w:t>Google street</w:t>
      </w:r>
      <w:proofErr w:type="gramEnd"/>
      <w:r w:rsidRPr="00A646BC">
        <w:rPr>
          <w:rFonts w:ascii="Arial" w:eastAsia="Times New Roman" w:hAnsi="Arial" w:cs="Times New Roman"/>
          <w:sz w:val="22"/>
          <w:lang w:val="en-US"/>
        </w:rPr>
        <w:t xml:space="preserve"> view!  </w:t>
      </w:r>
      <w:r w:rsidRPr="00A646BC">
        <w:rPr>
          <w:rFonts w:ascii="Arial" w:eastAsia="Times New Roman" w:hAnsi="Arial" w:cs="Times New Roman"/>
          <w:sz w:val="22"/>
          <w:lang w:val="en-US"/>
        </w:rPr>
        <w:br/>
        <w:t> </w:t>
      </w:r>
    </w:p>
    <w:p w14:paraId="741D166A" w14:textId="77777777" w:rsidR="00A646BC" w:rsidRPr="00A646BC" w:rsidRDefault="00A646BC" w:rsidP="00A646BC">
      <w:pPr>
        <w:spacing w:after="0" w:line="276" w:lineRule="auto"/>
        <w:jc w:val="left"/>
        <w:rPr>
          <w:rFonts w:ascii="Arial" w:eastAsia="Times New Roman" w:hAnsi="Arial" w:cs="Times New Roman"/>
          <w:sz w:val="22"/>
          <w:lang w:val="en-US"/>
        </w:rPr>
      </w:pPr>
    </w:p>
    <w:p w14:paraId="1AF1C43D" w14:textId="77777777" w:rsidR="00A646BC" w:rsidRPr="00A646BC" w:rsidRDefault="00A646BC" w:rsidP="00A646BC">
      <w:pPr>
        <w:pBdr>
          <w:top w:val="dashed" w:sz="8" w:space="0" w:color="CCCCCC"/>
        </w:pBdr>
        <w:spacing w:before="120" w:after="120" w:line="120" w:lineRule="auto"/>
        <w:jc w:val="left"/>
        <w:rPr>
          <w:rFonts w:ascii="Arial" w:eastAsia="Times New Roman" w:hAnsi="Arial" w:cs="Times New Roman"/>
          <w:sz w:val="22"/>
          <w:lang w:val="en-US"/>
        </w:rPr>
      </w:pPr>
    </w:p>
    <w:p w14:paraId="48022902" w14:textId="77777777" w:rsidR="00A646BC" w:rsidRPr="00A646BC" w:rsidRDefault="00A646BC" w:rsidP="00A646BC">
      <w:pPr>
        <w:spacing w:after="0" w:line="276" w:lineRule="auto"/>
        <w:jc w:val="left"/>
        <w:rPr>
          <w:rFonts w:ascii="Arial" w:eastAsia="Times New Roman" w:hAnsi="Arial" w:cs="Times New Roman"/>
          <w:sz w:val="22"/>
          <w:lang w:val="en-US"/>
        </w:rPr>
      </w:pPr>
    </w:p>
    <w:p w14:paraId="15EC0B32" w14:textId="77777777" w:rsidR="00A646BC" w:rsidRPr="00A646BC" w:rsidRDefault="00A646BC" w:rsidP="00A646BC">
      <w:pPr>
        <w:keepNext/>
        <w:spacing w:after="0" w:line="276" w:lineRule="auto"/>
        <w:jc w:val="left"/>
        <w:rPr>
          <w:rFonts w:ascii="Arial" w:eastAsia="Times New Roman" w:hAnsi="Arial" w:cs="Times New Roman"/>
          <w:sz w:val="22"/>
          <w:lang w:val="en-US"/>
        </w:rPr>
      </w:pPr>
      <w:proofErr w:type="spellStart"/>
      <w:r w:rsidRPr="00A646BC">
        <w:rPr>
          <w:rFonts w:ascii="Arial" w:eastAsia="Times New Roman" w:hAnsi="Arial" w:cs="Times New Roman"/>
          <w:sz w:val="22"/>
          <w:lang w:val="en-US"/>
        </w:rPr>
        <w:t>Carpark_PC</w:t>
      </w:r>
      <w:proofErr w:type="spellEnd"/>
      <w:r w:rsidRPr="00A646BC">
        <w:rPr>
          <w:rFonts w:ascii="Arial" w:eastAsia="Times New Roman" w:hAnsi="Arial" w:cs="Times New Roman"/>
          <w:sz w:val="22"/>
          <w:lang w:val="en-US"/>
        </w:rPr>
        <w:t xml:space="preserve"> </w:t>
      </w:r>
      <w:r w:rsidRPr="00A646BC">
        <w:rPr>
          <w:rFonts w:ascii="Arial" w:eastAsia="Times New Roman" w:hAnsi="Arial" w:cs="Times New Roman"/>
          <w:sz w:val="22"/>
          <w:lang w:val="en-US"/>
        </w:rPr>
        <w:br/>
        <w:t xml:space="preserve">Please, use the player below to start your exploration.  </w:t>
      </w:r>
      <w:r w:rsidRPr="00A646BC">
        <w:rPr>
          <w:rFonts w:ascii="Arial" w:eastAsia="Times New Roman" w:hAnsi="Arial" w:cs="Times New Roman"/>
          <w:sz w:val="22"/>
          <w:lang w:val="en-US"/>
        </w:rPr>
        <w:br/>
        <w:t xml:space="preserve">It is essential that you activate the full screen (you can do this by clicking on this button   on the top right of the video </w:t>
      </w:r>
      <w:proofErr w:type="gramStart"/>
      <w:r w:rsidRPr="00A646BC">
        <w:rPr>
          <w:rFonts w:ascii="Arial" w:eastAsia="Times New Roman" w:hAnsi="Arial" w:cs="Times New Roman"/>
          <w:sz w:val="22"/>
          <w:lang w:val="en-US"/>
        </w:rPr>
        <w:t xml:space="preserve">frame)   </w:t>
      </w:r>
      <w:proofErr w:type="gramEnd"/>
      <w:r w:rsidRPr="00A646BC">
        <w:rPr>
          <w:rFonts w:ascii="Arial" w:eastAsia="Times New Roman" w:hAnsi="Arial" w:cs="Times New Roman"/>
          <w:sz w:val="22"/>
          <w:lang w:val="en-US"/>
        </w:rPr>
        <w:t xml:space="preserve">  </w:t>
      </w:r>
      <w:r w:rsidRPr="00A646BC">
        <w:rPr>
          <w:rFonts w:ascii="Arial" w:eastAsia="Times New Roman" w:hAnsi="Arial" w:cs="Times New Roman"/>
          <w:sz w:val="22"/>
          <w:lang w:val="en-US"/>
        </w:rPr>
        <w:br/>
      </w:r>
      <w:r w:rsidRPr="00A646BC">
        <w:rPr>
          <w:rFonts w:ascii="Arial" w:eastAsia="Times New Roman" w:hAnsi="Arial" w:cs="Times New Roman"/>
          <w:sz w:val="22"/>
          <w:lang w:val="en-US"/>
        </w:rPr>
        <w:br/>
        <w:t xml:space="preserve">   </w:t>
      </w:r>
    </w:p>
    <w:p w14:paraId="1B762BFF" w14:textId="77777777" w:rsidR="00A646BC" w:rsidRPr="00A646BC" w:rsidRDefault="00A646BC" w:rsidP="00A646BC">
      <w:pPr>
        <w:pBdr>
          <w:top w:val="dashed" w:sz="8" w:space="0" w:color="CCCCCC"/>
        </w:pBdr>
        <w:spacing w:before="120" w:after="120" w:line="120" w:lineRule="auto"/>
        <w:jc w:val="left"/>
        <w:rPr>
          <w:rFonts w:ascii="Arial" w:eastAsia="Times New Roman" w:hAnsi="Arial" w:cs="Times New Roman"/>
          <w:sz w:val="22"/>
          <w:lang w:val="en-US"/>
        </w:rPr>
      </w:pPr>
    </w:p>
    <w:tbl>
      <w:tblPr>
        <w:tblStyle w:val="QQuestionIconTable"/>
        <w:tblW w:w="50" w:type="auto"/>
        <w:tblLook w:val="07E0" w:firstRow="1" w:lastRow="1" w:firstColumn="1" w:lastColumn="1" w:noHBand="1" w:noVBand="1"/>
      </w:tblPr>
      <w:tblGrid>
        <w:gridCol w:w="380"/>
      </w:tblGrid>
      <w:tr w:rsidR="00A646BC" w:rsidRPr="00A646BC" w14:paraId="70D82C6A" w14:textId="77777777" w:rsidTr="003C7F42">
        <w:tc>
          <w:tcPr>
            <w:tcW w:w="50" w:type="dxa"/>
          </w:tcPr>
          <w:p w14:paraId="1F829D45" w14:textId="77777777" w:rsidR="00A646BC" w:rsidRPr="00A646BC" w:rsidRDefault="00A646BC" w:rsidP="00A646BC">
            <w:pPr>
              <w:keepNext/>
              <w:spacing w:line="240" w:lineRule="auto"/>
              <w:jc w:val="center"/>
              <w:rPr>
                <w:rFonts w:ascii="Arial" w:eastAsia="Times New Roman" w:hAnsi="Arial" w:cs="Times New Roman"/>
                <w:sz w:val="22"/>
                <w:lang w:val="en-US"/>
              </w:rPr>
            </w:pPr>
            <w:r w:rsidRPr="00A646BC">
              <w:rPr>
                <w:rFonts w:ascii="Arial" w:eastAsia="Times New Roman" w:hAnsi="Arial" w:cs="Times New Roman"/>
                <w:noProof/>
                <w:sz w:val="22"/>
                <w:lang w:val="en-US"/>
              </w:rPr>
              <w:drawing>
                <wp:inline distT="0" distB="0" distL="0" distR="0" wp14:anchorId="18D84C9B" wp14:editId="3CFF9B51">
                  <wp:extent cx="228600" cy="228600"/>
                  <wp:effectExtent l="0" t="0" r="0" b="0"/>
                  <wp:docPr id="13" name="WordQuestionJavaScrip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WordQuestionJavaScript.png"/>
                          <pic:cNvPicPr/>
                        </pic:nvPicPr>
                        <pic:blipFill>
                          <a:blip r:embed="rId69"/>
                          <a:stretch>
                            <a:fillRect/>
                          </a:stretch>
                        </pic:blipFill>
                        <pic:spPr>
                          <a:xfrm>
                            <a:off x="0" y="0"/>
                            <a:ext cx="228600" cy="228600"/>
                          </a:xfrm>
                          <a:prstGeom prst="rect">
                            <a:avLst/>
                          </a:prstGeom>
                        </pic:spPr>
                      </pic:pic>
                    </a:graphicData>
                  </a:graphic>
                </wp:inline>
              </w:drawing>
            </w:r>
          </w:p>
        </w:tc>
      </w:tr>
    </w:tbl>
    <w:p w14:paraId="302CE23C" w14:textId="77777777" w:rsidR="00A646BC" w:rsidRPr="00A646BC" w:rsidRDefault="00A646BC" w:rsidP="00A646BC">
      <w:pPr>
        <w:spacing w:after="0" w:line="276" w:lineRule="auto"/>
        <w:jc w:val="left"/>
        <w:rPr>
          <w:rFonts w:ascii="Arial" w:eastAsia="Times New Roman" w:hAnsi="Arial" w:cs="Times New Roman"/>
          <w:sz w:val="22"/>
          <w:lang w:val="en-US"/>
        </w:rPr>
      </w:pPr>
    </w:p>
    <w:p w14:paraId="44EFD7DC" w14:textId="77777777" w:rsidR="00A646BC" w:rsidRPr="00A646BC" w:rsidRDefault="00A646BC" w:rsidP="00A646BC">
      <w:pPr>
        <w:keepNext/>
        <w:spacing w:after="0" w:line="276" w:lineRule="auto"/>
        <w:jc w:val="left"/>
        <w:rPr>
          <w:rFonts w:ascii="Arial" w:eastAsia="Times New Roman" w:hAnsi="Arial" w:cs="Times New Roman"/>
          <w:sz w:val="22"/>
          <w:lang w:val="en-US"/>
        </w:rPr>
      </w:pPr>
      <w:proofErr w:type="spellStart"/>
      <w:r w:rsidRPr="00A646BC">
        <w:rPr>
          <w:rFonts w:ascii="Arial" w:eastAsia="Times New Roman" w:hAnsi="Arial" w:cs="Times New Roman"/>
          <w:sz w:val="22"/>
          <w:lang w:val="en-US"/>
        </w:rPr>
        <w:t>time_carpark_end</w:t>
      </w:r>
      <w:proofErr w:type="spellEnd"/>
      <w:r w:rsidRPr="00A646BC">
        <w:rPr>
          <w:rFonts w:ascii="Arial" w:eastAsia="Times New Roman" w:hAnsi="Arial" w:cs="Times New Roman"/>
          <w:sz w:val="22"/>
          <w:lang w:val="en-US"/>
        </w:rPr>
        <w:t xml:space="preserve"> Click to write the question text</w:t>
      </w:r>
    </w:p>
    <w:p w14:paraId="4038F860" w14:textId="77777777" w:rsidR="00A646BC" w:rsidRPr="00A646BC" w:rsidRDefault="00A646BC" w:rsidP="00A646BC">
      <w:pPr>
        <w:spacing w:before="240" w:after="0" w:line="240" w:lineRule="auto"/>
        <w:ind w:firstLine="400"/>
        <w:jc w:val="left"/>
        <w:rPr>
          <w:rFonts w:ascii="Arial" w:eastAsia="Times New Roman" w:hAnsi="Arial" w:cs="Times New Roman"/>
          <w:sz w:val="22"/>
          <w:lang w:val="en-US"/>
        </w:rPr>
      </w:pPr>
      <w:r w:rsidRPr="00A646BC">
        <w:rPr>
          <w:rFonts w:ascii="Arial" w:eastAsia="Times New Roman" w:hAnsi="Arial" w:cs="Times New Roman"/>
          <w:sz w:val="22"/>
          <w:lang w:val="en-US"/>
        </w:rPr>
        <w:t>________________________________________________________________</w:t>
      </w:r>
    </w:p>
    <w:p w14:paraId="649D5277" w14:textId="77777777" w:rsidR="00A646BC" w:rsidRPr="00A646BC" w:rsidRDefault="00A646BC" w:rsidP="00A646BC">
      <w:pPr>
        <w:spacing w:after="0" w:line="276" w:lineRule="auto"/>
        <w:jc w:val="left"/>
        <w:rPr>
          <w:rFonts w:ascii="Arial" w:eastAsia="Times New Roman" w:hAnsi="Arial" w:cs="Times New Roman"/>
          <w:sz w:val="22"/>
          <w:lang w:val="en-US"/>
        </w:rPr>
      </w:pPr>
    </w:p>
    <w:p w14:paraId="02718609" w14:textId="77777777" w:rsidR="00A646BC" w:rsidRPr="00A646BC" w:rsidRDefault="00A646BC" w:rsidP="00A646BC">
      <w:pPr>
        <w:spacing w:before="120" w:after="0" w:line="240" w:lineRule="auto"/>
        <w:jc w:val="left"/>
        <w:rPr>
          <w:rFonts w:ascii="Arial" w:eastAsia="Times New Roman" w:hAnsi="Arial" w:cs="Times New Roman"/>
          <w:b/>
          <w:color w:val="CCCCCC"/>
          <w:sz w:val="22"/>
          <w:lang w:val="en-US"/>
        </w:rPr>
      </w:pPr>
      <w:r w:rsidRPr="00A646BC">
        <w:rPr>
          <w:rFonts w:ascii="Arial" w:eastAsia="Times New Roman" w:hAnsi="Arial" w:cs="Times New Roman"/>
          <w:b/>
          <w:color w:val="CCCCCC"/>
          <w:sz w:val="22"/>
          <w:lang w:val="en-US"/>
        </w:rPr>
        <w:t xml:space="preserve">End of Block: </w:t>
      </w:r>
      <w:proofErr w:type="spellStart"/>
      <w:r w:rsidRPr="00A646BC">
        <w:rPr>
          <w:rFonts w:ascii="Arial" w:eastAsia="Times New Roman" w:hAnsi="Arial" w:cs="Times New Roman"/>
          <w:b/>
          <w:color w:val="CCCCCC"/>
          <w:sz w:val="22"/>
          <w:lang w:val="en-US"/>
        </w:rPr>
        <w:t>Relax_carparka</w:t>
      </w:r>
      <w:proofErr w:type="spellEnd"/>
    </w:p>
    <w:p w14:paraId="582FC2D6" w14:textId="77777777" w:rsidR="00A646BC" w:rsidRPr="00A646BC" w:rsidRDefault="00A646BC" w:rsidP="00A646BC">
      <w:pPr>
        <w:pBdr>
          <w:bottom w:val="single" w:sz="8" w:space="0" w:color="CCCCCC"/>
        </w:pBdr>
        <w:spacing w:after="0" w:line="120" w:lineRule="auto"/>
        <w:jc w:val="center"/>
        <w:rPr>
          <w:rFonts w:ascii="Arial" w:eastAsia="Times New Roman" w:hAnsi="Arial" w:cs="Times New Roman"/>
          <w:b/>
          <w:color w:val="CCCCCC"/>
          <w:sz w:val="22"/>
          <w:lang w:val="en-US"/>
        </w:rPr>
      </w:pPr>
    </w:p>
    <w:p w14:paraId="3B527518" w14:textId="77777777" w:rsidR="00A646BC" w:rsidRPr="00A646BC" w:rsidRDefault="00A646BC" w:rsidP="00A646BC">
      <w:pPr>
        <w:spacing w:before="120" w:after="120" w:line="240" w:lineRule="auto"/>
        <w:jc w:val="left"/>
        <w:rPr>
          <w:rFonts w:ascii="Arial" w:eastAsia="Times New Roman" w:hAnsi="Arial" w:cs="Times New Roman"/>
          <w:b/>
          <w:color w:val="CCCCCC"/>
          <w:sz w:val="22"/>
          <w:lang w:val="en-US"/>
        </w:rPr>
      </w:pPr>
      <w:r w:rsidRPr="00A646BC">
        <w:rPr>
          <w:rFonts w:ascii="Arial" w:eastAsia="Times New Roman" w:hAnsi="Arial" w:cs="Times New Roman"/>
          <w:b/>
          <w:color w:val="CCCCCC"/>
          <w:sz w:val="22"/>
          <w:lang w:val="en-US"/>
        </w:rPr>
        <w:t xml:space="preserve">Start of Block: </w:t>
      </w:r>
      <w:proofErr w:type="spellStart"/>
      <w:r w:rsidRPr="00A646BC">
        <w:rPr>
          <w:rFonts w:ascii="Arial" w:eastAsia="Times New Roman" w:hAnsi="Arial" w:cs="Times New Roman"/>
          <w:b/>
          <w:color w:val="CCCCCC"/>
          <w:sz w:val="22"/>
          <w:lang w:val="en-US"/>
        </w:rPr>
        <w:t>PanasX_cool_Post</w:t>
      </w:r>
      <w:proofErr w:type="spellEnd"/>
    </w:p>
    <w:p w14:paraId="6562F308" w14:textId="77777777" w:rsidR="00A646BC" w:rsidRPr="00A646BC" w:rsidRDefault="00A646BC" w:rsidP="00A646BC">
      <w:pPr>
        <w:keepNext/>
        <w:spacing w:after="0" w:line="276" w:lineRule="auto"/>
        <w:jc w:val="left"/>
        <w:rPr>
          <w:rFonts w:ascii="Arial" w:eastAsia="Times New Roman" w:hAnsi="Arial" w:cs="Times New Roman"/>
          <w:sz w:val="22"/>
          <w:lang w:val="en-US"/>
        </w:rPr>
      </w:pPr>
      <w:proofErr w:type="spellStart"/>
      <w:r w:rsidRPr="00A646BC">
        <w:rPr>
          <w:rFonts w:ascii="Arial" w:eastAsia="Times New Roman" w:hAnsi="Arial" w:cs="Times New Roman"/>
          <w:sz w:val="22"/>
          <w:lang w:val="en-US"/>
        </w:rPr>
        <w:lastRenderedPageBreak/>
        <w:t>panasx_cool_post</w:t>
      </w:r>
      <w:proofErr w:type="spellEnd"/>
      <w:r w:rsidRPr="00A646BC">
        <w:rPr>
          <w:rFonts w:ascii="Arial" w:eastAsia="Times New Roman" w:hAnsi="Arial" w:cs="Times New Roman"/>
          <w:sz w:val="22"/>
          <w:lang w:val="en-US"/>
        </w:rPr>
        <w:t xml:space="preserve"> Please rate according to how you feel RIGHT NOW. You should answer this quickly based on your first instincts</w:t>
      </w:r>
    </w:p>
    <w:tbl>
      <w:tblPr>
        <w:tblStyle w:val="QQuestionTable5"/>
        <w:tblW w:w="9576" w:type="auto"/>
        <w:tblLook w:val="07E0" w:firstRow="1" w:lastRow="1" w:firstColumn="1" w:lastColumn="1" w:noHBand="1" w:noVBand="1"/>
      </w:tblPr>
      <w:tblGrid>
        <w:gridCol w:w="1596"/>
        <w:gridCol w:w="1596"/>
        <w:gridCol w:w="1596"/>
        <w:gridCol w:w="1596"/>
        <w:gridCol w:w="1596"/>
        <w:gridCol w:w="1596"/>
      </w:tblGrid>
      <w:tr w:rsidR="00A646BC" w:rsidRPr="00A646BC" w14:paraId="46DC48C5" w14:textId="77777777" w:rsidTr="003C7F4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96" w:type="dxa"/>
          </w:tcPr>
          <w:p w14:paraId="20126787" w14:textId="77777777" w:rsidR="00A646BC" w:rsidRPr="00A646BC" w:rsidRDefault="00A646BC" w:rsidP="00A646BC">
            <w:pPr>
              <w:keepNext/>
              <w:spacing w:line="240" w:lineRule="auto"/>
              <w:jc w:val="center"/>
              <w:rPr>
                <w:rFonts w:ascii="Arial" w:hAnsi="Arial" w:cs="Times New Roman"/>
                <w:sz w:val="22"/>
                <w:lang w:val="en-US"/>
              </w:rPr>
            </w:pPr>
          </w:p>
        </w:tc>
        <w:tc>
          <w:tcPr>
            <w:tcW w:w="1596" w:type="dxa"/>
          </w:tcPr>
          <w:p w14:paraId="7D1A75EA" w14:textId="77777777" w:rsidR="00A646BC" w:rsidRPr="00A646BC" w:rsidRDefault="00A646BC" w:rsidP="00A646BC">
            <w:pPr>
              <w:spacing w:line="240" w:lineRule="auto"/>
              <w:jc w:val="center"/>
              <w:cnfStyle w:val="100000000000" w:firstRow="1" w:lastRow="0" w:firstColumn="0" w:lastColumn="0" w:oddVBand="0" w:evenVBand="0" w:oddHBand="0" w:evenHBand="0" w:firstRowFirstColumn="0" w:firstRowLastColumn="0" w:lastRowFirstColumn="0" w:lastRowLastColumn="0"/>
              <w:rPr>
                <w:rFonts w:ascii="Arial" w:hAnsi="Arial" w:cs="Times New Roman"/>
                <w:sz w:val="22"/>
                <w:lang w:val="en-US"/>
              </w:rPr>
            </w:pPr>
            <w:r w:rsidRPr="00A646BC">
              <w:rPr>
                <w:rFonts w:ascii="Arial" w:hAnsi="Arial" w:cs="Times New Roman"/>
                <w:sz w:val="22"/>
                <w:lang w:val="en-US"/>
              </w:rPr>
              <w:t>Not at all (1)</w:t>
            </w:r>
          </w:p>
        </w:tc>
        <w:tc>
          <w:tcPr>
            <w:tcW w:w="1596" w:type="dxa"/>
          </w:tcPr>
          <w:p w14:paraId="7B2A83F8" w14:textId="77777777" w:rsidR="00A646BC" w:rsidRPr="00A646BC" w:rsidRDefault="00A646BC" w:rsidP="00A646BC">
            <w:pPr>
              <w:spacing w:line="240" w:lineRule="auto"/>
              <w:jc w:val="center"/>
              <w:cnfStyle w:val="100000000000" w:firstRow="1" w:lastRow="0" w:firstColumn="0" w:lastColumn="0" w:oddVBand="0" w:evenVBand="0" w:oddHBand="0" w:evenHBand="0" w:firstRowFirstColumn="0" w:firstRowLastColumn="0" w:lastRowFirstColumn="0" w:lastRowLastColumn="0"/>
              <w:rPr>
                <w:rFonts w:ascii="Arial" w:hAnsi="Arial" w:cs="Times New Roman"/>
                <w:sz w:val="22"/>
                <w:lang w:val="en-US"/>
              </w:rPr>
            </w:pPr>
            <w:r w:rsidRPr="00A646BC">
              <w:rPr>
                <w:rFonts w:ascii="Arial" w:hAnsi="Arial" w:cs="Times New Roman"/>
                <w:sz w:val="22"/>
                <w:lang w:val="en-US"/>
              </w:rPr>
              <w:t>A little (2)</w:t>
            </w:r>
          </w:p>
        </w:tc>
        <w:tc>
          <w:tcPr>
            <w:tcW w:w="1596" w:type="dxa"/>
          </w:tcPr>
          <w:p w14:paraId="2915CBF0" w14:textId="77777777" w:rsidR="00A646BC" w:rsidRPr="00A646BC" w:rsidRDefault="00A646BC" w:rsidP="00A646BC">
            <w:pPr>
              <w:spacing w:line="240" w:lineRule="auto"/>
              <w:jc w:val="center"/>
              <w:cnfStyle w:val="100000000000" w:firstRow="1" w:lastRow="0" w:firstColumn="0" w:lastColumn="0" w:oddVBand="0" w:evenVBand="0" w:oddHBand="0" w:evenHBand="0" w:firstRowFirstColumn="0" w:firstRowLastColumn="0" w:lastRowFirstColumn="0" w:lastRowLastColumn="0"/>
              <w:rPr>
                <w:rFonts w:ascii="Arial" w:hAnsi="Arial" w:cs="Times New Roman"/>
                <w:sz w:val="22"/>
                <w:lang w:val="en-US"/>
              </w:rPr>
            </w:pPr>
            <w:r w:rsidRPr="00A646BC">
              <w:rPr>
                <w:rFonts w:ascii="Arial" w:hAnsi="Arial" w:cs="Times New Roman"/>
                <w:sz w:val="22"/>
                <w:lang w:val="en-US"/>
              </w:rPr>
              <w:t>Moderately (3)</w:t>
            </w:r>
          </w:p>
        </w:tc>
        <w:tc>
          <w:tcPr>
            <w:tcW w:w="1596" w:type="dxa"/>
          </w:tcPr>
          <w:p w14:paraId="443D7FFE" w14:textId="77777777" w:rsidR="00A646BC" w:rsidRPr="00A646BC" w:rsidRDefault="00A646BC" w:rsidP="00A646BC">
            <w:pPr>
              <w:spacing w:line="240" w:lineRule="auto"/>
              <w:jc w:val="center"/>
              <w:cnfStyle w:val="100000000000" w:firstRow="1" w:lastRow="0" w:firstColumn="0" w:lastColumn="0" w:oddVBand="0" w:evenVBand="0" w:oddHBand="0" w:evenHBand="0" w:firstRowFirstColumn="0" w:firstRowLastColumn="0" w:lastRowFirstColumn="0" w:lastRowLastColumn="0"/>
              <w:rPr>
                <w:rFonts w:ascii="Arial" w:hAnsi="Arial" w:cs="Times New Roman"/>
                <w:sz w:val="22"/>
                <w:lang w:val="en-US"/>
              </w:rPr>
            </w:pPr>
            <w:r w:rsidRPr="00A646BC">
              <w:rPr>
                <w:rFonts w:ascii="Arial" w:hAnsi="Arial" w:cs="Times New Roman"/>
                <w:sz w:val="22"/>
                <w:lang w:val="en-US"/>
              </w:rPr>
              <w:t>Quite a bit (4)</w:t>
            </w:r>
          </w:p>
        </w:tc>
        <w:tc>
          <w:tcPr>
            <w:tcW w:w="1596" w:type="dxa"/>
          </w:tcPr>
          <w:p w14:paraId="066409E5" w14:textId="77777777" w:rsidR="00A646BC" w:rsidRPr="00A646BC" w:rsidRDefault="00A646BC" w:rsidP="00A646BC">
            <w:pPr>
              <w:spacing w:line="240" w:lineRule="auto"/>
              <w:jc w:val="center"/>
              <w:cnfStyle w:val="100000000000" w:firstRow="1" w:lastRow="0" w:firstColumn="0" w:lastColumn="0" w:oddVBand="0" w:evenVBand="0" w:oddHBand="0" w:evenHBand="0" w:firstRowFirstColumn="0" w:firstRowLastColumn="0" w:lastRowFirstColumn="0" w:lastRowLastColumn="0"/>
              <w:rPr>
                <w:rFonts w:ascii="Arial" w:hAnsi="Arial" w:cs="Times New Roman"/>
                <w:sz w:val="22"/>
                <w:lang w:val="en-US"/>
              </w:rPr>
            </w:pPr>
            <w:r w:rsidRPr="00A646BC">
              <w:rPr>
                <w:rFonts w:ascii="Arial" w:hAnsi="Arial" w:cs="Times New Roman"/>
                <w:sz w:val="22"/>
                <w:lang w:val="en-US"/>
              </w:rPr>
              <w:t>Extremely (5)</w:t>
            </w:r>
          </w:p>
        </w:tc>
      </w:tr>
      <w:tr w:rsidR="00A646BC" w:rsidRPr="00A646BC" w14:paraId="5881E25B" w14:textId="77777777" w:rsidTr="003C7F42">
        <w:tc>
          <w:tcPr>
            <w:cnfStyle w:val="001000000000" w:firstRow="0" w:lastRow="0" w:firstColumn="1" w:lastColumn="0" w:oddVBand="0" w:evenVBand="0" w:oddHBand="0" w:evenHBand="0" w:firstRowFirstColumn="0" w:firstRowLastColumn="0" w:lastRowFirstColumn="0" w:lastRowLastColumn="0"/>
            <w:tcW w:w="1596" w:type="dxa"/>
          </w:tcPr>
          <w:p w14:paraId="0BE07859" w14:textId="77777777" w:rsidR="00A646BC" w:rsidRPr="00A646BC" w:rsidRDefault="00A646BC" w:rsidP="00A646BC">
            <w:pPr>
              <w:keepNext/>
              <w:spacing w:line="240" w:lineRule="auto"/>
              <w:jc w:val="center"/>
              <w:rPr>
                <w:rFonts w:ascii="Arial" w:hAnsi="Arial" w:cs="Times New Roman"/>
                <w:sz w:val="22"/>
                <w:lang w:val="en-US"/>
              </w:rPr>
            </w:pPr>
            <w:r w:rsidRPr="00A646BC">
              <w:rPr>
                <w:rFonts w:ascii="Arial" w:hAnsi="Arial" w:cs="Times New Roman"/>
                <w:sz w:val="22"/>
                <w:lang w:val="en-US"/>
              </w:rPr>
              <w:t xml:space="preserve">Happy (1) </w:t>
            </w:r>
          </w:p>
        </w:tc>
        <w:tc>
          <w:tcPr>
            <w:tcW w:w="1596" w:type="dxa"/>
          </w:tcPr>
          <w:p w14:paraId="3D75AC73" w14:textId="77777777" w:rsidR="00A646BC" w:rsidRPr="00A646BC" w:rsidRDefault="00A646BC" w:rsidP="00A646BC">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66658181" w14:textId="77777777" w:rsidR="00A646BC" w:rsidRPr="00A646BC" w:rsidRDefault="00A646BC" w:rsidP="00A646BC">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5F2627E0" w14:textId="77777777" w:rsidR="00A646BC" w:rsidRPr="00A646BC" w:rsidRDefault="00A646BC" w:rsidP="00A646BC">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55D4996F" w14:textId="77777777" w:rsidR="00A646BC" w:rsidRPr="00A646BC" w:rsidRDefault="00A646BC" w:rsidP="00A646BC">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580F2817" w14:textId="77777777" w:rsidR="00A646BC" w:rsidRPr="00A646BC" w:rsidRDefault="00A646BC" w:rsidP="00A646BC">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r>
      <w:tr w:rsidR="00A646BC" w:rsidRPr="00A646BC" w14:paraId="32A4ADFA" w14:textId="77777777" w:rsidTr="003C7F42">
        <w:tc>
          <w:tcPr>
            <w:cnfStyle w:val="001000000000" w:firstRow="0" w:lastRow="0" w:firstColumn="1" w:lastColumn="0" w:oddVBand="0" w:evenVBand="0" w:oddHBand="0" w:evenHBand="0" w:firstRowFirstColumn="0" w:firstRowLastColumn="0" w:lastRowFirstColumn="0" w:lastRowLastColumn="0"/>
            <w:tcW w:w="1596" w:type="dxa"/>
          </w:tcPr>
          <w:p w14:paraId="09D59B66" w14:textId="77777777" w:rsidR="00A646BC" w:rsidRPr="00A646BC" w:rsidRDefault="00A646BC" w:rsidP="00A646BC">
            <w:pPr>
              <w:keepNext/>
              <w:spacing w:line="240" w:lineRule="auto"/>
              <w:jc w:val="center"/>
              <w:rPr>
                <w:rFonts w:ascii="Arial" w:hAnsi="Arial" w:cs="Times New Roman"/>
                <w:sz w:val="22"/>
                <w:lang w:val="en-US"/>
              </w:rPr>
            </w:pPr>
            <w:r w:rsidRPr="00A646BC">
              <w:rPr>
                <w:rFonts w:ascii="Arial" w:hAnsi="Arial" w:cs="Times New Roman"/>
                <w:sz w:val="22"/>
                <w:lang w:val="en-US"/>
              </w:rPr>
              <w:t xml:space="preserve">Joyful (2) </w:t>
            </w:r>
          </w:p>
        </w:tc>
        <w:tc>
          <w:tcPr>
            <w:tcW w:w="1596" w:type="dxa"/>
          </w:tcPr>
          <w:p w14:paraId="62B73F77" w14:textId="77777777" w:rsidR="00A646BC" w:rsidRPr="00A646BC" w:rsidRDefault="00A646BC" w:rsidP="00A646BC">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2B0AA6E7" w14:textId="77777777" w:rsidR="00A646BC" w:rsidRPr="00A646BC" w:rsidRDefault="00A646BC" w:rsidP="00A646BC">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52B1AA42" w14:textId="77777777" w:rsidR="00A646BC" w:rsidRPr="00A646BC" w:rsidRDefault="00A646BC" w:rsidP="00A646BC">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04DD849D" w14:textId="77777777" w:rsidR="00A646BC" w:rsidRPr="00A646BC" w:rsidRDefault="00A646BC" w:rsidP="00A646BC">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41353E52" w14:textId="77777777" w:rsidR="00A646BC" w:rsidRPr="00A646BC" w:rsidRDefault="00A646BC" w:rsidP="00A646BC">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r>
      <w:tr w:rsidR="00A646BC" w:rsidRPr="00A646BC" w14:paraId="7378CB85" w14:textId="77777777" w:rsidTr="003C7F42">
        <w:tc>
          <w:tcPr>
            <w:cnfStyle w:val="001000000000" w:firstRow="0" w:lastRow="0" w:firstColumn="1" w:lastColumn="0" w:oddVBand="0" w:evenVBand="0" w:oddHBand="0" w:evenHBand="0" w:firstRowFirstColumn="0" w:firstRowLastColumn="0" w:lastRowFirstColumn="0" w:lastRowLastColumn="0"/>
            <w:tcW w:w="1596" w:type="dxa"/>
          </w:tcPr>
          <w:p w14:paraId="72B30FA8" w14:textId="77777777" w:rsidR="00A646BC" w:rsidRPr="00A646BC" w:rsidRDefault="00A646BC" w:rsidP="00A646BC">
            <w:pPr>
              <w:keepNext/>
              <w:spacing w:line="240" w:lineRule="auto"/>
              <w:jc w:val="center"/>
              <w:rPr>
                <w:rFonts w:ascii="Arial" w:hAnsi="Arial" w:cs="Times New Roman"/>
                <w:sz w:val="22"/>
                <w:lang w:val="en-US"/>
              </w:rPr>
            </w:pPr>
            <w:r w:rsidRPr="00A646BC">
              <w:rPr>
                <w:rFonts w:ascii="Arial" w:hAnsi="Arial" w:cs="Times New Roman"/>
                <w:sz w:val="22"/>
                <w:lang w:val="en-US"/>
              </w:rPr>
              <w:t xml:space="preserve">Delighted (3) </w:t>
            </w:r>
          </w:p>
        </w:tc>
        <w:tc>
          <w:tcPr>
            <w:tcW w:w="1596" w:type="dxa"/>
          </w:tcPr>
          <w:p w14:paraId="5A6C96F1" w14:textId="77777777" w:rsidR="00A646BC" w:rsidRPr="00A646BC" w:rsidRDefault="00A646BC" w:rsidP="00A646BC">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12E77F95" w14:textId="77777777" w:rsidR="00A646BC" w:rsidRPr="00A646BC" w:rsidRDefault="00A646BC" w:rsidP="00A646BC">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56163D69" w14:textId="77777777" w:rsidR="00A646BC" w:rsidRPr="00A646BC" w:rsidRDefault="00A646BC" w:rsidP="00A646BC">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2E3ECD85" w14:textId="77777777" w:rsidR="00A646BC" w:rsidRPr="00A646BC" w:rsidRDefault="00A646BC" w:rsidP="00A646BC">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3A5F4221" w14:textId="77777777" w:rsidR="00A646BC" w:rsidRPr="00A646BC" w:rsidRDefault="00A646BC" w:rsidP="00A646BC">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r>
      <w:tr w:rsidR="00A646BC" w:rsidRPr="00A646BC" w14:paraId="55F98722" w14:textId="77777777" w:rsidTr="003C7F42">
        <w:tc>
          <w:tcPr>
            <w:cnfStyle w:val="001000000000" w:firstRow="0" w:lastRow="0" w:firstColumn="1" w:lastColumn="0" w:oddVBand="0" w:evenVBand="0" w:oddHBand="0" w:evenHBand="0" w:firstRowFirstColumn="0" w:firstRowLastColumn="0" w:lastRowFirstColumn="0" w:lastRowLastColumn="0"/>
            <w:tcW w:w="1596" w:type="dxa"/>
          </w:tcPr>
          <w:p w14:paraId="7C249DDB" w14:textId="77777777" w:rsidR="00A646BC" w:rsidRPr="00A646BC" w:rsidRDefault="00A646BC" w:rsidP="00A646BC">
            <w:pPr>
              <w:keepNext/>
              <w:spacing w:line="240" w:lineRule="auto"/>
              <w:jc w:val="center"/>
              <w:rPr>
                <w:rFonts w:ascii="Arial" w:hAnsi="Arial" w:cs="Times New Roman"/>
                <w:sz w:val="22"/>
                <w:lang w:val="en-US"/>
              </w:rPr>
            </w:pPr>
            <w:r w:rsidRPr="00A646BC">
              <w:rPr>
                <w:rFonts w:ascii="Arial" w:hAnsi="Arial" w:cs="Times New Roman"/>
                <w:sz w:val="22"/>
                <w:lang w:val="en-US"/>
              </w:rPr>
              <w:t xml:space="preserve">Cheerful (4) </w:t>
            </w:r>
          </w:p>
        </w:tc>
        <w:tc>
          <w:tcPr>
            <w:tcW w:w="1596" w:type="dxa"/>
          </w:tcPr>
          <w:p w14:paraId="23C8D42B" w14:textId="77777777" w:rsidR="00A646BC" w:rsidRPr="00A646BC" w:rsidRDefault="00A646BC" w:rsidP="00A646BC">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6A8047F7" w14:textId="77777777" w:rsidR="00A646BC" w:rsidRPr="00A646BC" w:rsidRDefault="00A646BC" w:rsidP="00A646BC">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5655C078" w14:textId="77777777" w:rsidR="00A646BC" w:rsidRPr="00A646BC" w:rsidRDefault="00A646BC" w:rsidP="00A646BC">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32C5B175" w14:textId="77777777" w:rsidR="00A646BC" w:rsidRPr="00A646BC" w:rsidRDefault="00A646BC" w:rsidP="00A646BC">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6535A4A0" w14:textId="77777777" w:rsidR="00A646BC" w:rsidRPr="00A646BC" w:rsidRDefault="00A646BC" w:rsidP="00A646BC">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r>
      <w:tr w:rsidR="00A646BC" w:rsidRPr="00A646BC" w14:paraId="50BA5792" w14:textId="77777777" w:rsidTr="003C7F42">
        <w:tc>
          <w:tcPr>
            <w:cnfStyle w:val="001000000000" w:firstRow="0" w:lastRow="0" w:firstColumn="1" w:lastColumn="0" w:oddVBand="0" w:evenVBand="0" w:oddHBand="0" w:evenHBand="0" w:firstRowFirstColumn="0" w:firstRowLastColumn="0" w:lastRowFirstColumn="0" w:lastRowLastColumn="0"/>
            <w:tcW w:w="1596" w:type="dxa"/>
          </w:tcPr>
          <w:p w14:paraId="60C20A9A" w14:textId="77777777" w:rsidR="00A646BC" w:rsidRPr="00A646BC" w:rsidRDefault="00A646BC" w:rsidP="00A646BC">
            <w:pPr>
              <w:keepNext/>
              <w:spacing w:line="240" w:lineRule="auto"/>
              <w:jc w:val="center"/>
              <w:rPr>
                <w:rFonts w:ascii="Arial" w:hAnsi="Arial" w:cs="Times New Roman"/>
                <w:sz w:val="22"/>
                <w:lang w:val="en-US"/>
              </w:rPr>
            </w:pPr>
            <w:r w:rsidRPr="00A646BC">
              <w:rPr>
                <w:rFonts w:ascii="Arial" w:hAnsi="Arial" w:cs="Times New Roman"/>
                <w:sz w:val="22"/>
                <w:lang w:val="en-US"/>
              </w:rPr>
              <w:t xml:space="preserve">Excited (5) </w:t>
            </w:r>
          </w:p>
        </w:tc>
        <w:tc>
          <w:tcPr>
            <w:tcW w:w="1596" w:type="dxa"/>
          </w:tcPr>
          <w:p w14:paraId="0F1D9B54" w14:textId="77777777" w:rsidR="00A646BC" w:rsidRPr="00A646BC" w:rsidRDefault="00A646BC" w:rsidP="00A646BC">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7DDC8FC6" w14:textId="77777777" w:rsidR="00A646BC" w:rsidRPr="00A646BC" w:rsidRDefault="00A646BC" w:rsidP="00A646BC">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118489DB" w14:textId="77777777" w:rsidR="00A646BC" w:rsidRPr="00A646BC" w:rsidRDefault="00A646BC" w:rsidP="00A646BC">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24A951D4" w14:textId="77777777" w:rsidR="00A646BC" w:rsidRPr="00A646BC" w:rsidRDefault="00A646BC" w:rsidP="00A646BC">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0EB4FF7F" w14:textId="77777777" w:rsidR="00A646BC" w:rsidRPr="00A646BC" w:rsidRDefault="00A646BC" w:rsidP="00A646BC">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r>
      <w:tr w:rsidR="00A646BC" w:rsidRPr="00A646BC" w14:paraId="66C944A8" w14:textId="77777777" w:rsidTr="003C7F42">
        <w:tc>
          <w:tcPr>
            <w:cnfStyle w:val="001000000000" w:firstRow="0" w:lastRow="0" w:firstColumn="1" w:lastColumn="0" w:oddVBand="0" w:evenVBand="0" w:oddHBand="0" w:evenHBand="0" w:firstRowFirstColumn="0" w:firstRowLastColumn="0" w:lastRowFirstColumn="0" w:lastRowLastColumn="0"/>
            <w:tcW w:w="1596" w:type="dxa"/>
          </w:tcPr>
          <w:p w14:paraId="17BE4ADE" w14:textId="77777777" w:rsidR="00A646BC" w:rsidRPr="00A646BC" w:rsidRDefault="00A646BC" w:rsidP="00A646BC">
            <w:pPr>
              <w:keepNext/>
              <w:spacing w:line="240" w:lineRule="auto"/>
              <w:jc w:val="center"/>
              <w:rPr>
                <w:rFonts w:ascii="Arial" w:hAnsi="Arial" w:cs="Times New Roman"/>
                <w:sz w:val="22"/>
                <w:lang w:val="en-US"/>
              </w:rPr>
            </w:pPr>
            <w:r w:rsidRPr="00A646BC">
              <w:rPr>
                <w:rFonts w:ascii="Arial" w:hAnsi="Arial" w:cs="Times New Roman"/>
                <w:sz w:val="22"/>
                <w:lang w:val="en-US"/>
              </w:rPr>
              <w:t xml:space="preserve">Enthusiastic (6) </w:t>
            </w:r>
          </w:p>
        </w:tc>
        <w:tc>
          <w:tcPr>
            <w:tcW w:w="1596" w:type="dxa"/>
          </w:tcPr>
          <w:p w14:paraId="7A4ADD6B" w14:textId="77777777" w:rsidR="00A646BC" w:rsidRPr="00A646BC" w:rsidRDefault="00A646BC" w:rsidP="00A646BC">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251D499C" w14:textId="77777777" w:rsidR="00A646BC" w:rsidRPr="00A646BC" w:rsidRDefault="00A646BC" w:rsidP="00A646BC">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6F9DA356" w14:textId="77777777" w:rsidR="00A646BC" w:rsidRPr="00A646BC" w:rsidRDefault="00A646BC" w:rsidP="00A646BC">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0D9006E4" w14:textId="77777777" w:rsidR="00A646BC" w:rsidRPr="00A646BC" w:rsidRDefault="00A646BC" w:rsidP="00A646BC">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69651AFD" w14:textId="77777777" w:rsidR="00A646BC" w:rsidRPr="00A646BC" w:rsidRDefault="00A646BC" w:rsidP="00A646BC">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r>
      <w:tr w:rsidR="00A646BC" w:rsidRPr="00A646BC" w14:paraId="593741DA" w14:textId="77777777" w:rsidTr="003C7F42">
        <w:tc>
          <w:tcPr>
            <w:cnfStyle w:val="001000000000" w:firstRow="0" w:lastRow="0" w:firstColumn="1" w:lastColumn="0" w:oddVBand="0" w:evenVBand="0" w:oddHBand="0" w:evenHBand="0" w:firstRowFirstColumn="0" w:firstRowLastColumn="0" w:lastRowFirstColumn="0" w:lastRowLastColumn="0"/>
            <w:tcW w:w="1596" w:type="dxa"/>
          </w:tcPr>
          <w:p w14:paraId="525BDEAF" w14:textId="77777777" w:rsidR="00A646BC" w:rsidRPr="00A646BC" w:rsidRDefault="00A646BC" w:rsidP="00A646BC">
            <w:pPr>
              <w:keepNext/>
              <w:spacing w:line="240" w:lineRule="auto"/>
              <w:jc w:val="center"/>
              <w:rPr>
                <w:rFonts w:ascii="Arial" w:hAnsi="Arial" w:cs="Times New Roman"/>
                <w:sz w:val="22"/>
                <w:lang w:val="en-US"/>
              </w:rPr>
            </w:pPr>
            <w:r w:rsidRPr="00A646BC">
              <w:rPr>
                <w:rFonts w:ascii="Arial" w:hAnsi="Arial" w:cs="Times New Roman"/>
                <w:sz w:val="22"/>
                <w:lang w:val="en-US"/>
              </w:rPr>
              <w:t xml:space="preserve">Lively (7) </w:t>
            </w:r>
          </w:p>
        </w:tc>
        <w:tc>
          <w:tcPr>
            <w:tcW w:w="1596" w:type="dxa"/>
          </w:tcPr>
          <w:p w14:paraId="297AD0DE" w14:textId="77777777" w:rsidR="00A646BC" w:rsidRPr="00A646BC" w:rsidRDefault="00A646BC" w:rsidP="00A646BC">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67ABA0B3" w14:textId="77777777" w:rsidR="00A646BC" w:rsidRPr="00A646BC" w:rsidRDefault="00A646BC" w:rsidP="00A646BC">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3E40DAE1" w14:textId="77777777" w:rsidR="00A646BC" w:rsidRPr="00A646BC" w:rsidRDefault="00A646BC" w:rsidP="00A646BC">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5919BA23" w14:textId="77777777" w:rsidR="00A646BC" w:rsidRPr="00A646BC" w:rsidRDefault="00A646BC" w:rsidP="00A646BC">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4B06A6BB" w14:textId="77777777" w:rsidR="00A646BC" w:rsidRPr="00A646BC" w:rsidRDefault="00A646BC" w:rsidP="00A646BC">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r>
      <w:tr w:rsidR="00A646BC" w:rsidRPr="00A646BC" w14:paraId="6000100A" w14:textId="77777777" w:rsidTr="003C7F42">
        <w:tc>
          <w:tcPr>
            <w:cnfStyle w:val="001000000000" w:firstRow="0" w:lastRow="0" w:firstColumn="1" w:lastColumn="0" w:oddVBand="0" w:evenVBand="0" w:oddHBand="0" w:evenHBand="0" w:firstRowFirstColumn="0" w:firstRowLastColumn="0" w:lastRowFirstColumn="0" w:lastRowLastColumn="0"/>
            <w:tcW w:w="1596" w:type="dxa"/>
          </w:tcPr>
          <w:p w14:paraId="37E633F1" w14:textId="77777777" w:rsidR="00A646BC" w:rsidRPr="00A646BC" w:rsidRDefault="00A646BC" w:rsidP="00A646BC">
            <w:pPr>
              <w:keepNext/>
              <w:spacing w:line="240" w:lineRule="auto"/>
              <w:jc w:val="center"/>
              <w:rPr>
                <w:rFonts w:ascii="Arial" w:hAnsi="Arial" w:cs="Times New Roman"/>
                <w:sz w:val="22"/>
                <w:lang w:val="en-US"/>
              </w:rPr>
            </w:pPr>
            <w:r w:rsidRPr="00A646BC">
              <w:rPr>
                <w:rFonts w:ascii="Arial" w:hAnsi="Arial" w:cs="Times New Roman"/>
                <w:sz w:val="22"/>
                <w:lang w:val="en-US"/>
              </w:rPr>
              <w:t xml:space="preserve">Energetic (8) </w:t>
            </w:r>
          </w:p>
        </w:tc>
        <w:tc>
          <w:tcPr>
            <w:tcW w:w="1596" w:type="dxa"/>
          </w:tcPr>
          <w:p w14:paraId="15638609" w14:textId="77777777" w:rsidR="00A646BC" w:rsidRPr="00A646BC" w:rsidRDefault="00A646BC" w:rsidP="00A646BC">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2619C6D0" w14:textId="77777777" w:rsidR="00A646BC" w:rsidRPr="00A646BC" w:rsidRDefault="00A646BC" w:rsidP="00A646BC">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45ECCE3D" w14:textId="77777777" w:rsidR="00A646BC" w:rsidRPr="00A646BC" w:rsidRDefault="00A646BC" w:rsidP="00A646BC">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28B0C83D" w14:textId="77777777" w:rsidR="00A646BC" w:rsidRPr="00A646BC" w:rsidRDefault="00A646BC" w:rsidP="00A646BC">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20FE89FA" w14:textId="77777777" w:rsidR="00A646BC" w:rsidRPr="00A646BC" w:rsidRDefault="00A646BC" w:rsidP="00A646BC">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r>
      <w:tr w:rsidR="00A646BC" w:rsidRPr="00A646BC" w14:paraId="391D30B8" w14:textId="77777777" w:rsidTr="003C7F42">
        <w:tc>
          <w:tcPr>
            <w:cnfStyle w:val="001000000000" w:firstRow="0" w:lastRow="0" w:firstColumn="1" w:lastColumn="0" w:oddVBand="0" w:evenVBand="0" w:oddHBand="0" w:evenHBand="0" w:firstRowFirstColumn="0" w:firstRowLastColumn="0" w:lastRowFirstColumn="0" w:lastRowLastColumn="0"/>
            <w:tcW w:w="1596" w:type="dxa"/>
          </w:tcPr>
          <w:p w14:paraId="7D742FC3" w14:textId="77777777" w:rsidR="00A646BC" w:rsidRPr="00A646BC" w:rsidRDefault="00A646BC" w:rsidP="00A646BC">
            <w:pPr>
              <w:keepNext/>
              <w:spacing w:line="240" w:lineRule="auto"/>
              <w:jc w:val="center"/>
              <w:rPr>
                <w:rFonts w:ascii="Arial" w:hAnsi="Arial" w:cs="Times New Roman"/>
                <w:sz w:val="22"/>
                <w:lang w:val="en-US"/>
              </w:rPr>
            </w:pPr>
            <w:r w:rsidRPr="00A646BC">
              <w:rPr>
                <w:rFonts w:ascii="Arial" w:hAnsi="Arial" w:cs="Times New Roman"/>
                <w:sz w:val="22"/>
                <w:lang w:val="en-US"/>
              </w:rPr>
              <w:t xml:space="preserve">Calm (9) </w:t>
            </w:r>
          </w:p>
        </w:tc>
        <w:tc>
          <w:tcPr>
            <w:tcW w:w="1596" w:type="dxa"/>
          </w:tcPr>
          <w:p w14:paraId="6D594DC3" w14:textId="77777777" w:rsidR="00A646BC" w:rsidRPr="00A646BC" w:rsidRDefault="00A646BC" w:rsidP="00A646BC">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160930D9" w14:textId="77777777" w:rsidR="00A646BC" w:rsidRPr="00A646BC" w:rsidRDefault="00A646BC" w:rsidP="00A646BC">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79A3A3CF" w14:textId="77777777" w:rsidR="00A646BC" w:rsidRPr="00A646BC" w:rsidRDefault="00A646BC" w:rsidP="00A646BC">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15D03822" w14:textId="77777777" w:rsidR="00A646BC" w:rsidRPr="00A646BC" w:rsidRDefault="00A646BC" w:rsidP="00A646BC">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7006349C" w14:textId="77777777" w:rsidR="00A646BC" w:rsidRPr="00A646BC" w:rsidRDefault="00A646BC" w:rsidP="00A646BC">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r>
      <w:tr w:rsidR="00A646BC" w:rsidRPr="00A646BC" w14:paraId="7848BFC6" w14:textId="77777777" w:rsidTr="003C7F42">
        <w:tc>
          <w:tcPr>
            <w:cnfStyle w:val="001000000000" w:firstRow="0" w:lastRow="0" w:firstColumn="1" w:lastColumn="0" w:oddVBand="0" w:evenVBand="0" w:oddHBand="0" w:evenHBand="0" w:firstRowFirstColumn="0" w:firstRowLastColumn="0" w:lastRowFirstColumn="0" w:lastRowLastColumn="0"/>
            <w:tcW w:w="1596" w:type="dxa"/>
          </w:tcPr>
          <w:p w14:paraId="2FE2D9FD" w14:textId="77777777" w:rsidR="00A646BC" w:rsidRPr="00A646BC" w:rsidRDefault="00A646BC" w:rsidP="00A646BC">
            <w:pPr>
              <w:keepNext/>
              <w:spacing w:line="240" w:lineRule="auto"/>
              <w:jc w:val="center"/>
              <w:rPr>
                <w:rFonts w:ascii="Arial" w:hAnsi="Arial" w:cs="Times New Roman"/>
                <w:sz w:val="22"/>
                <w:lang w:val="en-US"/>
              </w:rPr>
            </w:pPr>
            <w:r w:rsidRPr="00A646BC">
              <w:rPr>
                <w:rFonts w:ascii="Arial" w:hAnsi="Arial" w:cs="Times New Roman"/>
                <w:sz w:val="22"/>
                <w:lang w:val="en-US"/>
              </w:rPr>
              <w:t xml:space="preserve">Relaxed (10) </w:t>
            </w:r>
          </w:p>
        </w:tc>
        <w:tc>
          <w:tcPr>
            <w:tcW w:w="1596" w:type="dxa"/>
          </w:tcPr>
          <w:p w14:paraId="2CD17BE7" w14:textId="77777777" w:rsidR="00A646BC" w:rsidRPr="00A646BC" w:rsidRDefault="00A646BC" w:rsidP="00A646BC">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7B8B2136" w14:textId="77777777" w:rsidR="00A646BC" w:rsidRPr="00A646BC" w:rsidRDefault="00A646BC" w:rsidP="00A646BC">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2385FBB8" w14:textId="77777777" w:rsidR="00A646BC" w:rsidRPr="00A646BC" w:rsidRDefault="00A646BC" w:rsidP="00A646BC">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66169948" w14:textId="77777777" w:rsidR="00A646BC" w:rsidRPr="00A646BC" w:rsidRDefault="00A646BC" w:rsidP="00A646BC">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0C035E63" w14:textId="77777777" w:rsidR="00A646BC" w:rsidRPr="00A646BC" w:rsidRDefault="00A646BC" w:rsidP="00A646BC">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r>
      <w:tr w:rsidR="00A646BC" w:rsidRPr="00A646BC" w14:paraId="6982120E" w14:textId="77777777" w:rsidTr="003C7F42">
        <w:tc>
          <w:tcPr>
            <w:cnfStyle w:val="001000000000" w:firstRow="0" w:lastRow="0" w:firstColumn="1" w:lastColumn="0" w:oddVBand="0" w:evenVBand="0" w:oddHBand="0" w:evenHBand="0" w:firstRowFirstColumn="0" w:firstRowLastColumn="0" w:lastRowFirstColumn="0" w:lastRowLastColumn="0"/>
            <w:tcW w:w="1596" w:type="dxa"/>
          </w:tcPr>
          <w:p w14:paraId="19F1F788" w14:textId="77777777" w:rsidR="00A646BC" w:rsidRPr="00A646BC" w:rsidRDefault="00A646BC" w:rsidP="00A646BC">
            <w:pPr>
              <w:keepNext/>
              <w:spacing w:line="240" w:lineRule="auto"/>
              <w:jc w:val="center"/>
              <w:rPr>
                <w:rFonts w:ascii="Arial" w:hAnsi="Arial" w:cs="Times New Roman"/>
                <w:sz w:val="22"/>
                <w:lang w:val="en-US"/>
              </w:rPr>
            </w:pPr>
            <w:r w:rsidRPr="00A646BC">
              <w:rPr>
                <w:rFonts w:ascii="Arial" w:hAnsi="Arial" w:cs="Times New Roman"/>
                <w:sz w:val="22"/>
                <w:lang w:val="en-US"/>
              </w:rPr>
              <w:t xml:space="preserve">At ease (11) </w:t>
            </w:r>
          </w:p>
        </w:tc>
        <w:tc>
          <w:tcPr>
            <w:tcW w:w="1596" w:type="dxa"/>
          </w:tcPr>
          <w:p w14:paraId="72B1E5C2" w14:textId="77777777" w:rsidR="00A646BC" w:rsidRPr="00A646BC" w:rsidRDefault="00A646BC" w:rsidP="00A646BC">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2DC83D03" w14:textId="77777777" w:rsidR="00A646BC" w:rsidRPr="00A646BC" w:rsidRDefault="00A646BC" w:rsidP="00A646BC">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75D9678A" w14:textId="77777777" w:rsidR="00A646BC" w:rsidRPr="00A646BC" w:rsidRDefault="00A646BC" w:rsidP="00A646BC">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306615F7" w14:textId="77777777" w:rsidR="00A646BC" w:rsidRPr="00A646BC" w:rsidRDefault="00A646BC" w:rsidP="00A646BC">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57656FE2" w14:textId="77777777" w:rsidR="00A646BC" w:rsidRPr="00A646BC" w:rsidRDefault="00A646BC" w:rsidP="00A646BC">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r>
      <w:tr w:rsidR="00A646BC" w:rsidRPr="00A646BC" w14:paraId="129EADD1" w14:textId="77777777" w:rsidTr="003C7F42">
        <w:tc>
          <w:tcPr>
            <w:cnfStyle w:val="001000000000" w:firstRow="0" w:lastRow="0" w:firstColumn="1" w:lastColumn="0" w:oddVBand="0" w:evenVBand="0" w:oddHBand="0" w:evenHBand="0" w:firstRowFirstColumn="0" w:firstRowLastColumn="0" w:lastRowFirstColumn="0" w:lastRowLastColumn="0"/>
            <w:tcW w:w="1596" w:type="dxa"/>
          </w:tcPr>
          <w:p w14:paraId="3DFBA4F0" w14:textId="77777777" w:rsidR="00A646BC" w:rsidRPr="00A646BC" w:rsidRDefault="00A646BC" w:rsidP="00A646BC">
            <w:pPr>
              <w:keepNext/>
              <w:spacing w:line="240" w:lineRule="auto"/>
              <w:jc w:val="center"/>
              <w:rPr>
                <w:rFonts w:ascii="Arial" w:hAnsi="Arial" w:cs="Times New Roman"/>
                <w:sz w:val="22"/>
                <w:lang w:val="en-US"/>
              </w:rPr>
            </w:pPr>
            <w:r w:rsidRPr="00A646BC">
              <w:rPr>
                <w:rFonts w:ascii="Arial" w:hAnsi="Arial" w:cs="Times New Roman"/>
                <w:sz w:val="22"/>
                <w:lang w:val="en-US"/>
              </w:rPr>
              <w:t xml:space="preserve">Afraid (12) </w:t>
            </w:r>
          </w:p>
        </w:tc>
        <w:tc>
          <w:tcPr>
            <w:tcW w:w="1596" w:type="dxa"/>
          </w:tcPr>
          <w:p w14:paraId="79F35CB5" w14:textId="77777777" w:rsidR="00A646BC" w:rsidRPr="00A646BC" w:rsidRDefault="00A646BC" w:rsidP="00A646BC">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08387D93" w14:textId="77777777" w:rsidR="00A646BC" w:rsidRPr="00A646BC" w:rsidRDefault="00A646BC" w:rsidP="00A646BC">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7A362094" w14:textId="77777777" w:rsidR="00A646BC" w:rsidRPr="00A646BC" w:rsidRDefault="00A646BC" w:rsidP="00A646BC">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098CC61B" w14:textId="77777777" w:rsidR="00A646BC" w:rsidRPr="00A646BC" w:rsidRDefault="00A646BC" w:rsidP="00A646BC">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7898A27E" w14:textId="77777777" w:rsidR="00A646BC" w:rsidRPr="00A646BC" w:rsidRDefault="00A646BC" w:rsidP="00A646BC">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r>
      <w:tr w:rsidR="00A646BC" w:rsidRPr="00A646BC" w14:paraId="7CD0437E" w14:textId="77777777" w:rsidTr="003C7F42">
        <w:tc>
          <w:tcPr>
            <w:cnfStyle w:val="001000000000" w:firstRow="0" w:lastRow="0" w:firstColumn="1" w:lastColumn="0" w:oddVBand="0" w:evenVBand="0" w:oddHBand="0" w:evenHBand="0" w:firstRowFirstColumn="0" w:firstRowLastColumn="0" w:lastRowFirstColumn="0" w:lastRowLastColumn="0"/>
            <w:tcW w:w="1596" w:type="dxa"/>
          </w:tcPr>
          <w:p w14:paraId="6C7EF015" w14:textId="77777777" w:rsidR="00A646BC" w:rsidRPr="00A646BC" w:rsidRDefault="00A646BC" w:rsidP="00A646BC">
            <w:pPr>
              <w:keepNext/>
              <w:spacing w:line="240" w:lineRule="auto"/>
              <w:jc w:val="center"/>
              <w:rPr>
                <w:rFonts w:ascii="Arial" w:hAnsi="Arial" w:cs="Times New Roman"/>
                <w:sz w:val="22"/>
                <w:lang w:val="en-US"/>
              </w:rPr>
            </w:pPr>
            <w:r w:rsidRPr="00A646BC">
              <w:rPr>
                <w:rFonts w:ascii="Arial" w:hAnsi="Arial" w:cs="Times New Roman"/>
                <w:sz w:val="22"/>
                <w:lang w:val="en-US"/>
              </w:rPr>
              <w:t xml:space="preserve">Upset (13) </w:t>
            </w:r>
          </w:p>
        </w:tc>
        <w:tc>
          <w:tcPr>
            <w:tcW w:w="1596" w:type="dxa"/>
          </w:tcPr>
          <w:p w14:paraId="5CCD4891" w14:textId="77777777" w:rsidR="00A646BC" w:rsidRPr="00A646BC" w:rsidRDefault="00A646BC" w:rsidP="00A646BC">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4A65D517" w14:textId="77777777" w:rsidR="00A646BC" w:rsidRPr="00A646BC" w:rsidRDefault="00A646BC" w:rsidP="00A646BC">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3FACBB35" w14:textId="77777777" w:rsidR="00A646BC" w:rsidRPr="00A646BC" w:rsidRDefault="00A646BC" w:rsidP="00A646BC">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6096B0A6" w14:textId="77777777" w:rsidR="00A646BC" w:rsidRPr="00A646BC" w:rsidRDefault="00A646BC" w:rsidP="00A646BC">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1003CCB0" w14:textId="77777777" w:rsidR="00A646BC" w:rsidRPr="00A646BC" w:rsidRDefault="00A646BC" w:rsidP="00A646BC">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r>
      <w:tr w:rsidR="00A646BC" w:rsidRPr="00A646BC" w14:paraId="1EBA5E9B" w14:textId="77777777" w:rsidTr="003C7F42">
        <w:tc>
          <w:tcPr>
            <w:cnfStyle w:val="001000000000" w:firstRow="0" w:lastRow="0" w:firstColumn="1" w:lastColumn="0" w:oddVBand="0" w:evenVBand="0" w:oddHBand="0" w:evenHBand="0" w:firstRowFirstColumn="0" w:firstRowLastColumn="0" w:lastRowFirstColumn="0" w:lastRowLastColumn="0"/>
            <w:tcW w:w="1596" w:type="dxa"/>
          </w:tcPr>
          <w:p w14:paraId="5CBA2485" w14:textId="77777777" w:rsidR="00A646BC" w:rsidRPr="00A646BC" w:rsidRDefault="00A646BC" w:rsidP="00A646BC">
            <w:pPr>
              <w:keepNext/>
              <w:spacing w:line="240" w:lineRule="auto"/>
              <w:jc w:val="center"/>
              <w:rPr>
                <w:rFonts w:ascii="Arial" w:hAnsi="Arial" w:cs="Times New Roman"/>
                <w:sz w:val="22"/>
                <w:lang w:val="en-US"/>
              </w:rPr>
            </w:pPr>
            <w:r w:rsidRPr="00A646BC">
              <w:rPr>
                <w:rFonts w:ascii="Arial" w:hAnsi="Arial" w:cs="Times New Roman"/>
                <w:sz w:val="22"/>
                <w:lang w:val="en-US"/>
              </w:rPr>
              <w:t xml:space="preserve">Hostile (14) </w:t>
            </w:r>
          </w:p>
        </w:tc>
        <w:tc>
          <w:tcPr>
            <w:tcW w:w="1596" w:type="dxa"/>
          </w:tcPr>
          <w:p w14:paraId="6C17E3F2" w14:textId="77777777" w:rsidR="00A646BC" w:rsidRPr="00A646BC" w:rsidRDefault="00A646BC" w:rsidP="00A646BC">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6B90AEC0" w14:textId="77777777" w:rsidR="00A646BC" w:rsidRPr="00A646BC" w:rsidRDefault="00A646BC" w:rsidP="00A646BC">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288CF510" w14:textId="77777777" w:rsidR="00A646BC" w:rsidRPr="00A646BC" w:rsidRDefault="00A646BC" w:rsidP="00A646BC">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42A21D49" w14:textId="77777777" w:rsidR="00A646BC" w:rsidRPr="00A646BC" w:rsidRDefault="00A646BC" w:rsidP="00A646BC">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604A5561" w14:textId="77777777" w:rsidR="00A646BC" w:rsidRPr="00A646BC" w:rsidRDefault="00A646BC" w:rsidP="00A646BC">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r>
      <w:tr w:rsidR="00A646BC" w:rsidRPr="00A646BC" w14:paraId="6A87E531" w14:textId="77777777" w:rsidTr="003C7F42">
        <w:tc>
          <w:tcPr>
            <w:cnfStyle w:val="001000000000" w:firstRow="0" w:lastRow="0" w:firstColumn="1" w:lastColumn="0" w:oddVBand="0" w:evenVBand="0" w:oddHBand="0" w:evenHBand="0" w:firstRowFirstColumn="0" w:firstRowLastColumn="0" w:lastRowFirstColumn="0" w:lastRowLastColumn="0"/>
            <w:tcW w:w="1596" w:type="dxa"/>
          </w:tcPr>
          <w:p w14:paraId="6ECC1727" w14:textId="77777777" w:rsidR="00A646BC" w:rsidRPr="00A646BC" w:rsidRDefault="00A646BC" w:rsidP="00A646BC">
            <w:pPr>
              <w:keepNext/>
              <w:spacing w:line="240" w:lineRule="auto"/>
              <w:jc w:val="center"/>
              <w:rPr>
                <w:rFonts w:ascii="Arial" w:hAnsi="Arial" w:cs="Times New Roman"/>
                <w:sz w:val="22"/>
                <w:lang w:val="en-US"/>
              </w:rPr>
            </w:pPr>
            <w:r w:rsidRPr="00A646BC">
              <w:rPr>
                <w:rFonts w:ascii="Arial" w:hAnsi="Arial" w:cs="Times New Roman"/>
                <w:sz w:val="22"/>
                <w:lang w:val="en-US"/>
              </w:rPr>
              <w:t xml:space="preserve">Ashamed (15) </w:t>
            </w:r>
          </w:p>
        </w:tc>
        <w:tc>
          <w:tcPr>
            <w:tcW w:w="1596" w:type="dxa"/>
          </w:tcPr>
          <w:p w14:paraId="26A131E0" w14:textId="77777777" w:rsidR="00A646BC" w:rsidRPr="00A646BC" w:rsidRDefault="00A646BC" w:rsidP="00A646BC">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110317D9" w14:textId="77777777" w:rsidR="00A646BC" w:rsidRPr="00A646BC" w:rsidRDefault="00A646BC" w:rsidP="00A646BC">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3EB69F86" w14:textId="77777777" w:rsidR="00A646BC" w:rsidRPr="00A646BC" w:rsidRDefault="00A646BC" w:rsidP="00A646BC">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7F129A4A" w14:textId="77777777" w:rsidR="00A646BC" w:rsidRPr="00A646BC" w:rsidRDefault="00A646BC" w:rsidP="00A646BC">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07B5F515" w14:textId="77777777" w:rsidR="00A646BC" w:rsidRPr="00A646BC" w:rsidRDefault="00A646BC" w:rsidP="00A646BC">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r>
      <w:tr w:rsidR="00A646BC" w:rsidRPr="00A646BC" w14:paraId="4F97167B" w14:textId="77777777" w:rsidTr="003C7F42">
        <w:tc>
          <w:tcPr>
            <w:cnfStyle w:val="001000000000" w:firstRow="0" w:lastRow="0" w:firstColumn="1" w:lastColumn="0" w:oddVBand="0" w:evenVBand="0" w:oddHBand="0" w:evenHBand="0" w:firstRowFirstColumn="0" w:firstRowLastColumn="0" w:lastRowFirstColumn="0" w:lastRowLastColumn="0"/>
            <w:tcW w:w="1596" w:type="dxa"/>
          </w:tcPr>
          <w:p w14:paraId="7A707C56" w14:textId="77777777" w:rsidR="00A646BC" w:rsidRPr="00A646BC" w:rsidRDefault="00A646BC" w:rsidP="00A646BC">
            <w:pPr>
              <w:keepNext/>
              <w:spacing w:line="240" w:lineRule="auto"/>
              <w:jc w:val="center"/>
              <w:rPr>
                <w:rFonts w:ascii="Arial" w:hAnsi="Arial" w:cs="Times New Roman"/>
                <w:sz w:val="22"/>
                <w:lang w:val="en-US"/>
              </w:rPr>
            </w:pPr>
            <w:r w:rsidRPr="00A646BC">
              <w:rPr>
                <w:rFonts w:ascii="Arial" w:hAnsi="Arial" w:cs="Times New Roman"/>
                <w:sz w:val="22"/>
                <w:lang w:val="en-US"/>
              </w:rPr>
              <w:t xml:space="preserve">Nervous (16) </w:t>
            </w:r>
          </w:p>
        </w:tc>
        <w:tc>
          <w:tcPr>
            <w:tcW w:w="1596" w:type="dxa"/>
          </w:tcPr>
          <w:p w14:paraId="485EF2E4" w14:textId="77777777" w:rsidR="00A646BC" w:rsidRPr="00A646BC" w:rsidRDefault="00A646BC" w:rsidP="00A646BC">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7D98F435" w14:textId="77777777" w:rsidR="00A646BC" w:rsidRPr="00A646BC" w:rsidRDefault="00A646BC" w:rsidP="00A646BC">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6FDD9E38" w14:textId="77777777" w:rsidR="00A646BC" w:rsidRPr="00A646BC" w:rsidRDefault="00A646BC" w:rsidP="00A646BC">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240BCC0C" w14:textId="77777777" w:rsidR="00A646BC" w:rsidRPr="00A646BC" w:rsidRDefault="00A646BC" w:rsidP="00A646BC">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c>
          <w:tcPr>
            <w:tcW w:w="1596" w:type="dxa"/>
          </w:tcPr>
          <w:p w14:paraId="739FAC04" w14:textId="77777777" w:rsidR="00A646BC" w:rsidRPr="00A646BC" w:rsidRDefault="00A646BC" w:rsidP="00A646BC">
            <w:pPr>
              <w:keepNext/>
              <w:numPr>
                <w:ilvl w:val="0"/>
                <w:numId w:val="32"/>
              </w:num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p>
        </w:tc>
      </w:tr>
    </w:tbl>
    <w:p w14:paraId="72463E6D" w14:textId="77777777" w:rsidR="00A646BC" w:rsidRPr="00A646BC" w:rsidRDefault="00A646BC" w:rsidP="00A646BC">
      <w:pPr>
        <w:spacing w:after="0" w:line="276" w:lineRule="auto"/>
        <w:jc w:val="left"/>
        <w:rPr>
          <w:rFonts w:ascii="Arial" w:eastAsia="Times New Roman" w:hAnsi="Arial" w:cs="Times New Roman"/>
          <w:sz w:val="22"/>
          <w:lang w:val="en-US"/>
        </w:rPr>
      </w:pPr>
    </w:p>
    <w:p w14:paraId="0BD5E252" w14:textId="77777777" w:rsidR="00A646BC" w:rsidRPr="00A646BC" w:rsidRDefault="00A646BC" w:rsidP="00A646BC">
      <w:pPr>
        <w:spacing w:after="0" w:line="276" w:lineRule="auto"/>
        <w:jc w:val="left"/>
        <w:rPr>
          <w:rFonts w:ascii="Arial" w:eastAsia="Times New Roman" w:hAnsi="Arial" w:cs="Times New Roman"/>
          <w:sz w:val="22"/>
          <w:lang w:val="en-US"/>
        </w:rPr>
      </w:pPr>
    </w:p>
    <w:p w14:paraId="27582E0B" w14:textId="77777777" w:rsidR="00A646BC" w:rsidRPr="00A646BC" w:rsidRDefault="00A646BC" w:rsidP="00A646BC">
      <w:pPr>
        <w:pBdr>
          <w:top w:val="dashed" w:sz="8" w:space="0" w:color="CCCCCC"/>
        </w:pBdr>
        <w:spacing w:before="120" w:after="120" w:line="120" w:lineRule="auto"/>
        <w:jc w:val="left"/>
        <w:rPr>
          <w:rFonts w:ascii="Arial" w:eastAsia="Times New Roman" w:hAnsi="Arial" w:cs="Times New Roman"/>
          <w:sz w:val="22"/>
          <w:lang w:val="en-US"/>
        </w:rPr>
      </w:pPr>
    </w:p>
    <w:p w14:paraId="7CEB360E" w14:textId="77777777" w:rsidR="00A646BC" w:rsidRPr="00A646BC" w:rsidRDefault="00A646BC" w:rsidP="00A646BC">
      <w:pPr>
        <w:spacing w:after="0" w:line="276" w:lineRule="auto"/>
        <w:jc w:val="left"/>
        <w:rPr>
          <w:rFonts w:ascii="Arial" w:eastAsia="Times New Roman" w:hAnsi="Arial" w:cs="Times New Roman"/>
          <w:sz w:val="22"/>
          <w:lang w:val="en-US"/>
        </w:rPr>
      </w:pPr>
    </w:p>
    <w:p w14:paraId="6685C406" w14:textId="77777777" w:rsidR="00A646BC" w:rsidRPr="00A646BC" w:rsidRDefault="00A646BC" w:rsidP="00A646BC">
      <w:pPr>
        <w:keepNext/>
        <w:spacing w:after="0" w:line="276" w:lineRule="auto"/>
        <w:jc w:val="left"/>
        <w:rPr>
          <w:rFonts w:ascii="Arial" w:eastAsia="Times New Roman" w:hAnsi="Arial" w:cs="Times New Roman"/>
          <w:sz w:val="22"/>
          <w:lang w:val="en-US"/>
        </w:rPr>
      </w:pPr>
      <w:proofErr w:type="spellStart"/>
      <w:r w:rsidRPr="00A646BC">
        <w:rPr>
          <w:rFonts w:ascii="Arial" w:eastAsia="Times New Roman" w:hAnsi="Arial" w:cs="Times New Roman"/>
          <w:sz w:val="22"/>
          <w:lang w:val="en-US"/>
        </w:rPr>
        <w:t>perc_bio_cool</w:t>
      </w:r>
      <w:proofErr w:type="spellEnd"/>
      <w:r w:rsidRPr="00A646BC">
        <w:rPr>
          <w:rFonts w:ascii="Arial" w:eastAsia="Times New Roman" w:hAnsi="Arial" w:cs="Times New Roman"/>
          <w:sz w:val="22"/>
          <w:lang w:val="en-US"/>
        </w:rPr>
        <w:t xml:space="preserve"> How many types of plants/trees/animals could you see in the </w:t>
      </w:r>
      <w:proofErr w:type="gramStart"/>
      <w:r w:rsidRPr="00A646BC">
        <w:rPr>
          <w:rFonts w:ascii="Arial" w:eastAsia="Times New Roman" w:hAnsi="Arial" w:cs="Times New Roman"/>
          <w:sz w:val="22"/>
          <w:lang w:val="en-US"/>
        </w:rPr>
        <w:t>Park</w:t>
      </w:r>
      <w:proofErr w:type="gramEnd"/>
      <w:r w:rsidRPr="00A646BC">
        <w:rPr>
          <w:rFonts w:ascii="Arial" w:eastAsia="Times New Roman" w:hAnsi="Arial" w:cs="Times New Roman"/>
          <w:sz w:val="22"/>
          <w:lang w:val="en-US"/>
        </w:rPr>
        <w:t>?</w:t>
      </w:r>
      <w:r w:rsidRPr="00A646BC">
        <w:rPr>
          <w:rFonts w:ascii="Arial" w:eastAsia="Times New Roman" w:hAnsi="Arial" w:cs="Times New Roman"/>
          <w:sz w:val="22"/>
          <w:lang w:val="en-US"/>
        </w:rPr>
        <w:br/>
        <w:t xml:space="preserve"> </w:t>
      </w:r>
      <w:r w:rsidRPr="00A646BC">
        <w:rPr>
          <w:rFonts w:ascii="Arial" w:eastAsia="Times New Roman" w:hAnsi="Arial" w:cs="Times New Roman"/>
          <w:i/>
          <w:sz w:val="22"/>
          <w:lang w:val="en-US"/>
        </w:rPr>
        <w:t>(Excluding trees on the street)</w:t>
      </w:r>
    </w:p>
    <w:tbl>
      <w:tblPr>
        <w:tblStyle w:val="QSliderLabelsTable4"/>
        <w:tblW w:w="9576" w:type="auto"/>
        <w:tblInd w:w="0" w:type="dxa"/>
        <w:tblLook w:val="07E0" w:firstRow="1" w:lastRow="1" w:firstColumn="1" w:lastColumn="1" w:noHBand="1" w:noVBand="1"/>
      </w:tblPr>
      <w:tblGrid>
        <w:gridCol w:w="4788"/>
        <w:gridCol w:w="1197"/>
        <w:gridCol w:w="1197"/>
        <w:gridCol w:w="1197"/>
        <w:gridCol w:w="1197"/>
      </w:tblGrid>
      <w:tr w:rsidR="00A646BC" w:rsidRPr="00A646BC" w14:paraId="77B73565" w14:textId="77777777" w:rsidTr="003C7F42">
        <w:tc>
          <w:tcPr>
            <w:tcW w:w="4788" w:type="dxa"/>
          </w:tcPr>
          <w:p w14:paraId="34BE0DA5" w14:textId="77777777" w:rsidR="00A646BC" w:rsidRPr="00A646BC" w:rsidRDefault="00A646BC" w:rsidP="00A646BC">
            <w:pPr>
              <w:keepNext/>
              <w:spacing w:line="240" w:lineRule="auto"/>
              <w:jc w:val="center"/>
              <w:rPr>
                <w:rFonts w:ascii="Arial" w:hAnsi="Arial" w:cs="Times New Roman"/>
                <w:sz w:val="22"/>
                <w:lang w:val="en-US"/>
              </w:rPr>
            </w:pPr>
          </w:p>
        </w:tc>
        <w:tc>
          <w:tcPr>
            <w:tcW w:w="1197" w:type="dxa"/>
          </w:tcPr>
          <w:p w14:paraId="7A1E4941" w14:textId="77777777" w:rsidR="00A646BC" w:rsidRPr="00A646BC" w:rsidRDefault="00A646BC" w:rsidP="00A646BC">
            <w:pPr>
              <w:spacing w:line="240" w:lineRule="auto"/>
              <w:jc w:val="center"/>
              <w:rPr>
                <w:rFonts w:ascii="Arial" w:hAnsi="Arial" w:cs="Times New Roman"/>
                <w:sz w:val="22"/>
                <w:lang w:val="en-US"/>
              </w:rPr>
            </w:pPr>
            <w:r w:rsidRPr="00A646BC">
              <w:rPr>
                <w:rFonts w:ascii="Arial" w:hAnsi="Arial" w:cs="Times New Roman"/>
                <w:sz w:val="22"/>
                <w:lang w:val="en-US"/>
              </w:rPr>
              <w:t>None</w:t>
            </w:r>
          </w:p>
        </w:tc>
        <w:tc>
          <w:tcPr>
            <w:tcW w:w="1197" w:type="dxa"/>
          </w:tcPr>
          <w:p w14:paraId="76ED4C67" w14:textId="77777777" w:rsidR="00A646BC" w:rsidRPr="00A646BC" w:rsidRDefault="00A646BC" w:rsidP="00A646BC">
            <w:pPr>
              <w:spacing w:line="240" w:lineRule="auto"/>
              <w:jc w:val="center"/>
              <w:rPr>
                <w:rFonts w:ascii="Arial" w:hAnsi="Arial" w:cs="Times New Roman"/>
                <w:sz w:val="22"/>
                <w:lang w:val="en-US"/>
              </w:rPr>
            </w:pPr>
            <w:r w:rsidRPr="00A646BC">
              <w:rPr>
                <w:rFonts w:ascii="Arial" w:hAnsi="Arial" w:cs="Times New Roman"/>
                <w:sz w:val="22"/>
                <w:lang w:val="en-US"/>
              </w:rPr>
              <w:t>A few</w:t>
            </w:r>
          </w:p>
        </w:tc>
        <w:tc>
          <w:tcPr>
            <w:tcW w:w="1197" w:type="dxa"/>
          </w:tcPr>
          <w:p w14:paraId="08990D1F" w14:textId="77777777" w:rsidR="00A646BC" w:rsidRPr="00A646BC" w:rsidRDefault="00A646BC" w:rsidP="00A646BC">
            <w:pPr>
              <w:spacing w:line="240" w:lineRule="auto"/>
              <w:jc w:val="center"/>
              <w:rPr>
                <w:rFonts w:ascii="Arial" w:hAnsi="Arial" w:cs="Times New Roman"/>
                <w:sz w:val="22"/>
                <w:lang w:val="en-US"/>
              </w:rPr>
            </w:pPr>
            <w:r w:rsidRPr="00A646BC">
              <w:rPr>
                <w:rFonts w:ascii="Arial" w:hAnsi="Arial" w:cs="Times New Roman"/>
                <w:sz w:val="22"/>
                <w:lang w:val="en-US"/>
              </w:rPr>
              <w:t>Some</w:t>
            </w:r>
          </w:p>
        </w:tc>
        <w:tc>
          <w:tcPr>
            <w:tcW w:w="1197" w:type="dxa"/>
          </w:tcPr>
          <w:p w14:paraId="729921EB" w14:textId="77777777" w:rsidR="00A646BC" w:rsidRPr="00A646BC" w:rsidRDefault="00A646BC" w:rsidP="00A646BC">
            <w:pPr>
              <w:spacing w:line="240" w:lineRule="auto"/>
              <w:jc w:val="center"/>
              <w:rPr>
                <w:rFonts w:ascii="Arial" w:hAnsi="Arial" w:cs="Times New Roman"/>
                <w:sz w:val="22"/>
                <w:lang w:val="en-US"/>
              </w:rPr>
            </w:pPr>
            <w:r w:rsidRPr="00A646BC">
              <w:rPr>
                <w:rFonts w:ascii="Arial" w:hAnsi="Arial" w:cs="Times New Roman"/>
                <w:sz w:val="22"/>
                <w:lang w:val="en-US"/>
              </w:rPr>
              <w:t>A lot</w:t>
            </w:r>
          </w:p>
        </w:tc>
      </w:tr>
    </w:tbl>
    <w:p w14:paraId="4A885BCD" w14:textId="77777777" w:rsidR="00A646BC" w:rsidRPr="00A646BC" w:rsidRDefault="00A646BC" w:rsidP="00A646BC">
      <w:pPr>
        <w:spacing w:after="0" w:line="276" w:lineRule="auto"/>
        <w:jc w:val="left"/>
        <w:rPr>
          <w:rFonts w:ascii="Arial" w:eastAsia="Times New Roman" w:hAnsi="Arial" w:cs="Times New Roman"/>
          <w:sz w:val="22"/>
          <w:lang w:val="en-US"/>
        </w:rPr>
      </w:pPr>
    </w:p>
    <w:tbl>
      <w:tblPr>
        <w:tblStyle w:val="QSliderLabelsTable4"/>
        <w:tblW w:w="9576" w:type="auto"/>
        <w:tblInd w:w="0" w:type="dxa"/>
        <w:tblLook w:val="07E0" w:firstRow="1" w:lastRow="1" w:firstColumn="1" w:lastColumn="1" w:noHBand="1" w:noVBand="1"/>
      </w:tblPr>
      <w:tblGrid>
        <w:gridCol w:w="4788"/>
        <w:gridCol w:w="1197"/>
        <w:gridCol w:w="1197"/>
        <w:gridCol w:w="1197"/>
        <w:gridCol w:w="1197"/>
      </w:tblGrid>
      <w:tr w:rsidR="00A646BC" w:rsidRPr="00A646BC" w14:paraId="088B6C0F" w14:textId="77777777" w:rsidTr="003C7F42">
        <w:tc>
          <w:tcPr>
            <w:tcW w:w="4788" w:type="dxa"/>
          </w:tcPr>
          <w:p w14:paraId="6C36A7E7" w14:textId="77777777" w:rsidR="00A646BC" w:rsidRPr="00A646BC" w:rsidRDefault="00A646BC" w:rsidP="00A646BC">
            <w:pPr>
              <w:spacing w:line="240" w:lineRule="auto"/>
              <w:jc w:val="center"/>
              <w:rPr>
                <w:rFonts w:ascii="Arial" w:hAnsi="Arial" w:cs="Times New Roman"/>
                <w:sz w:val="22"/>
                <w:lang w:val="en-US"/>
              </w:rPr>
            </w:pPr>
          </w:p>
        </w:tc>
        <w:tc>
          <w:tcPr>
            <w:tcW w:w="1197" w:type="dxa"/>
          </w:tcPr>
          <w:p w14:paraId="07D4405C" w14:textId="77777777" w:rsidR="00A646BC" w:rsidRPr="00A646BC" w:rsidRDefault="00A646BC" w:rsidP="00A646BC">
            <w:pPr>
              <w:spacing w:line="240" w:lineRule="auto"/>
              <w:jc w:val="center"/>
              <w:rPr>
                <w:rFonts w:ascii="Arial" w:hAnsi="Arial" w:cs="Times New Roman"/>
                <w:sz w:val="22"/>
                <w:lang w:val="en-US"/>
              </w:rPr>
            </w:pPr>
            <w:r w:rsidRPr="00A646BC">
              <w:rPr>
                <w:rFonts w:ascii="Arial" w:hAnsi="Arial" w:cs="Times New Roman"/>
                <w:sz w:val="22"/>
                <w:lang w:val="en-US"/>
              </w:rPr>
              <w:t>1</w:t>
            </w:r>
          </w:p>
        </w:tc>
        <w:tc>
          <w:tcPr>
            <w:tcW w:w="1197" w:type="dxa"/>
          </w:tcPr>
          <w:p w14:paraId="74B5AB36" w14:textId="77777777" w:rsidR="00A646BC" w:rsidRPr="00A646BC" w:rsidRDefault="00A646BC" w:rsidP="00A646BC">
            <w:pPr>
              <w:spacing w:line="240" w:lineRule="auto"/>
              <w:jc w:val="center"/>
              <w:rPr>
                <w:rFonts w:ascii="Arial" w:hAnsi="Arial" w:cs="Times New Roman"/>
                <w:sz w:val="22"/>
                <w:lang w:val="en-US"/>
              </w:rPr>
            </w:pPr>
            <w:r w:rsidRPr="00A646BC">
              <w:rPr>
                <w:rFonts w:ascii="Arial" w:hAnsi="Arial" w:cs="Times New Roman"/>
                <w:sz w:val="22"/>
                <w:lang w:val="en-US"/>
              </w:rPr>
              <w:t>2</w:t>
            </w:r>
          </w:p>
        </w:tc>
        <w:tc>
          <w:tcPr>
            <w:tcW w:w="1197" w:type="dxa"/>
          </w:tcPr>
          <w:p w14:paraId="787633BF" w14:textId="77777777" w:rsidR="00A646BC" w:rsidRPr="00A646BC" w:rsidRDefault="00A646BC" w:rsidP="00A646BC">
            <w:pPr>
              <w:spacing w:line="240" w:lineRule="auto"/>
              <w:jc w:val="center"/>
              <w:rPr>
                <w:rFonts w:ascii="Arial" w:hAnsi="Arial" w:cs="Times New Roman"/>
                <w:sz w:val="22"/>
                <w:lang w:val="en-US"/>
              </w:rPr>
            </w:pPr>
            <w:r w:rsidRPr="00A646BC">
              <w:rPr>
                <w:rFonts w:ascii="Arial" w:hAnsi="Arial" w:cs="Times New Roman"/>
                <w:sz w:val="22"/>
                <w:lang w:val="en-US"/>
              </w:rPr>
              <w:t>3</w:t>
            </w:r>
          </w:p>
        </w:tc>
        <w:tc>
          <w:tcPr>
            <w:tcW w:w="1197" w:type="dxa"/>
          </w:tcPr>
          <w:p w14:paraId="69AC0D69" w14:textId="77777777" w:rsidR="00A646BC" w:rsidRPr="00A646BC" w:rsidRDefault="00A646BC" w:rsidP="00A646BC">
            <w:pPr>
              <w:spacing w:line="240" w:lineRule="auto"/>
              <w:jc w:val="center"/>
              <w:rPr>
                <w:rFonts w:ascii="Arial" w:hAnsi="Arial" w:cs="Times New Roman"/>
                <w:sz w:val="22"/>
                <w:lang w:val="en-US"/>
              </w:rPr>
            </w:pPr>
            <w:r w:rsidRPr="00A646BC">
              <w:rPr>
                <w:rFonts w:ascii="Arial" w:hAnsi="Arial" w:cs="Times New Roman"/>
                <w:sz w:val="22"/>
                <w:lang w:val="en-US"/>
              </w:rPr>
              <w:t>4</w:t>
            </w:r>
          </w:p>
        </w:tc>
      </w:tr>
    </w:tbl>
    <w:p w14:paraId="67BD390A" w14:textId="77777777" w:rsidR="00A646BC" w:rsidRPr="00A646BC" w:rsidRDefault="00A646BC" w:rsidP="00A646BC">
      <w:pPr>
        <w:spacing w:after="0" w:line="276" w:lineRule="auto"/>
        <w:jc w:val="left"/>
        <w:rPr>
          <w:rFonts w:ascii="Arial" w:eastAsia="Times New Roman" w:hAnsi="Arial" w:cs="Times New Roman"/>
          <w:sz w:val="22"/>
          <w:lang w:val="en-US"/>
        </w:rPr>
      </w:pPr>
    </w:p>
    <w:tbl>
      <w:tblPr>
        <w:tblStyle w:val="QStandardSliderTable5"/>
        <w:tblW w:w="9576" w:type="auto"/>
        <w:tblLook w:val="07E0" w:firstRow="1" w:lastRow="1" w:firstColumn="1" w:lastColumn="1" w:noHBand="1" w:noVBand="1"/>
      </w:tblPr>
      <w:tblGrid>
        <w:gridCol w:w="4788"/>
        <w:gridCol w:w="4788"/>
      </w:tblGrid>
      <w:tr w:rsidR="00A646BC" w:rsidRPr="00A646BC" w14:paraId="301D999B" w14:textId="77777777" w:rsidTr="003C7F42">
        <w:tc>
          <w:tcPr>
            <w:cnfStyle w:val="001000000000" w:firstRow="0" w:lastRow="0" w:firstColumn="1" w:lastColumn="0" w:oddVBand="0" w:evenVBand="0" w:oddHBand="0" w:evenHBand="0" w:firstRowFirstColumn="0" w:firstRowLastColumn="0" w:lastRowFirstColumn="0" w:lastRowLastColumn="0"/>
            <w:tcW w:w="4788" w:type="dxa"/>
          </w:tcPr>
          <w:p w14:paraId="61421A4F" w14:textId="77777777" w:rsidR="00A646BC" w:rsidRPr="00A646BC" w:rsidRDefault="00A646BC" w:rsidP="00A646BC">
            <w:pPr>
              <w:keepNext/>
              <w:spacing w:line="240" w:lineRule="auto"/>
              <w:jc w:val="right"/>
              <w:rPr>
                <w:rFonts w:ascii="Arial" w:hAnsi="Arial" w:cs="Times New Roman"/>
                <w:sz w:val="22"/>
                <w:lang w:val="en-US"/>
              </w:rPr>
            </w:pPr>
            <w:r w:rsidRPr="00A646BC">
              <w:rPr>
                <w:rFonts w:ascii="Arial" w:hAnsi="Arial" w:cs="Times New Roman"/>
                <w:sz w:val="22"/>
                <w:lang w:val="en-US"/>
              </w:rPr>
              <w:t>  ()</w:t>
            </w:r>
          </w:p>
        </w:tc>
        <w:tc>
          <w:tcPr>
            <w:tcW w:w="4788" w:type="dxa"/>
          </w:tcPr>
          <w:p w14:paraId="3FF83532" w14:textId="77777777" w:rsidR="00A646BC" w:rsidRPr="00A646BC" w:rsidRDefault="00A646BC" w:rsidP="00A646BC">
            <w:pPr>
              <w:keepNext/>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Times New Roman"/>
                <w:sz w:val="22"/>
                <w:lang w:val="en-US"/>
              </w:rPr>
            </w:pPr>
            <w:r w:rsidRPr="00A646BC">
              <w:rPr>
                <w:rFonts w:ascii="Arial" w:hAnsi="Arial" w:cs="Times New Roman"/>
                <w:noProof/>
                <w:sz w:val="22"/>
                <w:lang w:val="en-US"/>
              </w:rPr>
              <w:drawing>
                <wp:inline distT="0" distB="0" distL="0" distR="0" wp14:anchorId="34F6576E" wp14:editId="6984EB1A">
                  <wp:extent cx="1905000" cy="304800"/>
                  <wp:effectExtent l="0" t="0" r="0" b="0"/>
                  <wp:docPr id="636217909" name="WordSliderHorizont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WordSliderHorizontal.png"/>
                          <pic:cNvPicPr/>
                        </pic:nvPicPr>
                        <pic:blipFill>
                          <a:blip r:embed="rId71"/>
                          <a:stretch>
                            <a:fillRect/>
                          </a:stretch>
                        </pic:blipFill>
                        <pic:spPr>
                          <a:xfrm>
                            <a:off x="0" y="0"/>
                            <a:ext cx="1905000" cy="304800"/>
                          </a:xfrm>
                          <a:prstGeom prst="rect">
                            <a:avLst/>
                          </a:prstGeom>
                        </pic:spPr>
                      </pic:pic>
                    </a:graphicData>
                  </a:graphic>
                </wp:inline>
              </w:drawing>
            </w:r>
          </w:p>
        </w:tc>
      </w:tr>
    </w:tbl>
    <w:p w14:paraId="7A9A8BFF" w14:textId="77777777" w:rsidR="00A646BC" w:rsidRPr="00A646BC" w:rsidRDefault="00A646BC" w:rsidP="00A646BC">
      <w:pPr>
        <w:spacing w:after="0" w:line="276" w:lineRule="auto"/>
        <w:jc w:val="left"/>
        <w:rPr>
          <w:rFonts w:ascii="Arial" w:eastAsia="Times New Roman" w:hAnsi="Arial" w:cs="Times New Roman"/>
          <w:sz w:val="22"/>
          <w:lang w:val="en-US"/>
        </w:rPr>
      </w:pPr>
    </w:p>
    <w:p w14:paraId="15F9BACA" w14:textId="77777777" w:rsidR="00A646BC" w:rsidRPr="00A646BC" w:rsidRDefault="00A646BC" w:rsidP="00A646BC">
      <w:pPr>
        <w:spacing w:after="0" w:line="276" w:lineRule="auto"/>
        <w:jc w:val="left"/>
        <w:rPr>
          <w:rFonts w:ascii="Arial" w:eastAsia="Times New Roman" w:hAnsi="Arial" w:cs="Times New Roman"/>
          <w:sz w:val="22"/>
          <w:lang w:val="en-US"/>
        </w:rPr>
      </w:pPr>
    </w:p>
    <w:p w14:paraId="287F8252" w14:textId="77777777" w:rsidR="00A646BC" w:rsidRPr="00A646BC" w:rsidRDefault="00A646BC" w:rsidP="00A646BC">
      <w:pPr>
        <w:spacing w:before="120" w:after="0" w:line="240" w:lineRule="auto"/>
        <w:jc w:val="left"/>
        <w:rPr>
          <w:rFonts w:ascii="Arial" w:eastAsia="Times New Roman" w:hAnsi="Arial" w:cs="Times New Roman"/>
          <w:b/>
          <w:color w:val="CCCCCC"/>
          <w:sz w:val="22"/>
          <w:lang w:val="en-US"/>
        </w:rPr>
      </w:pPr>
      <w:r w:rsidRPr="00A646BC">
        <w:rPr>
          <w:rFonts w:ascii="Arial" w:eastAsia="Times New Roman" w:hAnsi="Arial" w:cs="Times New Roman"/>
          <w:b/>
          <w:color w:val="CCCCCC"/>
          <w:sz w:val="22"/>
          <w:lang w:val="en-US"/>
        </w:rPr>
        <w:t xml:space="preserve">End of Block: </w:t>
      </w:r>
      <w:proofErr w:type="spellStart"/>
      <w:r w:rsidRPr="00A646BC">
        <w:rPr>
          <w:rFonts w:ascii="Arial" w:eastAsia="Times New Roman" w:hAnsi="Arial" w:cs="Times New Roman"/>
          <w:b/>
          <w:color w:val="CCCCCC"/>
          <w:sz w:val="22"/>
          <w:lang w:val="en-US"/>
        </w:rPr>
        <w:t>PanasX_cool_Post</w:t>
      </w:r>
      <w:proofErr w:type="spellEnd"/>
    </w:p>
    <w:p w14:paraId="3EB73A56" w14:textId="77777777" w:rsidR="00A646BC" w:rsidRPr="00A646BC" w:rsidRDefault="00A646BC" w:rsidP="00A646BC">
      <w:pPr>
        <w:pBdr>
          <w:bottom w:val="single" w:sz="8" w:space="0" w:color="CCCCCC"/>
        </w:pBdr>
        <w:spacing w:after="0" w:line="120" w:lineRule="auto"/>
        <w:jc w:val="center"/>
        <w:rPr>
          <w:rFonts w:ascii="Arial" w:eastAsia="Times New Roman" w:hAnsi="Arial" w:cs="Times New Roman"/>
          <w:b/>
          <w:color w:val="CCCCCC"/>
          <w:sz w:val="22"/>
          <w:lang w:val="en-US"/>
        </w:rPr>
      </w:pPr>
    </w:p>
    <w:p w14:paraId="1645D813" w14:textId="77777777" w:rsidR="00A646BC" w:rsidRPr="00A646BC" w:rsidRDefault="00A646BC" w:rsidP="00A646BC">
      <w:pPr>
        <w:spacing w:before="120" w:after="120" w:line="240" w:lineRule="auto"/>
        <w:jc w:val="left"/>
        <w:rPr>
          <w:rFonts w:ascii="Arial" w:eastAsia="Times New Roman" w:hAnsi="Arial" w:cs="Times New Roman"/>
          <w:b/>
          <w:color w:val="CCCCCC"/>
          <w:sz w:val="22"/>
          <w:lang w:val="en-US"/>
        </w:rPr>
      </w:pPr>
      <w:r w:rsidRPr="00A646BC">
        <w:rPr>
          <w:rFonts w:ascii="Arial" w:eastAsia="Times New Roman" w:hAnsi="Arial" w:cs="Times New Roman"/>
          <w:b/>
          <w:color w:val="CCCCCC"/>
          <w:sz w:val="22"/>
          <w:lang w:val="en-US"/>
        </w:rPr>
        <w:t>Start of Block: Debrief Cool</w:t>
      </w:r>
    </w:p>
    <w:p w14:paraId="107F1AC9" w14:textId="77777777" w:rsidR="00A646BC" w:rsidRPr="00A646BC" w:rsidRDefault="00A646BC" w:rsidP="00A646BC">
      <w:pPr>
        <w:spacing w:after="0" w:line="276" w:lineRule="auto"/>
        <w:jc w:val="left"/>
        <w:rPr>
          <w:rFonts w:ascii="Arial" w:eastAsia="Times New Roman" w:hAnsi="Arial" w:cs="Times New Roman"/>
          <w:sz w:val="22"/>
          <w:lang w:val="en-US"/>
        </w:rPr>
      </w:pPr>
    </w:p>
    <w:p w14:paraId="7733483D" w14:textId="77777777" w:rsidR="00A646BC" w:rsidRPr="00A646BC" w:rsidRDefault="00A646BC" w:rsidP="00A646BC">
      <w:pPr>
        <w:keepNext/>
        <w:spacing w:after="0" w:line="276" w:lineRule="auto"/>
        <w:jc w:val="left"/>
        <w:rPr>
          <w:rFonts w:ascii="Arial" w:eastAsia="Times New Roman" w:hAnsi="Arial" w:cs="Times New Roman"/>
          <w:sz w:val="22"/>
          <w:lang w:val="en-US"/>
        </w:rPr>
      </w:pPr>
      <w:r w:rsidRPr="00A646BC">
        <w:rPr>
          <w:rFonts w:ascii="Arial" w:eastAsia="Times New Roman" w:hAnsi="Arial" w:cs="Times New Roman"/>
          <w:sz w:val="22"/>
          <w:lang w:val="en-US"/>
        </w:rPr>
        <w:t xml:space="preserve">debrief cool </w:t>
      </w:r>
      <w:r w:rsidRPr="00A646BC">
        <w:rPr>
          <w:rFonts w:ascii="Arial" w:eastAsia="Times New Roman" w:hAnsi="Arial" w:cs="Times New Roman"/>
          <w:sz w:val="22"/>
          <w:lang w:val="en-US"/>
        </w:rPr>
        <w:br/>
        <w:t xml:space="preserve">Thank you again for taking part in the research! This page will tell you what the survey was about.  </w:t>
      </w:r>
      <w:r w:rsidRPr="00A646BC">
        <w:rPr>
          <w:rFonts w:ascii="Arial" w:eastAsia="Times New Roman" w:hAnsi="Arial" w:cs="Times New Roman"/>
          <w:sz w:val="22"/>
          <w:lang w:val="en-US"/>
        </w:rPr>
        <w:br/>
        <w:t>  We could not tell you much of this before the survey. It could have biased your responses.</w:t>
      </w:r>
      <w:r w:rsidRPr="00A646BC">
        <w:rPr>
          <w:rFonts w:ascii="Arial" w:eastAsia="Times New Roman" w:hAnsi="Arial" w:cs="Times New Roman"/>
          <w:sz w:val="22"/>
          <w:lang w:val="en-US"/>
        </w:rPr>
        <w:br/>
        <w:t xml:space="preserve"> This experiment focused on </w:t>
      </w:r>
      <w:r w:rsidRPr="00A646BC">
        <w:rPr>
          <w:rFonts w:ascii="Arial" w:eastAsia="Times New Roman" w:hAnsi="Arial" w:cs="Times New Roman"/>
          <w:b/>
          <w:sz w:val="22"/>
          <w:lang w:val="en-US"/>
        </w:rPr>
        <w:t>Biodiversity</w:t>
      </w:r>
      <w:r w:rsidRPr="00A646BC">
        <w:rPr>
          <w:rFonts w:ascii="Arial" w:eastAsia="Times New Roman" w:hAnsi="Arial" w:cs="Times New Roman"/>
          <w:sz w:val="22"/>
          <w:lang w:val="en-US"/>
        </w:rPr>
        <w:t xml:space="preserve"> (the variety of plants, animals and living beings in a certain place).</w:t>
      </w:r>
      <w:r w:rsidRPr="00A646BC">
        <w:rPr>
          <w:rFonts w:ascii="Arial" w:eastAsia="Times New Roman" w:hAnsi="Arial" w:cs="Times New Roman"/>
          <w:sz w:val="22"/>
          <w:lang w:val="en-US"/>
        </w:rPr>
        <w:br/>
        <w:t xml:space="preserve"> </w:t>
      </w:r>
      <w:r w:rsidRPr="00A646BC">
        <w:rPr>
          <w:rFonts w:ascii="Arial" w:eastAsia="Times New Roman" w:hAnsi="Arial" w:cs="Times New Roman"/>
          <w:sz w:val="22"/>
          <w:lang w:val="en-US"/>
        </w:rPr>
        <w:br/>
        <w:t xml:space="preserve"> Previous research suggested that urban green spaces with diverse and </w:t>
      </w:r>
      <w:proofErr w:type="spellStart"/>
      <w:r w:rsidRPr="00A646BC">
        <w:rPr>
          <w:rFonts w:ascii="Arial" w:eastAsia="Times New Roman" w:hAnsi="Arial" w:cs="Times New Roman"/>
          <w:sz w:val="22"/>
          <w:lang w:val="en-US"/>
        </w:rPr>
        <w:t>colourful</w:t>
      </w:r>
      <w:proofErr w:type="spellEnd"/>
      <w:r w:rsidRPr="00A646BC">
        <w:rPr>
          <w:rFonts w:ascii="Arial" w:eastAsia="Times New Roman" w:hAnsi="Arial" w:cs="Times New Roman"/>
          <w:sz w:val="22"/>
          <w:lang w:val="en-US"/>
        </w:rPr>
        <w:t xml:space="preserve"> planting could improve our mental health. This occurs in many ways. Reducing stress, improving mood, and promoting social interactions and physical activity.</w:t>
      </w:r>
      <w:r w:rsidRPr="00A646BC">
        <w:rPr>
          <w:rFonts w:ascii="Arial" w:eastAsia="Times New Roman" w:hAnsi="Arial" w:cs="Times New Roman"/>
          <w:sz w:val="22"/>
          <w:lang w:val="en-US"/>
        </w:rPr>
        <w:br/>
        <w:t xml:space="preserve"> </w:t>
      </w:r>
      <w:r w:rsidRPr="00A646BC">
        <w:rPr>
          <w:rFonts w:ascii="Arial" w:eastAsia="Times New Roman" w:hAnsi="Arial" w:cs="Times New Roman"/>
          <w:sz w:val="22"/>
          <w:lang w:val="en-US"/>
        </w:rPr>
        <w:br/>
        <w:t xml:space="preserve"> In this experiment, we tested the effect of biodiversity on your </w:t>
      </w:r>
      <w:r w:rsidRPr="00A646BC">
        <w:rPr>
          <w:rFonts w:ascii="Arial" w:eastAsia="Times New Roman" w:hAnsi="Arial" w:cs="Times New Roman"/>
          <w:b/>
          <w:sz w:val="22"/>
          <w:lang w:val="en-US"/>
        </w:rPr>
        <w:t>emotional state</w:t>
      </w:r>
      <w:r w:rsidRPr="00A646BC">
        <w:rPr>
          <w:rFonts w:ascii="Arial" w:eastAsia="Times New Roman" w:hAnsi="Arial" w:cs="Times New Roman"/>
          <w:sz w:val="22"/>
          <w:lang w:val="en-US"/>
        </w:rPr>
        <w:t>, which is linked to both stress and mood. Taking the same city park as the template, we designed three different parks varying in biodiversity and assigned each participant was assigned to one park.</w:t>
      </w:r>
      <w:r w:rsidRPr="00A646BC">
        <w:rPr>
          <w:rFonts w:ascii="Arial" w:eastAsia="Times New Roman" w:hAnsi="Arial" w:cs="Times New Roman"/>
          <w:sz w:val="22"/>
          <w:lang w:val="en-US"/>
        </w:rPr>
        <w:br/>
        <w:t xml:space="preserve"> </w:t>
      </w:r>
      <w:r w:rsidRPr="00A646BC">
        <w:rPr>
          <w:rFonts w:ascii="Arial" w:eastAsia="Times New Roman" w:hAnsi="Arial" w:cs="Times New Roman"/>
          <w:sz w:val="22"/>
          <w:lang w:val="en-US"/>
        </w:rPr>
        <w:br/>
        <w:t xml:space="preserve"> </w:t>
      </w:r>
      <w:r w:rsidRPr="00A646BC">
        <w:rPr>
          <w:rFonts w:ascii="Arial" w:eastAsia="Times New Roman" w:hAnsi="Arial" w:cs="Times New Roman"/>
          <w:sz w:val="22"/>
          <w:lang w:val="en-US"/>
        </w:rPr>
        <w:br/>
        <w:t xml:space="preserve"> By comparing the responses to the different settings, we want to observe which level of biodiversity (if any) was the best in helping you </w:t>
      </w:r>
      <w:r w:rsidRPr="00A646BC">
        <w:rPr>
          <w:rFonts w:ascii="Arial" w:eastAsia="Times New Roman" w:hAnsi="Arial" w:cs="Times New Roman"/>
          <w:b/>
          <w:sz w:val="22"/>
          <w:lang w:val="en-US"/>
        </w:rPr>
        <w:t xml:space="preserve">relax </w:t>
      </w:r>
      <w:r w:rsidRPr="00A646BC">
        <w:rPr>
          <w:rFonts w:ascii="Arial" w:eastAsia="Times New Roman" w:hAnsi="Arial" w:cs="Times New Roman"/>
          <w:sz w:val="22"/>
          <w:lang w:val="en-US"/>
        </w:rPr>
        <w:t>after the stressor.</w:t>
      </w:r>
    </w:p>
    <w:p w14:paraId="05674759" w14:textId="77777777" w:rsidR="00A646BC" w:rsidRPr="00A646BC" w:rsidRDefault="00A646BC" w:rsidP="00A646BC">
      <w:pPr>
        <w:spacing w:after="0" w:line="276" w:lineRule="auto"/>
        <w:jc w:val="left"/>
        <w:rPr>
          <w:rFonts w:ascii="Arial" w:eastAsia="Times New Roman" w:hAnsi="Arial" w:cs="Times New Roman"/>
          <w:sz w:val="22"/>
          <w:lang w:val="en-US"/>
        </w:rPr>
      </w:pPr>
    </w:p>
    <w:p w14:paraId="6628C61F" w14:textId="77777777" w:rsidR="00A646BC" w:rsidRPr="00A646BC" w:rsidRDefault="00A646BC" w:rsidP="00A646BC">
      <w:pPr>
        <w:spacing w:before="120" w:after="0" w:line="240" w:lineRule="auto"/>
        <w:jc w:val="left"/>
        <w:rPr>
          <w:rFonts w:ascii="Arial" w:eastAsia="Times New Roman" w:hAnsi="Arial" w:cs="Times New Roman"/>
          <w:b/>
          <w:color w:val="CCCCCC"/>
          <w:sz w:val="22"/>
          <w:lang w:val="en-US"/>
        </w:rPr>
      </w:pPr>
      <w:r w:rsidRPr="00A646BC">
        <w:rPr>
          <w:rFonts w:ascii="Arial" w:eastAsia="Times New Roman" w:hAnsi="Arial" w:cs="Times New Roman"/>
          <w:b/>
          <w:color w:val="CCCCCC"/>
          <w:sz w:val="22"/>
          <w:lang w:val="en-US"/>
        </w:rPr>
        <w:t>End of Block: Debrief Cool</w:t>
      </w:r>
    </w:p>
    <w:p w14:paraId="7F29859C" w14:textId="77777777" w:rsidR="00A646BC" w:rsidRPr="0039784A" w:rsidRDefault="00A646BC" w:rsidP="0039784A"/>
    <w:sectPr w:rsidR="00A646BC" w:rsidRPr="0039784A">
      <w:pgSz w:w="11906" w:h="16838"/>
      <w:pgMar w:top="1417" w:right="1134" w:bottom="1134"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14859377" w14:textId="77777777" w:rsidR="00E502E6" w:rsidRPr="00C05886" w:rsidRDefault="00E502E6" w:rsidP="00BF4D87">
      <w:pPr>
        <w:spacing w:after="0" w:line="240" w:lineRule="auto"/>
      </w:pPr>
      <w:r w:rsidRPr="00C05886">
        <w:separator/>
      </w:r>
    </w:p>
    <w:p w14:paraId="6376EE22" w14:textId="77777777" w:rsidR="00E502E6" w:rsidRDefault="00E502E6"/>
    <w:p w14:paraId="649A6724" w14:textId="77777777" w:rsidR="00E502E6" w:rsidRPr="00AE50DF" w:rsidRDefault="00E502E6"/>
  </w:endnote>
  <w:endnote w:type="continuationSeparator" w:id="0">
    <w:p w14:paraId="7BB1BDE0" w14:textId="77777777" w:rsidR="00E502E6" w:rsidRPr="00C05886" w:rsidRDefault="00E502E6" w:rsidP="00BF4D87">
      <w:pPr>
        <w:spacing w:after="0" w:line="240" w:lineRule="auto"/>
      </w:pPr>
      <w:r w:rsidRPr="00C05886">
        <w:continuationSeparator/>
      </w:r>
    </w:p>
    <w:p w14:paraId="6CCE29B7" w14:textId="77777777" w:rsidR="00E502E6" w:rsidRDefault="00E502E6"/>
    <w:p w14:paraId="3C234EB0" w14:textId="77777777" w:rsidR="00E502E6" w:rsidRPr="00AE50DF" w:rsidRDefault="00E502E6"/>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E4002EFF" w:usb1="C200247B" w:usb2="00000009" w:usb3="00000000" w:csb0="000001FF" w:csb1="00000000"/>
  </w:font>
  <w:font w:name="DengXian Light">
    <w:altName w:val="等线 Light"/>
    <w:charset w:val="86"/>
    <w:family w:val="auto"/>
    <w:pitch w:val="variable"/>
    <w:sig w:usb0="A00002BF" w:usb1="38CF7CFA" w:usb2="00000016" w:usb3="00000000" w:csb0="0004000F" w:csb1="00000000"/>
  </w:font>
  <w:font w:name="Calibri">
    <w:panose1 w:val="020F0502020204030204"/>
    <w:charset w:val="00"/>
    <w:family w:val="swiss"/>
    <w:pitch w:val="variable"/>
    <w:sig w:usb0="E4002EFF" w:usb1="C200247B" w:usb2="00000009" w:usb3="00000000" w:csb0="000001FF" w:csb1="00000000"/>
  </w:font>
  <w:font w:name="Noto Sans Symbols">
    <w:altName w:val="Calibri"/>
    <w:charset w:val="00"/>
    <w:family w:val="auto"/>
    <w:pitch w:val="default"/>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Georgia">
    <w:panose1 w:val="02040502050405020303"/>
    <w:charset w:val="00"/>
    <w:family w:val="roman"/>
    <w:pitch w:val="variable"/>
    <w:sig w:usb0="00000287" w:usb1="00000000" w:usb2="00000000" w:usb3="00000000" w:csb0="0000009F" w:csb1="00000000"/>
  </w:font>
  <w:font w:name="Trebuchet MS">
    <w:altName w:val="Trebuchet MS"/>
    <w:panose1 w:val="020B0603020202020204"/>
    <w:charset w:val="00"/>
    <w:family w:val="swiss"/>
    <w:pitch w:val="variable"/>
    <w:sig w:usb0="00000687" w:usb1="000000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 w:name="TUOS Blake">
    <w:altName w:val="Calibri"/>
    <w:charset w:val="00"/>
    <w:family w:val="swiss"/>
    <w:pitch w:val="variable"/>
    <w:sig w:usb0="8000002F" w:usb1="4000004A" w:usb2="00000000" w:usb3="00000000" w:csb0="0000001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185327154"/>
      <w:docPartObj>
        <w:docPartGallery w:val="Page Numbers (Bottom of Page)"/>
        <w:docPartUnique/>
      </w:docPartObj>
    </w:sdtPr>
    <w:sdtContent>
      <w:p w14:paraId="6EDDA806" w14:textId="27CA9F71" w:rsidR="006E2104" w:rsidRPr="00C05886" w:rsidRDefault="006E2104">
        <w:pPr>
          <w:pStyle w:val="Footer"/>
          <w:jc w:val="center"/>
        </w:pPr>
        <w:r w:rsidRPr="00C05886">
          <w:fldChar w:fldCharType="begin"/>
        </w:r>
        <w:r w:rsidRPr="00C05886">
          <w:instrText>PAGE   \* MERGEFORMAT</w:instrText>
        </w:r>
        <w:r w:rsidRPr="00C05886">
          <w:fldChar w:fldCharType="separate"/>
        </w:r>
        <w:r w:rsidRPr="00C05886">
          <w:t>2</w:t>
        </w:r>
        <w:r w:rsidRPr="00C05886">
          <w:fldChar w:fldCharType="end"/>
        </w:r>
      </w:p>
    </w:sdtContent>
  </w:sdt>
  <w:p w14:paraId="16384DFA" w14:textId="77777777" w:rsidR="006E2104" w:rsidRPr="00C05886" w:rsidRDefault="006E210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25AB8F6" w14:textId="77777777" w:rsidR="00E502E6" w:rsidRPr="00C05886" w:rsidRDefault="00E502E6" w:rsidP="00BF4D87">
      <w:pPr>
        <w:spacing w:after="0" w:line="240" w:lineRule="auto"/>
      </w:pPr>
      <w:r w:rsidRPr="00C05886">
        <w:separator/>
      </w:r>
    </w:p>
    <w:p w14:paraId="1D76B2BA" w14:textId="77777777" w:rsidR="00E502E6" w:rsidRDefault="00E502E6"/>
    <w:p w14:paraId="6DB34FA0" w14:textId="77777777" w:rsidR="00E502E6" w:rsidRPr="00AE50DF" w:rsidRDefault="00E502E6"/>
  </w:footnote>
  <w:footnote w:type="continuationSeparator" w:id="0">
    <w:p w14:paraId="67CBEC54" w14:textId="77777777" w:rsidR="00E502E6" w:rsidRPr="00C05886" w:rsidRDefault="00E502E6" w:rsidP="00BF4D87">
      <w:pPr>
        <w:spacing w:after="0" w:line="240" w:lineRule="auto"/>
      </w:pPr>
      <w:r w:rsidRPr="00C05886">
        <w:continuationSeparator/>
      </w:r>
    </w:p>
    <w:p w14:paraId="15363EDD" w14:textId="77777777" w:rsidR="00E502E6" w:rsidRDefault="00E502E6"/>
    <w:p w14:paraId="5D1670C9" w14:textId="77777777" w:rsidR="00E502E6" w:rsidRPr="00AE50DF" w:rsidRDefault="00E502E6"/>
  </w:footnote>
  <w:footnote w:id="1">
    <w:p w14:paraId="54B8EC8D" w14:textId="4274FD46" w:rsidR="00092D81" w:rsidRPr="00C05886" w:rsidRDefault="00092D81">
      <w:pPr>
        <w:pStyle w:val="FootnoteText"/>
        <w:rPr>
          <w:lang w:val="en-GB"/>
        </w:rPr>
      </w:pPr>
      <w:r w:rsidRPr="005D7515">
        <w:rPr>
          <w:rStyle w:val="FootnoteReference"/>
        </w:rPr>
        <w:footnoteRef/>
      </w:r>
      <w:r w:rsidRPr="00C05886">
        <w:rPr>
          <w:lang w:val="en-GB"/>
        </w:rPr>
        <w:t xml:space="preserve"> In order: </w:t>
      </w:r>
      <w:r w:rsidRPr="005D7515">
        <w:rPr>
          <w:i/>
          <w:iCs/>
          <w:lang w:val="en-GB"/>
        </w:rPr>
        <w:t>Dactylorhiza fuchsia, Leucanthemum vulgare, Alauda arvensis, Turdus philomelos, Polyommatus icarus, Lysandra coridon</w:t>
      </w:r>
    </w:p>
  </w:footnote>
  <w:footnote w:id="2">
    <w:p w14:paraId="1142E25F" w14:textId="71DDD461" w:rsidR="00A0407A" w:rsidRPr="005D7515" w:rsidRDefault="00A0407A">
      <w:pPr>
        <w:pStyle w:val="FootnoteText"/>
        <w:rPr>
          <w:i/>
          <w:iCs/>
          <w:lang w:val="en-GB"/>
        </w:rPr>
      </w:pPr>
      <w:r w:rsidRPr="005D7515">
        <w:rPr>
          <w:rStyle w:val="FootnoteReference"/>
        </w:rPr>
        <w:footnoteRef/>
      </w:r>
      <w:r w:rsidRPr="00C05886">
        <w:rPr>
          <w:lang w:val="en-GB"/>
        </w:rPr>
        <w:t xml:space="preserve"> In order: </w:t>
      </w:r>
      <w:r w:rsidRPr="005D7515">
        <w:rPr>
          <w:i/>
          <w:iCs/>
          <w:lang w:val="en-GB"/>
        </w:rPr>
        <w:t>Rubus fruticosus, Timarcha tenebricosa, Canthophorus impressus, Lamium album</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52934C6"/>
    <w:multiLevelType w:val="multilevel"/>
    <w:tmpl w:val="0410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 w15:restartNumberingAfterBreak="0">
    <w:nsid w:val="05512916"/>
    <w:multiLevelType w:val="hybridMultilevel"/>
    <w:tmpl w:val="FB44E30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095D5A39"/>
    <w:multiLevelType w:val="hybridMultilevel"/>
    <w:tmpl w:val="0D70BDCE"/>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 w15:restartNumberingAfterBreak="0">
    <w:nsid w:val="0B3F20F7"/>
    <w:multiLevelType w:val="hybridMultilevel"/>
    <w:tmpl w:val="A24CE89C"/>
    <w:lvl w:ilvl="0" w:tplc="04100011">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0BD46641"/>
    <w:multiLevelType w:val="multilevel"/>
    <w:tmpl w:val="38EC28B2"/>
    <w:lvl w:ilvl="0">
      <w:start w:val="1"/>
      <w:numFmt w:val="bullet"/>
      <w:lvlText w:val=""/>
      <w:lvlJc w:val="left"/>
      <w:pPr>
        <w:ind w:left="720" w:hanging="360"/>
      </w:pPr>
      <w:rPr>
        <w:rFonts w:ascii="Symbol" w:hAnsi="Symbol"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 w15:restartNumberingAfterBreak="0">
    <w:nsid w:val="0CEA0BF6"/>
    <w:multiLevelType w:val="multilevel"/>
    <w:tmpl w:val="0409001D"/>
    <w:numStyleLink w:val="Singlepunch"/>
  </w:abstractNum>
  <w:abstractNum w:abstractNumId="6" w15:restartNumberingAfterBreak="0">
    <w:nsid w:val="0DEC38D4"/>
    <w:multiLevelType w:val="hybridMultilevel"/>
    <w:tmpl w:val="D3DC36D2"/>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7" w15:restartNumberingAfterBreak="0">
    <w:nsid w:val="102F2153"/>
    <w:multiLevelType w:val="hybridMultilevel"/>
    <w:tmpl w:val="3C225B6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128B0B1A"/>
    <w:multiLevelType w:val="multilevel"/>
    <w:tmpl w:val="0809001D"/>
    <w:lvl w:ilvl="0">
      <w:start w:val="1"/>
      <w:numFmt w:val="decimal"/>
      <w:lvlText w:val="%1)"/>
      <w:lvlJc w:val="left"/>
      <w:pPr>
        <w:ind w:left="1068" w:hanging="360"/>
      </w:pPr>
    </w:lvl>
    <w:lvl w:ilvl="1">
      <w:start w:val="1"/>
      <w:numFmt w:val="lowerLetter"/>
      <w:lvlText w:val="%2)"/>
      <w:lvlJc w:val="left"/>
      <w:pPr>
        <w:ind w:left="1428" w:hanging="360"/>
      </w:pPr>
    </w:lvl>
    <w:lvl w:ilvl="2">
      <w:start w:val="1"/>
      <w:numFmt w:val="lowerRoman"/>
      <w:lvlText w:val="%3)"/>
      <w:lvlJc w:val="left"/>
      <w:pPr>
        <w:ind w:left="1788" w:hanging="360"/>
      </w:pPr>
    </w:lvl>
    <w:lvl w:ilvl="3">
      <w:start w:val="1"/>
      <w:numFmt w:val="decimal"/>
      <w:lvlText w:val="(%4)"/>
      <w:lvlJc w:val="left"/>
      <w:pPr>
        <w:ind w:left="2148" w:hanging="360"/>
      </w:pPr>
    </w:lvl>
    <w:lvl w:ilvl="4">
      <w:start w:val="1"/>
      <w:numFmt w:val="lowerLetter"/>
      <w:lvlText w:val="(%5)"/>
      <w:lvlJc w:val="left"/>
      <w:pPr>
        <w:ind w:left="2508" w:hanging="360"/>
      </w:pPr>
    </w:lvl>
    <w:lvl w:ilvl="5">
      <w:start w:val="1"/>
      <w:numFmt w:val="lowerRoman"/>
      <w:lvlText w:val="(%6)"/>
      <w:lvlJc w:val="left"/>
      <w:pPr>
        <w:ind w:left="2868" w:hanging="360"/>
      </w:pPr>
    </w:lvl>
    <w:lvl w:ilvl="6">
      <w:start w:val="1"/>
      <w:numFmt w:val="decimal"/>
      <w:lvlText w:val="%7."/>
      <w:lvlJc w:val="left"/>
      <w:pPr>
        <w:ind w:left="3228" w:hanging="360"/>
      </w:pPr>
    </w:lvl>
    <w:lvl w:ilvl="7">
      <w:start w:val="1"/>
      <w:numFmt w:val="lowerLetter"/>
      <w:lvlText w:val="%8."/>
      <w:lvlJc w:val="left"/>
      <w:pPr>
        <w:ind w:left="3588" w:hanging="360"/>
      </w:pPr>
    </w:lvl>
    <w:lvl w:ilvl="8">
      <w:start w:val="1"/>
      <w:numFmt w:val="lowerRoman"/>
      <w:lvlText w:val="%9."/>
      <w:lvlJc w:val="left"/>
      <w:pPr>
        <w:ind w:left="3948" w:hanging="360"/>
      </w:pPr>
    </w:lvl>
  </w:abstractNum>
  <w:abstractNum w:abstractNumId="9" w15:restartNumberingAfterBreak="0">
    <w:nsid w:val="13B70157"/>
    <w:multiLevelType w:val="hybridMultilevel"/>
    <w:tmpl w:val="16E485AA"/>
    <w:lvl w:ilvl="0" w:tplc="04100011">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197541E8"/>
    <w:multiLevelType w:val="hybridMultilevel"/>
    <w:tmpl w:val="40A09D6E"/>
    <w:lvl w:ilvl="0" w:tplc="08090001">
      <w:start w:val="1"/>
      <w:numFmt w:val="bullet"/>
      <w:lvlText w:val=""/>
      <w:lvlJc w:val="left"/>
      <w:pPr>
        <w:ind w:left="765" w:hanging="360"/>
      </w:pPr>
      <w:rPr>
        <w:rFonts w:ascii="Symbol" w:hAnsi="Symbol" w:hint="default"/>
      </w:rPr>
    </w:lvl>
    <w:lvl w:ilvl="1" w:tplc="08090003" w:tentative="1">
      <w:start w:val="1"/>
      <w:numFmt w:val="bullet"/>
      <w:lvlText w:val="o"/>
      <w:lvlJc w:val="left"/>
      <w:pPr>
        <w:ind w:left="1485" w:hanging="360"/>
      </w:pPr>
      <w:rPr>
        <w:rFonts w:ascii="Courier New" w:hAnsi="Courier New" w:cs="Courier New" w:hint="default"/>
      </w:rPr>
    </w:lvl>
    <w:lvl w:ilvl="2" w:tplc="08090005" w:tentative="1">
      <w:start w:val="1"/>
      <w:numFmt w:val="bullet"/>
      <w:lvlText w:val=""/>
      <w:lvlJc w:val="left"/>
      <w:pPr>
        <w:ind w:left="2205" w:hanging="360"/>
      </w:pPr>
      <w:rPr>
        <w:rFonts w:ascii="Wingdings" w:hAnsi="Wingdings" w:hint="default"/>
      </w:rPr>
    </w:lvl>
    <w:lvl w:ilvl="3" w:tplc="08090001" w:tentative="1">
      <w:start w:val="1"/>
      <w:numFmt w:val="bullet"/>
      <w:lvlText w:val=""/>
      <w:lvlJc w:val="left"/>
      <w:pPr>
        <w:ind w:left="2925" w:hanging="360"/>
      </w:pPr>
      <w:rPr>
        <w:rFonts w:ascii="Symbol" w:hAnsi="Symbol" w:hint="default"/>
      </w:rPr>
    </w:lvl>
    <w:lvl w:ilvl="4" w:tplc="08090003" w:tentative="1">
      <w:start w:val="1"/>
      <w:numFmt w:val="bullet"/>
      <w:lvlText w:val="o"/>
      <w:lvlJc w:val="left"/>
      <w:pPr>
        <w:ind w:left="3645" w:hanging="360"/>
      </w:pPr>
      <w:rPr>
        <w:rFonts w:ascii="Courier New" w:hAnsi="Courier New" w:cs="Courier New" w:hint="default"/>
      </w:rPr>
    </w:lvl>
    <w:lvl w:ilvl="5" w:tplc="08090005" w:tentative="1">
      <w:start w:val="1"/>
      <w:numFmt w:val="bullet"/>
      <w:lvlText w:val=""/>
      <w:lvlJc w:val="left"/>
      <w:pPr>
        <w:ind w:left="4365" w:hanging="360"/>
      </w:pPr>
      <w:rPr>
        <w:rFonts w:ascii="Wingdings" w:hAnsi="Wingdings" w:hint="default"/>
      </w:rPr>
    </w:lvl>
    <w:lvl w:ilvl="6" w:tplc="08090001" w:tentative="1">
      <w:start w:val="1"/>
      <w:numFmt w:val="bullet"/>
      <w:lvlText w:val=""/>
      <w:lvlJc w:val="left"/>
      <w:pPr>
        <w:ind w:left="5085" w:hanging="360"/>
      </w:pPr>
      <w:rPr>
        <w:rFonts w:ascii="Symbol" w:hAnsi="Symbol" w:hint="default"/>
      </w:rPr>
    </w:lvl>
    <w:lvl w:ilvl="7" w:tplc="08090003" w:tentative="1">
      <w:start w:val="1"/>
      <w:numFmt w:val="bullet"/>
      <w:lvlText w:val="o"/>
      <w:lvlJc w:val="left"/>
      <w:pPr>
        <w:ind w:left="5805" w:hanging="360"/>
      </w:pPr>
      <w:rPr>
        <w:rFonts w:ascii="Courier New" w:hAnsi="Courier New" w:cs="Courier New" w:hint="default"/>
      </w:rPr>
    </w:lvl>
    <w:lvl w:ilvl="8" w:tplc="08090005" w:tentative="1">
      <w:start w:val="1"/>
      <w:numFmt w:val="bullet"/>
      <w:lvlText w:val=""/>
      <w:lvlJc w:val="left"/>
      <w:pPr>
        <w:ind w:left="6525" w:hanging="360"/>
      </w:pPr>
      <w:rPr>
        <w:rFonts w:ascii="Wingdings" w:hAnsi="Wingdings" w:hint="default"/>
      </w:rPr>
    </w:lvl>
  </w:abstractNum>
  <w:abstractNum w:abstractNumId="11" w15:restartNumberingAfterBreak="0">
    <w:nsid w:val="1A15436A"/>
    <w:multiLevelType w:val="hybridMultilevel"/>
    <w:tmpl w:val="1B8AF460"/>
    <w:lvl w:ilvl="0" w:tplc="D90ACC10">
      <w:start w:val="2"/>
      <w:numFmt w:val="bullet"/>
      <w:lvlText w:val="-"/>
      <w:lvlJc w:val="left"/>
      <w:pPr>
        <w:ind w:left="720" w:hanging="360"/>
      </w:pPr>
      <w:rPr>
        <w:rFonts w:ascii="Calibri Light" w:eastAsiaTheme="majorEastAsia" w:hAnsi="Calibri Light" w:cs="Calibri Light"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1F0F2D63"/>
    <w:multiLevelType w:val="hybridMultilevel"/>
    <w:tmpl w:val="B31A8F2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3" w15:restartNumberingAfterBreak="0">
    <w:nsid w:val="288E1CE2"/>
    <w:multiLevelType w:val="multilevel"/>
    <w:tmpl w:val="0409001D"/>
    <w:numStyleLink w:val="Multipunch"/>
  </w:abstractNum>
  <w:abstractNum w:abstractNumId="14" w15:restartNumberingAfterBreak="0">
    <w:nsid w:val="291F545C"/>
    <w:multiLevelType w:val="hybridMultilevel"/>
    <w:tmpl w:val="46CA3CAC"/>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2A9C543C"/>
    <w:multiLevelType w:val="multilevel"/>
    <w:tmpl w:val="0409001D"/>
    <w:styleLink w:val="Multipunch"/>
    <w:lvl w:ilvl="0">
      <w:start w:val="1"/>
      <w:numFmt w:val="bullet"/>
      <w:lvlText w:val="▢"/>
      <w:lvlJc w:val="left"/>
      <w:pPr>
        <w:spacing w:before="120"/>
        <w:ind w:left="360"/>
      </w:pPr>
      <w:rPr>
        <w:rFonts w:ascii="Courier New" w:eastAsia="Courier New" w:hAnsi="Courier New" w:cs="Courier New"/>
        <w:color w:val="BFBFBF"/>
        <w:sz w:val="56"/>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6" w15:restartNumberingAfterBreak="0">
    <w:nsid w:val="3207612A"/>
    <w:multiLevelType w:val="hybridMultilevel"/>
    <w:tmpl w:val="8F3A335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3B29479F"/>
    <w:multiLevelType w:val="hybridMultilevel"/>
    <w:tmpl w:val="291A25EA"/>
    <w:lvl w:ilvl="0" w:tplc="DE9A6B9E">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3DB34182"/>
    <w:multiLevelType w:val="hybridMultilevel"/>
    <w:tmpl w:val="D63E7F00"/>
    <w:lvl w:ilvl="0" w:tplc="04100011">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4805202D"/>
    <w:multiLevelType w:val="hybridMultilevel"/>
    <w:tmpl w:val="2A72C49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4A2778A6"/>
    <w:multiLevelType w:val="multilevel"/>
    <w:tmpl w:val="0409001D"/>
    <w:styleLink w:val="Singlepunch"/>
    <w:lvl w:ilvl="0">
      <w:start w:val="1"/>
      <w:numFmt w:val="bullet"/>
      <w:lvlText w:val="o"/>
      <w:lvlJc w:val="left"/>
      <w:pPr>
        <w:spacing w:before="120"/>
        <w:ind w:left="360"/>
      </w:pPr>
      <w:rPr>
        <w:rFonts w:ascii="Courier New" w:eastAsia="Courier New" w:hAnsi="Courier New" w:cs="Courier New"/>
        <w:color w:val="BFBFBF"/>
        <w:sz w:val="52"/>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1" w15:restartNumberingAfterBreak="0">
    <w:nsid w:val="4B386C8A"/>
    <w:multiLevelType w:val="hybridMultilevel"/>
    <w:tmpl w:val="91F29A7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523C0299"/>
    <w:multiLevelType w:val="hybridMultilevel"/>
    <w:tmpl w:val="AE4E9CE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568618FD"/>
    <w:multiLevelType w:val="hybridMultilevel"/>
    <w:tmpl w:val="CFBAC622"/>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4" w15:restartNumberingAfterBreak="0">
    <w:nsid w:val="59347A74"/>
    <w:multiLevelType w:val="hybridMultilevel"/>
    <w:tmpl w:val="FA4E0BD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5B11702D"/>
    <w:multiLevelType w:val="hybridMultilevel"/>
    <w:tmpl w:val="7BC4865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5DE328DF"/>
    <w:multiLevelType w:val="hybridMultilevel"/>
    <w:tmpl w:val="50D220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5E8D1A1A"/>
    <w:multiLevelType w:val="hybridMultilevel"/>
    <w:tmpl w:val="1B3640A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60B140F3"/>
    <w:multiLevelType w:val="multilevel"/>
    <w:tmpl w:val="0410001D"/>
    <w:lvl w:ilvl="0">
      <w:start w:val="1"/>
      <w:numFmt w:val="decimal"/>
      <w:lvlText w:val="%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9" w15:restartNumberingAfterBreak="0">
    <w:nsid w:val="697620FF"/>
    <w:multiLevelType w:val="multilevel"/>
    <w:tmpl w:val="1C08DE2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0" w15:restartNumberingAfterBreak="0">
    <w:nsid w:val="70954DE4"/>
    <w:multiLevelType w:val="hybridMultilevel"/>
    <w:tmpl w:val="CDD87F7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 w15:restartNumberingAfterBreak="0">
    <w:nsid w:val="70BD4285"/>
    <w:multiLevelType w:val="hybridMultilevel"/>
    <w:tmpl w:val="3BE64BB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2" w15:restartNumberingAfterBreak="0">
    <w:nsid w:val="72D10FF3"/>
    <w:multiLevelType w:val="hybridMultilevel"/>
    <w:tmpl w:val="32707E7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74BD4797"/>
    <w:multiLevelType w:val="multilevel"/>
    <w:tmpl w:val="38EC28B2"/>
    <w:lvl w:ilvl="0">
      <w:start w:val="1"/>
      <w:numFmt w:val="bullet"/>
      <w:lvlText w:val=""/>
      <w:lvlJc w:val="left"/>
      <w:pPr>
        <w:ind w:left="720" w:hanging="360"/>
      </w:pPr>
      <w:rPr>
        <w:rFonts w:ascii="Symbol" w:hAnsi="Symbol"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4" w15:restartNumberingAfterBreak="0">
    <w:nsid w:val="76043BB5"/>
    <w:multiLevelType w:val="hybridMultilevel"/>
    <w:tmpl w:val="94089F5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79FE696A"/>
    <w:multiLevelType w:val="hybridMultilevel"/>
    <w:tmpl w:val="E6A260DE"/>
    <w:lvl w:ilvl="0" w:tplc="0809000F">
      <w:start w:val="1"/>
      <w:numFmt w:val="decimal"/>
      <w:lvlText w:val="%1."/>
      <w:lvlJc w:val="lef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7D9D37F0"/>
    <w:multiLevelType w:val="hybridMultilevel"/>
    <w:tmpl w:val="4BE2B30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7" w15:restartNumberingAfterBreak="0">
    <w:nsid w:val="7F215F50"/>
    <w:multiLevelType w:val="hybridMultilevel"/>
    <w:tmpl w:val="5812FFCC"/>
    <w:lvl w:ilvl="0" w:tplc="20CC7CFA">
      <w:start w:val="1"/>
      <w:numFmt w:val="bullet"/>
      <w:lvlText w:val="⃣"/>
      <w:lvlJc w:val="left"/>
      <w:pPr>
        <w:ind w:left="720" w:hanging="360"/>
      </w:pPr>
      <w:rPr>
        <w:rFonts w:ascii="Segoe UI" w:hAnsi="Segoe U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560558000">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16cid:durableId="712076832">
    <w:abstractNumId w:val="7"/>
  </w:num>
  <w:num w:numId="3" w16cid:durableId="546575000">
    <w:abstractNumId w:val="3"/>
  </w:num>
  <w:num w:numId="4" w16cid:durableId="1897425724">
    <w:abstractNumId w:val="18"/>
  </w:num>
  <w:num w:numId="5" w16cid:durableId="1365012083">
    <w:abstractNumId w:val="9"/>
  </w:num>
  <w:num w:numId="6" w16cid:durableId="2129809583">
    <w:abstractNumId w:val="8"/>
  </w:num>
  <w:num w:numId="7" w16cid:durableId="1768036405">
    <w:abstractNumId w:val="22"/>
  </w:num>
  <w:num w:numId="8" w16cid:durableId="655690398">
    <w:abstractNumId w:val="35"/>
  </w:num>
  <w:num w:numId="9" w16cid:durableId="218857222">
    <w:abstractNumId w:val="21"/>
  </w:num>
  <w:num w:numId="10" w16cid:durableId="907152097">
    <w:abstractNumId w:val="17"/>
  </w:num>
  <w:num w:numId="11" w16cid:durableId="1461797700">
    <w:abstractNumId w:val="24"/>
  </w:num>
  <w:num w:numId="12" w16cid:durableId="1323508868">
    <w:abstractNumId w:val="10"/>
  </w:num>
  <w:num w:numId="13" w16cid:durableId="1637176215">
    <w:abstractNumId w:val="1"/>
  </w:num>
  <w:num w:numId="14" w16cid:durableId="22901416">
    <w:abstractNumId w:val="11"/>
  </w:num>
  <w:num w:numId="15" w16cid:durableId="71902784">
    <w:abstractNumId w:val="12"/>
  </w:num>
  <w:num w:numId="16" w16cid:durableId="42365907">
    <w:abstractNumId w:val="23"/>
  </w:num>
  <w:num w:numId="17" w16cid:durableId="36854740">
    <w:abstractNumId w:val="2"/>
  </w:num>
  <w:num w:numId="18" w16cid:durableId="998388565">
    <w:abstractNumId w:val="32"/>
  </w:num>
  <w:num w:numId="19" w16cid:durableId="131605085">
    <w:abstractNumId w:val="25"/>
  </w:num>
  <w:num w:numId="20" w16cid:durableId="1959676219">
    <w:abstractNumId w:val="26"/>
  </w:num>
  <w:num w:numId="21" w16cid:durableId="1535583925">
    <w:abstractNumId w:val="28"/>
  </w:num>
  <w:num w:numId="22" w16cid:durableId="1392269359">
    <w:abstractNumId w:val="19"/>
  </w:num>
  <w:num w:numId="23" w16cid:durableId="1129009824">
    <w:abstractNumId w:val="36"/>
  </w:num>
  <w:num w:numId="24" w16cid:durableId="972297644">
    <w:abstractNumId w:val="14"/>
  </w:num>
  <w:num w:numId="25" w16cid:durableId="1493836780">
    <w:abstractNumId w:val="31"/>
  </w:num>
  <w:num w:numId="26" w16cid:durableId="1896546813">
    <w:abstractNumId w:val="30"/>
  </w:num>
  <w:num w:numId="27" w16cid:durableId="1387990496">
    <w:abstractNumId w:val="29"/>
  </w:num>
  <w:num w:numId="28" w16cid:durableId="332151891">
    <w:abstractNumId w:val="4"/>
  </w:num>
  <w:num w:numId="29" w16cid:durableId="20056878">
    <w:abstractNumId w:val="33"/>
  </w:num>
  <w:num w:numId="30" w16cid:durableId="505248950">
    <w:abstractNumId w:val="6"/>
  </w:num>
  <w:num w:numId="31" w16cid:durableId="1404915360">
    <w:abstractNumId w:val="20"/>
  </w:num>
  <w:num w:numId="32" w16cid:durableId="447043151">
    <w:abstractNumId w:val="5"/>
  </w:num>
  <w:num w:numId="33" w16cid:durableId="14112035">
    <w:abstractNumId w:val="15"/>
  </w:num>
  <w:num w:numId="34" w16cid:durableId="911933878">
    <w:abstractNumId w:val="13"/>
  </w:num>
  <w:num w:numId="35" w16cid:durableId="1617635193">
    <w:abstractNumId w:val="34"/>
  </w:num>
  <w:num w:numId="36" w16cid:durableId="2057312600">
    <w:abstractNumId w:val="37"/>
  </w:num>
  <w:num w:numId="37" w16cid:durableId="1873573353">
    <w:abstractNumId w:val="16"/>
  </w:num>
  <w:num w:numId="38" w16cid:durableId="1376463379">
    <w:abstractNumId w:val="2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08"/>
  <w:hyphenationZone w:val="283"/>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251AB"/>
    <w:rsid w:val="00001725"/>
    <w:rsid w:val="00002F2C"/>
    <w:rsid w:val="00004472"/>
    <w:rsid w:val="00004712"/>
    <w:rsid w:val="0001326E"/>
    <w:rsid w:val="0001329C"/>
    <w:rsid w:val="000137F7"/>
    <w:rsid w:val="0001619B"/>
    <w:rsid w:val="00017620"/>
    <w:rsid w:val="00020123"/>
    <w:rsid w:val="0002143E"/>
    <w:rsid w:val="0002322E"/>
    <w:rsid w:val="00023E22"/>
    <w:rsid w:val="00023F5E"/>
    <w:rsid w:val="0002542D"/>
    <w:rsid w:val="000270A8"/>
    <w:rsid w:val="000309A4"/>
    <w:rsid w:val="00036788"/>
    <w:rsid w:val="00043BCE"/>
    <w:rsid w:val="00051048"/>
    <w:rsid w:val="00052496"/>
    <w:rsid w:val="00053B86"/>
    <w:rsid w:val="00053E1A"/>
    <w:rsid w:val="00054958"/>
    <w:rsid w:val="00073F27"/>
    <w:rsid w:val="0007426C"/>
    <w:rsid w:val="00074517"/>
    <w:rsid w:val="00076D5D"/>
    <w:rsid w:val="00076F4E"/>
    <w:rsid w:val="000828F4"/>
    <w:rsid w:val="0008323B"/>
    <w:rsid w:val="00083B9D"/>
    <w:rsid w:val="00083F1C"/>
    <w:rsid w:val="00087BB3"/>
    <w:rsid w:val="00087F8C"/>
    <w:rsid w:val="000914DF"/>
    <w:rsid w:val="00092D81"/>
    <w:rsid w:val="00093347"/>
    <w:rsid w:val="0009394F"/>
    <w:rsid w:val="00096A8A"/>
    <w:rsid w:val="000A0D6B"/>
    <w:rsid w:val="000A1F4A"/>
    <w:rsid w:val="000A3C27"/>
    <w:rsid w:val="000A5C22"/>
    <w:rsid w:val="000B0C6A"/>
    <w:rsid w:val="000C086B"/>
    <w:rsid w:val="000C3B60"/>
    <w:rsid w:val="000C5138"/>
    <w:rsid w:val="000C55CB"/>
    <w:rsid w:val="000C7CE5"/>
    <w:rsid w:val="000D2888"/>
    <w:rsid w:val="000D36B3"/>
    <w:rsid w:val="000E21FA"/>
    <w:rsid w:val="000E2EB6"/>
    <w:rsid w:val="000E3C80"/>
    <w:rsid w:val="000E6370"/>
    <w:rsid w:val="000F16E2"/>
    <w:rsid w:val="000F1DC5"/>
    <w:rsid w:val="000F2CA9"/>
    <w:rsid w:val="000F3FCC"/>
    <w:rsid w:val="000F52F8"/>
    <w:rsid w:val="000F6367"/>
    <w:rsid w:val="00104161"/>
    <w:rsid w:val="001056AC"/>
    <w:rsid w:val="00110BC5"/>
    <w:rsid w:val="00120E59"/>
    <w:rsid w:val="0012188D"/>
    <w:rsid w:val="001235CC"/>
    <w:rsid w:val="001269BD"/>
    <w:rsid w:val="00130440"/>
    <w:rsid w:val="001320E9"/>
    <w:rsid w:val="00133DC9"/>
    <w:rsid w:val="00134B49"/>
    <w:rsid w:val="00137424"/>
    <w:rsid w:val="00142126"/>
    <w:rsid w:val="001438ED"/>
    <w:rsid w:val="00146102"/>
    <w:rsid w:val="00146546"/>
    <w:rsid w:val="001577C2"/>
    <w:rsid w:val="00161235"/>
    <w:rsid w:val="00161D15"/>
    <w:rsid w:val="001663B1"/>
    <w:rsid w:val="00172D70"/>
    <w:rsid w:val="00173BB8"/>
    <w:rsid w:val="001761CB"/>
    <w:rsid w:val="001761FE"/>
    <w:rsid w:val="00186745"/>
    <w:rsid w:val="00190524"/>
    <w:rsid w:val="0019058B"/>
    <w:rsid w:val="0019369D"/>
    <w:rsid w:val="00193CDE"/>
    <w:rsid w:val="00196240"/>
    <w:rsid w:val="00196F6F"/>
    <w:rsid w:val="001A0018"/>
    <w:rsid w:val="001A1D66"/>
    <w:rsid w:val="001A3B88"/>
    <w:rsid w:val="001A753A"/>
    <w:rsid w:val="001B0B22"/>
    <w:rsid w:val="001B29FC"/>
    <w:rsid w:val="001C3E32"/>
    <w:rsid w:val="001C5A6D"/>
    <w:rsid w:val="001D35CD"/>
    <w:rsid w:val="001D3BA9"/>
    <w:rsid w:val="001E2173"/>
    <w:rsid w:val="001E384F"/>
    <w:rsid w:val="001E7AEE"/>
    <w:rsid w:val="001F3B63"/>
    <w:rsid w:val="001F3BA3"/>
    <w:rsid w:val="001F5A12"/>
    <w:rsid w:val="00205821"/>
    <w:rsid w:val="002062F3"/>
    <w:rsid w:val="00206EDD"/>
    <w:rsid w:val="00215327"/>
    <w:rsid w:val="002154D4"/>
    <w:rsid w:val="00215FB5"/>
    <w:rsid w:val="002261CE"/>
    <w:rsid w:val="00234315"/>
    <w:rsid w:val="00236725"/>
    <w:rsid w:val="00237492"/>
    <w:rsid w:val="00247B0F"/>
    <w:rsid w:val="00252AAC"/>
    <w:rsid w:val="00260DE5"/>
    <w:rsid w:val="002656CD"/>
    <w:rsid w:val="0026615C"/>
    <w:rsid w:val="0026730E"/>
    <w:rsid w:val="00267D12"/>
    <w:rsid w:val="00283BC4"/>
    <w:rsid w:val="0029205C"/>
    <w:rsid w:val="00294AB6"/>
    <w:rsid w:val="00295ED7"/>
    <w:rsid w:val="00296B75"/>
    <w:rsid w:val="002A2386"/>
    <w:rsid w:val="002A4571"/>
    <w:rsid w:val="002A6A93"/>
    <w:rsid w:val="002B02F1"/>
    <w:rsid w:val="002C4256"/>
    <w:rsid w:val="002C6F5E"/>
    <w:rsid w:val="002D12E5"/>
    <w:rsid w:val="002D1896"/>
    <w:rsid w:val="002D1FDD"/>
    <w:rsid w:val="002D5BA0"/>
    <w:rsid w:val="002E5702"/>
    <w:rsid w:val="002E7DB3"/>
    <w:rsid w:val="002F3257"/>
    <w:rsid w:val="002F3B20"/>
    <w:rsid w:val="00300E24"/>
    <w:rsid w:val="003010E4"/>
    <w:rsid w:val="0030377C"/>
    <w:rsid w:val="00303D2B"/>
    <w:rsid w:val="00304625"/>
    <w:rsid w:val="0030564F"/>
    <w:rsid w:val="00305F24"/>
    <w:rsid w:val="00310771"/>
    <w:rsid w:val="0032320D"/>
    <w:rsid w:val="00323DA8"/>
    <w:rsid w:val="003303B7"/>
    <w:rsid w:val="003319E0"/>
    <w:rsid w:val="00336E07"/>
    <w:rsid w:val="0033785A"/>
    <w:rsid w:val="0034286F"/>
    <w:rsid w:val="00347195"/>
    <w:rsid w:val="003474C2"/>
    <w:rsid w:val="00347F72"/>
    <w:rsid w:val="0035244F"/>
    <w:rsid w:val="00352721"/>
    <w:rsid w:val="003563F2"/>
    <w:rsid w:val="00357C3D"/>
    <w:rsid w:val="00360CF5"/>
    <w:rsid w:val="00360E23"/>
    <w:rsid w:val="00365AB1"/>
    <w:rsid w:val="00367245"/>
    <w:rsid w:val="00375BD2"/>
    <w:rsid w:val="00375DEE"/>
    <w:rsid w:val="00376CB7"/>
    <w:rsid w:val="00376D25"/>
    <w:rsid w:val="0039708E"/>
    <w:rsid w:val="0039784A"/>
    <w:rsid w:val="003A0C40"/>
    <w:rsid w:val="003A21F0"/>
    <w:rsid w:val="003A2EBF"/>
    <w:rsid w:val="003B3E0A"/>
    <w:rsid w:val="003B5549"/>
    <w:rsid w:val="003C1C8A"/>
    <w:rsid w:val="003C342F"/>
    <w:rsid w:val="003C4496"/>
    <w:rsid w:val="003D078D"/>
    <w:rsid w:val="003D251C"/>
    <w:rsid w:val="003D468F"/>
    <w:rsid w:val="003D4CFD"/>
    <w:rsid w:val="003D5AB1"/>
    <w:rsid w:val="003D6263"/>
    <w:rsid w:val="003D6CF5"/>
    <w:rsid w:val="003E07AE"/>
    <w:rsid w:val="003E0A2B"/>
    <w:rsid w:val="003E681B"/>
    <w:rsid w:val="003F5D35"/>
    <w:rsid w:val="00400549"/>
    <w:rsid w:val="004026AA"/>
    <w:rsid w:val="00403DDC"/>
    <w:rsid w:val="00411847"/>
    <w:rsid w:val="00417D49"/>
    <w:rsid w:val="00424F10"/>
    <w:rsid w:val="004277A3"/>
    <w:rsid w:val="004301B3"/>
    <w:rsid w:val="00430D23"/>
    <w:rsid w:val="004347F9"/>
    <w:rsid w:val="0043485B"/>
    <w:rsid w:val="00437183"/>
    <w:rsid w:val="0043729C"/>
    <w:rsid w:val="00447C22"/>
    <w:rsid w:val="004504E4"/>
    <w:rsid w:val="004507B0"/>
    <w:rsid w:val="0045232D"/>
    <w:rsid w:val="004549BD"/>
    <w:rsid w:val="004567A7"/>
    <w:rsid w:val="0046332F"/>
    <w:rsid w:val="00463EAA"/>
    <w:rsid w:val="00466AAB"/>
    <w:rsid w:val="00475A7E"/>
    <w:rsid w:val="004828BC"/>
    <w:rsid w:val="00485A90"/>
    <w:rsid w:val="004862FE"/>
    <w:rsid w:val="00486492"/>
    <w:rsid w:val="0048661B"/>
    <w:rsid w:val="00486623"/>
    <w:rsid w:val="004953C7"/>
    <w:rsid w:val="004A2FCD"/>
    <w:rsid w:val="004A46A3"/>
    <w:rsid w:val="004A525E"/>
    <w:rsid w:val="004A619B"/>
    <w:rsid w:val="004B357F"/>
    <w:rsid w:val="004B360F"/>
    <w:rsid w:val="004B66DC"/>
    <w:rsid w:val="004C4554"/>
    <w:rsid w:val="004C459F"/>
    <w:rsid w:val="004C4896"/>
    <w:rsid w:val="004D763F"/>
    <w:rsid w:val="004E2887"/>
    <w:rsid w:val="004E560A"/>
    <w:rsid w:val="004E56D2"/>
    <w:rsid w:val="004E7EF0"/>
    <w:rsid w:val="004F067A"/>
    <w:rsid w:val="004F1730"/>
    <w:rsid w:val="004F632E"/>
    <w:rsid w:val="004F6432"/>
    <w:rsid w:val="004F6B12"/>
    <w:rsid w:val="004F6E78"/>
    <w:rsid w:val="004F79BE"/>
    <w:rsid w:val="00505B49"/>
    <w:rsid w:val="0051116E"/>
    <w:rsid w:val="0051616D"/>
    <w:rsid w:val="005163DF"/>
    <w:rsid w:val="0051780C"/>
    <w:rsid w:val="0052038B"/>
    <w:rsid w:val="00520F4E"/>
    <w:rsid w:val="00523AF2"/>
    <w:rsid w:val="0052455F"/>
    <w:rsid w:val="005250E5"/>
    <w:rsid w:val="005255D0"/>
    <w:rsid w:val="005256A1"/>
    <w:rsid w:val="005271A5"/>
    <w:rsid w:val="00535AE7"/>
    <w:rsid w:val="00547338"/>
    <w:rsid w:val="00561079"/>
    <w:rsid w:val="00561FB0"/>
    <w:rsid w:val="00562921"/>
    <w:rsid w:val="0056504C"/>
    <w:rsid w:val="005744B3"/>
    <w:rsid w:val="005754A7"/>
    <w:rsid w:val="00575CD3"/>
    <w:rsid w:val="0058028D"/>
    <w:rsid w:val="005847D0"/>
    <w:rsid w:val="00586639"/>
    <w:rsid w:val="005877F6"/>
    <w:rsid w:val="00593603"/>
    <w:rsid w:val="00596083"/>
    <w:rsid w:val="005961A6"/>
    <w:rsid w:val="00597138"/>
    <w:rsid w:val="005A0F85"/>
    <w:rsid w:val="005A39F7"/>
    <w:rsid w:val="005A7088"/>
    <w:rsid w:val="005B1174"/>
    <w:rsid w:val="005B372A"/>
    <w:rsid w:val="005B583A"/>
    <w:rsid w:val="005C1904"/>
    <w:rsid w:val="005C5FC4"/>
    <w:rsid w:val="005D06C8"/>
    <w:rsid w:val="005D0E98"/>
    <w:rsid w:val="005D5A08"/>
    <w:rsid w:val="005D62E2"/>
    <w:rsid w:val="005D7515"/>
    <w:rsid w:val="005D7F57"/>
    <w:rsid w:val="005E6967"/>
    <w:rsid w:val="005F159F"/>
    <w:rsid w:val="005F2445"/>
    <w:rsid w:val="005F27AF"/>
    <w:rsid w:val="005F2B1B"/>
    <w:rsid w:val="005F30EF"/>
    <w:rsid w:val="005F3C4C"/>
    <w:rsid w:val="005F48CB"/>
    <w:rsid w:val="005F5299"/>
    <w:rsid w:val="005F6E2C"/>
    <w:rsid w:val="00600A5D"/>
    <w:rsid w:val="00600B87"/>
    <w:rsid w:val="00601862"/>
    <w:rsid w:val="00614D32"/>
    <w:rsid w:val="00621015"/>
    <w:rsid w:val="006264CD"/>
    <w:rsid w:val="00626EA6"/>
    <w:rsid w:val="00631E19"/>
    <w:rsid w:val="00632C10"/>
    <w:rsid w:val="006352A1"/>
    <w:rsid w:val="00637A98"/>
    <w:rsid w:val="00643477"/>
    <w:rsid w:val="00645182"/>
    <w:rsid w:val="00646A0C"/>
    <w:rsid w:val="00647C22"/>
    <w:rsid w:val="00654F1B"/>
    <w:rsid w:val="006628C2"/>
    <w:rsid w:val="006674F4"/>
    <w:rsid w:val="00670259"/>
    <w:rsid w:val="00671111"/>
    <w:rsid w:val="00671F38"/>
    <w:rsid w:val="00675563"/>
    <w:rsid w:val="00680AE5"/>
    <w:rsid w:val="00685F3B"/>
    <w:rsid w:val="00686170"/>
    <w:rsid w:val="0068644B"/>
    <w:rsid w:val="006912B6"/>
    <w:rsid w:val="00691AFE"/>
    <w:rsid w:val="00691ED9"/>
    <w:rsid w:val="00692C5C"/>
    <w:rsid w:val="00695FC3"/>
    <w:rsid w:val="006A1688"/>
    <w:rsid w:val="006A3F49"/>
    <w:rsid w:val="006B12B6"/>
    <w:rsid w:val="006B2539"/>
    <w:rsid w:val="006B3E3B"/>
    <w:rsid w:val="006D2925"/>
    <w:rsid w:val="006D6F81"/>
    <w:rsid w:val="006E2104"/>
    <w:rsid w:val="006E7714"/>
    <w:rsid w:val="006F2F48"/>
    <w:rsid w:val="006F4A0B"/>
    <w:rsid w:val="006F71EF"/>
    <w:rsid w:val="00700722"/>
    <w:rsid w:val="00701622"/>
    <w:rsid w:val="00703160"/>
    <w:rsid w:val="00707C18"/>
    <w:rsid w:val="00710E10"/>
    <w:rsid w:val="007120C0"/>
    <w:rsid w:val="00712572"/>
    <w:rsid w:val="007138F7"/>
    <w:rsid w:val="0072018C"/>
    <w:rsid w:val="00723695"/>
    <w:rsid w:val="0073229F"/>
    <w:rsid w:val="007349E9"/>
    <w:rsid w:val="00735810"/>
    <w:rsid w:val="00736007"/>
    <w:rsid w:val="0073689C"/>
    <w:rsid w:val="00736CAA"/>
    <w:rsid w:val="00737088"/>
    <w:rsid w:val="00737FEE"/>
    <w:rsid w:val="007403AA"/>
    <w:rsid w:val="0074120B"/>
    <w:rsid w:val="00741FCF"/>
    <w:rsid w:val="007507E8"/>
    <w:rsid w:val="007526D3"/>
    <w:rsid w:val="00754505"/>
    <w:rsid w:val="00766104"/>
    <w:rsid w:val="00773DBC"/>
    <w:rsid w:val="00774842"/>
    <w:rsid w:val="00780548"/>
    <w:rsid w:val="007825AF"/>
    <w:rsid w:val="00782C1A"/>
    <w:rsid w:val="00783734"/>
    <w:rsid w:val="00783D7F"/>
    <w:rsid w:val="0078506C"/>
    <w:rsid w:val="00785F1D"/>
    <w:rsid w:val="0078737E"/>
    <w:rsid w:val="0079306E"/>
    <w:rsid w:val="00793F7F"/>
    <w:rsid w:val="00794203"/>
    <w:rsid w:val="00796651"/>
    <w:rsid w:val="007A00AC"/>
    <w:rsid w:val="007A1181"/>
    <w:rsid w:val="007A3465"/>
    <w:rsid w:val="007A5E1B"/>
    <w:rsid w:val="007A6B71"/>
    <w:rsid w:val="007A7DC9"/>
    <w:rsid w:val="007B4A4D"/>
    <w:rsid w:val="007C0AAE"/>
    <w:rsid w:val="007C1AD6"/>
    <w:rsid w:val="007C3399"/>
    <w:rsid w:val="007C5BD5"/>
    <w:rsid w:val="007C6A02"/>
    <w:rsid w:val="007C78AC"/>
    <w:rsid w:val="007E760B"/>
    <w:rsid w:val="007E7C2B"/>
    <w:rsid w:val="007F0CC5"/>
    <w:rsid w:val="007F525E"/>
    <w:rsid w:val="00804D98"/>
    <w:rsid w:val="00807796"/>
    <w:rsid w:val="008137B3"/>
    <w:rsid w:val="0081508E"/>
    <w:rsid w:val="0081726A"/>
    <w:rsid w:val="0081782A"/>
    <w:rsid w:val="0082215A"/>
    <w:rsid w:val="00822B5C"/>
    <w:rsid w:val="00835005"/>
    <w:rsid w:val="00842E20"/>
    <w:rsid w:val="008435AD"/>
    <w:rsid w:val="00844997"/>
    <w:rsid w:val="00845A6F"/>
    <w:rsid w:val="0085125D"/>
    <w:rsid w:val="008536EC"/>
    <w:rsid w:val="00861C73"/>
    <w:rsid w:val="00864D96"/>
    <w:rsid w:val="00866567"/>
    <w:rsid w:val="00872E1A"/>
    <w:rsid w:val="00875230"/>
    <w:rsid w:val="00875E36"/>
    <w:rsid w:val="008811C8"/>
    <w:rsid w:val="00882E79"/>
    <w:rsid w:val="00886042"/>
    <w:rsid w:val="008913FE"/>
    <w:rsid w:val="0089171B"/>
    <w:rsid w:val="00891802"/>
    <w:rsid w:val="00892D56"/>
    <w:rsid w:val="008930D2"/>
    <w:rsid w:val="008964D3"/>
    <w:rsid w:val="008977DC"/>
    <w:rsid w:val="00897955"/>
    <w:rsid w:val="008A08F4"/>
    <w:rsid w:val="008A18DA"/>
    <w:rsid w:val="008A5368"/>
    <w:rsid w:val="008B0291"/>
    <w:rsid w:val="008B4014"/>
    <w:rsid w:val="008B5758"/>
    <w:rsid w:val="008B7C1D"/>
    <w:rsid w:val="008D13A5"/>
    <w:rsid w:val="008D28B5"/>
    <w:rsid w:val="008D560D"/>
    <w:rsid w:val="008D616B"/>
    <w:rsid w:val="008D6CB8"/>
    <w:rsid w:val="008D6D38"/>
    <w:rsid w:val="008E0F56"/>
    <w:rsid w:val="008E3363"/>
    <w:rsid w:val="008F1178"/>
    <w:rsid w:val="008F1E74"/>
    <w:rsid w:val="0090173B"/>
    <w:rsid w:val="009023EE"/>
    <w:rsid w:val="00905586"/>
    <w:rsid w:val="00906955"/>
    <w:rsid w:val="009106F2"/>
    <w:rsid w:val="009132B7"/>
    <w:rsid w:val="00913A82"/>
    <w:rsid w:val="00921A35"/>
    <w:rsid w:val="00923711"/>
    <w:rsid w:val="009251AB"/>
    <w:rsid w:val="00926B3D"/>
    <w:rsid w:val="00927A62"/>
    <w:rsid w:val="00931B15"/>
    <w:rsid w:val="00935E4A"/>
    <w:rsid w:val="00937297"/>
    <w:rsid w:val="00937674"/>
    <w:rsid w:val="0094151E"/>
    <w:rsid w:val="00944080"/>
    <w:rsid w:val="0094494D"/>
    <w:rsid w:val="00946E56"/>
    <w:rsid w:val="00950AF3"/>
    <w:rsid w:val="00953B5F"/>
    <w:rsid w:val="009555C1"/>
    <w:rsid w:val="009570B7"/>
    <w:rsid w:val="00961FDA"/>
    <w:rsid w:val="009625DB"/>
    <w:rsid w:val="009653D9"/>
    <w:rsid w:val="00965DD2"/>
    <w:rsid w:val="00965DF1"/>
    <w:rsid w:val="00971A6B"/>
    <w:rsid w:val="00971F11"/>
    <w:rsid w:val="009720A1"/>
    <w:rsid w:val="0098054C"/>
    <w:rsid w:val="00982452"/>
    <w:rsid w:val="00982F12"/>
    <w:rsid w:val="009908B5"/>
    <w:rsid w:val="00990B50"/>
    <w:rsid w:val="00990FF9"/>
    <w:rsid w:val="009912C5"/>
    <w:rsid w:val="009947CC"/>
    <w:rsid w:val="009958CD"/>
    <w:rsid w:val="00997E9A"/>
    <w:rsid w:val="009A11EC"/>
    <w:rsid w:val="009A5528"/>
    <w:rsid w:val="009A7DAA"/>
    <w:rsid w:val="009B3B3D"/>
    <w:rsid w:val="009B4A7B"/>
    <w:rsid w:val="009B4CD9"/>
    <w:rsid w:val="009B7A4D"/>
    <w:rsid w:val="009C262F"/>
    <w:rsid w:val="009C653A"/>
    <w:rsid w:val="009D0F01"/>
    <w:rsid w:val="009D3A4F"/>
    <w:rsid w:val="009D4C2A"/>
    <w:rsid w:val="009D68B0"/>
    <w:rsid w:val="009D6D04"/>
    <w:rsid w:val="009E2A8B"/>
    <w:rsid w:val="009E67CD"/>
    <w:rsid w:val="009E70AF"/>
    <w:rsid w:val="009E7A9F"/>
    <w:rsid w:val="009F0A3D"/>
    <w:rsid w:val="009F10A1"/>
    <w:rsid w:val="009F5C2B"/>
    <w:rsid w:val="009F5C51"/>
    <w:rsid w:val="00A006F3"/>
    <w:rsid w:val="00A0326A"/>
    <w:rsid w:val="00A0407A"/>
    <w:rsid w:val="00A056BC"/>
    <w:rsid w:val="00A10A32"/>
    <w:rsid w:val="00A10F05"/>
    <w:rsid w:val="00A128CF"/>
    <w:rsid w:val="00A13C5B"/>
    <w:rsid w:val="00A1778F"/>
    <w:rsid w:val="00A22464"/>
    <w:rsid w:val="00A24D02"/>
    <w:rsid w:val="00A30435"/>
    <w:rsid w:val="00A31440"/>
    <w:rsid w:val="00A33467"/>
    <w:rsid w:val="00A35078"/>
    <w:rsid w:val="00A35208"/>
    <w:rsid w:val="00A35465"/>
    <w:rsid w:val="00A37149"/>
    <w:rsid w:val="00A40274"/>
    <w:rsid w:val="00A416BF"/>
    <w:rsid w:val="00A425EC"/>
    <w:rsid w:val="00A44795"/>
    <w:rsid w:val="00A47C0B"/>
    <w:rsid w:val="00A51912"/>
    <w:rsid w:val="00A527C2"/>
    <w:rsid w:val="00A57D70"/>
    <w:rsid w:val="00A646BC"/>
    <w:rsid w:val="00A73553"/>
    <w:rsid w:val="00A7585F"/>
    <w:rsid w:val="00A75BC8"/>
    <w:rsid w:val="00A76BBB"/>
    <w:rsid w:val="00A77D13"/>
    <w:rsid w:val="00A824B0"/>
    <w:rsid w:val="00A8479D"/>
    <w:rsid w:val="00A86B96"/>
    <w:rsid w:val="00A948CF"/>
    <w:rsid w:val="00A95474"/>
    <w:rsid w:val="00A96B5C"/>
    <w:rsid w:val="00AA1547"/>
    <w:rsid w:val="00AA4815"/>
    <w:rsid w:val="00AB2247"/>
    <w:rsid w:val="00AB28B6"/>
    <w:rsid w:val="00AC4784"/>
    <w:rsid w:val="00AC49A5"/>
    <w:rsid w:val="00AC5B06"/>
    <w:rsid w:val="00AC6A80"/>
    <w:rsid w:val="00AC74EE"/>
    <w:rsid w:val="00AD387A"/>
    <w:rsid w:val="00AD5224"/>
    <w:rsid w:val="00AD5FE7"/>
    <w:rsid w:val="00AD6CC8"/>
    <w:rsid w:val="00AE50DF"/>
    <w:rsid w:val="00AE55E7"/>
    <w:rsid w:val="00AF060A"/>
    <w:rsid w:val="00AF07E1"/>
    <w:rsid w:val="00AF56A7"/>
    <w:rsid w:val="00B006FC"/>
    <w:rsid w:val="00B041FF"/>
    <w:rsid w:val="00B04B68"/>
    <w:rsid w:val="00B06672"/>
    <w:rsid w:val="00B0755C"/>
    <w:rsid w:val="00B115FA"/>
    <w:rsid w:val="00B13794"/>
    <w:rsid w:val="00B14E3D"/>
    <w:rsid w:val="00B1550E"/>
    <w:rsid w:val="00B25DD5"/>
    <w:rsid w:val="00B26C56"/>
    <w:rsid w:val="00B26D27"/>
    <w:rsid w:val="00B31625"/>
    <w:rsid w:val="00B32139"/>
    <w:rsid w:val="00B354EA"/>
    <w:rsid w:val="00B376DE"/>
    <w:rsid w:val="00B47392"/>
    <w:rsid w:val="00B51195"/>
    <w:rsid w:val="00B53DA0"/>
    <w:rsid w:val="00B545B0"/>
    <w:rsid w:val="00B564CC"/>
    <w:rsid w:val="00B56A67"/>
    <w:rsid w:val="00B61EC6"/>
    <w:rsid w:val="00B62F3A"/>
    <w:rsid w:val="00B63315"/>
    <w:rsid w:val="00B642A7"/>
    <w:rsid w:val="00B6534F"/>
    <w:rsid w:val="00B71AD6"/>
    <w:rsid w:val="00B723CC"/>
    <w:rsid w:val="00B7414A"/>
    <w:rsid w:val="00B81E56"/>
    <w:rsid w:val="00B8256E"/>
    <w:rsid w:val="00B82A7F"/>
    <w:rsid w:val="00B87A0D"/>
    <w:rsid w:val="00B9159A"/>
    <w:rsid w:val="00B92D9B"/>
    <w:rsid w:val="00B94E70"/>
    <w:rsid w:val="00B959BA"/>
    <w:rsid w:val="00B95C9E"/>
    <w:rsid w:val="00B979EA"/>
    <w:rsid w:val="00BB5CDE"/>
    <w:rsid w:val="00BC3140"/>
    <w:rsid w:val="00BC39B2"/>
    <w:rsid w:val="00BC457E"/>
    <w:rsid w:val="00BC4D80"/>
    <w:rsid w:val="00BC5AE9"/>
    <w:rsid w:val="00BC733A"/>
    <w:rsid w:val="00BE045E"/>
    <w:rsid w:val="00BE1739"/>
    <w:rsid w:val="00BE2A1E"/>
    <w:rsid w:val="00BE573E"/>
    <w:rsid w:val="00BE7BC4"/>
    <w:rsid w:val="00BF3A71"/>
    <w:rsid w:val="00BF4D87"/>
    <w:rsid w:val="00BF64B9"/>
    <w:rsid w:val="00C014D3"/>
    <w:rsid w:val="00C0254A"/>
    <w:rsid w:val="00C0306F"/>
    <w:rsid w:val="00C05886"/>
    <w:rsid w:val="00C06012"/>
    <w:rsid w:val="00C07B79"/>
    <w:rsid w:val="00C11AC6"/>
    <w:rsid w:val="00C12E53"/>
    <w:rsid w:val="00C1508A"/>
    <w:rsid w:val="00C16D4F"/>
    <w:rsid w:val="00C23DA3"/>
    <w:rsid w:val="00C25639"/>
    <w:rsid w:val="00C2710D"/>
    <w:rsid w:val="00C33B22"/>
    <w:rsid w:val="00C33B7F"/>
    <w:rsid w:val="00C3543B"/>
    <w:rsid w:val="00C36183"/>
    <w:rsid w:val="00C44644"/>
    <w:rsid w:val="00C44661"/>
    <w:rsid w:val="00C455AA"/>
    <w:rsid w:val="00C46773"/>
    <w:rsid w:val="00C519B7"/>
    <w:rsid w:val="00C549C9"/>
    <w:rsid w:val="00C54ADF"/>
    <w:rsid w:val="00C577A0"/>
    <w:rsid w:val="00C64930"/>
    <w:rsid w:val="00C65558"/>
    <w:rsid w:val="00C65C01"/>
    <w:rsid w:val="00C6645D"/>
    <w:rsid w:val="00C734B9"/>
    <w:rsid w:val="00C7500F"/>
    <w:rsid w:val="00C761FD"/>
    <w:rsid w:val="00C77F35"/>
    <w:rsid w:val="00C81901"/>
    <w:rsid w:val="00C86BE3"/>
    <w:rsid w:val="00C873DA"/>
    <w:rsid w:val="00C90F60"/>
    <w:rsid w:val="00C97A44"/>
    <w:rsid w:val="00CB4B8B"/>
    <w:rsid w:val="00CB5DAB"/>
    <w:rsid w:val="00CB672E"/>
    <w:rsid w:val="00CC26EB"/>
    <w:rsid w:val="00CC62E5"/>
    <w:rsid w:val="00CC7A33"/>
    <w:rsid w:val="00CD27D0"/>
    <w:rsid w:val="00CD3BAA"/>
    <w:rsid w:val="00CE28AE"/>
    <w:rsid w:val="00CE68EE"/>
    <w:rsid w:val="00CE7A83"/>
    <w:rsid w:val="00CF0558"/>
    <w:rsid w:val="00CF22AE"/>
    <w:rsid w:val="00CF2447"/>
    <w:rsid w:val="00CF31A3"/>
    <w:rsid w:val="00CF537B"/>
    <w:rsid w:val="00CF550A"/>
    <w:rsid w:val="00CF5E79"/>
    <w:rsid w:val="00CF65C5"/>
    <w:rsid w:val="00CF7F3E"/>
    <w:rsid w:val="00D00124"/>
    <w:rsid w:val="00D12008"/>
    <w:rsid w:val="00D14F98"/>
    <w:rsid w:val="00D16C1B"/>
    <w:rsid w:val="00D20C01"/>
    <w:rsid w:val="00D24276"/>
    <w:rsid w:val="00D30D70"/>
    <w:rsid w:val="00D30FA5"/>
    <w:rsid w:val="00D3197D"/>
    <w:rsid w:val="00D37BBC"/>
    <w:rsid w:val="00D422D3"/>
    <w:rsid w:val="00D4550A"/>
    <w:rsid w:val="00D461B8"/>
    <w:rsid w:val="00D4684F"/>
    <w:rsid w:val="00D4754C"/>
    <w:rsid w:val="00D47940"/>
    <w:rsid w:val="00D511C8"/>
    <w:rsid w:val="00D52169"/>
    <w:rsid w:val="00D52A2C"/>
    <w:rsid w:val="00D52BF1"/>
    <w:rsid w:val="00D52DCB"/>
    <w:rsid w:val="00D54E78"/>
    <w:rsid w:val="00D55FCA"/>
    <w:rsid w:val="00D612DA"/>
    <w:rsid w:val="00D626D1"/>
    <w:rsid w:val="00D63253"/>
    <w:rsid w:val="00D63DC2"/>
    <w:rsid w:val="00D644B4"/>
    <w:rsid w:val="00D71E45"/>
    <w:rsid w:val="00D72928"/>
    <w:rsid w:val="00D87843"/>
    <w:rsid w:val="00D91407"/>
    <w:rsid w:val="00D9259D"/>
    <w:rsid w:val="00D937B1"/>
    <w:rsid w:val="00D96A0E"/>
    <w:rsid w:val="00DA6675"/>
    <w:rsid w:val="00DA7A42"/>
    <w:rsid w:val="00DB133F"/>
    <w:rsid w:val="00DB6167"/>
    <w:rsid w:val="00DB6395"/>
    <w:rsid w:val="00DC0B4B"/>
    <w:rsid w:val="00DC54A5"/>
    <w:rsid w:val="00DD1570"/>
    <w:rsid w:val="00DD3CD9"/>
    <w:rsid w:val="00DD4088"/>
    <w:rsid w:val="00DE027D"/>
    <w:rsid w:val="00DE1077"/>
    <w:rsid w:val="00DE5126"/>
    <w:rsid w:val="00DF7702"/>
    <w:rsid w:val="00E02CD5"/>
    <w:rsid w:val="00E03AC3"/>
    <w:rsid w:val="00E04BF3"/>
    <w:rsid w:val="00E06D21"/>
    <w:rsid w:val="00E07A73"/>
    <w:rsid w:val="00E1047C"/>
    <w:rsid w:val="00E23DB3"/>
    <w:rsid w:val="00E242BB"/>
    <w:rsid w:val="00E26A53"/>
    <w:rsid w:val="00E27027"/>
    <w:rsid w:val="00E350ED"/>
    <w:rsid w:val="00E35DFD"/>
    <w:rsid w:val="00E364D8"/>
    <w:rsid w:val="00E37DD6"/>
    <w:rsid w:val="00E40177"/>
    <w:rsid w:val="00E41200"/>
    <w:rsid w:val="00E4164E"/>
    <w:rsid w:val="00E43622"/>
    <w:rsid w:val="00E502E6"/>
    <w:rsid w:val="00E50FB4"/>
    <w:rsid w:val="00E56B74"/>
    <w:rsid w:val="00E61848"/>
    <w:rsid w:val="00E63AC7"/>
    <w:rsid w:val="00E742A0"/>
    <w:rsid w:val="00E74EE8"/>
    <w:rsid w:val="00E758DE"/>
    <w:rsid w:val="00E76353"/>
    <w:rsid w:val="00E80B27"/>
    <w:rsid w:val="00E8285F"/>
    <w:rsid w:val="00E837FA"/>
    <w:rsid w:val="00E83D68"/>
    <w:rsid w:val="00E865F2"/>
    <w:rsid w:val="00E901C2"/>
    <w:rsid w:val="00E94E59"/>
    <w:rsid w:val="00E965A1"/>
    <w:rsid w:val="00E966B1"/>
    <w:rsid w:val="00E968D9"/>
    <w:rsid w:val="00EA2AE5"/>
    <w:rsid w:val="00EB0D7F"/>
    <w:rsid w:val="00EB190C"/>
    <w:rsid w:val="00EB1BB2"/>
    <w:rsid w:val="00EB2F3D"/>
    <w:rsid w:val="00EB3D3F"/>
    <w:rsid w:val="00EB477A"/>
    <w:rsid w:val="00EB6D9B"/>
    <w:rsid w:val="00EB71EB"/>
    <w:rsid w:val="00EC1A6F"/>
    <w:rsid w:val="00EC1AEB"/>
    <w:rsid w:val="00EC3CEE"/>
    <w:rsid w:val="00EC6BC6"/>
    <w:rsid w:val="00ED01F9"/>
    <w:rsid w:val="00EE0615"/>
    <w:rsid w:val="00EE1F93"/>
    <w:rsid w:val="00EE440A"/>
    <w:rsid w:val="00EF1910"/>
    <w:rsid w:val="00EF19CB"/>
    <w:rsid w:val="00EF44B1"/>
    <w:rsid w:val="00EF5364"/>
    <w:rsid w:val="00F014B1"/>
    <w:rsid w:val="00F01D5E"/>
    <w:rsid w:val="00F1058E"/>
    <w:rsid w:val="00F10AF6"/>
    <w:rsid w:val="00F110E3"/>
    <w:rsid w:val="00F11867"/>
    <w:rsid w:val="00F11F0F"/>
    <w:rsid w:val="00F13E09"/>
    <w:rsid w:val="00F244D7"/>
    <w:rsid w:val="00F269D7"/>
    <w:rsid w:val="00F27700"/>
    <w:rsid w:val="00F27937"/>
    <w:rsid w:val="00F3001F"/>
    <w:rsid w:val="00F30C3C"/>
    <w:rsid w:val="00F3150A"/>
    <w:rsid w:val="00F36646"/>
    <w:rsid w:val="00F47ADB"/>
    <w:rsid w:val="00F521C9"/>
    <w:rsid w:val="00F540F5"/>
    <w:rsid w:val="00F654A0"/>
    <w:rsid w:val="00F67516"/>
    <w:rsid w:val="00F75D4B"/>
    <w:rsid w:val="00F7752E"/>
    <w:rsid w:val="00F814EC"/>
    <w:rsid w:val="00F815E0"/>
    <w:rsid w:val="00F84B5D"/>
    <w:rsid w:val="00F861DB"/>
    <w:rsid w:val="00F90B96"/>
    <w:rsid w:val="00FA0926"/>
    <w:rsid w:val="00FA0B65"/>
    <w:rsid w:val="00FA0BAB"/>
    <w:rsid w:val="00FA5668"/>
    <w:rsid w:val="00FA59EA"/>
    <w:rsid w:val="00FB3282"/>
    <w:rsid w:val="00FB4A0E"/>
    <w:rsid w:val="00FB7A4A"/>
    <w:rsid w:val="00FC06A4"/>
    <w:rsid w:val="00FC15CB"/>
    <w:rsid w:val="00FC69B1"/>
    <w:rsid w:val="00FD000F"/>
    <w:rsid w:val="00FD10DA"/>
    <w:rsid w:val="00FD1350"/>
    <w:rsid w:val="00FD144F"/>
    <w:rsid w:val="00FD16CF"/>
    <w:rsid w:val="00FD3659"/>
    <w:rsid w:val="00FD4694"/>
    <w:rsid w:val="00FD58E4"/>
    <w:rsid w:val="00FD685F"/>
    <w:rsid w:val="00FD798C"/>
    <w:rsid w:val="00FE2153"/>
    <w:rsid w:val="00FE2328"/>
    <w:rsid w:val="00FE2BF4"/>
    <w:rsid w:val="00FE5CC8"/>
    <w:rsid w:val="00FE7602"/>
    <w:rsid w:val="00FE7F93"/>
    <w:rsid w:val="00FF0DDB"/>
    <w:rsid w:val="00FF304B"/>
    <w:rsid w:val="00FF4E1B"/>
    <w:rsid w:val="00FF6AE1"/>
  </w:rsids>
  <m:mathPr>
    <m:mathFont m:val="Cambria Math"/>
    <m:brkBin m:val="before"/>
    <m:brkBinSub m:val="--"/>
    <m:smallFrac m:val="0"/>
    <m:dispDef/>
    <m:lMargin m:val="0"/>
    <m:rMargin m:val="0"/>
    <m:defJc m:val="centerGroup"/>
    <m:wrapIndent m:val="1440"/>
    <m:intLim m:val="subSup"/>
    <m:naryLim m:val="undOvr"/>
  </m:mathPr>
  <w:themeFontLang w:val="it-IT" w:eastAsia="zh-CN"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0BD43580"/>
  <w15:chartTrackingRefBased/>
  <w15:docId w15:val="{EC6EAF79-99A3-4537-BBCB-8F73C133D01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2"/>
        <w:szCs w:val="22"/>
        <w:lang w:val="it-IT"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33DC9"/>
    <w:pPr>
      <w:spacing w:line="360" w:lineRule="auto"/>
      <w:jc w:val="both"/>
    </w:pPr>
    <w:rPr>
      <w:kern w:val="0"/>
      <w:sz w:val="24"/>
      <w:lang w:val="en-GB"/>
      <w14:ligatures w14:val="none"/>
    </w:rPr>
  </w:style>
  <w:style w:type="paragraph" w:styleId="Heading1">
    <w:name w:val="heading 1"/>
    <w:aliases w:val="Heading 1 Thesis"/>
    <w:basedOn w:val="Normal"/>
    <w:next w:val="Normal"/>
    <w:link w:val="Heading1Char"/>
    <w:uiPriority w:val="9"/>
    <w:qFormat/>
    <w:rsid w:val="00C014D3"/>
    <w:pPr>
      <w:keepNext/>
      <w:keepLines/>
      <w:spacing w:before="240" w:after="0"/>
      <w:jc w:val="center"/>
      <w:outlineLvl w:val="0"/>
    </w:pPr>
    <w:rPr>
      <w:rFonts w:eastAsiaTheme="majorEastAsia" w:cstheme="majorBidi"/>
      <w:b/>
      <w:sz w:val="56"/>
      <w:szCs w:val="32"/>
    </w:rPr>
  </w:style>
  <w:style w:type="paragraph" w:styleId="Heading2">
    <w:name w:val="heading 2"/>
    <w:basedOn w:val="Normal"/>
    <w:next w:val="Normal"/>
    <w:link w:val="Heading2Char"/>
    <w:uiPriority w:val="9"/>
    <w:unhideWhenUsed/>
    <w:qFormat/>
    <w:rsid w:val="00C014D3"/>
    <w:pPr>
      <w:keepNext/>
      <w:keepLines/>
      <w:spacing w:before="40" w:after="0"/>
      <w:outlineLvl w:val="1"/>
    </w:pPr>
    <w:rPr>
      <w:rFonts w:eastAsiaTheme="majorEastAsia" w:cstheme="majorBidi"/>
      <w:b/>
      <w:sz w:val="36"/>
      <w:szCs w:val="26"/>
    </w:rPr>
  </w:style>
  <w:style w:type="paragraph" w:styleId="Heading3">
    <w:name w:val="heading 3"/>
    <w:basedOn w:val="Normal"/>
    <w:next w:val="Normal"/>
    <w:link w:val="Heading3Char"/>
    <w:uiPriority w:val="9"/>
    <w:unhideWhenUsed/>
    <w:qFormat/>
    <w:rsid w:val="00C014D3"/>
    <w:pPr>
      <w:keepNext/>
      <w:keepLines/>
      <w:spacing w:before="40" w:after="0" w:line="259" w:lineRule="auto"/>
      <w:outlineLvl w:val="2"/>
    </w:pPr>
    <w:rPr>
      <w:rFonts w:eastAsiaTheme="majorEastAsia" w:cstheme="majorBidi"/>
      <w:b/>
      <w:kern w:val="2"/>
      <w:sz w:val="28"/>
      <w:szCs w:val="24"/>
      <w14:ligatures w14:val="standardContextual"/>
    </w:rPr>
  </w:style>
  <w:style w:type="paragraph" w:styleId="Heading4">
    <w:name w:val="heading 4"/>
    <w:basedOn w:val="Normal"/>
    <w:next w:val="Normal"/>
    <w:link w:val="Heading4Char"/>
    <w:uiPriority w:val="9"/>
    <w:unhideWhenUsed/>
    <w:qFormat/>
    <w:rsid w:val="00C014D3"/>
    <w:pPr>
      <w:keepNext/>
      <w:keepLines/>
      <w:spacing w:before="40" w:after="0"/>
      <w:outlineLvl w:val="3"/>
    </w:pPr>
    <w:rPr>
      <w:rFonts w:eastAsiaTheme="majorEastAsia" w:cstheme="majorBidi"/>
      <w:b/>
      <w:iCs/>
    </w:rPr>
  </w:style>
  <w:style w:type="paragraph" w:styleId="Heading5">
    <w:name w:val="heading 5"/>
    <w:basedOn w:val="Normal"/>
    <w:next w:val="Normal"/>
    <w:link w:val="Heading5Char"/>
    <w:uiPriority w:val="9"/>
    <w:semiHidden/>
    <w:unhideWhenUsed/>
    <w:qFormat/>
    <w:rsid w:val="00C90F60"/>
    <w:pPr>
      <w:keepNext/>
      <w:keepLines/>
      <w:spacing w:before="220" w:after="40" w:line="259" w:lineRule="auto"/>
      <w:jc w:val="left"/>
      <w:outlineLvl w:val="4"/>
    </w:pPr>
    <w:rPr>
      <w:rFonts w:ascii="Times New Roman" w:eastAsia="Times New Roman" w:hAnsi="Times New Roman" w:cs="Times New Roman"/>
      <w:b/>
      <w:sz w:val="22"/>
      <w:lang w:eastAsia="en-GB"/>
    </w:rPr>
  </w:style>
  <w:style w:type="paragraph" w:styleId="Heading6">
    <w:name w:val="heading 6"/>
    <w:basedOn w:val="Normal"/>
    <w:next w:val="Normal"/>
    <w:link w:val="Heading6Char"/>
    <w:uiPriority w:val="9"/>
    <w:semiHidden/>
    <w:unhideWhenUsed/>
    <w:qFormat/>
    <w:rsid w:val="00C90F60"/>
    <w:pPr>
      <w:keepNext/>
      <w:keepLines/>
      <w:spacing w:before="200" w:after="40" w:line="259" w:lineRule="auto"/>
      <w:jc w:val="left"/>
      <w:outlineLvl w:val="5"/>
    </w:pPr>
    <w:rPr>
      <w:rFonts w:ascii="Times New Roman" w:eastAsia="Times New Roman" w:hAnsi="Times New Roman" w:cs="Times New Roman"/>
      <w:b/>
      <w:sz w:val="20"/>
      <w:szCs w:val="20"/>
      <w:lang w:eastAsia="en-GB"/>
    </w:rPr>
  </w:style>
  <w:style w:type="paragraph" w:styleId="Heading7">
    <w:name w:val="heading 7"/>
    <w:basedOn w:val="Normal"/>
    <w:next w:val="Normal"/>
    <w:link w:val="Heading7Char"/>
    <w:uiPriority w:val="9"/>
    <w:semiHidden/>
    <w:unhideWhenUsed/>
    <w:qFormat/>
    <w:rsid w:val="00EC3CEE"/>
    <w:pPr>
      <w:keepNext/>
      <w:keepLines/>
      <w:spacing w:before="40" w:after="0"/>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
    <w:semiHidden/>
    <w:unhideWhenUsed/>
    <w:qFormat/>
    <w:rsid w:val="00EC3CEE"/>
    <w:pPr>
      <w:keepNext/>
      <w:keepLines/>
      <w:spacing w:before="40" w:after="0"/>
      <w:outlineLvl w:val="7"/>
    </w:pPr>
    <w:rPr>
      <w:rFonts w:asciiTheme="majorHAnsi" w:eastAsiaTheme="majorEastAsia" w:hAnsiTheme="majorHAnsi" w:cstheme="majorBidi"/>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Heading 1 Thesis Char"/>
    <w:basedOn w:val="DefaultParagraphFont"/>
    <w:link w:val="Heading1"/>
    <w:uiPriority w:val="9"/>
    <w:rsid w:val="00C014D3"/>
    <w:rPr>
      <w:rFonts w:eastAsiaTheme="majorEastAsia" w:cstheme="majorBidi"/>
      <w:b/>
      <w:kern w:val="0"/>
      <w:sz w:val="56"/>
      <w:szCs w:val="32"/>
      <w:lang w:val="en-GB"/>
      <w14:ligatures w14:val="none"/>
    </w:rPr>
  </w:style>
  <w:style w:type="paragraph" w:styleId="ListParagraph">
    <w:name w:val="List Paragraph"/>
    <w:basedOn w:val="Normal"/>
    <w:uiPriority w:val="34"/>
    <w:qFormat/>
    <w:rsid w:val="00D4754C"/>
    <w:pPr>
      <w:ind w:left="720"/>
      <w:contextualSpacing/>
    </w:pPr>
  </w:style>
  <w:style w:type="paragraph" w:styleId="Header">
    <w:name w:val="header"/>
    <w:basedOn w:val="Normal"/>
    <w:link w:val="HeaderChar"/>
    <w:uiPriority w:val="99"/>
    <w:unhideWhenUsed/>
    <w:rsid w:val="00BF4D87"/>
    <w:pPr>
      <w:tabs>
        <w:tab w:val="center" w:pos="4513"/>
        <w:tab w:val="right" w:pos="9026"/>
      </w:tabs>
      <w:spacing w:after="0" w:line="240" w:lineRule="auto"/>
    </w:pPr>
  </w:style>
  <w:style w:type="character" w:customStyle="1" w:styleId="HeaderChar">
    <w:name w:val="Header Char"/>
    <w:basedOn w:val="DefaultParagraphFont"/>
    <w:link w:val="Header"/>
    <w:uiPriority w:val="99"/>
    <w:rsid w:val="00BF4D87"/>
    <w:rPr>
      <w:kern w:val="0"/>
      <w:sz w:val="24"/>
      <w:lang w:val="en-GB"/>
      <w14:ligatures w14:val="none"/>
    </w:rPr>
  </w:style>
  <w:style w:type="paragraph" w:styleId="Footer">
    <w:name w:val="footer"/>
    <w:basedOn w:val="Normal"/>
    <w:link w:val="FooterChar"/>
    <w:uiPriority w:val="99"/>
    <w:unhideWhenUsed/>
    <w:rsid w:val="00BF4D87"/>
    <w:pPr>
      <w:tabs>
        <w:tab w:val="center" w:pos="4513"/>
        <w:tab w:val="right" w:pos="9026"/>
      </w:tabs>
      <w:spacing w:after="0" w:line="240" w:lineRule="auto"/>
    </w:pPr>
  </w:style>
  <w:style w:type="character" w:customStyle="1" w:styleId="FooterChar">
    <w:name w:val="Footer Char"/>
    <w:basedOn w:val="DefaultParagraphFont"/>
    <w:link w:val="Footer"/>
    <w:uiPriority w:val="99"/>
    <w:rsid w:val="00BF4D87"/>
    <w:rPr>
      <w:kern w:val="0"/>
      <w:sz w:val="24"/>
      <w:lang w:val="en-GB"/>
      <w14:ligatures w14:val="none"/>
    </w:rPr>
  </w:style>
  <w:style w:type="character" w:customStyle="1" w:styleId="Heading2Char">
    <w:name w:val="Heading 2 Char"/>
    <w:basedOn w:val="DefaultParagraphFont"/>
    <w:link w:val="Heading2"/>
    <w:uiPriority w:val="9"/>
    <w:rsid w:val="00C014D3"/>
    <w:rPr>
      <w:rFonts w:eastAsiaTheme="majorEastAsia" w:cstheme="majorBidi"/>
      <w:b/>
      <w:kern w:val="0"/>
      <w:sz w:val="36"/>
      <w:szCs w:val="26"/>
      <w:lang w:val="en-GB"/>
      <w14:ligatures w14:val="none"/>
    </w:rPr>
  </w:style>
  <w:style w:type="paragraph" w:styleId="Title">
    <w:name w:val="Title"/>
    <w:basedOn w:val="Normal"/>
    <w:next w:val="Normal"/>
    <w:link w:val="TitleChar"/>
    <w:uiPriority w:val="10"/>
    <w:qFormat/>
    <w:rsid w:val="00CF2447"/>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CF2447"/>
    <w:rPr>
      <w:rFonts w:asciiTheme="majorHAnsi" w:eastAsiaTheme="majorEastAsia" w:hAnsiTheme="majorHAnsi" w:cstheme="majorBidi"/>
      <w:spacing w:val="-10"/>
      <w:kern w:val="28"/>
      <w:sz w:val="56"/>
      <w:szCs w:val="56"/>
      <w:lang w:val="en-GB"/>
      <w14:ligatures w14:val="none"/>
    </w:rPr>
  </w:style>
  <w:style w:type="character" w:customStyle="1" w:styleId="Heading3Char">
    <w:name w:val="Heading 3 Char"/>
    <w:basedOn w:val="DefaultParagraphFont"/>
    <w:link w:val="Heading3"/>
    <w:uiPriority w:val="9"/>
    <w:rsid w:val="00C014D3"/>
    <w:rPr>
      <w:rFonts w:eastAsiaTheme="majorEastAsia" w:cstheme="majorBidi"/>
      <w:b/>
      <w:sz w:val="28"/>
      <w:szCs w:val="24"/>
      <w:lang w:val="en-GB"/>
    </w:rPr>
  </w:style>
  <w:style w:type="character" w:styleId="CommentReference">
    <w:name w:val="annotation reference"/>
    <w:basedOn w:val="DefaultParagraphFont"/>
    <w:uiPriority w:val="99"/>
    <w:semiHidden/>
    <w:unhideWhenUsed/>
    <w:rsid w:val="00C12E53"/>
    <w:rPr>
      <w:sz w:val="16"/>
      <w:szCs w:val="16"/>
    </w:rPr>
  </w:style>
  <w:style w:type="paragraph" w:styleId="CommentText">
    <w:name w:val="annotation text"/>
    <w:basedOn w:val="Normal"/>
    <w:link w:val="CommentTextChar"/>
    <w:uiPriority w:val="99"/>
    <w:unhideWhenUsed/>
    <w:rsid w:val="00C12E53"/>
    <w:pPr>
      <w:spacing w:line="240" w:lineRule="auto"/>
    </w:pPr>
    <w:rPr>
      <w:kern w:val="2"/>
      <w:sz w:val="20"/>
      <w:szCs w:val="20"/>
      <w14:ligatures w14:val="standardContextual"/>
    </w:rPr>
  </w:style>
  <w:style w:type="character" w:customStyle="1" w:styleId="CommentTextChar">
    <w:name w:val="Comment Text Char"/>
    <w:basedOn w:val="DefaultParagraphFont"/>
    <w:link w:val="CommentText"/>
    <w:uiPriority w:val="99"/>
    <w:rsid w:val="00C12E53"/>
    <w:rPr>
      <w:sz w:val="20"/>
      <w:szCs w:val="20"/>
      <w:lang w:val="en-GB"/>
    </w:rPr>
  </w:style>
  <w:style w:type="paragraph" w:styleId="CommentSubject">
    <w:name w:val="annotation subject"/>
    <w:basedOn w:val="CommentText"/>
    <w:next w:val="CommentText"/>
    <w:link w:val="CommentSubjectChar"/>
    <w:uiPriority w:val="99"/>
    <w:semiHidden/>
    <w:unhideWhenUsed/>
    <w:rsid w:val="00C12E53"/>
    <w:rPr>
      <w:b/>
      <w:bCs/>
    </w:rPr>
  </w:style>
  <w:style w:type="character" w:customStyle="1" w:styleId="CommentSubjectChar">
    <w:name w:val="Comment Subject Char"/>
    <w:basedOn w:val="CommentTextChar"/>
    <w:link w:val="CommentSubject"/>
    <w:uiPriority w:val="99"/>
    <w:semiHidden/>
    <w:rsid w:val="00C12E53"/>
    <w:rPr>
      <w:b/>
      <w:bCs/>
      <w:sz w:val="20"/>
      <w:szCs w:val="20"/>
      <w:lang w:val="en-GB"/>
    </w:rPr>
  </w:style>
  <w:style w:type="paragraph" w:styleId="Caption">
    <w:name w:val="caption"/>
    <w:basedOn w:val="Normal"/>
    <w:next w:val="Normal"/>
    <w:uiPriority w:val="35"/>
    <w:unhideWhenUsed/>
    <w:qFormat/>
    <w:rsid w:val="00C12E53"/>
    <w:pPr>
      <w:spacing w:after="200" w:line="240" w:lineRule="auto"/>
    </w:pPr>
    <w:rPr>
      <w:i/>
      <w:iCs/>
      <w:color w:val="44546A" w:themeColor="text2"/>
      <w:kern w:val="2"/>
      <w:sz w:val="18"/>
      <w:szCs w:val="18"/>
      <w14:ligatures w14:val="standardContextual"/>
    </w:rPr>
  </w:style>
  <w:style w:type="paragraph" w:styleId="BalloonText">
    <w:name w:val="Balloon Text"/>
    <w:basedOn w:val="Normal"/>
    <w:link w:val="BalloonTextChar"/>
    <w:uiPriority w:val="99"/>
    <w:semiHidden/>
    <w:unhideWhenUsed/>
    <w:rsid w:val="00C12E53"/>
    <w:pPr>
      <w:spacing w:after="0" w:line="240" w:lineRule="auto"/>
    </w:pPr>
    <w:rPr>
      <w:rFonts w:ascii="Segoe UI" w:hAnsi="Segoe UI" w:cs="Segoe UI"/>
      <w:kern w:val="2"/>
      <w:sz w:val="18"/>
      <w:szCs w:val="18"/>
      <w14:ligatures w14:val="standardContextual"/>
    </w:rPr>
  </w:style>
  <w:style w:type="character" w:customStyle="1" w:styleId="BalloonTextChar">
    <w:name w:val="Balloon Text Char"/>
    <w:basedOn w:val="DefaultParagraphFont"/>
    <w:link w:val="BalloonText"/>
    <w:uiPriority w:val="99"/>
    <w:semiHidden/>
    <w:rsid w:val="00C12E53"/>
    <w:rPr>
      <w:rFonts w:ascii="Segoe UI" w:hAnsi="Segoe UI" w:cs="Segoe UI"/>
      <w:sz w:val="18"/>
      <w:szCs w:val="18"/>
      <w:lang w:val="en-GB"/>
    </w:rPr>
  </w:style>
  <w:style w:type="paragraph" w:styleId="Revision">
    <w:name w:val="Revision"/>
    <w:hidden/>
    <w:uiPriority w:val="99"/>
    <w:semiHidden/>
    <w:rsid w:val="00C12E53"/>
    <w:pPr>
      <w:spacing w:after="0" w:line="240" w:lineRule="auto"/>
    </w:pPr>
    <w:rPr>
      <w:lang w:val="en-GB"/>
    </w:rPr>
  </w:style>
  <w:style w:type="table" w:styleId="TableGrid">
    <w:name w:val="Table Grid"/>
    <w:basedOn w:val="TableNormal"/>
    <w:uiPriority w:val="39"/>
    <w:rsid w:val="00C12E5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C12E53"/>
    <w:rPr>
      <w:color w:val="0563C1" w:themeColor="hyperlink"/>
      <w:u w:val="single"/>
    </w:rPr>
  </w:style>
  <w:style w:type="character" w:styleId="UnresolvedMention">
    <w:name w:val="Unresolved Mention"/>
    <w:basedOn w:val="DefaultParagraphFont"/>
    <w:uiPriority w:val="99"/>
    <w:semiHidden/>
    <w:unhideWhenUsed/>
    <w:rsid w:val="00C12E53"/>
    <w:rPr>
      <w:color w:val="605E5C"/>
      <w:shd w:val="clear" w:color="auto" w:fill="E1DFDD"/>
    </w:rPr>
  </w:style>
  <w:style w:type="character" w:customStyle="1" w:styleId="Heading4Char">
    <w:name w:val="Heading 4 Char"/>
    <w:basedOn w:val="DefaultParagraphFont"/>
    <w:link w:val="Heading4"/>
    <w:uiPriority w:val="9"/>
    <w:rsid w:val="00C014D3"/>
    <w:rPr>
      <w:rFonts w:eastAsiaTheme="majorEastAsia" w:cstheme="majorBidi"/>
      <w:b/>
      <w:iCs/>
      <w:kern w:val="0"/>
      <w:sz w:val="24"/>
      <w:lang w:val="en-GB"/>
      <w14:ligatures w14:val="none"/>
    </w:rPr>
  </w:style>
  <w:style w:type="paragraph" w:styleId="TOCHeading">
    <w:name w:val="TOC Heading"/>
    <w:basedOn w:val="Heading1"/>
    <w:next w:val="Normal"/>
    <w:uiPriority w:val="39"/>
    <w:unhideWhenUsed/>
    <w:qFormat/>
    <w:rsid w:val="00561079"/>
    <w:pPr>
      <w:spacing w:line="259" w:lineRule="auto"/>
      <w:outlineLvl w:val="9"/>
    </w:pPr>
    <w:rPr>
      <w:color w:val="2F5496" w:themeColor="accent1" w:themeShade="BF"/>
      <w:sz w:val="32"/>
      <w:lang w:eastAsia="en-GB"/>
    </w:rPr>
  </w:style>
  <w:style w:type="paragraph" w:styleId="TOC1">
    <w:name w:val="toc 1"/>
    <w:basedOn w:val="Normal"/>
    <w:next w:val="Normal"/>
    <w:autoRedefine/>
    <w:uiPriority w:val="39"/>
    <w:unhideWhenUsed/>
    <w:rsid w:val="00561079"/>
    <w:pPr>
      <w:spacing w:after="100"/>
    </w:pPr>
  </w:style>
  <w:style w:type="paragraph" w:styleId="TOC2">
    <w:name w:val="toc 2"/>
    <w:basedOn w:val="Normal"/>
    <w:next w:val="Normal"/>
    <w:autoRedefine/>
    <w:uiPriority w:val="39"/>
    <w:unhideWhenUsed/>
    <w:rsid w:val="00561079"/>
    <w:pPr>
      <w:spacing w:after="100"/>
      <w:ind w:left="240"/>
    </w:pPr>
  </w:style>
  <w:style w:type="paragraph" w:styleId="TOC3">
    <w:name w:val="toc 3"/>
    <w:basedOn w:val="Normal"/>
    <w:next w:val="Normal"/>
    <w:autoRedefine/>
    <w:uiPriority w:val="39"/>
    <w:unhideWhenUsed/>
    <w:rsid w:val="00561079"/>
    <w:pPr>
      <w:spacing w:after="100"/>
      <w:ind w:left="480"/>
    </w:pPr>
  </w:style>
  <w:style w:type="paragraph" w:styleId="FootnoteText">
    <w:name w:val="footnote text"/>
    <w:basedOn w:val="Normal"/>
    <w:link w:val="FootnoteTextChar"/>
    <w:uiPriority w:val="99"/>
    <w:semiHidden/>
    <w:unhideWhenUsed/>
    <w:rsid w:val="000E3C80"/>
    <w:pPr>
      <w:spacing w:after="0" w:line="240" w:lineRule="auto"/>
      <w:jc w:val="left"/>
    </w:pPr>
    <w:rPr>
      <w:sz w:val="20"/>
      <w:szCs w:val="20"/>
      <w:lang w:val="it-IT"/>
    </w:rPr>
  </w:style>
  <w:style w:type="character" w:customStyle="1" w:styleId="FootnoteTextChar">
    <w:name w:val="Footnote Text Char"/>
    <w:basedOn w:val="DefaultParagraphFont"/>
    <w:link w:val="FootnoteText"/>
    <w:uiPriority w:val="99"/>
    <w:semiHidden/>
    <w:rsid w:val="000E3C80"/>
    <w:rPr>
      <w:kern w:val="0"/>
      <w:sz w:val="20"/>
      <w:szCs w:val="20"/>
      <w14:ligatures w14:val="none"/>
    </w:rPr>
  </w:style>
  <w:style w:type="character" w:styleId="FootnoteReference">
    <w:name w:val="footnote reference"/>
    <w:basedOn w:val="DefaultParagraphFont"/>
    <w:uiPriority w:val="99"/>
    <w:semiHidden/>
    <w:unhideWhenUsed/>
    <w:rsid w:val="000E3C80"/>
    <w:rPr>
      <w:vertAlign w:val="superscript"/>
    </w:rPr>
  </w:style>
  <w:style w:type="table" w:styleId="GridTable4-Accent3">
    <w:name w:val="Grid Table 4 Accent 3"/>
    <w:basedOn w:val="TableNormal"/>
    <w:uiPriority w:val="49"/>
    <w:rsid w:val="000E3C80"/>
    <w:pPr>
      <w:spacing w:after="0" w:line="240" w:lineRule="auto"/>
    </w:pPr>
    <w:rPr>
      <w:kern w:val="0"/>
      <w14:ligatures w14:val="none"/>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PlainTable5">
    <w:name w:val="Plain Table 5"/>
    <w:basedOn w:val="TableNormal"/>
    <w:uiPriority w:val="45"/>
    <w:rsid w:val="000E3C80"/>
    <w:pPr>
      <w:spacing w:after="0" w:line="240" w:lineRule="auto"/>
    </w:pPr>
    <w:rPr>
      <w:kern w:val="0"/>
      <w14:ligatures w14:val="none"/>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NoSpacing">
    <w:name w:val="No Spacing"/>
    <w:link w:val="NoSpacingChar"/>
    <w:uiPriority w:val="1"/>
    <w:qFormat/>
    <w:rsid w:val="000E3C80"/>
    <w:pPr>
      <w:spacing w:after="0" w:line="240" w:lineRule="auto"/>
    </w:pPr>
    <w:rPr>
      <w:kern w:val="0"/>
      <w:sz w:val="24"/>
      <w14:ligatures w14:val="none"/>
    </w:rPr>
  </w:style>
  <w:style w:type="table" w:styleId="PlainTable3">
    <w:name w:val="Plain Table 3"/>
    <w:basedOn w:val="TableNormal"/>
    <w:uiPriority w:val="43"/>
    <w:rsid w:val="000E3C80"/>
    <w:pPr>
      <w:spacing w:after="0" w:line="240" w:lineRule="auto"/>
    </w:pPr>
    <w:rPr>
      <w:kern w:val="0"/>
      <w14:ligatures w14:val="none"/>
    </w:r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PlainTable1">
    <w:name w:val="Plain Table 1"/>
    <w:basedOn w:val="TableNormal"/>
    <w:uiPriority w:val="41"/>
    <w:rsid w:val="000E3C80"/>
    <w:pPr>
      <w:spacing w:after="0" w:line="240" w:lineRule="auto"/>
    </w:pPr>
    <w:rPr>
      <w:kern w:val="0"/>
      <w14:ligatures w14:val="none"/>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leGridLight">
    <w:name w:val="Grid Table Light"/>
    <w:basedOn w:val="TableNormal"/>
    <w:uiPriority w:val="40"/>
    <w:rsid w:val="000E3C80"/>
    <w:pPr>
      <w:spacing w:after="0" w:line="240" w:lineRule="auto"/>
    </w:pPr>
    <w:rPr>
      <w:kern w:val="0"/>
      <w14:ligatures w14:val="none"/>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ListTable7Colourful">
    <w:name w:val="List Table 7 Colorful"/>
    <w:basedOn w:val="TableNormal"/>
    <w:uiPriority w:val="52"/>
    <w:rsid w:val="000E3C80"/>
    <w:pPr>
      <w:spacing w:after="0" w:line="240" w:lineRule="auto"/>
    </w:pPr>
    <w:rPr>
      <w:color w:val="000000" w:themeColor="text1"/>
      <w:kern w:val="0"/>
      <w14:ligatures w14:val="none"/>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0000" w:themeColor="tex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0000" w:themeColor="tex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0000" w:themeColor="tex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0000" w:themeColor="text1"/>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GridTable6Colourful">
    <w:name w:val="Grid Table 6 Colorful"/>
    <w:basedOn w:val="TableNormal"/>
    <w:uiPriority w:val="51"/>
    <w:rsid w:val="000E3C80"/>
    <w:pPr>
      <w:spacing w:after="0" w:line="240" w:lineRule="auto"/>
    </w:pPr>
    <w:rPr>
      <w:color w:val="000000" w:themeColor="text1"/>
      <w:kern w:val="0"/>
      <w14:ligatures w14:val="none"/>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styleId="LineNumber">
    <w:name w:val="line number"/>
    <w:basedOn w:val="DefaultParagraphFont"/>
    <w:uiPriority w:val="99"/>
    <w:semiHidden/>
    <w:unhideWhenUsed/>
    <w:rsid w:val="000E3C80"/>
  </w:style>
  <w:style w:type="paragraph" w:styleId="Bibliography">
    <w:name w:val="Bibliography"/>
    <w:basedOn w:val="Normal"/>
    <w:next w:val="Normal"/>
    <w:uiPriority w:val="37"/>
    <w:unhideWhenUsed/>
    <w:rsid w:val="000E3C80"/>
    <w:pPr>
      <w:spacing w:after="200" w:line="276" w:lineRule="auto"/>
      <w:jc w:val="left"/>
    </w:pPr>
    <w:rPr>
      <w:lang w:val="it-IT"/>
    </w:rPr>
  </w:style>
  <w:style w:type="character" w:styleId="FollowedHyperlink">
    <w:name w:val="FollowedHyperlink"/>
    <w:basedOn w:val="DefaultParagraphFont"/>
    <w:uiPriority w:val="99"/>
    <w:semiHidden/>
    <w:unhideWhenUsed/>
    <w:rsid w:val="005F5299"/>
    <w:rPr>
      <w:color w:val="954F72" w:themeColor="followedHyperlink"/>
      <w:u w:val="single"/>
    </w:rPr>
  </w:style>
  <w:style w:type="paragraph" w:styleId="TOC4">
    <w:name w:val="toc 4"/>
    <w:basedOn w:val="Normal"/>
    <w:next w:val="Normal"/>
    <w:autoRedefine/>
    <w:uiPriority w:val="39"/>
    <w:unhideWhenUsed/>
    <w:rsid w:val="00260DE5"/>
    <w:pPr>
      <w:spacing w:after="100" w:line="259" w:lineRule="auto"/>
      <w:ind w:left="660"/>
      <w:jc w:val="left"/>
    </w:pPr>
    <w:rPr>
      <w:rFonts w:eastAsiaTheme="minorEastAsia"/>
      <w:kern w:val="2"/>
      <w:sz w:val="22"/>
      <w:lang w:eastAsia="en-GB"/>
      <w14:ligatures w14:val="standardContextual"/>
    </w:rPr>
  </w:style>
  <w:style w:type="paragraph" w:styleId="TOC5">
    <w:name w:val="toc 5"/>
    <w:basedOn w:val="Normal"/>
    <w:next w:val="Normal"/>
    <w:autoRedefine/>
    <w:uiPriority w:val="39"/>
    <w:unhideWhenUsed/>
    <w:rsid w:val="00260DE5"/>
    <w:pPr>
      <w:spacing w:after="100" w:line="259" w:lineRule="auto"/>
      <w:ind w:left="880"/>
      <w:jc w:val="left"/>
    </w:pPr>
    <w:rPr>
      <w:rFonts w:eastAsiaTheme="minorEastAsia"/>
      <w:kern w:val="2"/>
      <w:sz w:val="22"/>
      <w:lang w:eastAsia="en-GB"/>
      <w14:ligatures w14:val="standardContextual"/>
    </w:rPr>
  </w:style>
  <w:style w:type="paragraph" w:styleId="TOC6">
    <w:name w:val="toc 6"/>
    <w:basedOn w:val="Normal"/>
    <w:next w:val="Normal"/>
    <w:autoRedefine/>
    <w:uiPriority w:val="39"/>
    <w:unhideWhenUsed/>
    <w:rsid w:val="00260DE5"/>
    <w:pPr>
      <w:spacing w:after="100" w:line="259" w:lineRule="auto"/>
      <w:ind w:left="1100"/>
      <w:jc w:val="left"/>
    </w:pPr>
    <w:rPr>
      <w:rFonts w:eastAsiaTheme="minorEastAsia"/>
      <w:kern w:val="2"/>
      <w:sz w:val="22"/>
      <w:lang w:eastAsia="en-GB"/>
      <w14:ligatures w14:val="standardContextual"/>
    </w:rPr>
  </w:style>
  <w:style w:type="paragraph" w:styleId="TOC7">
    <w:name w:val="toc 7"/>
    <w:basedOn w:val="Normal"/>
    <w:next w:val="Normal"/>
    <w:autoRedefine/>
    <w:uiPriority w:val="39"/>
    <w:unhideWhenUsed/>
    <w:rsid w:val="00260DE5"/>
    <w:pPr>
      <w:spacing w:after="100" w:line="259" w:lineRule="auto"/>
      <w:ind w:left="1320"/>
      <w:jc w:val="left"/>
    </w:pPr>
    <w:rPr>
      <w:rFonts w:eastAsiaTheme="minorEastAsia"/>
      <w:kern w:val="2"/>
      <w:sz w:val="22"/>
      <w:lang w:eastAsia="en-GB"/>
      <w14:ligatures w14:val="standardContextual"/>
    </w:rPr>
  </w:style>
  <w:style w:type="paragraph" w:styleId="TOC8">
    <w:name w:val="toc 8"/>
    <w:basedOn w:val="Normal"/>
    <w:next w:val="Normal"/>
    <w:autoRedefine/>
    <w:uiPriority w:val="39"/>
    <w:unhideWhenUsed/>
    <w:rsid w:val="00260DE5"/>
    <w:pPr>
      <w:spacing w:after="100" w:line="259" w:lineRule="auto"/>
      <w:ind w:left="1540"/>
      <w:jc w:val="left"/>
    </w:pPr>
    <w:rPr>
      <w:rFonts w:eastAsiaTheme="minorEastAsia"/>
      <w:kern w:val="2"/>
      <w:sz w:val="22"/>
      <w:lang w:eastAsia="en-GB"/>
      <w14:ligatures w14:val="standardContextual"/>
    </w:rPr>
  </w:style>
  <w:style w:type="paragraph" w:styleId="TOC9">
    <w:name w:val="toc 9"/>
    <w:basedOn w:val="Normal"/>
    <w:next w:val="Normal"/>
    <w:autoRedefine/>
    <w:uiPriority w:val="39"/>
    <w:unhideWhenUsed/>
    <w:rsid w:val="00260DE5"/>
    <w:pPr>
      <w:spacing w:after="100" w:line="259" w:lineRule="auto"/>
      <w:ind w:left="1760"/>
      <w:jc w:val="left"/>
    </w:pPr>
    <w:rPr>
      <w:rFonts w:eastAsiaTheme="minorEastAsia"/>
      <w:kern w:val="2"/>
      <w:sz w:val="22"/>
      <w:lang w:eastAsia="en-GB"/>
      <w14:ligatures w14:val="standardContextual"/>
    </w:rPr>
  </w:style>
  <w:style w:type="character" w:customStyle="1" w:styleId="UnresolvedMention1">
    <w:name w:val="Unresolved Mention1"/>
    <w:basedOn w:val="DefaultParagraphFont"/>
    <w:uiPriority w:val="99"/>
    <w:semiHidden/>
    <w:unhideWhenUsed/>
    <w:rsid w:val="00051048"/>
    <w:rPr>
      <w:color w:val="605E5C"/>
      <w:shd w:val="clear" w:color="auto" w:fill="E1DFDD"/>
    </w:rPr>
  </w:style>
  <w:style w:type="paragraph" w:styleId="EndnoteText">
    <w:name w:val="endnote text"/>
    <w:basedOn w:val="Normal"/>
    <w:link w:val="EndnoteTextChar"/>
    <w:uiPriority w:val="99"/>
    <w:semiHidden/>
    <w:unhideWhenUsed/>
    <w:rsid w:val="00051048"/>
    <w:pPr>
      <w:spacing w:after="0" w:line="240" w:lineRule="auto"/>
      <w:jc w:val="left"/>
    </w:pPr>
    <w:rPr>
      <w:kern w:val="2"/>
      <w:sz w:val="20"/>
      <w:szCs w:val="20"/>
      <w14:ligatures w14:val="standardContextual"/>
    </w:rPr>
  </w:style>
  <w:style w:type="character" w:customStyle="1" w:styleId="EndnoteTextChar">
    <w:name w:val="Endnote Text Char"/>
    <w:basedOn w:val="DefaultParagraphFont"/>
    <w:link w:val="EndnoteText"/>
    <w:uiPriority w:val="99"/>
    <w:semiHidden/>
    <w:rsid w:val="00051048"/>
    <w:rPr>
      <w:sz w:val="20"/>
      <w:szCs w:val="20"/>
      <w:lang w:val="en-GB"/>
    </w:rPr>
  </w:style>
  <w:style w:type="character" w:styleId="EndnoteReference">
    <w:name w:val="endnote reference"/>
    <w:basedOn w:val="DefaultParagraphFont"/>
    <w:uiPriority w:val="99"/>
    <w:semiHidden/>
    <w:unhideWhenUsed/>
    <w:rsid w:val="00051048"/>
    <w:rPr>
      <w:vertAlign w:val="superscript"/>
    </w:rPr>
  </w:style>
  <w:style w:type="character" w:customStyle="1" w:styleId="Heading5Char">
    <w:name w:val="Heading 5 Char"/>
    <w:basedOn w:val="DefaultParagraphFont"/>
    <w:link w:val="Heading5"/>
    <w:uiPriority w:val="9"/>
    <w:semiHidden/>
    <w:rsid w:val="00C90F60"/>
    <w:rPr>
      <w:rFonts w:ascii="Times New Roman" w:eastAsia="Times New Roman" w:hAnsi="Times New Roman" w:cs="Times New Roman"/>
      <w:b/>
      <w:kern w:val="0"/>
      <w:lang w:val="en-GB" w:eastAsia="en-GB"/>
      <w14:ligatures w14:val="none"/>
    </w:rPr>
  </w:style>
  <w:style w:type="character" w:customStyle="1" w:styleId="Heading6Char">
    <w:name w:val="Heading 6 Char"/>
    <w:basedOn w:val="DefaultParagraphFont"/>
    <w:link w:val="Heading6"/>
    <w:uiPriority w:val="9"/>
    <w:semiHidden/>
    <w:rsid w:val="00C90F60"/>
    <w:rPr>
      <w:rFonts w:ascii="Times New Roman" w:eastAsia="Times New Roman" w:hAnsi="Times New Roman" w:cs="Times New Roman"/>
      <w:b/>
      <w:kern w:val="0"/>
      <w:sz w:val="20"/>
      <w:szCs w:val="20"/>
      <w:lang w:val="en-GB" w:eastAsia="en-GB"/>
      <w14:ligatures w14:val="none"/>
    </w:rPr>
  </w:style>
  <w:style w:type="paragraph" w:styleId="NormalWeb">
    <w:name w:val="Normal (Web)"/>
    <w:basedOn w:val="Normal"/>
    <w:uiPriority w:val="99"/>
    <w:semiHidden/>
    <w:unhideWhenUsed/>
    <w:rsid w:val="00C90F60"/>
    <w:pPr>
      <w:spacing w:before="100" w:beforeAutospacing="1" w:after="100" w:afterAutospacing="1" w:line="240" w:lineRule="auto"/>
      <w:jc w:val="left"/>
    </w:pPr>
    <w:rPr>
      <w:rFonts w:ascii="Times New Roman" w:eastAsia="Times New Roman" w:hAnsi="Times New Roman" w:cs="Times New Roman"/>
      <w:szCs w:val="24"/>
      <w:lang w:eastAsia="en-GB"/>
    </w:rPr>
  </w:style>
  <w:style w:type="character" w:customStyle="1" w:styleId="2phjq">
    <w:name w:val="_2phjq"/>
    <w:basedOn w:val="DefaultParagraphFont"/>
    <w:rsid w:val="00C90F60"/>
  </w:style>
  <w:style w:type="paragraph" w:customStyle="1" w:styleId="Plos1stlevel">
    <w:name w:val="Plos 1st level"/>
    <w:basedOn w:val="Heading1"/>
    <w:link w:val="Plos1stlevelChar"/>
    <w:qFormat/>
    <w:rsid w:val="00C90F60"/>
    <w:pPr>
      <w:spacing w:before="360" w:after="120" w:line="259" w:lineRule="auto"/>
      <w:jc w:val="left"/>
    </w:pPr>
    <w:rPr>
      <w:rFonts w:ascii="Times New Roman" w:hAnsi="Times New Roman" w:cstheme="minorHAnsi"/>
      <w:color w:val="000000" w:themeColor="text1"/>
      <w:sz w:val="36"/>
      <w:lang w:eastAsia="en-GB"/>
    </w:rPr>
  </w:style>
  <w:style w:type="paragraph" w:customStyle="1" w:styleId="Plos2ndlevel">
    <w:name w:val="Plos 2nd level"/>
    <w:basedOn w:val="Plos1stlevel"/>
    <w:link w:val="Plos2ndlevelChar"/>
    <w:qFormat/>
    <w:rsid w:val="00C90F60"/>
    <w:rPr>
      <w:sz w:val="32"/>
    </w:rPr>
  </w:style>
  <w:style w:type="character" w:customStyle="1" w:styleId="Plos1stlevelChar">
    <w:name w:val="Plos 1st level Char"/>
    <w:basedOn w:val="Heading1Char"/>
    <w:link w:val="Plos1stlevel"/>
    <w:rsid w:val="00C90F60"/>
    <w:rPr>
      <w:rFonts w:ascii="Times New Roman" w:eastAsiaTheme="majorEastAsia" w:hAnsi="Times New Roman" w:cstheme="minorHAnsi"/>
      <w:b/>
      <w:color w:val="000000" w:themeColor="text1"/>
      <w:kern w:val="0"/>
      <w:sz w:val="36"/>
      <w:szCs w:val="32"/>
      <w:lang w:val="en-GB" w:eastAsia="en-GB"/>
      <w14:ligatures w14:val="none"/>
    </w:rPr>
  </w:style>
  <w:style w:type="character" w:customStyle="1" w:styleId="Plos2ndlevelChar">
    <w:name w:val="Plos 2nd level Char"/>
    <w:basedOn w:val="Plos1stlevelChar"/>
    <w:link w:val="Plos2ndlevel"/>
    <w:rsid w:val="00C90F60"/>
    <w:rPr>
      <w:rFonts w:ascii="Times New Roman" w:eastAsiaTheme="majorEastAsia" w:hAnsi="Times New Roman" w:cstheme="minorHAnsi"/>
      <w:b/>
      <w:color w:val="000000" w:themeColor="text1"/>
      <w:kern w:val="0"/>
      <w:sz w:val="32"/>
      <w:szCs w:val="32"/>
      <w:lang w:val="en-GB" w:eastAsia="en-GB"/>
      <w14:ligatures w14:val="none"/>
    </w:rPr>
  </w:style>
  <w:style w:type="paragraph" w:styleId="Subtitle">
    <w:name w:val="Subtitle"/>
    <w:basedOn w:val="Normal"/>
    <w:next w:val="Normal"/>
    <w:link w:val="SubtitleChar"/>
    <w:uiPriority w:val="11"/>
    <w:qFormat/>
    <w:rsid w:val="00C90F60"/>
    <w:pPr>
      <w:keepNext/>
      <w:keepLines/>
      <w:spacing w:before="360" w:after="80" w:line="259" w:lineRule="auto"/>
      <w:jc w:val="left"/>
    </w:pPr>
    <w:rPr>
      <w:rFonts w:ascii="Georgia" w:eastAsia="Georgia" w:hAnsi="Georgia" w:cs="Georgia"/>
      <w:i/>
      <w:color w:val="666666"/>
      <w:sz w:val="48"/>
      <w:szCs w:val="48"/>
      <w:lang w:eastAsia="en-GB"/>
    </w:rPr>
  </w:style>
  <w:style w:type="character" w:customStyle="1" w:styleId="SubtitleChar">
    <w:name w:val="Subtitle Char"/>
    <w:basedOn w:val="DefaultParagraphFont"/>
    <w:link w:val="Subtitle"/>
    <w:uiPriority w:val="11"/>
    <w:rsid w:val="00C90F60"/>
    <w:rPr>
      <w:rFonts w:ascii="Georgia" w:eastAsia="Georgia" w:hAnsi="Georgia" w:cs="Georgia"/>
      <w:i/>
      <w:color w:val="666666"/>
      <w:kern w:val="0"/>
      <w:sz w:val="48"/>
      <w:szCs w:val="48"/>
      <w:lang w:val="en-GB" w:eastAsia="en-GB"/>
      <w14:ligatures w14:val="none"/>
    </w:rPr>
  </w:style>
  <w:style w:type="table" w:customStyle="1" w:styleId="11">
    <w:name w:val="11"/>
    <w:basedOn w:val="TableNormal"/>
    <w:rsid w:val="00C90F60"/>
    <w:pPr>
      <w:spacing w:after="0" w:line="240" w:lineRule="auto"/>
    </w:pPr>
    <w:rPr>
      <w:rFonts w:ascii="Times New Roman" w:eastAsia="Times New Roman" w:hAnsi="Times New Roman" w:cs="Times New Roman"/>
      <w:kern w:val="0"/>
      <w:sz w:val="24"/>
      <w:szCs w:val="24"/>
      <w:lang w:val="en-GB" w:eastAsia="en-GB"/>
      <w14:ligatures w14:val="none"/>
    </w:rPr>
    <w:tblPr>
      <w:tblStyleRowBandSize w:val="1"/>
      <w:tblStyleColBandSize w:val="1"/>
    </w:tblPr>
  </w:style>
  <w:style w:type="table" w:customStyle="1" w:styleId="10">
    <w:name w:val="10"/>
    <w:basedOn w:val="TableNormal"/>
    <w:rsid w:val="00C90F60"/>
    <w:pPr>
      <w:spacing w:after="0" w:line="240" w:lineRule="auto"/>
    </w:pPr>
    <w:rPr>
      <w:rFonts w:ascii="Times New Roman" w:eastAsia="Times New Roman" w:hAnsi="Times New Roman" w:cs="Times New Roman"/>
      <w:kern w:val="0"/>
      <w:sz w:val="24"/>
      <w:szCs w:val="24"/>
      <w:lang w:val="en-GB" w:eastAsia="en-GB"/>
      <w14:ligatures w14:val="none"/>
    </w:rPr>
    <w:tblPr>
      <w:tblStyleRowBandSize w:val="1"/>
      <w:tblStyleColBandSize w:val="1"/>
    </w:tblPr>
  </w:style>
  <w:style w:type="table" w:customStyle="1" w:styleId="9">
    <w:name w:val="9"/>
    <w:basedOn w:val="TableNormal"/>
    <w:rsid w:val="00C90F60"/>
    <w:pPr>
      <w:spacing w:after="0" w:line="240" w:lineRule="auto"/>
    </w:pPr>
    <w:rPr>
      <w:rFonts w:ascii="Times New Roman" w:eastAsia="Times New Roman" w:hAnsi="Times New Roman" w:cs="Times New Roman"/>
      <w:kern w:val="0"/>
      <w:sz w:val="24"/>
      <w:szCs w:val="24"/>
      <w:lang w:val="en-GB" w:eastAsia="en-GB"/>
      <w14:ligatures w14:val="none"/>
    </w:rPr>
    <w:tblPr>
      <w:tblStyleRowBandSize w:val="1"/>
      <w:tblStyleColBandSize w:val="1"/>
    </w:tblPr>
  </w:style>
  <w:style w:type="table" w:customStyle="1" w:styleId="8">
    <w:name w:val="8"/>
    <w:basedOn w:val="TableNormal"/>
    <w:rsid w:val="00C90F60"/>
    <w:pPr>
      <w:spacing w:after="0" w:line="240" w:lineRule="auto"/>
    </w:pPr>
    <w:rPr>
      <w:rFonts w:ascii="Times New Roman" w:eastAsia="Times New Roman" w:hAnsi="Times New Roman" w:cs="Times New Roman"/>
      <w:kern w:val="0"/>
      <w:sz w:val="24"/>
      <w:szCs w:val="24"/>
      <w:lang w:val="en-GB" w:eastAsia="en-GB"/>
      <w14:ligatures w14:val="none"/>
    </w:rPr>
    <w:tblPr>
      <w:tblStyleRowBandSize w:val="1"/>
      <w:tblStyleColBandSize w:val="1"/>
    </w:tblPr>
  </w:style>
  <w:style w:type="table" w:customStyle="1" w:styleId="7">
    <w:name w:val="7"/>
    <w:basedOn w:val="TableNormal"/>
    <w:rsid w:val="00C90F60"/>
    <w:pPr>
      <w:spacing w:after="0" w:line="240" w:lineRule="auto"/>
    </w:pPr>
    <w:rPr>
      <w:rFonts w:ascii="Times New Roman" w:eastAsia="Times New Roman" w:hAnsi="Times New Roman" w:cs="Times New Roman"/>
      <w:kern w:val="0"/>
      <w:sz w:val="24"/>
      <w:szCs w:val="24"/>
      <w:lang w:val="en-GB" w:eastAsia="en-GB"/>
      <w14:ligatures w14:val="none"/>
    </w:rPr>
    <w:tblPr>
      <w:tblStyleRowBandSize w:val="1"/>
      <w:tblStyleColBandSize w:val="1"/>
    </w:tblPr>
  </w:style>
  <w:style w:type="table" w:customStyle="1" w:styleId="6">
    <w:name w:val="6"/>
    <w:basedOn w:val="TableNormal"/>
    <w:rsid w:val="00C90F60"/>
    <w:rPr>
      <w:rFonts w:ascii="Times New Roman" w:eastAsia="Times New Roman" w:hAnsi="Times New Roman" w:cs="Times New Roman"/>
      <w:kern w:val="0"/>
      <w:sz w:val="24"/>
      <w:szCs w:val="24"/>
      <w:lang w:val="en-GB" w:eastAsia="en-GB"/>
      <w14:ligatures w14:val="none"/>
    </w:rPr>
    <w:tblPr>
      <w:tblStyleRowBandSize w:val="1"/>
      <w:tblStyleColBandSize w:val="1"/>
      <w:tblCellMar>
        <w:left w:w="0" w:type="dxa"/>
        <w:right w:w="0" w:type="dxa"/>
      </w:tblCellMar>
    </w:tblPr>
  </w:style>
  <w:style w:type="table" w:customStyle="1" w:styleId="5">
    <w:name w:val="5"/>
    <w:basedOn w:val="TableNormal"/>
    <w:rsid w:val="00C90F60"/>
    <w:rPr>
      <w:rFonts w:ascii="Times New Roman" w:eastAsia="Times New Roman" w:hAnsi="Times New Roman" w:cs="Times New Roman"/>
      <w:kern w:val="0"/>
      <w:sz w:val="24"/>
      <w:szCs w:val="24"/>
      <w:lang w:val="en-GB" w:eastAsia="en-GB"/>
      <w14:ligatures w14:val="none"/>
    </w:rPr>
    <w:tblPr>
      <w:tblStyleRowBandSize w:val="1"/>
      <w:tblStyleColBandSize w:val="1"/>
      <w:tblCellMar>
        <w:left w:w="0" w:type="dxa"/>
        <w:right w:w="0" w:type="dxa"/>
      </w:tblCellMar>
    </w:tblPr>
  </w:style>
  <w:style w:type="table" w:customStyle="1" w:styleId="4">
    <w:name w:val="4"/>
    <w:basedOn w:val="TableNormal"/>
    <w:rsid w:val="00C90F60"/>
    <w:rPr>
      <w:rFonts w:ascii="Times New Roman" w:eastAsia="Times New Roman" w:hAnsi="Times New Roman" w:cs="Times New Roman"/>
      <w:kern w:val="0"/>
      <w:sz w:val="24"/>
      <w:szCs w:val="24"/>
      <w:lang w:val="en-GB" w:eastAsia="en-GB"/>
      <w14:ligatures w14:val="none"/>
    </w:rPr>
    <w:tblPr>
      <w:tblStyleRowBandSize w:val="1"/>
      <w:tblStyleColBandSize w:val="1"/>
      <w:tblCellMar>
        <w:left w:w="0" w:type="dxa"/>
        <w:right w:w="0" w:type="dxa"/>
      </w:tblCellMar>
    </w:tblPr>
  </w:style>
  <w:style w:type="table" w:customStyle="1" w:styleId="3">
    <w:name w:val="3"/>
    <w:basedOn w:val="TableNormal"/>
    <w:rsid w:val="00C90F60"/>
    <w:rPr>
      <w:rFonts w:ascii="Times New Roman" w:eastAsia="Times New Roman" w:hAnsi="Times New Roman" w:cs="Times New Roman"/>
      <w:kern w:val="0"/>
      <w:sz w:val="24"/>
      <w:szCs w:val="24"/>
      <w:lang w:val="en-GB" w:eastAsia="en-GB"/>
      <w14:ligatures w14:val="none"/>
    </w:rPr>
    <w:tblPr>
      <w:tblStyleRowBandSize w:val="1"/>
      <w:tblStyleColBandSize w:val="1"/>
      <w:tblCellMar>
        <w:left w:w="0" w:type="dxa"/>
        <w:right w:w="0" w:type="dxa"/>
      </w:tblCellMar>
    </w:tblPr>
  </w:style>
  <w:style w:type="table" w:customStyle="1" w:styleId="2">
    <w:name w:val="2"/>
    <w:basedOn w:val="TableNormal"/>
    <w:rsid w:val="00C90F60"/>
    <w:pPr>
      <w:spacing w:after="0" w:line="240" w:lineRule="auto"/>
    </w:pPr>
    <w:rPr>
      <w:rFonts w:ascii="Times New Roman" w:eastAsia="Times New Roman" w:hAnsi="Times New Roman" w:cs="Times New Roman"/>
      <w:kern w:val="0"/>
      <w:sz w:val="24"/>
      <w:szCs w:val="24"/>
      <w:lang w:val="en-GB" w:eastAsia="en-GB"/>
      <w14:ligatures w14:val="none"/>
    </w:rPr>
    <w:tblPr>
      <w:tblStyleRowBandSize w:val="1"/>
      <w:tblStyleColBandSize w:val="1"/>
    </w:tblPr>
  </w:style>
  <w:style w:type="table" w:customStyle="1" w:styleId="1">
    <w:name w:val="1"/>
    <w:basedOn w:val="TableNormal"/>
    <w:rsid w:val="00C90F60"/>
    <w:pPr>
      <w:spacing w:after="0" w:line="240" w:lineRule="auto"/>
    </w:pPr>
    <w:rPr>
      <w:rFonts w:ascii="Times New Roman" w:eastAsia="Times New Roman" w:hAnsi="Times New Roman" w:cs="Times New Roman"/>
      <w:kern w:val="0"/>
      <w:sz w:val="24"/>
      <w:szCs w:val="24"/>
      <w:lang w:val="en-GB" w:eastAsia="en-GB"/>
      <w14:ligatures w14:val="none"/>
    </w:rPr>
    <w:tblPr>
      <w:tblStyleRowBandSize w:val="1"/>
      <w:tblStyleColBandSize w:val="1"/>
    </w:tblPr>
  </w:style>
  <w:style w:type="character" w:customStyle="1" w:styleId="NoSpacingChar">
    <w:name w:val="No Spacing Char"/>
    <w:basedOn w:val="DefaultParagraphFont"/>
    <w:link w:val="NoSpacing"/>
    <w:uiPriority w:val="1"/>
    <w:rsid w:val="003A2EBF"/>
    <w:rPr>
      <w:kern w:val="0"/>
      <w:sz w:val="24"/>
      <w14:ligatures w14:val="none"/>
    </w:rPr>
  </w:style>
  <w:style w:type="character" w:customStyle="1" w:styleId="Heading7Char">
    <w:name w:val="Heading 7 Char"/>
    <w:basedOn w:val="DefaultParagraphFont"/>
    <w:link w:val="Heading7"/>
    <w:uiPriority w:val="9"/>
    <w:semiHidden/>
    <w:rsid w:val="00EC3CEE"/>
    <w:rPr>
      <w:rFonts w:asciiTheme="majorHAnsi" w:eastAsiaTheme="majorEastAsia" w:hAnsiTheme="majorHAnsi" w:cstheme="majorBidi"/>
      <w:i/>
      <w:iCs/>
      <w:color w:val="1F3763" w:themeColor="accent1" w:themeShade="7F"/>
      <w:kern w:val="0"/>
      <w:sz w:val="24"/>
      <w:lang w:val="en-GB"/>
      <w14:ligatures w14:val="none"/>
    </w:rPr>
  </w:style>
  <w:style w:type="character" w:customStyle="1" w:styleId="Heading8Char">
    <w:name w:val="Heading 8 Char"/>
    <w:basedOn w:val="DefaultParagraphFont"/>
    <w:link w:val="Heading8"/>
    <w:uiPriority w:val="9"/>
    <w:semiHidden/>
    <w:rsid w:val="00EC3CEE"/>
    <w:rPr>
      <w:rFonts w:asciiTheme="majorHAnsi" w:eastAsiaTheme="majorEastAsia" w:hAnsiTheme="majorHAnsi" w:cstheme="majorBidi"/>
      <w:color w:val="272727" w:themeColor="text1" w:themeTint="D8"/>
      <w:kern w:val="0"/>
      <w:sz w:val="21"/>
      <w:szCs w:val="21"/>
      <w:lang w:val="en-GB"/>
      <w14:ligatures w14:val="none"/>
    </w:rPr>
  </w:style>
  <w:style w:type="table" w:customStyle="1" w:styleId="QQuestionTable">
    <w:name w:val="QQuestionTable"/>
    <w:uiPriority w:val="99"/>
    <w:qFormat/>
    <w:rsid w:val="00E02CD5"/>
    <w:pPr>
      <w:spacing w:after="0" w:line="240" w:lineRule="auto"/>
      <w:jc w:val="center"/>
    </w:pPr>
    <w:rPr>
      <w:rFonts w:eastAsiaTheme="minorEastAsia"/>
      <w:kern w:val="0"/>
      <w:sz w:val="20"/>
      <w:szCs w:val="20"/>
      <w:lang w:val="en-US" w:eastAsia="en-GB"/>
      <w14:ligatures w14:val="none"/>
    </w:rPr>
    <w:tblPr>
      <w:tblStyleRowBandSize w:val="1"/>
      <w:tblInd w:w="0" w:type="dxa"/>
      <w:tblCellMar>
        <w:top w:w="43" w:type="dxa"/>
        <w:left w:w="115" w:type="dxa"/>
        <w:bottom w:w="115" w:type="dxa"/>
        <w:right w:w="115" w:type="dxa"/>
      </w:tblCellMar>
    </w:tblPr>
    <w:tcPr>
      <w:shd w:val="clear" w:color="auto" w:fill="auto"/>
      <w:vAlign w:val="center"/>
    </w:tcPr>
    <w:tblStylePr w:type="firstRow">
      <w:pPr>
        <w:wordWrap/>
        <w:jc w:val="center"/>
      </w:pPr>
      <w:tblPr/>
      <w:tcPr>
        <w:tcBorders>
          <w:bottom w:val="single" w:sz="4" w:space="0" w:color="BFBFBF"/>
        </w:tcBorders>
        <w:vAlign w:val="center"/>
      </w:tcPr>
    </w:tblStylePr>
    <w:tblStylePr w:type="firstCol">
      <w:tblPr/>
      <w:tcPr>
        <w:tcBorders>
          <w:right w:val="single" w:sz="4" w:space="0" w:color="BFBFBF"/>
        </w:tcBorders>
      </w:tcPr>
    </w:tblStylePr>
  </w:style>
  <w:style w:type="table" w:customStyle="1" w:styleId="QStandardSliderTable">
    <w:name w:val="QStandardSliderTable"/>
    <w:uiPriority w:val="99"/>
    <w:qFormat/>
    <w:rsid w:val="00E02CD5"/>
    <w:pPr>
      <w:spacing w:after="0" w:line="240" w:lineRule="auto"/>
      <w:jc w:val="center"/>
    </w:pPr>
    <w:rPr>
      <w:rFonts w:eastAsiaTheme="minorEastAsia"/>
      <w:kern w:val="0"/>
      <w:sz w:val="20"/>
      <w:szCs w:val="20"/>
      <w:lang w:val="en-US" w:eastAsia="en-GB"/>
      <w14:ligatures w14:val="none"/>
    </w:rPr>
    <w:tblPr>
      <w:tblInd w:w="0" w:type="dxa"/>
      <w:tblBorders>
        <w:top w:val="single" w:sz="4" w:space="0" w:color="CCCCCC"/>
        <w:bottom w:val="single" w:sz="4" w:space="0" w:color="CCCCCC"/>
        <w:insideH w:val="single" w:sz="4" w:space="0" w:color="CCCCCC"/>
      </w:tblBorders>
      <w:tblCellMar>
        <w:top w:w="40" w:type="dxa"/>
        <w:left w:w="120" w:type="dxa"/>
        <w:bottom w:w="40" w:type="dxa"/>
        <w:right w:w="120" w:type="dxa"/>
      </w:tblCellMar>
    </w:tblPr>
    <w:tblStylePr w:type="firstCol">
      <w:pPr>
        <w:jc w:val="right"/>
      </w:pPr>
      <w:tblPr/>
      <w:tcPr>
        <w:tcBorders>
          <w:right w:val="single" w:sz="4" w:space="0" w:color="CCCCCC"/>
        </w:tcBorders>
      </w:tcPr>
    </w:tblStylePr>
  </w:style>
  <w:style w:type="table" w:customStyle="1" w:styleId="QSliderLabelsTable">
    <w:name w:val="QSliderLabelsTable"/>
    <w:uiPriority w:val="99"/>
    <w:qFormat/>
    <w:rsid w:val="00E02CD5"/>
    <w:pPr>
      <w:spacing w:after="0" w:line="240" w:lineRule="auto"/>
      <w:jc w:val="center"/>
    </w:pPr>
    <w:rPr>
      <w:rFonts w:eastAsiaTheme="minorEastAsia"/>
      <w:kern w:val="0"/>
      <w:lang w:val="en-US"/>
      <w14:ligatures w14:val="none"/>
    </w:rPr>
    <w:tblPr>
      <w:tblCellMar>
        <w:top w:w="0" w:type="dxa"/>
        <w:left w:w="0" w:type="dxa"/>
        <w:bottom w:w="0" w:type="dxa"/>
        <w:right w:w="0" w:type="dxa"/>
      </w:tblCellMar>
    </w:tblPr>
  </w:style>
  <w:style w:type="table" w:customStyle="1" w:styleId="QQuestionIconTable">
    <w:name w:val="QQuestionIconTable"/>
    <w:uiPriority w:val="99"/>
    <w:qFormat/>
    <w:rsid w:val="00E02CD5"/>
    <w:pPr>
      <w:spacing w:after="0" w:line="240" w:lineRule="auto"/>
      <w:jc w:val="center"/>
    </w:pPr>
    <w:rPr>
      <w:rFonts w:eastAsiaTheme="minorEastAsia"/>
      <w:kern w:val="0"/>
      <w:lang w:val="en-US"/>
      <w14:ligatures w14:val="none"/>
    </w:rPr>
    <w:tblPr>
      <w:tblInd w:w="0" w:type="dxa"/>
      <w:tblCellMar>
        <w:top w:w="0" w:type="dxa"/>
        <w:left w:w="10" w:type="dxa"/>
        <w:bottom w:w="0" w:type="dxa"/>
        <w:right w:w="10" w:type="dxa"/>
      </w:tblCellMar>
    </w:tblPr>
    <w:tcPr>
      <w:shd w:val="clear" w:color="auto" w:fill="auto"/>
      <w:vAlign w:val="center"/>
    </w:tcPr>
  </w:style>
  <w:style w:type="numbering" w:customStyle="1" w:styleId="Singlepunch">
    <w:name w:val="Single punch"/>
    <w:rsid w:val="00E02CD5"/>
    <w:pPr>
      <w:numPr>
        <w:numId w:val="31"/>
      </w:numPr>
    </w:pPr>
  </w:style>
  <w:style w:type="paragraph" w:customStyle="1" w:styleId="QDisplayLogic">
    <w:name w:val="QDisplayLogic"/>
    <w:basedOn w:val="Normal"/>
    <w:qFormat/>
    <w:rsid w:val="00E02CD5"/>
    <w:pPr>
      <w:shd w:val="clear" w:color="auto" w:fill="6898BB"/>
      <w:spacing w:before="120" w:after="120" w:line="240" w:lineRule="auto"/>
      <w:jc w:val="left"/>
    </w:pPr>
    <w:rPr>
      <w:rFonts w:eastAsiaTheme="minorEastAsia"/>
      <w:i/>
      <w:color w:val="FFFFFF"/>
      <w:sz w:val="20"/>
      <w:lang w:val="en-US"/>
    </w:rPr>
  </w:style>
  <w:style w:type="paragraph" w:customStyle="1" w:styleId="H2">
    <w:name w:val="H2"/>
    <w:next w:val="Normal"/>
    <w:rsid w:val="00E02CD5"/>
    <w:pPr>
      <w:spacing w:after="240" w:line="240" w:lineRule="auto"/>
    </w:pPr>
    <w:rPr>
      <w:rFonts w:eastAsiaTheme="minorEastAsia"/>
      <w:b/>
      <w:color w:val="000000"/>
      <w:kern w:val="0"/>
      <w:sz w:val="48"/>
      <w:szCs w:val="48"/>
      <w:lang w:val="en-US"/>
      <w14:ligatures w14:val="none"/>
    </w:rPr>
  </w:style>
  <w:style w:type="paragraph" w:customStyle="1" w:styleId="BlockStartLabel">
    <w:name w:val="BlockStartLabel"/>
    <w:basedOn w:val="Normal"/>
    <w:qFormat/>
    <w:rsid w:val="00E02CD5"/>
    <w:pPr>
      <w:spacing w:before="120" w:after="120" w:line="240" w:lineRule="auto"/>
      <w:jc w:val="left"/>
    </w:pPr>
    <w:rPr>
      <w:rFonts w:eastAsiaTheme="minorEastAsia"/>
      <w:b/>
      <w:color w:val="CCCCCC"/>
      <w:sz w:val="22"/>
      <w:lang w:val="en-US"/>
    </w:rPr>
  </w:style>
  <w:style w:type="paragraph" w:customStyle="1" w:styleId="BlockEndLabel">
    <w:name w:val="BlockEndLabel"/>
    <w:basedOn w:val="Normal"/>
    <w:qFormat/>
    <w:rsid w:val="00E02CD5"/>
    <w:pPr>
      <w:spacing w:before="120" w:after="0" w:line="240" w:lineRule="auto"/>
      <w:jc w:val="left"/>
    </w:pPr>
    <w:rPr>
      <w:rFonts w:eastAsiaTheme="minorEastAsia"/>
      <w:b/>
      <w:color w:val="CCCCCC"/>
      <w:sz w:val="22"/>
      <w:lang w:val="en-US"/>
    </w:rPr>
  </w:style>
  <w:style w:type="paragraph" w:customStyle="1" w:styleId="BlockSeparator">
    <w:name w:val="BlockSeparator"/>
    <w:basedOn w:val="Normal"/>
    <w:qFormat/>
    <w:rsid w:val="00E02CD5"/>
    <w:pPr>
      <w:pBdr>
        <w:bottom w:val="single" w:sz="8" w:space="0" w:color="CCCCCC"/>
      </w:pBdr>
      <w:spacing w:after="0" w:line="120" w:lineRule="auto"/>
      <w:jc w:val="center"/>
    </w:pPr>
    <w:rPr>
      <w:rFonts w:eastAsiaTheme="minorEastAsia"/>
      <w:b/>
      <w:color w:val="CCCCCC"/>
      <w:sz w:val="22"/>
      <w:lang w:val="en-US"/>
    </w:rPr>
  </w:style>
  <w:style w:type="paragraph" w:customStyle="1" w:styleId="QuestionSeparator">
    <w:name w:val="QuestionSeparator"/>
    <w:basedOn w:val="Normal"/>
    <w:qFormat/>
    <w:rsid w:val="00E02CD5"/>
    <w:pPr>
      <w:pBdr>
        <w:top w:val="dashed" w:sz="8" w:space="0" w:color="CCCCCC"/>
      </w:pBdr>
      <w:spacing w:before="120" w:after="120" w:line="120" w:lineRule="auto"/>
      <w:jc w:val="left"/>
    </w:pPr>
    <w:rPr>
      <w:rFonts w:eastAsiaTheme="minorEastAsia"/>
      <w:sz w:val="22"/>
      <w:lang w:val="en-US"/>
    </w:rPr>
  </w:style>
  <w:style w:type="paragraph" w:customStyle="1" w:styleId="Dropdown">
    <w:name w:val="Dropdown"/>
    <w:basedOn w:val="Normal"/>
    <w:qFormat/>
    <w:rsid w:val="00E02CD5"/>
    <w:pPr>
      <w:pBdr>
        <w:top w:val="single" w:sz="4" w:space="4" w:color="CCCCCC"/>
        <w:left w:val="single" w:sz="4" w:space="4" w:color="CCCCCC"/>
        <w:bottom w:val="single" w:sz="4" w:space="4" w:color="CCCCCC"/>
        <w:right w:val="single" w:sz="4" w:space="4" w:color="CCCCCC"/>
      </w:pBdr>
      <w:spacing w:before="120" w:after="120" w:line="240" w:lineRule="auto"/>
      <w:jc w:val="left"/>
    </w:pPr>
    <w:rPr>
      <w:rFonts w:eastAsiaTheme="minorEastAsia"/>
      <w:sz w:val="22"/>
      <w:lang w:val="en-US"/>
    </w:rPr>
  </w:style>
  <w:style w:type="paragraph" w:customStyle="1" w:styleId="TextEntryLine">
    <w:name w:val="TextEntryLine"/>
    <w:basedOn w:val="Normal"/>
    <w:qFormat/>
    <w:rsid w:val="00E02CD5"/>
    <w:pPr>
      <w:spacing w:before="240" w:after="0" w:line="240" w:lineRule="auto"/>
      <w:jc w:val="left"/>
    </w:pPr>
    <w:rPr>
      <w:rFonts w:eastAsiaTheme="minorEastAsia"/>
      <w:sz w:val="22"/>
      <w:lang w:val="en-US"/>
    </w:rPr>
  </w:style>
  <w:style w:type="table" w:customStyle="1" w:styleId="QTable">
    <w:name w:val="QTable"/>
    <w:uiPriority w:val="99"/>
    <w:qFormat/>
    <w:rsid w:val="008A18DA"/>
    <w:pPr>
      <w:spacing w:after="0" w:line="240" w:lineRule="auto"/>
    </w:pPr>
    <w:rPr>
      <w:rFonts w:eastAsiaTheme="minorEastAsia"/>
      <w:kern w:val="0"/>
      <w:lang w:val="en-US"/>
      <w14:ligatures w14:val="none"/>
    </w:rPr>
    <w:tblPr>
      <w:tblStyleRowBandSize w:val="1"/>
      <w:tblInd w:w="0" w:type="dxa"/>
      <w:tblBorders>
        <w:top w:val="single" w:sz="4" w:space="0" w:color="DDDDDD"/>
        <w:left w:val="single" w:sz="4" w:space="0" w:color="DDDDDD"/>
        <w:bottom w:val="single" w:sz="4" w:space="0" w:color="DDDDDD"/>
        <w:right w:val="single" w:sz="4" w:space="0" w:color="DDDDDD"/>
        <w:insideV w:val="single" w:sz="4" w:space="0" w:color="DDDDDD"/>
      </w:tblBorders>
      <w:tblCellMar>
        <w:top w:w="0" w:type="dxa"/>
        <w:left w:w="115" w:type="dxa"/>
        <w:bottom w:w="0" w:type="dxa"/>
        <w:right w:w="115" w:type="dxa"/>
      </w:tblCellMar>
    </w:tblPr>
    <w:tcPr>
      <w:shd w:val="clear" w:color="auto" w:fill="auto"/>
      <w:vAlign w:val="center"/>
    </w:tcPr>
  </w:style>
  <w:style w:type="table" w:customStyle="1" w:styleId="QQuestionTable1">
    <w:name w:val="QQuestionTable1"/>
    <w:uiPriority w:val="99"/>
    <w:qFormat/>
    <w:rsid w:val="008A18DA"/>
    <w:pPr>
      <w:spacing w:after="0" w:line="240" w:lineRule="auto"/>
      <w:jc w:val="center"/>
    </w:pPr>
    <w:rPr>
      <w:rFonts w:eastAsiaTheme="minorEastAsia"/>
      <w:kern w:val="0"/>
      <w:sz w:val="20"/>
      <w:szCs w:val="20"/>
      <w:lang w:val="en-US" w:eastAsia="en-GB"/>
      <w14:ligatures w14:val="none"/>
    </w:rPr>
    <w:tblPr>
      <w:tblStyleRowBandSize w:val="1"/>
      <w:tblInd w:w="0" w:type="dxa"/>
      <w:tblCellMar>
        <w:top w:w="43" w:type="dxa"/>
        <w:left w:w="115" w:type="dxa"/>
        <w:bottom w:w="115" w:type="dxa"/>
        <w:right w:w="115" w:type="dxa"/>
      </w:tblCellMar>
    </w:tblPr>
    <w:tcPr>
      <w:shd w:val="clear" w:color="auto" w:fill="auto"/>
      <w:vAlign w:val="center"/>
    </w:tcPr>
    <w:tblStylePr w:type="firstRow">
      <w:pPr>
        <w:wordWrap/>
        <w:jc w:val="center"/>
      </w:pPr>
      <w:tblPr/>
      <w:tcPr>
        <w:tcBorders>
          <w:bottom w:val="single" w:sz="4" w:space="0" w:color="BFBFBF"/>
        </w:tcBorders>
        <w:vAlign w:val="center"/>
      </w:tcPr>
    </w:tblStylePr>
    <w:tblStylePr w:type="lastCol">
      <w:tblPr/>
      <w:tcPr>
        <w:tcBorders>
          <w:left w:val="single" w:sz="4" w:space="0" w:color="BFBFBF"/>
        </w:tcBorders>
        <w:shd w:val="clear" w:color="auto" w:fill="auto"/>
      </w:tcPr>
    </w:tblStylePr>
  </w:style>
  <w:style w:type="table" w:customStyle="1" w:styleId="QQuestionTableBipolar">
    <w:name w:val="QQuestionTableBipolar"/>
    <w:uiPriority w:val="99"/>
    <w:qFormat/>
    <w:rsid w:val="008A18DA"/>
    <w:pPr>
      <w:spacing w:after="0" w:line="240" w:lineRule="auto"/>
      <w:jc w:val="center"/>
    </w:pPr>
    <w:rPr>
      <w:rFonts w:eastAsiaTheme="minorEastAsia"/>
      <w:kern w:val="0"/>
      <w:sz w:val="20"/>
      <w:szCs w:val="20"/>
      <w:lang w:val="en-US" w:eastAsia="en-GB"/>
      <w14:ligatures w14:val="none"/>
    </w:rPr>
    <w:tblPr>
      <w:tblStyleRowBandSize w:val="1"/>
      <w:tblInd w:w="0" w:type="dxa"/>
      <w:tblCellMar>
        <w:top w:w="43" w:type="dxa"/>
        <w:left w:w="115" w:type="dxa"/>
        <w:bottom w:w="115" w:type="dxa"/>
        <w:right w:w="115" w:type="dxa"/>
      </w:tblCellMar>
    </w:tblPr>
    <w:tcPr>
      <w:shd w:val="clear" w:color="auto" w:fill="auto"/>
      <w:vAlign w:val="center"/>
    </w:tcPr>
    <w:tblStylePr w:type="firstRow">
      <w:pPr>
        <w:wordWrap/>
        <w:jc w:val="center"/>
      </w:pPr>
      <w:tblPr/>
      <w:tcPr>
        <w:tcBorders>
          <w:bottom w:val="single" w:sz="4" w:space="0" w:color="BFBFBF"/>
        </w:tcBorders>
        <w:vAlign w:val="center"/>
      </w:tcPr>
    </w:tblStylePr>
    <w:tblStylePr w:type="firstCol">
      <w:tblPr/>
      <w:tcPr>
        <w:tcBorders>
          <w:right w:val="single" w:sz="4" w:space="0" w:color="BFBFBF"/>
        </w:tcBorders>
        <w:shd w:val="clear" w:color="auto" w:fill="auto"/>
      </w:tcPr>
    </w:tblStylePr>
    <w:tblStylePr w:type="lastCol">
      <w:tblPr/>
      <w:tcPr>
        <w:tcBorders>
          <w:left w:val="single" w:sz="4" w:space="0" w:color="BFBFBF"/>
        </w:tcBorders>
        <w:shd w:val="clear" w:color="auto" w:fill="auto"/>
      </w:tcPr>
    </w:tblStylePr>
  </w:style>
  <w:style w:type="table" w:customStyle="1" w:styleId="QTextTable">
    <w:name w:val="QTextTable"/>
    <w:uiPriority w:val="99"/>
    <w:qFormat/>
    <w:rsid w:val="008A18DA"/>
    <w:pPr>
      <w:spacing w:after="0" w:line="240" w:lineRule="auto"/>
      <w:jc w:val="center"/>
    </w:pPr>
    <w:rPr>
      <w:rFonts w:eastAsiaTheme="minorEastAsia"/>
      <w:kern w:val="0"/>
      <w:sz w:val="20"/>
      <w:szCs w:val="20"/>
      <w:lang w:val="en-US" w:eastAsia="en-GB"/>
      <w14:ligatures w14:val="none"/>
    </w:rPr>
    <w:tblPr>
      <w:tblStyleRowBandSize w:val="1"/>
      <w:tblInd w:w="0" w:type="dxa"/>
      <w:tblBorders>
        <w:insideH w:val="single" w:sz="4" w:space="0" w:color="BFBFBF"/>
        <w:insideV w:val="single" w:sz="4" w:space="0" w:color="BFBFBF"/>
      </w:tblBorders>
      <w:tblCellMar>
        <w:top w:w="460" w:type="dxa"/>
        <w:left w:w="115" w:type="dxa"/>
        <w:bottom w:w="460" w:type="dxa"/>
        <w:right w:w="115" w:type="dxa"/>
      </w:tblCellMar>
    </w:tblPr>
    <w:tcPr>
      <w:shd w:val="clear" w:color="auto" w:fill="auto"/>
      <w:vAlign w:val="center"/>
    </w:tcPr>
    <w:tblStylePr w:type="firstRow">
      <w:pPr>
        <w:wordWrap/>
        <w:jc w:val="center"/>
      </w:pPr>
      <w:tblPr/>
      <w:tcPr>
        <w:tcBorders>
          <w:bottom w:val="single" w:sz="4" w:space="0" w:color="BFBFBF"/>
        </w:tcBorders>
        <w:vAlign w:val="center"/>
      </w:tcPr>
    </w:tblStylePr>
    <w:tblStylePr w:type="firstCol">
      <w:tblPr/>
      <w:tcPr>
        <w:tcBorders>
          <w:right w:val="single" w:sz="4" w:space="0" w:color="BFBFBF"/>
        </w:tcBorders>
      </w:tcPr>
    </w:tblStylePr>
  </w:style>
  <w:style w:type="table" w:customStyle="1" w:styleId="QTextTable1">
    <w:name w:val="QTextTable1"/>
    <w:uiPriority w:val="99"/>
    <w:qFormat/>
    <w:rsid w:val="008A18DA"/>
    <w:pPr>
      <w:spacing w:after="0" w:line="240" w:lineRule="auto"/>
      <w:jc w:val="center"/>
    </w:pPr>
    <w:rPr>
      <w:rFonts w:eastAsiaTheme="minorEastAsia"/>
      <w:kern w:val="0"/>
      <w:sz w:val="20"/>
      <w:szCs w:val="20"/>
      <w:lang w:val="en-US" w:eastAsia="en-GB"/>
      <w14:ligatures w14:val="none"/>
    </w:rPr>
    <w:tblPr>
      <w:tblStyleRowBandSize w:val="1"/>
      <w:tblInd w:w="0" w:type="dxa"/>
      <w:tblBorders>
        <w:insideH w:val="single" w:sz="4" w:space="0" w:color="BFBFBF"/>
        <w:insideV w:val="single" w:sz="4" w:space="0" w:color="BFBFBF"/>
      </w:tblBorders>
      <w:tblCellMar>
        <w:top w:w="460" w:type="dxa"/>
        <w:left w:w="115" w:type="dxa"/>
        <w:bottom w:w="460" w:type="dxa"/>
        <w:right w:w="115" w:type="dxa"/>
      </w:tblCellMar>
    </w:tblPr>
    <w:tcPr>
      <w:shd w:val="clear" w:color="auto" w:fill="auto"/>
      <w:vAlign w:val="center"/>
    </w:tcPr>
    <w:tblStylePr w:type="firstRow">
      <w:pPr>
        <w:wordWrap/>
        <w:jc w:val="center"/>
      </w:pPr>
      <w:tblPr/>
      <w:tcPr>
        <w:tcBorders>
          <w:bottom w:val="single" w:sz="4" w:space="0" w:color="BFBFBF"/>
        </w:tcBorders>
        <w:vAlign w:val="center"/>
      </w:tcPr>
    </w:tblStylePr>
    <w:tblStylePr w:type="lastCol">
      <w:tblPr/>
      <w:tcPr>
        <w:tcBorders>
          <w:left w:val="single" w:sz="4" w:space="0" w:color="BFBFBF"/>
        </w:tcBorders>
      </w:tcPr>
    </w:tblStylePr>
  </w:style>
  <w:style w:type="table" w:customStyle="1" w:styleId="QVerticalGraphicSliderTable">
    <w:name w:val="QVerticalGraphicSliderTable"/>
    <w:uiPriority w:val="99"/>
    <w:qFormat/>
    <w:rsid w:val="008A18DA"/>
    <w:pPr>
      <w:spacing w:after="0" w:line="240" w:lineRule="auto"/>
    </w:pPr>
    <w:rPr>
      <w:rFonts w:eastAsiaTheme="minorEastAsia"/>
      <w:kern w:val="0"/>
      <w:sz w:val="20"/>
      <w:szCs w:val="20"/>
      <w:lang w:val="en-US" w:eastAsia="en-GB"/>
      <w14:ligatures w14:val="none"/>
    </w:rPr>
    <w:tblPr>
      <w:tblCellMar>
        <w:top w:w="40" w:type="dxa"/>
        <w:left w:w="40" w:type="dxa"/>
        <w:bottom w:w="40" w:type="dxa"/>
        <w:right w:w="40" w:type="dxa"/>
      </w:tblCellMar>
    </w:tblPr>
    <w:tcPr>
      <w:shd w:val="clear" w:color="auto" w:fill="auto"/>
      <w:vAlign w:val="center"/>
    </w:tcPr>
    <w:tblStylePr w:type="firstCol">
      <w:pPr>
        <w:jc w:val="right"/>
      </w:pPr>
    </w:tblStylePr>
  </w:style>
  <w:style w:type="table" w:customStyle="1" w:styleId="QVerticalGraphicSliderTable1">
    <w:name w:val="QVerticalGraphicSliderTable1"/>
    <w:uiPriority w:val="99"/>
    <w:qFormat/>
    <w:rsid w:val="008A18DA"/>
    <w:pPr>
      <w:spacing w:after="0" w:line="240" w:lineRule="auto"/>
    </w:pPr>
    <w:rPr>
      <w:rFonts w:eastAsiaTheme="minorEastAsia"/>
      <w:kern w:val="0"/>
      <w:sz w:val="20"/>
      <w:szCs w:val="20"/>
      <w:lang w:val="en-US" w:eastAsia="en-GB"/>
      <w14:ligatures w14:val="none"/>
    </w:rPr>
    <w:tblPr>
      <w:tblCellMar>
        <w:top w:w="40" w:type="dxa"/>
        <w:left w:w="40" w:type="dxa"/>
        <w:bottom w:w="40" w:type="dxa"/>
        <w:right w:w="40" w:type="dxa"/>
      </w:tblCellMar>
    </w:tblPr>
    <w:tcPr>
      <w:shd w:val="clear" w:color="auto" w:fill="auto"/>
      <w:vAlign w:val="center"/>
    </w:tcPr>
    <w:tblStylePr w:type="lastCol">
      <w:pPr>
        <w:jc w:val="left"/>
      </w:pPr>
    </w:tblStylePr>
  </w:style>
  <w:style w:type="table" w:customStyle="1" w:styleId="QHorizontalGraphicSliderTable">
    <w:name w:val="QHorizontalGraphicSliderTable"/>
    <w:uiPriority w:val="99"/>
    <w:qFormat/>
    <w:rsid w:val="008A18DA"/>
    <w:pPr>
      <w:spacing w:after="120" w:line="240" w:lineRule="auto"/>
      <w:jc w:val="center"/>
    </w:pPr>
    <w:rPr>
      <w:rFonts w:eastAsiaTheme="minorEastAsia"/>
      <w:kern w:val="0"/>
      <w:lang w:val="en-US"/>
      <w14:ligatures w14:val="none"/>
    </w:rPr>
    <w:tblPr>
      <w:tblCellMar>
        <w:top w:w="40" w:type="dxa"/>
        <w:left w:w="40" w:type="dxa"/>
        <w:bottom w:w="40" w:type="dxa"/>
        <w:right w:w="40" w:type="dxa"/>
      </w:tblCellMar>
    </w:tblPr>
  </w:style>
  <w:style w:type="table" w:customStyle="1" w:styleId="QStarSliderTable">
    <w:name w:val="QStarSliderTable"/>
    <w:uiPriority w:val="99"/>
    <w:qFormat/>
    <w:rsid w:val="008A18DA"/>
    <w:pPr>
      <w:spacing w:after="120" w:line="240" w:lineRule="auto"/>
      <w:jc w:val="center"/>
    </w:pPr>
    <w:rPr>
      <w:rFonts w:eastAsiaTheme="minorEastAsia"/>
      <w:kern w:val="0"/>
      <w:lang w:val="en-US"/>
      <w14:ligatures w14:val="none"/>
    </w:rPr>
    <w:tblPr>
      <w:tblCellMar>
        <w:top w:w="0" w:type="dxa"/>
        <w:left w:w="20" w:type="dxa"/>
        <w:bottom w:w="0" w:type="dxa"/>
        <w:right w:w="20" w:type="dxa"/>
      </w:tblCellMar>
    </w:tblPr>
  </w:style>
  <w:style w:type="table" w:customStyle="1" w:styleId="QStandardSliderTable1">
    <w:name w:val="QStandardSliderTable1"/>
    <w:uiPriority w:val="99"/>
    <w:qFormat/>
    <w:rsid w:val="008A18DA"/>
    <w:pPr>
      <w:spacing w:after="0" w:line="240" w:lineRule="auto"/>
      <w:jc w:val="center"/>
    </w:pPr>
    <w:rPr>
      <w:rFonts w:eastAsiaTheme="minorEastAsia"/>
      <w:kern w:val="0"/>
      <w:sz w:val="20"/>
      <w:szCs w:val="20"/>
      <w:lang w:val="en-US" w:eastAsia="en-GB"/>
      <w14:ligatures w14:val="none"/>
    </w:rPr>
    <w:tblPr>
      <w:tblInd w:w="0" w:type="dxa"/>
      <w:tblBorders>
        <w:top w:val="single" w:sz="4" w:space="0" w:color="CCCCCC"/>
        <w:bottom w:val="single" w:sz="4" w:space="0" w:color="CCCCCC"/>
        <w:insideH w:val="single" w:sz="4" w:space="0" w:color="CCCCCC"/>
      </w:tblBorders>
      <w:tblCellMar>
        <w:top w:w="40" w:type="dxa"/>
        <w:left w:w="120" w:type="dxa"/>
        <w:bottom w:w="40" w:type="dxa"/>
        <w:right w:w="120" w:type="dxa"/>
      </w:tblCellMar>
    </w:tblPr>
    <w:tblStylePr w:type="lastCol">
      <w:pPr>
        <w:jc w:val="left"/>
      </w:pPr>
      <w:tblPr/>
      <w:tcPr>
        <w:tcBorders>
          <w:left w:val="single" w:sz="4" w:space="0" w:color="CCCCCC"/>
        </w:tcBorders>
      </w:tcPr>
    </w:tblStylePr>
  </w:style>
  <w:style w:type="paragraph" w:customStyle="1" w:styleId="BarSlider">
    <w:name w:val="BarSlider"/>
    <w:basedOn w:val="Normal"/>
    <w:qFormat/>
    <w:rsid w:val="008A18DA"/>
    <w:pPr>
      <w:pBdr>
        <w:top w:val="single" w:sz="160" w:space="0" w:color="499FD1"/>
      </w:pBdr>
      <w:spacing w:before="80" w:after="0" w:line="240" w:lineRule="auto"/>
      <w:jc w:val="left"/>
    </w:pPr>
    <w:rPr>
      <w:rFonts w:eastAsiaTheme="minorEastAsia"/>
      <w:sz w:val="22"/>
      <w:lang w:val="en-US"/>
    </w:rPr>
  </w:style>
  <w:style w:type="paragraph" w:customStyle="1" w:styleId="QSummary">
    <w:name w:val="QSummary"/>
    <w:basedOn w:val="Normal"/>
    <w:qFormat/>
    <w:rsid w:val="008A18DA"/>
    <w:pPr>
      <w:spacing w:after="0" w:line="276" w:lineRule="auto"/>
      <w:jc w:val="left"/>
    </w:pPr>
    <w:rPr>
      <w:rFonts w:eastAsiaTheme="minorEastAsia"/>
      <w:b/>
      <w:sz w:val="22"/>
      <w:lang w:val="en-US"/>
    </w:rPr>
  </w:style>
  <w:style w:type="paragraph" w:customStyle="1" w:styleId="QLabel">
    <w:name w:val="QLabel"/>
    <w:basedOn w:val="Normal"/>
    <w:qFormat/>
    <w:rsid w:val="008A18DA"/>
    <w:pPr>
      <w:pBdr>
        <w:left w:val="single" w:sz="4" w:space="4" w:color="D9D9D9" w:themeColor="background1" w:themeShade="D9"/>
        <w:right w:val="single" w:sz="4" w:space="4" w:color="D9D9D9" w:themeColor="background1" w:themeShade="D9"/>
      </w:pBdr>
      <w:shd w:val="clear" w:color="auto" w:fill="D9D9D9" w:themeFill="background1" w:themeFillShade="D9"/>
      <w:spacing w:after="0" w:line="276" w:lineRule="auto"/>
      <w:jc w:val="left"/>
    </w:pPr>
    <w:rPr>
      <w:rFonts w:eastAsiaTheme="minorEastAsia"/>
      <w:b/>
      <w:sz w:val="32"/>
      <w:lang w:val="en-US"/>
    </w:rPr>
  </w:style>
  <w:style w:type="table" w:customStyle="1" w:styleId="QBar">
    <w:name w:val="QBar"/>
    <w:uiPriority w:val="99"/>
    <w:qFormat/>
    <w:rsid w:val="008A18DA"/>
    <w:pPr>
      <w:spacing w:after="0" w:line="240" w:lineRule="auto"/>
    </w:pPr>
    <w:rPr>
      <w:rFonts w:eastAsiaTheme="minorEastAsia"/>
      <w:kern w:val="0"/>
      <w:sz w:val="18"/>
      <w:szCs w:val="20"/>
      <w:lang w:val="en-GB" w:eastAsia="en-GB"/>
      <w14:ligatures w14:val="none"/>
    </w:rPr>
    <w:tblPr>
      <w:tblInd w:w="0" w:type="dxa"/>
      <w:tblCellMar>
        <w:top w:w="0" w:type="dxa"/>
        <w:left w:w="0" w:type="dxa"/>
        <w:bottom w:w="0" w:type="dxa"/>
        <w:right w:w="0" w:type="dxa"/>
      </w:tblCellMar>
    </w:tblPr>
    <w:tblStylePr w:type="firstCol">
      <w:tblPr/>
      <w:tcPr>
        <w:shd w:val="clear" w:color="auto" w:fill="4E81E5"/>
      </w:tcPr>
    </w:tblStylePr>
  </w:style>
  <w:style w:type="table" w:customStyle="1" w:styleId="QBar1">
    <w:name w:val="QBar1"/>
    <w:uiPriority w:val="99"/>
    <w:qFormat/>
    <w:rsid w:val="008A18DA"/>
    <w:pPr>
      <w:spacing w:after="0" w:line="240" w:lineRule="auto"/>
    </w:pPr>
    <w:rPr>
      <w:rFonts w:eastAsiaTheme="minorEastAsia"/>
      <w:kern w:val="0"/>
      <w:sz w:val="18"/>
      <w:szCs w:val="20"/>
      <w:lang w:val="en-GB" w:eastAsia="en-GB"/>
      <w14:ligatures w14:val="none"/>
    </w:rPr>
    <w:tblPr>
      <w:tblInd w:w="0" w:type="dxa"/>
      <w:tblCellMar>
        <w:top w:w="0" w:type="dxa"/>
        <w:left w:w="0" w:type="dxa"/>
        <w:bottom w:w="0" w:type="dxa"/>
        <w:right w:w="0" w:type="dxa"/>
      </w:tblCellMar>
    </w:tblPr>
    <w:tblStylePr w:type="lastCol">
      <w:tblPr/>
      <w:tcPr>
        <w:shd w:val="clear" w:color="auto" w:fill="4E81E5"/>
      </w:tcPr>
    </w:tblStylePr>
  </w:style>
  <w:style w:type="table" w:customStyle="1" w:styleId="QCompositeTable">
    <w:name w:val="QCompositeTable"/>
    <w:uiPriority w:val="99"/>
    <w:qFormat/>
    <w:rsid w:val="008A18DA"/>
    <w:pPr>
      <w:spacing w:after="0" w:line="240" w:lineRule="auto"/>
    </w:pPr>
    <w:rPr>
      <w:rFonts w:eastAsiaTheme="minorEastAsia"/>
      <w:b/>
      <w:color w:val="FFFFFF" w:themeColor="background1"/>
      <w:kern w:val="0"/>
      <w:sz w:val="20"/>
      <w:szCs w:val="20"/>
      <w:lang w:val="en-GB" w:eastAsia="en-GB"/>
      <w14:ligatures w14:val="none"/>
    </w:rPr>
    <w:tblPr>
      <w:tblStyleRowBandSize w:val="1"/>
      <w:tblInd w:w="0" w:type="dxa"/>
      <w:tblCellMar>
        <w:top w:w="0" w:type="dxa"/>
        <w:left w:w="0" w:type="dxa"/>
        <w:bottom w:w="0" w:type="dxa"/>
        <w:right w:w="0" w:type="dxa"/>
      </w:tblCellMar>
    </w:tblPr>
    <w:tblStylePr w:type="band1Horz">
      <w:pPr>
        <w:wordWrap/>
        <w:ind w:leftChars="0" w:left="0"/>
        <w:jc w:val="center"/>
      </w:pPr>
      <w:rPr>
        <w:rFonts w:asciiTheme="minorHAnsi" w:hAnsiTheme="minorHAnsi"/>
        <w:sz w:val="22"/>
      </w:rPr>
      <w:tblPr>
        <w:tblCellMar>
          <w:top w:w="0" w:type="dxa"/>
          <w:left w:w="0" w:type="dxa"/>
          <w:bottom w:w="0" w:type="dxa"/>
          <w:right w:w="0" w:type="dxa"/>
        </w:tblCellMar>
      </w:tblPr>
      <w:tcPr>
        <w:shd w:val="clear" w:color="auto" w:fill="939598"/>
        <w:vAlign w:val="center"/>
      </w:tcPr>
    </w:tblStylePr>
  </w:style>
  <w:style w:type="paragraph" w:customStyle="1" w:styleId="WhiteText">
    <w:name w:val="WhiteText"/>
    <w:next w:val="Normal"/>
    <w:rsid w:val="008A18DA"/>
    <w:pPr>
      <w:spacing w:after="0" w:line="240" w:lineRule="auto"/>
    </w:pPr>
    <w:rPr>
      <w:rFonts w:eastAsiaTheme="minorEastAsia"/>
      <w:color w:val="FFFFFF" w:themeColor="background1"/>
      <w:kern w:val="0"/>
      <w:lang w:val="en-US"/>
      <w14:ligatures w14:val="none"/>
    </w:rPr>
  </w:style>
  <w:style w:type="paragraph" w:customStyle="1" w:styleId="WhiteCompositeLabel">
    <w:name w:val="WhiteCompositeLabel"/>
    <w:next w:val="Normal"/>
    <w:rsid w:val="008A18DA"/>
    <w:pPr>
      <w:spacing w:before="43" w:after="43" w:line="240" w:lineRule="auto"/>
      <w:jc w:val="center"/>
    </w:pPr>
    <w:rPr>
      <w:rFonts w:ascii="Calibri" w:eastAsia="Times New Roman" w:hAnsi="Calibri" w:cs="Times New Roman"/>
      <w:b/>
      <w:color w:val="FFFFFF"/>
      <w:kern w:val="0"/>
      <w:lang w:val="en-US"/>
      <w14:ligatures w14:val="none"/>
    </w:rPr>
  </w:style>
  <w:style w:type="paragraph" w:customStyle="1" w:styleId="CompositeLabel">
    <w:name w:val="CompositeLabel"/>
    <w:next w:val="Normal"/>
    <w:rsid w:val="008A18DA"/>
    <w:pPr>
      <w:spacing w:before="43" w:after="43" w:line="240" w:lineRule="auto"/>
      <w:jc w:val="center"/>
    </w:pPr>
    <w:rPr>
      <w:rFonts w:ascii="Calibri" w:eastAsia="Times New Roman" w:hAnsi="Calibri" w:cs="Times New Roman"/>
      <w:b/>
      <w:kern w:val="0"/>
      <w:lang w:val="en-US"/>
      <w14:ligatures w14:val="none"/>
    </w:rPr>
  </w:style>
  <w:style w:type="numbering" w:customStyle="1" w:styleId="Multipunch">
    <w:name w:val="Multi punch"/>
    <w:rsid w:val="008A18DA"/>
    <w:pPr>
      <w:numPr>
        <w:numId w:val="33"/>
      </w:numPr>
    </w:pPr>
  </w:style>
  <w:style w:type="paragraph" w:customStyle="1" w:styleId="QSkipLogic">
    <w:name w:val="QSkipLogic"/>
    <w:basedOn w:val="Normal"/>
    <w:qFormat/>
    <w:rsid w:val="008A18DA"/>
    <w:pPr>
      <w:shd w:val="clear" w:color="auto" w:fill="8D8D8D"/>
      <w:spacing w:before="120" w:after="120" w:line="240" w:lineRule="auto"/>
      <w:jc w:val="left"/>
    </w:pPr>
    <w:rPr>
      <w:rFonts w:eastAsiaTheme="minorEastAsia"/>
      <w:i/>
      <w:color w:val="FFFFFF"/>
      <w:sz w:val="20"/>
      <w:lang w:val="en-US"/>
    </w:rPr>
  </w:style>
  <w:style w:type="paragraph" w:customStyle="1" w:styleId="SingleLineText">
    <w:name w:val="SingleLineText"/>
    <w:next w:val="Normal"/>
    <w:rsid w:val="008A18DA"/>
    <w:pPr>
      <w:spacing w:after="0" w:line="240" w:lineRule="auto"/>
    </w:pPr>
    <w:rPr>
      <w:rFonts w:eastAsiaTheme="minorEastAsia"/>
      <w:kern w:val="0"/>
      <w:lang w:val="en-US"/>
      <w14:ligatures w14:val="none"/>
    </w:rPr>
  </w:style>
  <w:style w:type="paragraph" w:customStyle="1" w:styleId="QDynamicChoices">
    <w:name w:val="QDynamicChoices"/>
    <w:basedOn w:val="Normal"/>
    <w:qFormat/>
    <w:rsid w:val="008A18DA"/>
    <w:pPr>
      <w:shd w:val="clear" w:color="auto" w:fill="6FAC3D"/>
      <w:spacing w:before="120" w:after="120" w:line="240" w:lineRule="auto"/>
      <w:jc w:val="left"/>
    </w:pPr>
    <w:rPr>
      <w:rFonts w:eastAsiaTheme="minorEastAsia"/>
      <w:i/>
      <w:color w:val="FFFFFF"/>
      <w:sz w:val="20"/>
      <w:lang w:val="en-US"/>
    </w:rPr>
  </w:style>
  <w:style w:type="paragraph" w:customStyle="1" w:styleId="QReusableChoices">
    <w:name w:val="QReusableChoices"/>
    <w:basedOn w:val="Normal"/>
    <w:qFormat/>
    <w:rsid w:val="008A18DA"/>
    <w:pPr>
      <w:shd w:val="clear" w:color="auto" w:fill="3EA18E"/>
      <w:spacing w:before="120" w:after="120" w:line="240" w:lineRule="auto"/>
      <w:jc w:val="left"/>
    </w:pPr>
    <w:rPr>
      <w:rFonts w:eastAsiaTheme="minorEastAsia"/>
      <w:i/>
      <w:color w:val="FFFFFF"/>
      <w:sz w:val="20"/>
      <w:lang w:val="en-US"/>
    </w:rPr>
  </w:style>
  <w:style w:type="paragraph" w:customStyle="1" w:styleId="H1">
    <w:name w:val="H1"/>
    <w:next w:val="Normal"/>
    <w:rsid w:val="008A18DA"/>
    <w:pPr>
      <w:spacing w:after="240" w:line="240" w:lineRule="auto"/>
    </w:pPr>
    <w:rPr>
      <w:rFonts w:eastAsiaTheme="minorEastAsia"/>
      <w:b/>
      <w:color w:val="000000"/>
      <w:kern w:val="0"/>
      <w:sz w:val="64"/>
      <w:szCs w:val="64"/>
      <w:lang w:val="en-US"/>
      <w14:ligatures w14:val="none"/>
    </w:rPr>
  </w:style>
  <w:style w:type="paragraph" w:customStyle="1" w:styleId="H3">
    <w:name w:val="H3"/>
    <w:next w:val="Normal"/>
    <w:rsid w:val="008A18DA"/>
    <w:pPr>
      <w:spacing w:after="120" w:line="240" w:lineRule="auto"/>
    </w:pPr>
    <w:rPr>
      <w:rFonts w:eastAsiaTheme="minorEastAsia"/>
      <w:b/>
      <w:color w:val="000000"/>
      <w:kern w:val="0"/>
      <w:sz w:val="36"/>
      <w:szCs w:val="36"/>
      <w:lang w:val="en-US"/>
      <w14:ligatures w14:val="none"/>
    </w:rPr>
  </w:style>
  <w:style w:type="character" w:styleId="PageNumber">
    <w:name w:val="page number"/>
    <w:basedOn w:val="DefaultParagraphFont"/>
    <w:uiPriority w:val="99"/>
    <w:semiHidden/>
    <w:unhideWhenUsed/>
    <w:rsid w:val="008A18DA"/>
  </w:style>
  <w:style w:type="paragraph" w:customStyle="1" w:styleId="SFGreen">
    <w:name w:val="SFGreen"/>
    <w:basedOn w:val="Normal"/>
    <w:qFormat/>
    <w:rsid w:val="008A18DA"/>
    <w:pPr>
      <w:pBdr>
        <w:top w:val="single" w:sz="4" w:space="4" w:color="D1D9BD"/>
        <w:left w:val="single" w:sz="4" w:space="4" w:color="D1D9BD"/>
        <w:bottom w:val="single" w:sz="4" w:space="4" w:color="D1D9BD"/>
        <w:right w:val="single" w:sz="4" w:space="4" w:color="D1D9BD"/>
      </w:pBdr>
      <w:shd w:val="clear" w:color="auto" w:fill="EDF2E3"/>
      <w:spacing w:after="0" w:line="276" w:lineRule="auto"/>
      <w:jc w:val="left"/>
    </w:pPr>
    <w:rPr>
      <w:rFonts w:eastAsiaTheme="minorEastAsia"/>
      <w:b/>
      <w:color w:val="809163"/>
      <w:sz w:val="22"/>
      <w:lang w:val="en-US"/>
    </w:rPr>
  </w:style>
  <w:style w:type="paragraph" w:customStyle="1" w:styleId="SFBlue">
    <w:name w:val="SFBlue"/>
    <w:basedOn w:val="Normal"/>
    <w:qFormat/>
    <w:rsid w:val="008A18DA"/>
    <w:pPr>
      <w:pBdr>
        <w:top w:val="single" w:sz="4" w:space="4" w:color="C3CDDB"/>
        <w:left w:val="single" w:sz="4" w:space="4" w:color="C3CDDB"/>
        <w:bottom w:val="single" w:sz="4" w:space="4" w:color="C3CDDB"/>
        <w:right w:val="single" w:sz="4" w:space="4" w:color="C3CDDB"/>
      </w:pBdr>
      <w:shd w:val="clear" w:color="auto" w:fill="E6ECF5"/>
      <w:spacing w:after="0" w:line="276" w:lineRule="auto"/>
      <w:jc w:val="left"/>
    </w:pPr>
    <w:rPr>
      <w:rFonts w:eastAsiaTheme="minorEastAsia"/>
      <w:b/>
      <w:color w:val="426092"/>
      <w:sz w:val="22"/>
      <w:lang w:val="en-US"/>
    </w:rPr>
  </w:style>
  <w:style w:type="paragraph" w:customStyle="1" w:styleId="SFPurple">
    <w:name w:val="SFPurple"/>
    <w:basedOn w:val="Normal"/>
    <w:qFormat/>
    <w:rsid w:val="008A18DA"/>
    <w:pPr>
      <w:pBdr>
        <w:top w:val="single" w:sz="4" w:space="4" w:color="D1C0D1"/>
        <w:left w:val="single" w:sz="4" w:space="4" w:color="D1C0D1"/>
        <w:bottom w:val="single" w:sz="4" w:space="4" w:color="D1C0D1"/>
        <w:right w:val="single" w:sz="4" w:space="4" w:color="D1C0D1"/>
      </w:pBdr>
      <w:shd w:val="clear" w:color="auto" w:fill="F2E3F2"/>
      <w:spacing w:after="0" w:line="276" w:lineRule="auto"/>
      <w:jc w:val="left"/>
    </w:pPr>
    <w:rPr>
      <w:rFonts w:eastAsiaTheme="minorEastAsia"/>
      <w:b/>
      <w:color w:val="916391"/>
      <w:sz w:val="22"/>
      <w:lang w:val="en-US"/>
    </w:rPr>
  </w:style>
  <w:style w:type="paragraph" w:customStyle="1" w:styleId="SFGray">
    <w:name w:val="SFGray"/>
    <w:basedOn w:val="Normal"/>
    <w:qFormat/>
    <w:rsid w:val="008A18DA"/>
    <w:pPr>
      <w:pBdr>
        <w:top w:val="single" w:sz="4" w:space="4" w:color="CFCFCF"/>
        <w:left w:val="single" w:sz="4" w:space="4" w:color="CFCFCF"/>
        <w:bottom w:val="single" w:sz="4" w:space="4" w:color="CFCFCF"/>
        <w:right w:val="single" w:sz="4" w:space="4" w:color="CFCFCF"/>
      </w:pBdr>
      <w:shd w:val="clear" w:color="auto" w:fill="F2F2F2"/>
      <w:spacing w:after="0" w:line="276" w:lineRule="auto"/>
      <w:jc w:val="left"/>
    </w:pPr>
    <w:rPr>
      <w:rFonts w:eastAsiaTheme="minorEastAsia"/>
      <w:b/>
      <w:color w:val="555555"/>
      <w:sz w:val="22"/>
      <w:lang w:val="en-US"/>
    </w:rPr>
  </w:style>
  <w:style w:type="paragraph" w:customStyle="1" w:styleId="SFRed">
    <w:name w:val="SFRed"/>
    <w:basedOn w:val="Normal"/>
    <w:qFormat/>
    <w:rsid w:val="008A18DA"/>
    <w:pPr>
      <w:pBdr>
        <w:top w:val="single" w:sz="4" w:space="4" w:color="700606"/>
        <w:left w:val="single" w:sz="4" w:space="4" w:color="700606"/>
        <w:bottom w:val="single" w:sz="4" w:space="4" w:color="700606"/>
        <w:right w:val="single" w:sz="4" w:space="4" w:color="700606"/>
      </w:pBdr>
      <w:shd w:val="clear" w:color="auto" w:fill="8C0707"/>
      <w:spacing w:after="0" w:line="276" w:lineRule="auto"/>
      <w:jc w:val="left"/>
    </w:pPr>
    <w:rPr>
      <w:rFonts w:eastAsiaTheme="minorEastAsia"/>
      <w:b/>
      <w:color w:val="FFFFFF"/>
      <w:sz w:val="22"/>
      <w:lang w:val="en-US"/>
    </w:rPr>
  </w:style>
  <w:style w:type="paragraph" w:customStyle="1" w:styleId="QPlaceholderAlert">
    <w:name w:val="QPlaceholderAlert"/>
    <w:basedOn w:val="Normal"/>
    <w:qFormat/>
    <w:rsid w:val="008A18DA"/>
    <w:pPr>
      <w:spacing w:after="0" w:line="276" w:lineRule="auto"/>
      <w:jc w:val="left"/>
    </w:pPr>
    <w:rPr>
      <w:rFonts w:eastAsiaTheme="minorEastAsia"/>
      <w:color w:val="FF0000"/>
      <w:sz w:val="22"/>
      <w:lang w:val="en-US"/>
    </w:rPr>
  </w:style>
  <w:style w:type="character" w:customStyle="1" w:styleId="gi">
    <w:name w:val="gi"/>
    <w:basedOn w:val="DefaultParagraphFont"/>
    <w:rsid w:val="0030377C"/>
  </w:style>
  <w:style w:type="table" w:customStyle="1" w:styleId="QQuestionTable2">
    <w:name w:val="QQuestionTable2"/>
    <w:uiPriority w:val="99"/>
    <w:qFormat/>
    <w:rsid w:val="00FD58E4"/>
    <w:pPr>
      <w:spacing w:after="0" w:line="240" w:lineRule="auto"/>
      <w:jc w:val="center"/>
    </w:pPr>
    <w:rPr>
      <w:rFonts w:eastAsia="Times New Roman"/>
      <w:kern w:val="0"/>
      <w:sz w:val="20"/>
      <w:szCs w:val="20"/>
      <w:lang w:val="en-US" w:eastAsia="en-GB"/>
      <w14:ligatures w14:val="none"/>
    </w:rPr>
    <w:tblPr>
      <w:tblStyleRowBandSize w:val="1"/>
      <w:tblInd w:w="0" w:type="dxa"/>
      <w:tblCellMar>
        <w:top w:w="43" w:type="dxa"/>
        <w:left w:w="115" w:type="dxa"/>
        <w:bottom w:w="115" w:type="dxa"/>
        <w:right w:w="115" w:type="dxa"/>
      </w:tblCellMar>
    </w:tblPr>
    <w:tcPr>
      <w:shd w:val="clear" w:color="auto" w:fill="auto"/>
      <w:vAlign w:val="center"/>
    </w:tcPr>
    <w:tblStylePr w:type="firstRow">
      <w:pPr>
        <w:wordWrap/>
        <w:jc w:val="center"/>
      </w:pPr>
      <w:tblPr/>
      <w:tcPr>
        <w:tcBorders>
          <w:bottom w:val="single" w:sz="4" w:space="0" w:color="BFBFBF"/>
        </w:tcBorders>
        <w:vAlign w:val="center"/>
      </w:tcPr>
    </w:tblStylePr>
    <w:tblStylePr w:type="firstCol">
      <w:tblPr/>
      <w:tcPr>
        <w:tcBorders>
          <w:right w:val="single" w:sz="4" w:space="0" w:color="BFBFBF"/>
        </w:tcBorders>
      </w:tcPr>
    </w:tblStylePr>
  </w:style>
  <w:style w:type="table" w:customStyle="1" w:styleId="QStandardSliderTable2">
    <w:name w:val="QStandardSliderTable2"/>
    <w:uiPriority w:val="99"/>
    <w:qFormat/>
    <w:rsid w:val="00FD58E4"/>
    <w:pPr>
      <w:spacing w:after="0" w:line="240" w:lineRule="auto"/>
      <w:jc w:val="center"/>
    </w:pPr>
    <w:rPr>
      <w:rFonts w:eastAsia="Times New Roman"/>
      <w:kern w:val="0"/>
      <w:sz w:val="20"/>
      <w:szCs w:val="20"/>
      <w:lang w:val="en-US" w:eastAsia="en-GB"/>
      <w14:ligatures w14:val="none"/>
    </w:rPr>
    <w:tblPr>
      <w:tblInd w:w="0" w:type="dxa"/>
      <w:tblBorders>
        <w:top w:val="single" w:sz="4" w:space="0" w:color="CCCCCC"/>
        <w:bottom w:val="single" w:sz="4" w:space="0" w:color="CCCCCC"/>
        <w:insideH w:val="single" w:sz="4" w:space="0" w:color="CCCCCC"/>
      </w:tblBorders>
      <w:tblCellMar>
        <w:top w:w="40" w:type="dxa"/>
        <w:left w:w="120" w:type="dxa"/>
        <w:bottom w:w="40" w:type="dxa"/>
        <w:right w:w="120" w:type="dxa"/>
      </w:tblCellMar>
    </w:tblPr>
    <w:tblStylePr w:type="firstCol">
      <w:pPr>
        <w:jc w:val="right"/>
      </w:pPr>
      <w:tblPr/>
      <w:tcPr>
        <w:tcBorders>
          <w:right w:val="single" w:sz="4" w:space="0" w:color="CCCCCC"/>
        </w:tcBorders>
      </w:tcPr>
    </w:tblStylePr>
  </w:style>
  <w:style w:type="table" w:customStyle="1" w:styleId="QSliderLabelsTable1">
    <w:name w:val="QSliderLabelsTable1"/>
    <w:uiPriority w:val="99"/>
    <w:qFormat/>
    <w:rsid w:val="00FD58E4"/>
    <w:pPr>
      <w:spacing w:after="0" w:line="240" w:lineRule="auto"/>
      <w:jc w:val="center"/>
    </w:pPr>
    <w:rPr>
      <w:rFonts w:eastAsia="Times New Roman"/>
      <w:kern w:val="0"/>
      <w:lang w:val="en-US"/>
      <w14:ligatures w14:val="none"/>
    </w:rPr>
    <w:tblPr>
      <w:tblCellMar>
        <w:top w:w="0" w:type="dxa"/>
        <w:left w:w="0" w:type="dxa"/>
        <w:bottom w:w="0" w:type="dxa"/>
        <w:right w:w="0" w:type="dxa"/>
      </w:tblCellMar>
    </w:tblPr>
  </w:style>
  <w:style w:type="numbering" w:customStyle="1" w:styleId="Singlepunch1">
    <w:name w:val="Single punch1"/>
    <w:rsid w:val="00FD58E4"/>
  </w:style>
  <w:style w:type="table" w:customStyle="1" w:styleId="QQuestionTable3">
    <w:name w:val="QQuestionTable3"/>
    <w:uiPriority w:val="99"/>
    <w:qFormat/>
    <w:rsid w:val="006E7714"/>
    <w:pPr>
      <w:spacing w:after="0" w:line="240" w:lineRule="auto"/>
      <w:jc w:val="center"/>
    </w:pPr>
    <w:rPr>
      <w:rFonts w:eastAsia="Times New Roman"/>
      <w:kern w:val="0"/>
      <w:sz w:val="20"/>
      <w:szCs w:val="20"/>
      <w:lang w:val="en-US" w:eastAsia="en-GB"/>
      <w14:ligatures w14:val="none"/>
    </w:rPr>
    <w:tblPr>
      <w:tblStyleRowBandSize w:val="1"/>
      <w:tblInd w:w="0" w:type="dxa"/>
      <w:tblCellMar>
        <w:top w:w="43" w:type="dxa"/>
        <w:left w:w="115" w:type="dxa"/>
        <w:bottom w:w="115" w:type="dxa"/>
        <w:right w:w="115" w:type="dxa"/>
      </w:tblCellMar>
    </w:tblPr>
    <w:tcPr>
      <w:shd w:val="clear" w:color="auto" w:fill="auto"/>
      <w:vAlign w:val="center"/>
    </w:tcPr>
    <w:tblStylePr w:type="firstRow">
      <w:pPr>
        <w:wordWrap/>
        <w:jc w:val="center"/>
      </w:pPr>
      <w:tblPr/>
      <w:tcPr>
        <w:tcBorders>
          <w:bottom w:val="single" w:sz="4" w:space="0" w:color="BFBFBF"/>
        </w:tcBorders>
        <w:vAlign w:val="center"/>
      </w:tcPr>
    </w:tblStylePr>
    <w:tblStylePr w:type="firstCol">
      <w:tblPr/>
      <w:tcPr>
        <w:tcBorders>
          <w:right w:val="single" w:sz="4" w:space="0" w:color="BFBFBF"/>
        </w:tcBorders>
      </w:tcPr>
    </w:tblStylePr>
  </w:style>
  <w:style w:type="table" w:customStyle="1" w:styleId="QStandardSliderTable3">
    <w:name w:val="QStandardSliderTable3"/>
    <w:uiPriority w:val="99"/>
    <w:qFormat/>
    <w:rsid w:val="006E7714"/>
    <w:pPr>
      <w:spacing w:after="0" w:line="240" w:lineRule="auto"/>
      <w:jc w:val="center"/>
    </w:pPr>
    <w:rPr>
      <w:rFonts w:eastAsia="Times New Roman"/>
      <w:kern w:val="0"/>
      <w:sz w:val="20"/>
      <w:szCs w:val="20"/>
      <w:lang w:val="en-US" w:eastAsia="en-GB"/>
      <w14:ligatures w14:val="none"/>
    </w:rPr>
    <w:tblPr>
      <w:tblInd w:w="0" w:type="dxa"/>
      <w:tblBorders>
        <w:top w:val="single" w:sz="4" w:space="0" w:color="CCCCCC"/>
        <w:bottom w:val="single" w:sz="4" w:space="0" w:color="CCCCCC"/>
        <w:insideH w:val="single" w:sz="4" w:space="0" w:color="CCCCCC"/>
      </w:tblBorders>
      <w:tblCellMar>
        <w:top w:w="40" w:type="dxa"/>
        <w:left w:w="120" w:type="dxa"/>
        <w:bottom w:w="40" w:type="dxa"/>
        <w:right w:w="120" w:type="dxa"/>
      </w:tblCellMar>
    </w:tblPr>
    <w:tblStylePr w:type="firstCol">
      <w:pPr>
        <w:jc w:val="right"/>
      </w:pPr>
      <w:tblPr/>
      <w:tcPr>
        <w:tcBorders>
          <w:right w:val="single" w:sz="4" w:space="0" w:color="CCCCCC"/>
        </w:tcBorders>
      </w:tcPr>
    </w:tblStylePr>
  </w:style>
  <w:style w:type="table" w:customStyle="1" w:styleId="QSliderLabelsTable2">
    <w:name w:val="QSliderLabelsTable2"/>
    <w:uiPriority w:val="99"/>
    <w:qFormat/>
    <w:rsid w:val="006E7714"/>
    <w:pPr>
      <w:spacing w:after="0" w:line="240" w:lineRule="auto"/>
      <w:jc w:val="center"/>
    </w:pPr>
    <w:rPr>
      <w:rFonts w:eastAsia="Times New Roman"/>
      <w:kern w:val="0"/>
      <w:lang w:val="en-US"/>
      <w14:ligatures w14:val="none"/>
    </w:rPr>
    <w:tblPr>
      <w:tblCellMar>
        <w:top w:w="0" w:type="dxa"/>
        <w:left w:w="0" w:type="dxa"/>
        <w:bottom w:w="0" w:type="dxa"/>
        <w:right w:w="0" w:type="dxa"/>
      </w:tblCellMar>
    </w:tblPr>
  </w:style>
  <w:style w:type="numbering" w:customStyle="1" w:styleId="Singlepunch2">
    <w:name w:val="Single punch2"/>
    <w:rsid w:val="006E7714"/>
  </w:style>
  <w:style w:type="table" w:customStyle="1" w:styleId="QQuestionTable4">
    <w:name w:val="QQuestionTable4"/>
    <w:uiPriority w:val="99"/>
    <w:qFormat/>
    <w:rsid w:val="00036788"/>
    <w:pPr>
      <w:spacing w:after="0" w:line="240" w:lineRule="auto"/>
      <w:jc w:val="center"/>
    </w:pPr>
    <w:rPr>
      <w:rFonts w:eastAsia="Times New Roman"/>
      <w:kern w:val="0"/>
      <w:sz w:val="20"/>
      <w:szCs w:val="20"/>
      <w:lang w:val="en-US" w:eastAsia="en-GB"/>
      <w14:ligatures w14:val="none"/>
    </w:rPr>
    <w:tblPr>
      <w:tblStyleRowBandSize w:val="1"/>
      <w:tblInd w:w="0" w:type="dxa"/>
      <w:tblCellMar>
        <w:top w:w="43" w:type="dxa"/>
        <w:left w:w="115" w:type="dxa"/>
        <w:bottom w:w="115" w:type="dxa"/>
        <w:right w:w="115" w:type="dxa"/>
      </w:tblCellMar>
    </w:tblPr>
    <w:tcPr>
      <w:shd w:val="clear" w:color="auto" w:fill="auto"/>
      <w:vAlign w:val="center"/>
    </w:tcPr>
    <w:tblStylePr w:type="firstRow">
      <w:pPr>
        <w:wordWrap/>
        <w:jc w:val="center"/>
      </w:pPr>
      <w:tblPr/>
      <w:tcPr>
        <w:tcBorders>
          <w:bottom w:val="single" w:sz="4" w:space="0" w:color="BFBFBF"/>
        </w:tcBorders>
        <w:vAlign w:val="center"/>
      </w:tcPr>
    </w:tblStylePr>
    <w:tblStylePr w:type="firstCol">
      <w:tblPr/>
      <w:tcPr>
        <w:tcBorders>
          <w:right w:val="single" w:sz="4" w:space="0" w:color="BFBFBF"/>
        </w:tcBorders>
      </w:tcPr>
    </w:tblStylePr>
  </w:style>
  <w:style w:type="table" w:customStyle="1" w:styleId="QStandardSliderTable4">
    <w:name w:val="QStandardSliderTable4"/>
    <w:uiPriority w:val="99"/>
    <w:qFormat/>
    <w:rsid w:val="00036788"/>
    <w:pPr>
      <w:spacing w:after="0" w:line="240" w:lineRule="auto"/>
      <w:jc w:val="center"/>
    </w:pPr>
    <w:rPr>
      <w:rFonts w:eastAsia="Times New Roman"/>
      <w:kern w:val="0"/>
      <w:sz w:val="20"/>
      <w:szCs w:val="20"/>
      <w:lang w:val="en-US" w:eastAsia="en-GB"/>
      <w14:ligatures w14:val="none"/>
    </w:rPr>
    <w:tblPr>
      <w:tblInd w:w="0" w:type="dxa"/>
      <w:tblBorders>
        <w:top w:val="single" w:sz="4" w:space="0" w:color="CCCCCC"/>
        <w:bottom w:val="single" w:sz="4" w:space="0" w:color="CCCCCC"/>
        <w:insideH w:val="single" w:sz="4" w:space="0" w:color="CCCCCC"/>
      </w:tblBorders>
      <w:tblCellMar>
        <w:top w:w="40" w:type="dxa"/>
        <w:left w:w="120" w:type="dxa"/>
        <w:bottom w:w="40" w:type="dxa"/>
        <w:right w:w="120" w:type="dxa"/>
      </w:tblCellMar>
    </w:tblPr>
    <w:tblStylePr w:type="firstCol">
      <w:pPr>
        <w:jc w:val="right"/>
      </w:pPr>
      <w:tblPr/>
      <w:tcPr>
        <w:tcBorders>
          <w:right w:val="single" w:sz="4" w:space="0" w:color="CCCCCC"/>
        </w:tcBorders>
      </w:tcPr>
    </w:tblStylePr>
  </w:style>
  <w:style w:type="table" w:customStyle="1" w:styleId="QSliderLabelsTable3">
    <w:name w:val="QSliderLabelsTable3"/>
    <w:uiPriority w:val="99"/>
    <w:qFormat/>
    <w:rsid w:val="00036788"/>
    <w:pPr>
      <w:spacing w:after="0" w:line="240" w:lineRule="auto"/>
      <w:jc w:val="center"/>
    </w:pPr>
    <w:rPr>
      <w:rFonts w:eastAsia="Times New Roman"/>
      <w:kern w:val="0"/>
      <w:lang w:val="en-US"/>
      <w14:ligatures w14:val="none"/>
    </w:rPr>
    <w:tblPr>
      <w:tblCellMar>
        <w:top w:w="0" w:type="dxa"/>
        <w:left w:w="0" w:type="dxa"/>
        <w:bottom w:w="0" w:type="dxa"/>
        <w:right w:w="0" w:type="dxa"/>
      </w:tblCellMar>
    </w:tblPr>
  </w:style>
  <w:style w:type="numbering" w:customStyle="1" w:styleId="Singlepunch3">
    <w:name w:val="Single punch3"/>
    <w:rsid w:val="00036788"/>
  </w:style>
  <w:style w:type="table" w:customStyle="1" w:styleId="QQuestionTable5">
    <w:name w:val="QQuestionTable5"/>
    <w:uiPriority w:val="99"/>
    <w:qFormat/>
    <w:rsid w:val="00A646BC"/>
    <w:pPr>
      <w:spacing w:after="0" w:line="240" w:lineRule="auto"/>
      <w:jc w:val="center"/>
    </w:pPr>
    <w:rPr>
      <w:rFonts w:eastAsia="Times New Roman"/>
      <w:kern w:val="0"/>
      <w:sz w:val="20"/>
      <w:szCs w:val="20"/>
      <w:lang w:val="en-US" w:eastAsia="en-GB"/>
      <w14:ligatures w14:val="none"/>
    </w:rPr>
    <w:tblPr>
      <w:tblStyleRowBandSize w:val="1"/>
      <w:tblInd w:w="0" w:type="dxa"/>
      <w:tblCellMar>
        <w:top w:w="43" w:type="dxa"/>
        <w:left w:w="115" w:type="dxa"/>
        <w:bottom w:w="115" w:type="dxa"/>
        <w:right w:w="115" w:type="dxa"/>
      </w:tblCellMar>
    </w:tblPr>
    <w:tcPr>
      <w:shd w:val="clear" w:color="auto" w:fill="auto"/>
      <w:vAlign w:val="center"/>
    </w:tcPr>
    <w:tblStylePr w:type="firstRow">
      <w:pPr>
        <w:wordWrap/>
        <w:jc w:val="center"/>
      </w:pPr>
      <w:tblPr/>
      <w:tcPr>
        <w:tcBorders>
          <w:bottom w:val="single" w:sz="4" w:space="0" w:color="BFBFBF"/>
        </w:tcBorders>
        <w:vAlign w:val="center"/>
      </w:tcPr>
    </w:tblStylePr>
    <w:tblStylePr w:type="firstCol">
      <w:tblPr/>
      <w:tcPr>
        <w:tcBorders>
          <w:right w:val="single" w:sz="4" w:space="0" w:color="BFBFBF"/>
        </w:tcBorders>
      </w:tcPr>
    </w:tblStylePr>
  </w:style>
  <w:style w:type="table" w:customStyle="1" w:styleId="QStandardSliderTable5">
    <w:name w:val="QStandardSliderTable5"/>
    <w:uiPriority w:val="99"/>
    <w:qFormat/>
    <w:rsid w:val="00A646BC"/>
    <w:pPr>
      <w:spacing w:after="0" w:line="240" w:lineRule="auto"/>
      <w:jc w:val="center"/>
    </w:pPr>
    <w:rPr>
      <w:rFonts w:eastAsia="Times New Roman"/>
      <w:kern w:val="0"/>
      <w:sz w:val="20"/>
      <w:szCs w:val="20"/>
      <w:lang w:val="en-US" w:eastAsia="en-GB"/>
      <w14:ligatures w14:val="none"/>
    </w:rPr>
    <w:tblPr>
      <w:tblInd w:w="0" w:type="dxa"/>
      <w:tblBorders>
        <w:top w:val="single" w:sz="4" w:space="0" w:color="CCCCCC"/>
        <w:bottom w:val="single" w:sz="4" w:space="0" w:color="CCCCCC"/>
        <w:insideH w:val="single" w:sz="4" w:space="0" w:color="CCCCCC"/>
      </w:tblBorders>
      <w:tblCellMar>
        <w:top w:w="40" w:type="dxa"/>
        <w:left w:w="120" w:type="dxa"/>
        <w:bottom w:w="40" w:type="dxa"/>
        <w:right w:w="120" w:type="dxa"/>
      </w:tblCellMar>
    </w:tblPr>
    <w:tblStylePr w:type="firstCol">
      <w:pPr>
        <w:jc w:val="right"/>
      </w:pPr>
      <w:tblPr/>
      <w:tcPr>
        <w:tcBorders>
          <w:right w:val="single" w:sz="4" w:space="0" w:color="CCCCCC"/>
        </w:tcBorders>
      </w:tcPr>
    </w:tblStylePr>
  </w:style>
  <w:style w:type="table" w:customStyle="1" w:styleId="QSliderLabelsTable4">
    <w:name w:val="QSliderLabelsTable4"/>
    <w:uiPriority w:val="99"/>
    <w:qFormat/>
    <w:rsid w:val="00A646BC"/>
    <w:pPr>
      <w:spacing w:after="0" w:line="240" w:lineRule="auto"/>
      <w:jc w:val="center"/>
    </w:pPr>
    <w:rPr>
      <w:rFonts w:eastAsia="Times New Roman"/>
      <w:kern w:val="0"/>
      <w:lang w:val="en-US"/>
      <w14:ligatures w14:val="none"/>
    </w:rPr>
    <w:tblPr>
      <w:tblCellMar>
        <w:top w:w="0" w:type="dxa"/>
        <w:left w:w="0" w:type="dxa"/>
        <w:bottom w:w="0" w:type="dxa"/>
        <w:right w:w="0" w:type="dxa"/>
      </w:tblCellMar>
    </w:tblPr>
  </w:style>
  <w:style w:type="numbering" w:customStyle="1" w:styleId="Singlepunch4">
    <w:name w:val="Single punch4"/>
    <w:rsid w:val="00A646B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328943815">
      <w:bodyDiv w:val="1"/>
      <w:marLeft w:val="0"/>
      <w:marRight w:val="0"/>
      <w:marTop w:val="0"/>
      <w:marBottom w:val="0"/>
      <w:divBdr>
        <w:top w:val="none" w:sz="0" w:space="0" w:color="auto"/>
        <w:left w:val="none" w:sz="0" w:space="0" w:color="auto"/>
        <w:bottom w:val="none" w:sz="0" w:space="0" w:color="auto"/>
        <w:right w:val="none" w:sz="0" w:space="0" w:color="auto"/>
      </w:divBdr>
    </w:div>
    <w:div w:id="853302121">
      <w:bodyDiv w:val="1"/>
      <w:marLeft w:val="0"/>
      <w:marRight w:val="0"/>
      <w:marTop w:val="0"/>
      <w:marBottom w:val="0"/>
      <w:divBdr>
        <w:top w:val="none" w:sz="0" w:space="0" w:color="auto"/>
        <w:left w:val="none" w:sz="0" w:space="0" w:color="auto"/>
        <w:bottom w:val="none" w:sz="0" w:space="0" w:color="auto"/>
        <w:right w:val="none" w:sz="0" w:space="0" w:color="auto"/>
      </w:divBdr>
    </w:div>
    <w:div w:id="944072976">
      <w:bodyDiv w:val="1"/>
      <w:marLeft w:val="0"/>
      <w:marRight w:val="0"/>
      <w:marTop w:val="0"/>
      <w:marBottom w:val="0"/>
      <w:divBdr>
        <w:top w:val="none" w:sz="0" w:space="0" w:color="auto"/>
        <w:left w:val="none" w:sz="0" w:space="0" w:color="auto"/>
        <w:bottom w:val="none" w:sz="0" w:space="0" w:color="auto"/>
        <w:right w:val="none" w:sz="0" w:space="0" w:color="auto"/>
      </w:divBdr>
    </w:div>
    <w:div w:id="1222129521">
      <w:bodyDiv w:val="1"/>
      <w:marLeft w:val="0"/>
      <w:marRight w:val="0"/>
      <w:marTop w:val="0"/>
      <w:marBottom w:val="0"/>
      <w:divBdr>
        <w:top w:val="none" w:sz="0" w:space="0" w:color="auto"/>
        <w:left w:val="none" w:sz="0" w:space="0" w:color="auto"/>
        <w:bottom w:val="none" w:sz="0" w:space="0" w:color="auto"/>
        <w:right w:val="none" w:sz="0" w:space="0" w:color="auto"/>
      </w:divBdr>
    </w:div>
    <w:div w:id="1610041817">
      <w:bodyDiv w:val="1"/>
      <w:marLeft w:val="0"/>
      <w:marRight w:val="0"/>
      <w:marTop w:val="0"/>
      <w:marBottom w:val="0"/>
      <w:divBdr>
        <w:top w:val="none" w:sz="0" w:space="0" w:color="auto"/>
        <w:left w:val="none" w:sz="0" w:space="0" w:color="auto"/>
        <w:bottom w:val="none" w:sz="0" w:space="0" w:color="auto"/>
        <w:right w:val="none" w:sz="0" w:space="0" w:color="auto"/>
      </w:divBdr>
    </w:div>
    <w:div w:id="17173144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emf"/><Relationship Id="rId42" Type="http://schemas.openxmlformats.org/officeDocument/2006/relationships/chart" Target="charts/chart14.xml"/><Relationship Id="rId47" Type="http://schemas.openxmlformats.org/officeDocument/2006/relationships/image" Target="media/image23.png"/><Relationship Id="rId63" Type="http://schemas.openxmlformats.org/officeDocument/2006/relationships/footer" Target="footer1.xml"/><Relationship Id="rId68" Type="http://schemas.openxmlformats.org/officeDocument/2006/relationships/image" Target="media/image30.png"/><Relationship Id="rId84" Type="http://schemas.openxmlformats.org/officeDocument/2006/relationships/hyperlink" Target="mailto:sfarris1@sheffield.ac.uk" TargetMode="External"/><Relationship Id="rId89" Type="http://schemas.openxmlformats.org/officeDocument/2006/relationships/theme" Target="theme/theme1.xml"/><Relationship Id="rId16" Type="http://schemas.openxmlformats.org/officeDocument/2006/relationships/image" Target="media/image9.png"/><Relationship Id="rId11" Type="http://schemas.openxmlformats.org/officeDocument/2006/relationships/image" Target="media/image4.png"/><Relationship Id="rId32" Type="http://schemas.openxmlformats.org/officeDocument/2006/relationships/chart" Target="charts/chart5.xml"/><Relationship Id="rId37" Type="http://schemas.openxmlformats.org/officeDocument/2006/relationships/chart" Target="charts/chart9.xml"/><Relationship Id="rId53" Type="http://schemas.openxmlformats.org/officeDocument/2006/relationships/chart" Target="charts/chart21.xml"/><Relationship Id="rId58" Type="http://schemas.openxmlformats.org/officeDocument/2006/relationships/chart" Target="charts/chart26.xml"/><Relationship Id="rId74" Type="http://schemas.openxmlformats.org/officeDocument/2006/relationships/image" Target="media/image34.png"/><Relationship Id="rId79" Type="http://schemas.openxmlformats.org/officeDocument/2006/relationships/hyperlink" Target="mailto:sfarris1@sheffield.ac.uk" TargetMode="External"/><Relationship Id="rId5" Type="http://schemas.openxmlformats.org/officeDocument/2006/relationships/webSettings" Target="webSettings.xml"/><Relationship Id="rId14" Type="http://schemas.openxmlformats.org/officeDocument/2006/relationships/image" Target="media/image7.png"/><Relationship Id="rId22" Type="http://schemas.openxmlformats.org/officeDocument/2006/relationships/image" Target="media/image15.emf"/><Relationship Id="rId27" Type="http://schemas.openxmlformats.org/officeDocument/2006/relationships/image" Target="media/image20.png"/><Relationship Id="rId30" Type="http://schemas.openxmlformats.org/officeDocument/2006/relationships/chart" Target="charts/chart3.xml"/><Relationship Id="rId35" Type="http://schemas.openxmlformats.org/officeDocument/2006/relationships/chart" Target="charts/chart7.xml"/><Relationship Id="rId43" Type="http://schemas.openxmlformats.org/officeDocument/2006/relationships/chart" Target="charts/chart15.xml"/><Relationship Id="rId48" Type="http://schemas.openxmlformats.org/officeDocument/2006/relationships/image" Target="media/image24.png"/><Relationship Id="rId56" Type="http://schemas.openxmlformats.org/officeDocument/2006/relationships/chart" Target="charts/chart24.xml"/><Relationship Id="rId64" Type="http://schemas.openxmlformats.org/officeDocument/2006/relationships/hyperlink" Target="https://reshare.ukdataservice.ac.uk/856311/" TargetMode="External"/><Relationship Id="rId69" Type="http://schemas.openxmlformats.org/officeDocument/2006/relationships/image" Target="media/image31.png"/><Relationship Id="rId77" Type="http://schemas.openxmlformats.org/officeDocument/2006/relationships/image" Target="media/image37.emf"/><Relationship Id="rId8" Type="http://schemas.openxmlformats.org/officeDocument/2006/relationships/image" Target="media/image1.png"/><Relationship Id="rId51" Type="http://schemas.openxmlformats.org/officeDocument/2006/relationships/chart" Target="charts/chart19.xml"/><Relationship Id="rId72" Type="http://schemas.openxmlformats.org/officeDocument/2006/relationships/hyperlink" Target="https://reshare.ukdataservice.ac.uk/856821/" TargetMode="External"/><Relationship Id="rId80" Type="http://schemas.openxmlformats.org/officeDocument/2006/relationships/hyperlink" Target="mailto:lzhang73@sheffield.ac.uk" TargetMode="External"/><Relationship Id="rId85" Type="http://schemas.openxmlformats.org/officeDocument/2006/relationships/hyperlink" Target="mailto:r.w.cameron@sheffield.ac.uk" TargetMode="Externa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jpg"/><Relationship Id="rId33" Type="http://schemas.openxmlformats.org/officeDocument/2006/relationships/image" Target="media/image21.png"/><Relationship Id="rId38" Type="http://schemas.openxmlformats.org/officeDocument/2006/relationships/chart" Target="charts/chart10.xml"/><Relationship Id="rId46" Type="http://schemas.openxmlformats.org/officeDocument/2006/relationships/image" Target="media/image22.png"/><Relationship Id="rId59" Type="http://schemas.openxmlformats.org/officeDocument/2006/relationships/hyperlink" Target="https://journals.plos.org/plosone/s/licenses-and-copyright" TargetMode="External"/><Relationship Id="rId67" Type="http://schemas.openxmlformats.org/officeDocument/2006/relationships/image" Target="media/image29.emf"/><Relationship Id="rId20" Type="http://schemas.openxmlformats.org/officeDocument/2006/relationships/image" Target="media/image13.emf"/><Relationship Id="rId41" Type="http://schemas.openxmlformats.org/officeDocument/2006/relationships/chart" Target="charts/chart13.xml"/><Relationship Id="rId54" Type="http://schemas.openxmlformats.org/officeDocument/2006/relationships/chart" Target="charts/chart22.xml"/><Relationship Id="rId62" Type="http://schemas.openxmlformats.org/officeDocument/2006/relationships/image" Target="media/image27.png"/><Relationship Id="rId70" Type="http://schemas.openxmlformats.org/officeDocument/2006/relationships/image" Target="media/image32.emf"/><Relationship Id="rId75" Type="http://schemas.openxmlformats.org/officeDocument/2006/relationships/image" Target="media/image35.png"/><Relationship Id="rId83" Type="http://schemas.openxmlformats.org/officeDocument/2006/relationships/hyperlink" Target="mailto:n.dempsey@sheffield.ac.uk" TargetMode="External"/><Relationship Id="rId88"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emf"/><Relationship Id="rId23" Type="http://schemas.openxmlformats.org/officeDocument/2006/relationships/image" Target="media/image16.emf"/><Relationship Id="rId28" Type="http://schemas.openxmlformats.org/officeDocument/2006/relationships/chart" Target="charts/chart1.xml"/><Relationship Id="rId36" Type="http://schemas.openxmlformats.org/officeDocument/2006/relationships/chart" Target="charts/chart8.xml"/><Relationship Id="rId49" Type="http://schemas.openxmlformats.org/officeDocument/2006/relationships/image" Target="media/image25.png"/><Relationship Id="rId57" Type="http://schemas.openxmlformats.org/officeDocument/2006/relationships/chart" Target="charts/chart25.xml"/><Relationship Id="rId10" Type="http://schemas.openxmlformats.org/officeDocument/2006/relationships/image" Target="media/image3.png"/><Relationship Id="rId31" Type="http://schemas.openxmlformats.org/officeDocument/2006/relationships/chart" Target="charts/chart4.xml"/><Relationship Id="rId44" Type="http://schemas.openxmlformats.org/officeDocument/2006/relationships/chart" Target="charts/chart16.xml"/><Relationship Id="rId52" Type="http://schemas.openxmlformats.org/officeDocument/2006/relationships/chart" Target="charts/chart20.xml"/><Relationship Id="rId60" Type="http://schemas.openxmlformats.org/officeDocument/2006/relationships/image" Target="media/image26.png"/><Relationship Id="rId65" Type="http://schemas.openxmlformats.org/officeDocument/2006/relationships/image" Target="media/image28.png"/><Relationship Id="rId73" Type="http://schemas.openxmlformats.org/officeDocument/2006/relationships/hyperlink" Target="https://shefmethods.eu.qualtrics.com/jfe/preview/previewId/7ac625be-a4fe-4b64-8251-b3b42be42b87/SV_50jjKjXmqHZCsB0?Q_CHL=preview&amp;Q_SurveyVersionID=current" TargetMode="External"/><Relationship Id="rId78" Type="http://schemas.openxmlformats.org/officeDocument/2006/relationships/hyperlink" Target="mailto:l.v.unwin@sheffield.ac.uk" TargetMode="External"/><Relationship Id="rId81" Type="http://schemas.openxmlformats.org/officeDocument/2006/relationships/hyperlink" Target="mailto:r.w.cameron@sheffield.ac.uk" TargetMode="External"/><Relationship Id="rId86" Type="http://schemas.openxmlformats.org/officeDocument/2006/relationships/hyperlink" Target="mailto:h.woolley@sheffield.ac.uk" TargetMode="Externa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emf"/><Relationship Id="rId39" Type="http://schemas.openxmlformats.org/officeDocument/2006/relationships/chart" Target="charts/chart11.xml"/><Relationship Id="rId34" Type="http://schemas.openxmlformats.org/officeDocument/2006/relationships/chart" Target="charts/chart6.xml"/><Relationship Id="rId50" Type="http://schemas.openxmlformats.org/officeDocument/2006/relationships/chart" Target="charts/chart18.xml"/><Relationship Id="rId55" Type="http://schemas.openxmlformats.org/officeDocument/2006/relationships/chart" Target="charts/chart23.xml"/><Relationship Id="rId76" Type="http://schemas.openxmlformats.org/officeDocument/2006/relationships/image" Target="media/image36.emf"/><Relationship Id="rId7" Type="http://schemas.openxmlformats.org/officeDocument/2006/relationships/endnotes" Target="endnotes.xml"/><Relationship Id="rId71" Type="http://schemas.openxmlformats.org/officeDocument/2006/relationships/image" Target="media/image33.png"/><Relationship Id="rId2" Type="http://schemas.openxmlformats.org/officeDocument/2006/relationships/numbering" Target="numbering.xml"/><Relationship Id="rId29" Type="http://schemas.openxmlformats.org/officeDocument/2006/relationships/chart" Target="charts/chart2.xml"/><Relationship Id="rId24" Type="http://schemas.openxmlformats.org/officeDocument/2006/relationships/image" Target="media/image17.jpeg"/><Relationship Id="rId40" Type="http://schemas.openxmlformats.org/officeDocument/2006/relationships/chart" Target="charts/chart12.xml"/><Relationship Id="rId45" Type="http://schemas.openxmlformats.org/officeDocument/2006/relationships/chart" Target="charts/chart17.xml"/><Relationship Id="rId66" Type="http://schemas.openxmlformats.org/officeDocument/2006/relationships/hyperlink" Target="https://shefmethods.eu.qualtrics.com/jfe/preview/previewId/e5877727-0764-4b67-9515-221f64ffb569/SV_9TrqH2dMdE7WqIC?Q_CHL=preview&amp;Q_SurveyVersionID=current" TargetMode="External"/><Relationship Id="rId87" Type="http://schemas.openxmlformats.org/officeDocument/2006/relationships/hyperlink" Target="mailto:n.dempsey@sheffield.ac.uk" TargetMode="External"/><Relationship Id="rId61" Type="http://schemas.openxmlformats.org/officeDocument/2006/relationships/hyperlink" Target="https://authorservices.taylorandfrancis.com/choose-open/publishing-open-access/" TargetMode="External"/><Relationship Id="rId82" Type="http://schemas.openxmlformats.org/officeDocument/2006/relationships/hyperlink" Target="mailto:h.woolley@sheffield.ac.uk" TargetMode="External"/><Relationship Id="rId19" Type="http://schemas.openxmlformats.org/officeDocument/2006/relationships/image" Target="media/image12.emf"/></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chartUserShapes" Target="../drawings/drawing1.xml"/></Relationships>
</file>

<file path=word/charts/_rels/chart10.xml.rels><?xml version="1.0" encoding="UTF-8" standalone="yes"?>
<Relationships xmlns="http://schemas.openxmlformats.org/package/2006/relationships"><Relationship Id="rId1" Type="http://schemas.openxmlformats.org/officeDocument/2006/relationships/oleObject" Target="file:///D:\Documenti\Working%20documents\Papers\Paper%202\Merging%20attempt\Chart%20maker.xlsx"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file:///D:\Documenti\Working%20documents\Papers\Paper%202\Merging%20attempt\Chart%20maker.xlsx" TargetMode="External"/></Relationships>
</file>

<file path=word/charts/_rels/chart12.xml.rels><?xml version="1.0" encoding="UTF-8" standalone="yes"?>
<Relationships xmlns="http://schemas.openxmlformats.org/package/2006/relationships"><Relationship Id="rId3" Type="http://schemas.openxmlformats.org/officeDocument/2006/relationships/oleObject" Target="file:///D:\Documenti\Working%20documents\Papers\Paper%202\Merging%20attempt\Chart%20maker.xlsx" TargetMode="External"/><Relationship Id="rId2" Type="http://schemas.microsoft.com/office/2011/relationships/chartColorStyle" Target="colors7.xml"/><Relationship Id="rId1" Type="http://schemas.microsoft.com/office/2011/relationships/chartStyle" Target="style7.xml"/></Relationships>
</file>

<file path=word/charts/_rels/chart13.xml.rels><?xml version="1.0" encoding="UTF-8" standalone="yes"?>
<Relationships xmlns="http://schemas.openxmlformats.org/package/2006/relationships"><Relationship Id="rId1" Type="http://schemas.openxmlformats.org/officeDocument/2006/relationships/oleObject" Target="file:///D:\Documenti\Working%20documents\Papers\Paper%202\Merging%20attempt\Chart%20maker.xlsx" TargetMode="External"/></Relationships>
</file>

<file path=word/charts/_rels/chart14.xml.rels><?xml version="1.0" encoding="UTF-8" standalone="yes"?>
<Relationships xmlns="http://schemas.openxmlformats.org/package/2006/relationships"><Relationship Id="rId1" Type="http://schemas.openxmlformats.org/officeDocument/2006/relationships/oleObject" Target="file:///D:\Documenti\Working%20documents\Papers\Paper%202\Merging%20attempt\Chart%20maker.xlsx" TargetMode="External"/></Relationships>
</file>

<file path=word/charts/_rels/chart15.xml.rels><?xml version="1.0" encoding="UTF-8" standalone="yes"?>
<Relationships xmlns="http://schemas.openxmlformats.org/package/2006/relationships"><Relationship Id="rId1" Type="http://schemas.openxmlformats.org/officeDocument/2006/relationships/oleObject" Target="file:///D:\Documenti\Working%20documents\Papers\Paper%202\Merging%20attempt\Chart%20maker.xlsx" TargetMode="External"/></Relationships>
</file>

<file path=word/charts/_rels/chart16.xml.rels><?xml version="1.0" encoding="UTF-8" standalone="yes"?>
<Relationships xmlns="http://schemas.openxmlformats.org/package/2006/relationships"><Relationship Id="rId1" Type="http://schemas.openxmlformats.org/officeDocument/2006/relationships/oleObject" Target="file:///D:\Documenti\Working%20documents\Papers\Paper%202\Merging%20attempt\Chart%20maker.xlsx" TargetMode="External"/></Relationships>
</file>

<file path=word/charts/_rels/chart17.xml.rels><?xml version="1.0" encoding="UTF-8" standalone="yes"?>
<Relationships xmlns="http://schemas.openxmlformats.org/package/2006/relationships"><Relationship Id="rId1" Type="http://schemas.openxmlformats.org/officeDocument/2006/relationships/oleObject" Target="file:///D:\Documenti\Working%20documents\Papers\Paper%202\Merging%20attempt\Chart%20maker.xlsx" TargetMode="External"/></Relationships>
</file>

<file path=word/charts/_rels/chart18.xml.rels><?xml version="1.0" encoding="UTF-8" standalone="yes"?>
<Relationships xmlns="http://schemas.openxmlformats.org/package/2006/relationships"><Relationship Id="rId3" Type="http://schemas.openxmlformats.org/officeDocument/2006/relationships/oleObject" Target="file:///D:\Documenti\Working%20documents\PHD%20project\Thesis\04-Results-papers\Paper%204\Online%20study%20outputs\tablemaker%20and%20graphs.xlsx" TargetMode="External"/><Relationship Id="rId2" Type="http://schemas.microsoft.com/office/2011/relationships/chartColorStyle" Target="colors8.xml"/><Relationship Id="rId1" Type="http://schemas.microsoft.com/office/2011/relationships/chartStyle" Target="style8.xml"/></Relationships>
</file>

<file path=word/charts/_rels/chart19.xml.rels><?xml version="1.0" encoding="UTF-8" standalone="yes"?>
<Relationships xmlns="http://schemas.openxmlformats.org/package/2006/relationships"><Relationship Id="rId1" Type="http://schemas.openxmlformats.org/officeDocument/2006/relationships/oleObject" Target="file:///D:\Documenti\Working%20documents\PHD%20project\Thesis\04-Results-papers\Paper%204\Online%20study%20outputs\tablemaker%20and%20graphs.xlsx" TargetMode="Externa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chartUserShapes" Target="../drawings/drawing2.xml"/></Relationships>
</file>

<file path=word/charts/_rels/chart20.xml.rels><?xml version="1.0" encoding="UTF-8" standalone="yes"?>
<Relationships xmlns="http://schemas.openxmlformats.org/package/2006/relationships"><Relationship Id="rId1" Type="http://schemas.openxmlformats.org/officeDocument/2006/relationships/oleObject" Target="file:///D:\Documenti\Working%20documents\PHD%20project\Thesis\04-Results-papers\Paper%204\Online%20study%20outputs\tablemaker%20and%20graphs.xlsx" TargetMode="External"/></Relationships>
</file>

<file path=word/charts/_rels/chart21.xml.rels><?xml version="1.0" encoding="UTF-8" standalone="yes"?>
<Relationships xmlns="http://schemas.openxmlformats.org/package/2006/relationships"><Relationship Id="rId1" Type="http://schemas.openxmlformats.org/officeDocument/2006/relationships/oleObject" Target="file:///D:\Documenti\Working%20documents\Papers\Paper%204\Online%20study%20outputs\tablemaker%20and%20graphs.xlsx" TargetMode="External"/></Relationships>
</file>

<file path=word/charts/_rels/chart22.xml.rels><?xml version="1.0" encoding="UTF-8" standalone="yes"?>
<Relationships xmlns="http://schemas.openxmlformats.org/package/2006/relationships"><Relationship Id="rId1" Type="http://schemas.openxmlformats.org/officeDocument/2006/relationships/oleObject" Target="file:///D:\Documenti\Working%20documents\Papers\Paper%204\Online%20study%20outputs\tablemaker%20and%20graphs.xlsx" TargetMode="External"/></Relationships>
</file>

<file path=word/charts/_rels/chart23.xml.rels><?xml version="1.0" encoding="UTF-8" standalone="yes"?>
<Relationships xmlns="http://schemas.openxmlformats.org/package/2006/relationships"><Relationship Id="rId1" Type="http://schemas.openxmlformats.org/officeDocument/2006/relationships/oleObject" Target="file:///D:\Documenti\Working%20documents\Papers\Paper%204\Online%20study%20outputs\tablemaker%20and%20graphs.xlsx" TargetMode="External"/></Relationships>
</file>

<file path=word/charts/_rels/chart24.xml.rels><?xml version="1.0" encoding="UTF-8" standalone="yes"?>
<Relationships xmlns="http://schemas.openxmlformats.org/package/2006/relationships"><Relationship Id="rId1" Type="http://schemas.openxmlformats.org/officeDocument/2006/relationships/oleObject" Target="file:///D:\Documenti\Working%20documents\PHD%20project\Thesis\04-Results-papers\Paper%204\Online%20study%20outputs\tablemaker%20and%20graphs.xlsx" TargetMode="External"/></Relationships>
</file>

<file path=word/charts/_rels/chart25.xml.rels><?xml version="1.0" encoding="UTF-8" standalone="yes"?>
<Relationships xmlns="http://schemas.openxmlformats.org/package/2006/relationships"><Relationship Id="rId1" Type="http://schemas.openxmlformats.org/officeDocument/2006/relationships/oleObject" Target="file:///D:\Documenti\Working%20documents\PHD%20project\Thesis\04-Results-papers\Paper%204\Online%20study%20outputs\tablemaker%20and%20graphs.xlsx" TargetMode="External"/></Relationships>
</file>

<file path=word/charts/_rels/chart26.xml.rels><?xml version="1.0" encoding="UTF-8" standalone="yes"?>
<Relationships xmlns="http://schemas.openxmlformats.org/package/2006/relationships"><Relationship Id="rId1" Type="http://schemas.openxmlformats.org/officeDocument/2006/relationships/oleObject" Target="file:///D:\Documenti\Working%20documents\PHD%20project\Thesis\04-Results-papers\Paper%204\Online%20study%20outputs\tablemaker%20and%20graphs.xlsx" TargetMode="External"/></Relationships>
</file>

<file path=word/charts/_rels/chart3.xml.rels><?xml version="1.0" encoding="UTF-8" standalone="yes"?>
<Relationships xmlns="http://schemas.openxmlformats.org/package/2006/relationships"><Relationship Id="rId3" Type="http://schemas.openxmlformats.org/officeDocument/2006/relationships/oleObject" Target="file:///D:\Documenti\Working%20documents\Papers\Paper%201\Figures\Chart%20maker.xlsx" TargetMode="Externa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chartUserShapes" Target="../drawings/drawing3.xml"/></Relationships>
</file>

<file path=word/charts/_rels/chart4.xml.rels><?xml version="1.0" encoding="UTF-8" standalone="yes"?>
<Relationships xmlns="http://schemas.openxmlformats.org/package/2006/relationships"><Relationship Id="rId3" Type="http://schemas.openxmlformats.org/officeDocument/2006/relationships/oleObject" Target="file:///D:\Documenti\Working%20documents\Papers\Paper%201\Figures\Chart%20maker.xlsx" TargetMode="Externa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chartUserShapes" Target="../drawings/drawing4.xml"/></Relationships>
</file>

<file path=word/charts/_rels/chart5.xml.rels><?xml version="1.0" encoding="UTF-8" standalone="yes"?>
<Relationships xmlns="http://schemas.openxmlformats.org/package/2006/relationships"><Relationship Id="rId3" Type="http://schemas.openxmlformats.org/officeDocument/2006/relationships/oleObject" Target="file:///D:\Documenti\Working%20documents\Papers\Paper%201\Figures\Chart%20maker.xlsx" TargetMode="Externa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chartUserShapes" Target="../drawings/drawing5.xml"/></Relationships>
</file>

<file path=word/charts/_rels/chart6.xml.rels><?xml version="1.0" encoding="UTF-8" standalone="yes"?>
<Relationships xmlns="http://schemas.openxmlformats.org/package/2006/relationships"><Relationship Id="rId3" Type="http://schemas.openxmlformats.org/officeDocument/2006/relationships/oleObject" Target="file:///D:\Documenti\Working%20documents\Papers\Paper%202\Merging%20attempt\Chart%20maker.xlsx"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1" Type="http://schemas.openxmlformats.org/officeDocument/2006/relationships/oleObject" Target="file:///D:\Documenti\Working%20documents\Papers\Paper%202\Merging%20attempt\Chart%20maker.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D:\Documenti\Working%20documents\Papers\Paper%202\Merging%20attempt\Chart%20maker.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D:\Documenti\Working%20documents\Papers\Paper%202\Merging%20attempt\Chart%20maker.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0176048784433434"/>
          <c:y val="4.4507384179647988E-2"/>
          <c:w val="0.74911043667554056"/>
          <c:h val="0.74428994474011589"/>
        </c:manualLayout>
      </c:layout>
      <c:barChart>
        <c:barDir val="col"/>
        <c:grouping val="clustered"/>
        <c:varyColors val="0"/>
        <c:ser>
          <c:idx val="0"/>
          <c:order val="0"/>
          <c:tx>
            <c:strRef>
              <c:f>'NA and PA by treatment'!$N$10</c:f>
              <c:strCache>
                <c:ptCount val="1"/>
                <c:pt idx="0">
                  <c:v>Control</c:v>
                </c:pt>
              </c:strCache>
            </c:strRef>
          </c:tx>
          <c:spPr>
            <a:solidFill>
              <a:schemeClr val="accent1"/>
            </a:solidFill>
            <a:ln>
              <a:noFill/>
            </a:ln>
            <a:effectLst/>
          </c:spPr>
          <c:invertIfNegative val="0"/>
          <c:errBars>
            <c:errBarType val="both"/>
            <c:errValType val="cust"/>
            <c:noEndCap val="0"/>
            <c:plus>
              <c:numRef>
                <c:f>'NA and PA by treatment'!$E$18:$E$20</c:f>
                <c:numCache>
                  <c:formatCode>General</c:formatCode>
                  <c:ptCount val="3"/>
                  <c:pt idx="0">
                    <c:v>0.36662855104664421</c:v>
                  </c:pt>
                  <c:pt idx="1">
                    <c:v>0.43884632198291929</c:v>
                  </c:pt>
                  <c:pt idx="2">
                    <c:v>0.3233634640606497</c:v>
                  </c:pt>
                </c:numCache>
              </c:numRef>
            </c:plus>
            <c:minus>
              <c:numRef>
                <c:f>'NA and PA by treatment'!$E$18:$E$20</c:f>
                <c:numCache>
                  <c:formatCode>General</c:formatCode>
                  <c:ptCount val="3"/>
                  <c:pt idx="0">
                    <c:v>0.36662855104664421</c:v>
                  </c:pt>
                  <c:pt idx="1">
                    <c:v>0.43884632198291929</c:v>
                  </c:pt>
                  <c:pt idx="2">
                    <c:v>0.3233634640606497</c:v>
                  </c:pt>
                </c:numCache>
              </c:numRef>
            </c:minus>
            <c:spPr>
              <a:noFill/>
              <a:ln w="9525" cap="flat" cmpd="sng" algn="ctr">
                <a:solidFill>
                  <a:schemeClr val="tx1">
                    <a:lumMod val="65000"/>
                    <a:lumOff val="35000"/>
                  </a:schemeClr>
                </a:solidFill>
                <a:round/>
              </a:ln>
              <a:effectLst/>
            </c:spPr>
          </c:errBars>
          <c:cat>
            <c:strRef>
              <c:f>'NA and PA by treatment'!$M$11:$M$13</c:f>
              <c:strCache>
                <c:ptCount val="3"/>
                <c:pt idx="0">
                  <c:v>Baseline</c:v>
                </c:pt>
                <c:pt idx="1">
                  <c:v>Stressor</c:v>
                </c:pt>
                <c:pt idx="2">
                  <c:v>Video</c:v>
                </c:pt>
              </c:strCache>
            </c:strRef>
          </c:cat>
          <c:val>
            <c:numRef>
              <c:f>'NA and PA by treatment'!$N$11:$N$13</c:f>
              <c:numCache>
                <c:formatCode>General</c:formatCode>
                <c:ptCount val="3"/>
                <c:pt idx="0">
                  <c:v>7.2934782608695645</c:v>
                </c:pt>
                <c:pt idx="1">
                  <c:v>9.0217391304347831</c:v>
                </c:pt>
                <c:pt idx="2">
                  <c:v>6.5652173913043477</c:v>
                </c:pt>
              </c:numCache>
            </c:numRef>
          </c:val>
          <c:extLst>
            <c:ext xmlns:c16="http://schemas.microsoft.com/office/drawing/2014/chart" uri="{C3380CC4-5D6E-409C-BE32-E72D297353CC}">
              <c16:uniqueId val="{00000000-6DA9-49AF-BD6D-C096B82FE111}"/>
            </c:ext>
          </c:extLst>
        </c:ser>
        <c:ser>
          <c:idx val="1"/>
          <c:order val="1"/>
          <c:tx>
            <c:strRef>
              <c:f>'NA and PA by treatment'!$O$10</c:f>
              <c:strCache>
                <c:ptCount val="1"/>
                <c:pt idx="0">
                  <c:v>Low Floral</c:v>
                </c:pt>
              </c:strCache>
            </c:strRef>
          </c:tx>
          <c:spPr>
            <a:pattFill prst="wdDnDiag">
              <a:fgClr>
                <a:schemeClr val="accent2"/>
              </a:fgClr>
              <a:bgClr>
                <a:schemeClr val="bg1"/>
              </a:bgClr>
            </a:pattFill>
            <a:ln>
              <a:noFill/>
            </a:ln>
            <a:effectLst/>
          </c:spPr>
          <c:invertIfNegative val="0"/>
          <c:errBars>
            <c:errBarType val="both"/>
            <c:errValType val="cust"/>
            <c:noEndCap val="0"/>
            <c:plus>
              <c:numRef>
                <c:f>'NA and PA by treatment'!$E$21:$E$23</c:f>
                <c:numCache>
                  <c:formatCode>General</c:formatCode>
                  <c:ptCount val="3"/>
                  <c:pt idx="0">
                    <c:v>0.37067981824263985</c:v>
                  </c:pt>
                  <c:pt idx="1">
                    <c:v>0.44369559982354922</c:v>
                  </c:pt>
                  <c:pt idx="2">
                    <c:v>0.32693664948385959</c:v>
                  </c:pt>
                </c:numCache>
              </c:numRef>
            </c:plus>
            <c:minus>
              <c:numRef>
                <c:f>'NA and PA by treatment'!$E$21:$E$23</c:f>
                <c:numCache>
                  <c:formatCode>General</c:formatCode>
                  <c:ptCount val="3"/>
                  <c:pt idx="0">
                    <c:v>0.37067981824263985</c:v>
                  </c:pt>
                  <c:pt idx="1">
                    <c:v>0.44369559982354922</c:v>
                  </c:pt>
                  <c:pt idx="2">
                    <c:v>0.32693664948385959</c:v>
                  </c:pt>
                </c:numCache>
              </c:numRef>
            </c:minus>
            <c:spPr>
              <a:noFill/>
              <a:ln w="9525" cap="flat" cmpd="sng" algn="ctr">
                <a:solidFill>
                  <a:schemeClr val="tx1">
                    <a:lumMod val="65000"/>
                    <a:lumOff val="35000"/>
                  </a:schemeClr>
                </a:solidFill>
                <a:round/>
              </a:ln>
              <a:effectLst/>
            </c:spPr>
          </c:errBars>
          <c:cat>
            <c:strRef>
              <c:f>'NA and PA by treatment'!$M$11:$M$13</c:f>
              <c:strCache>
                <c:ptCount val="3"/>
                <c:pt idx="0">
                  <c:v>Baseline</c:v>
                </c:pt>
                <c:pt idx="1">
                  <c:v>Stressor</c:v>
                </c:pt>
                <c:pt idx="2">
                  <c:v>Video</c:v>
                </c:pt>
              </c:strCache>
            </c:strRef>
          </c:cat>
          <c:val>
            <c:numRef>
              <c:f>'NA and PA by treatment'!$O$11:$O$13</c:f>
              <c:numCache>
                <c:formatCode>General</c:formatCode>
                <c:ptCount val="3"/>
                <c:pt idx="0">
                  <c:v>7.866666666666668</c:v>
                </c:pt>
                <c:pt idx="1">
                  <c:v>9.3666666666666689</c:v>
                </c:pt>
                <c:pt idx="2">
                  <c:v>6.4444444444444446</c:v>
                </c:pt>
              </c:numCache>
            </c:numRef>
          </c:val>
          <c:extLst>
            <c:ext xmlns:c16="http://schemas.microsoft.com/office/drawing/2014/chart" uri="{C3380CC4-5D6E-409C-BE32-E72D297353CC}">
              <c16:uniqueId val="{00000001-6DA9-49AF-BD6D-C096B82FE111}"/>
            </c:ext>
          </c:extLst>
        </c:ser>
        <c:ser>
          <c:idx val="2"/>
          <c:order val="2"/>
          <c:tx>
            <c:strRef>
              <c:f>'NA and PA by treatment'!$P$10</c:f>
              <c:strCache>
                <c:ptCount val="1"/>
                <c:pt idx="0">
                  <c:v>High Floral</c:v>
                </c:pt>
              </c:strCache>
            </c:strRef>
          </c:tx>
          <c:spPr>
            <a:pattFill prst="trellis">
              <a:fgClr>
                <a:schemeClr val="accent6"/>
              </a:fgClr>
              <a:bgClr>
                <a:schemeClr val="bg1"/>
              </a:bgClr>
            </a:pattFill>
            <a:ln>
              <a:noFill/>
            </a:ln>
            <a:effectLst/>
          </c:spPr>
          <c:invertIfNegative val="0"/>
          <c:errBars>
            <c:errBarType val="both"/>
            <c:errValType val="cust"/>
            <c:noEndCap val="0"/>
            <c:plus>
              <c:numRef>
                <c:f>'NA and PA by treatment'!$E$24:$E$26</c:f>
                <c:numCache>
                  <c:formatCode>General</c:formatCode>
                  <c:ptCount val="3"/>
                  <c:pt idx="0">
                    <c:v>0.36662855104664421</c:v>
                  </c:pt>
                  <c:pt idx="1">
                    <c:v>0.43884632198291929</c:v>
                  </c:pt>
                  <c:pt idx="2">
                    <c:v>0.3233634640606497</c:v>
                  </c:pt>
                </c:numCache>
              </c:numRef>
            </c:plus>
            <c:minus>
              <c:numRef>
                <c:f>'NA and PA by treatment'!$E$24:$E$26</c:f>
                <c:numCache>
                  <c:formatCode>General</c:formatCode>
                  <c:ptCount val="3"/>
                  <c:pt idx="0">
                    <c:v>0.36662855104664421</c:v>
                  </c:pt>
                  <c:pt idx="1">
                    <c:v>0.43884632198291929</c:v>
                  </c:pt>
                  <c:pt idx="2">
                    <c:v>0.3233634640606497</c:v>
                  </c:pt>
                </c:numCache>
              </c:numRef>
            </c:minus>
            <c:spPr>
              <a:noFill/>
              <a:ln w="9525" cap="flat" cmpd="sng" algn="ctr">
                <a:solidFill>
                  <a:schemeClr val="tx1">
                    <a:lumMod val="65000"/>
                    <a:lumOff val="35000"/>
                  </a:schemeClr>
                </a:solidFill>
                <a:round/>
              </a:ln>
              <a:effectLst/>
            </c:spPr>
          </c:errBars>
          <c:cat>
            <c:strRef>
              <c:f>'NA and PA by treatment'!$M$11:$M$13</c:f>
              <c:strCache>
                <c:ptCount val="3"/>
                <c:pt idx="0">
                  <c:v>Baseline</c:v>
                </c:pt>
                <c:pt idx="1">
                  <c:v>Stressor</c:v>
                </c:pt>
                <c:pt idx="2">
                  <c:v>Video</c:v>
                </c:pt>
              </c:strCache>
            </c:strRef>
          </c:cat>
          <c:val>
            <c:numRef>
              <c:f>'NA and PA by treatment'!$P$11:$P$13</c:f>
              <c:numCache>
                <c:formatCode>General</c:formatCode>
                <c:ptCount val="3"/>
                <c:pt idx="0">
                  <c:v>8.3478260869565215</c:v>
                </c:pt>
                <c:pt idx="1">
                  <c:v>10.184782608695652</c:v>
                </c:pt>
                <c:pt idx="2">
                  <c:v>6.8586956521739131</c:v>
                </c:pt>
              </c:numCache>
            </c:numRef>
          </c:val>
          <c:extLst>
            <c:ext xmlns:c16="http://schemas.microsoft.com/office/drawing/2014/chart" uri="{C3380CC4-5D6E-409C-BE32-E72D297353CC}">
              <c16:uniqueId val="{00000002-6DA9-49AF-BD6D-C096B82FE111}"/>
            </c:ext>
          </c:extLst>
        </c:ser>
        <c:ser>
          <c:idx val="3"/>
          <c:order val="3"/>
          <c:tx>
            <c:strRef>
              <c:f>'NA and PA by treatment'!$Q$10</c:f>
              <c:strCache>
                <c:ptCount val="1"/>
                <c:pt idx="0">
                  <c:v>High Floral and rich audio</c:v>
                </c:pt>
              </c:strCache>
            </c:strRef>
          </c:tx>
          <c:spPr>
            <a:solidFill>
              <a:schemeClr val="accent4"/>
            </a:solidFill>
            <a:ln>
              <a:noFill/>
            </a:ln>
            <a:effectLst/>
          </c:spPr>
          <c:invertIfNegative val="0"/>
          <c:errBars>
            <c:errBarType val="both"/>
            <c:errValType val="cust"/>
            <c:noEndCap val="0"/>
            <c:plus>
              <c:numRef>
                <c:f>'NA and PA by treatment'!$E$27:$E$29</c:f>
                <c:numCache>
                  <c:formatCode>General</c:formatCode>
                  <c:ptCount val="3"/>
                  <c:pt idx="0">
                    <c:v>0.35522797349048968</c:v>
                  </c:pt>
                  <c:pt idx="1">
                    <c:v>0.4252000810812856</c:v>
                  </c:pt>
                  <c:pt idx="2">
                    <c:v>0.31330824539225632</c:v>
                  </c:pt>
                </c:numCache>
              </c:numRef>
            </c:plus>
            <c:minus>
              <c:numRef>
                <c:f>'NA and PA by treatment'!$E$27:$E$29</c:f>
                <c:numCache>
                  <c:formatCode>General</c:formatCode>
                  <c:ptCount val="3"/>
                  <c:pt idx="0">
                    <c:v>0.35522797349048968</c:v>
                  </c:pt>
                  <c:pt idx="1">
                    <c:v>0.4252000810812856</c:v>
                  </c:pt>
                  <c:pt idx="2">
                    <c:v>0.31330824539225632</c:v>
                  </c:pt>
                </c:numCache>
              </c:numRef>
            </c:minus>
            <c:spPr>
              <a:noFill/>
              <a:ln w="9525" cap="flat" cmpd="sng" algn="ctr">
                <a:solidFill>
                  <a:schemeClr val="tx1">
                    <a:lumMod val="65000"/>
                    <a:lumOff val="35000"/>
                  </a:schemeClr>
                </a:solidFill>
                <a:round/>
              </a:ln>
              <a:effectLst/>
            </c:spPr>
          </c:errBars>
          <c:cat>
            <c:strRef>
              <c:f>'NA and PA by treatment'!$M$11:$M$13</c:f>
              <c:strCache>
                <c:ptCount val="3"/>
                <c:pt idx="0">
                  <c:v>Baseline</c:v>
                </c:pt>
                <c:pt idx="1">
                  <c:v>Stressor</c:v>
                </c:pt>
                <c:pt idx="2">
                  <c:v>Video</c:v>
                </c:pt>
              </c:strCache>
            </c:strRef>
          </c:cat>
          <c:val>
            <c:numRef>
              <c:f>'NA and PA by treatment'!$Q$11:$Q$13</c:f>
              <c:numCache>
                <c:formatCode>General</c:formatCode>
                <c:ptCount val="3"/>
                <c:pt idx="0">
                  <c:v>7.4795918367346967</c:v>
                </c:pt>
                <c:pt idx="1">
                  <c:v>9.397959183673473</c:v>
                </c:pt>
                <c:pt idx="2">
                  <c:v>6.7551020408163271</c:v>
                </c:pt>
              </c:numCache>
            </c:numRef>
          </c:val>
          <c:extLst>
            <c:ext xmlns:c16="http://schemas.microsoft.com/office/drawing/2014/chart" uri="{C3380CC4-5D6E-409C-BE32-E72D297353CC}">
              <c16:uniqueId val="{00000003-6DA9-49AF-BD6D-C096B82FE111}"/>
            </c:ext>
          </c:extLst>
        </c:ser>
        <c:dLbls>
          <c:showLegendKey val="0"/>
          <c:showVal val="0"/>
          <c:showCatName val="0"/>
          <c:showSerName val="0"/>
          <c:showPercent val="0"/>
          <c:showBubbleSize val="0"/>
        </c:dLbls>
        <c:gapWidth val="219"/>
        <c:overlap val="-27"/>
        <c:axId val="1262859424"/>
        <c:axId val="1262857344"/>
      </c:barChart>
      <c:catAx>
        <c:axId val="12628594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62857344"/>
        <c:crosses val="autoZero"/>
        <c:auto val="1"/>
        <c:lblAlgn val="ctr"/>
        <c:lblOffset val="100"/>
        <c:noMultiLvlLbl val="0"/>
      </c:catAx>
      <c:valAx>
        <c:axId val="126285734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Mean NA Scores</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62859424"/>
        <c:crosses val="autoZero"/>
        <c:crossBetween val="between"/>
      </c:valAx>
      <c:spPr>
        <a:noFill/>
        <a:ln>
          <a:noFill/>
        </a:ln>
        <a:effectLst/>
      </c:spPr>
    </c:plotArea>
    <c:legend>
      <c:legendPos val="b"/>
      <c:layout>
        <c:manualLayout>
          <c:xMode val="edge"/>
          <c:yMode val="edge"/>
          <c:x val="1.4259740533773163E-2"/>
          <c:y val="0.868555889276727"/>
          <c:w val="0.96100586243155495"/>
          <c:h val="0.11082555402224206"/>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userShapes r:id="rId4"/>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'Results p2 EN vs CH'!$AB$129</c:f>
              <c:strCache>
                <c:ptCount val="1"/>
                <c:pt idx="0">
                  <c:v>Low</c:v>
                </c:pt>
              </c:strCache>
            </c:strRef>
          </c:tx>
          <c:spPr>
            <a:pattFill prst="dkDnDiag">
              <a:fgClr>
                <a:schemeClr val="accent1"/>
              </a:fgClr>
              <a:bgClr>
                <a:schemeClr val="bg1"/>
              </a:bgClr>
            </a:pattFill>
            <a:ln>
              <a:noFill/>
            </a:ln>
            <a:effectLst/>
          </c:spPr>
          <c:invertIfNegative val="0"/>
          <c:val>
            <c:numRef>
              <c:f>'Results p2 EN vs CH'!$AC$129:$AD$129</c:f>
              <c:numCache>
                <c:formatCode>General</c:formatCode>
                <c:ptCount val="1"/>
                <c:pt idx="0">
                  <c:v>0.35099999999999998</c:v>
                </c:pt>
              </c:numCache>
            </c:numRef>
          </c:val>
          <c:extLst>
            <c:ext xmlns:c15="http://schemas.microsoft.com/office/drawing/2012/chart" uri="{02D57815-91ED-43cb-92C2-25804820EDAC}">
              <c15:filteredCategoryTitle>
                <c15:cat>
                  <c:strRef>
                    <c:extLst>
                      <c:ext uri="{02D57815-91ED-43cb-92C2-25804820EDAC}">
                        <c15:formulaRef>
                          <c15:sqref>'Results p2 EN vs CH'!$AC$128:$AD$128</c15:sqref>
                        </c15:formulaRef>
                      </c:ext>
                    </c:extLst>
                    <c:strCache>
                      <c:ptCount val="1"/>
                      <c:pt idx="0">
                        <c:v>EN</c:v>
                      </c:pt>
                    </c:strCache>
                  </c:strRef>
                </c15:cat>
              </c15:filteredCategoryTitle>
            </c:ext>
            <c:ext xmlns:c16="http://schemas.microsoft.com/office/drawing/2014/chart" uri="{C3380CC4-5D6E-409C-BE32-E72D297353CC}">
              <c16:uniqueId val="{00000000-8A51-4860-AC74-8B3BE6253DAE}"/>
            </c:ext>
          </c:extLst>
        </c:ser>
        <c:ser>
          <c:idx val="1"/>
          <c:order val="1"/>
          <c:tx>
            <c:strRef>
              <c:f>'Results p2 EN vs CH'!$AB$130</c:f>
              <c:strCache>
                <c:ptCount val="1"/>
                <c:pt idx="0">
                  <c:v>Med</c:v>
                </c:pt>
              </c:strCache>
            </c:strRef>
          </c:tx>
          <c:spPr>
            <a:pattFill prst="trellis">
              <a:fgClr>
                <a:schemeClr val="accent2"/>
              </a:fgClr>
              <a:bgClr>
                <a:schemeClr val="bg1"/>
              </a:bgClr>
            </a:pattFill>
            <a:ln>
              <a:noFill/>
            </a:ln>
            <a:effectLst/>
          </c:spPr>
          <c:invertIfNegative val="0"/>
          <c:val>
            <c:numRef>
              <c:f>'Results p2 EN vs CH'!$AC$130:$AD$130</c:f>
              <c:numCache>
                <c:formatCode>General</c:formatCode>
                <c:ptCount val="1"/>
                <c:pt idx="0">
                  <c:v>0.9009999999999998</c:v>
                </c:pt>
              </c:numCache>
            </c:numRef>
          </c:val>
          <c:extLst>
            <c:ext xmlns:c15="http://schemas.microsoft.com/office/drawing/2012/chart" uri="{02D57815-91ED-43cb-92C2-25804820EDAC}">
              <c15:filteredCategoryTitle>
                <c15:cat>
                  <c:strRef>
                    <c:extLst>
                      <c:ext uri="{02D57815-91ED-43cb-92C2-25804820EDAC}">
                        <c15:formulaRef>
                          <c15:sqref>'Results p2 EN vs CH'!$AC$128:$AD$128</c15:sqref>
                        </c15:formulaRef>
                      </c:ext>
                    </c:extLst>
                    <c:strCache>
                      <c:ptCount val="1"/>
                      <c:pt idx="0">
                        <c:v>EN</c:v>
                      </c:pt>
                    </c:strCache>
                  </c:strRef>
                </c15:cat>
              </c15:filteredCategoryTitle>
            </c:ext>
            <c:ext xmlns:c16="http://schemas.microsoft.com/office/drawing/2014/chart" uri="{C3380CC4-5D6E-409C-BE32-E72D297353CC}">
              <c16:uniqueId val="{00000001-8A51-4860-AC74-8B3BE6253DAE}"/>
            </c:ext>
          </c:extLst>
        </c:ser>
        <c:ser>
          <c:idx val="2"/>
          <c:order val="2"/>
          <c:tx>
            <c:strRef>
              <c:f>'Results p2 EN vs CH'!$AB$131</c:f>
              <c:strCache>
                <c:ptCount val="1"/>
                <c:pt idx="0">
                  <c:v>High</c:v>
                </c:pt>
              </c:strCache>
            </c:strRef>
          </c:tx>
          <c:spPr>
            <a:solidFill>
              <a:schemeClr val="accent6"/>
            </a:solidFill>
            <a:ln>
              <a:noFill/>
            </a:ln>
            <a:effectLst/>
          </c:spPr>
          <c:invertIfNegative val="0"/>
          <c:val>
            <c:numRef>
              <c:f>'Results p2 EN vs CH'!$AC$131:$AD$131</c:f>
              <c:numCache>
                <c:formatCode>General</c:formatCode>
                <c:ptCount val="1"/>
                <c:pt idx="0">
                  <c:v>0.77800000000000002</c:v>
                </c:pt>
              </c:numCache>
            </c:numRef>
          </c:val>
          <c:extLst>
            <c:ext xmlns:c15="http://schemas.microsoft.com/office/drawing/2012/chart" uri="{02D57815-91ED-43cb-92C2-25804820EDAC}">
              <c15:filteredCategoryTitle>
                <c15:cat>
                  <c:strRef>
                    <c:extLst>
                      <c:ext uri="{02D57815-91ED-43cb-92C2-25804820EDAC}">
                        <c15:formulaRef>
                          <c15:sqref>'Results p2 EN vs CH'!$AC$128:$AD$128</c15:sqref>
                        </c15:formulaRef>
                      </c:ext>
                    </c:extLst>
                    <c:strCache>
                      <c:ptCount val="1"/>
                      <c:pt idx="0">
                        <c:v>EN</c:v>
                      </c:pt>
                    </c:strCache>
                  </c:strRef>
                </c15:cat>
              </c15:filteredCategoryTitle>
            </c:ext>
            <c:ext xmlns:c16="http://schemas.microsoft.com/office/drawing/2014/chart" uri="{C3380CC4-5D6E-409C-BE32-E72D297353CC}">
              <c16:uniqueId val="{00000002-8A51-4860-AC74-8B3BE6253DAE}"/>
            </c:ext>
          </c:extLst>
        </c:ser>
        <c:dLbls>
          <c:showLegendKey val="0"/>
          <c:showVal val="0"/>
          <c:showCatName val="0"/>
          <c:showSerName val="0"/>
          <c:showPercent val="0"/>
          <c:showBubbleSize val="0"/>
        </c:dLbls>
        <c:gapWidth val="219"/>
        <c:overlap val="-27"/>
        <c:axId val="1155964656"/>
        <c:axId val="1155967536"/>
      </c:barChart>
      <c:catAx>
        <c:axId val="1155964656"/>
        <c:scaling>
          <c:orientation val="minMax"/>
        </c:scaling>
        <c:delete val="1"/>
        <c:axPos val="b"/>
        <c:numFmt formatCode="General" sourceLinked="1"/>
        <c:majorTickMark val="none"/>
        <c:minorTickMark val="none"/>
        <c:tickLblPos val="nextTo"/>
        <c:crossAx val="1155967536"/>
        <c:crosses val="autoZero"/>
        <c:auto val="1"/>
        <c:lblAlgn val="ctr"/>
        <c:lblOffset val="100"/>
        <c:noMultiLvlLbl val="0"/>
      </c:catAx>
      <c:valAx>
        <c:axId val="1155967536"/>
        <c:scaling>
          <c:orientation val="minMax"/>
          <c:max val="1"/>
          <c:min val="-0.75000000000000011"/>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Mean</a:t>
                </a:r>
                <a:r>
                  <a:rPr lang="en-GB" baseline="0"/>
                  <a:t> change in Serenity</a:t>
                </a:r>
                <a:endParaRPr lang="en-GB"/>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55964656"/>
        <c:crosses val="autoZero"/>
        <c:crossBetween val="between"/>
        <c:majorUnit val="0.25"/>
      </c:valAx>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txPr>
    <a:bodyPr/>
    <a:lstStyle/>
    <a:p>
      <a:pPr>
        <a:defRPr/>
      </a:pPr>
      <a:endParaRPr lang="en-US"/>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2850621933127927"/>
          <c:y val="5.5555555555555552E-2"/>
          <c:w val="0.62298250053336901"/>
          <c:h val="0.78761519393409141"/>
        </c:manualLayout>
      </c:layout>
      <c:barChart>
        <c:barDir val="col"/>
        <c:grouping val="clustered"/>
        <c:varyColors val="0"/>
        <c:ser>
          <c:idx val="0"/>
          <c:order val="0"/>
          <c:tx>
            <c:strRef>
              <c:f>'Results p2 EN vs CH'!$AB$141</c:f>
              <c:strCache>
                <c:ptCount val="1"/>
                <c:pt idx="0">
                  <c:v>Low</c:v>
                </c:pt>
              </c:strCache>
            </c:strRef>
          </c:tx>
          <c:spPr>
            <a:pattFill prst="dkDnDiag">
              <a:fgClr>
                <a:schemeClr val="accent1"/>
              </a:fgClr>
              <a:bgClr>
                <a:schemeClr val="bg1"/>
              </a:bgClr>
            </a:pattFill>
            <a:ln>
              <a:noFill/>
            </a:ln>
            <a:effectLst/>
          </c:spPr>
          <c:invertIfNegative val="0"/>
          <c:val>
            <c:numRef>
              <c:f>'Results p2 EN vs CH'!$AC$141:$AD$141</c:f>
              <c:numCache>
                <c:formatCode>General</c:formatCode>
                <c:ptCount val="1"/>
                <c:pt idx="0">
                  <c:v>-0.26</c:v>
                </c:pt>
              </c:numCache>
              <c:extLst/>
            </c:numRef>
          </c:val>
          <c:extLst>
            <c:ext xmlns:c15="http://schemas.microsoft.com/office/drawing/2012/chart" uri="{02D57815-91ED-43cb-92C2-25804820EDAC}">
              <c15:filteredCategoryTitle>
                <c15:cat>
                  <c:strRef>
                    <c:extLst>
                      <c:ext uri="{02D57815-91ED-43cb-92C2-25804820EDAC}">
                        <c15:formulaRef>
                          <c15:sqref>'Results p2 EN vs CH'!$AC$140:$AD$140</c15:sqref>
                        </c15:formulaRef>
                      </c:ext>
                    </c:extLst>
                    <c:strCache>
                      <c:ptCount val="1"/>
                      <c:pt idx="0">
                        <c:v>EN</c:v>
                      </c:pt>
                    </c:strCache>
                  </c:strRef>
                </c15:cat>
              </c15:filteredCategoryTitle>
            </c:ext>
            <c:ext xmlns:c16="http://schemas.microsoft.com/office/drawing/2014/chart" uri="{C3380CC4-5D6E-409C-BE32-E72D297353CC}">
              <c16:uniqueId val="{00000000-102B-45E0-97EB-AC0580702763}"/>
            </c:ext>
          </c:extLst>
        </c:ser>
        <c:ser>
          <c:idx val="1"/>
          <c:order val="1"/>
          <c:tx>
            <c:strRef>
              <c:f>'Results p2 EN vs CH'!$AB$142</c:f>
              <c:strCache>
                <c:ptCount val="1"/>
                <c:pt idx="0">
                  <c:v>Med</c:v>
                </c:pt>
              </c:strCache>
            </c:strRef>
          </c:tx>
          <c:spPr>
            <a:pattFill prst="trellis">
              <a:fgClr>
                <a:schemeClr val="accent2"/>
              </a:fgClr>
              <a:bgClr>
                <a:schemeClr val="bg1"/>
              </a:bgClr>
            </a:pattFill>
            <a:ln>
              <a:noFill/>
            </a:ln>
            <a:effectLst/>
          </c:spPr>
          <c:invertIfNegative val="0"/>
          <c:val>
            <c:numRef>
              <c:f>'Results p2 EN vs CH'!$AC$142:$AD$142</c:f>
              <c:numCache>
                <c:formatCode>General</c:formatCode>
                <c:ptCount val="1"/>
                <c:pt idx="0">
                  <c:v>-0.50499999999999989</c:v>
                </c:pt>
              </c:numCache>
              <c:extLst/>
            </c:numRef>
          </c:val>
          <c:extLst>
            <c:ext xmlns:c15="http://schemas.microsoft.com/office/drawing/2012/chart" uri="{02D57815-91ED-43cb-92C2-25804820EDAC}">
              <c15:filteredCategoryTitle>
                <c15:cat>
                  <c:strRef>
                    <c:extLst>
                      <c:ext uri="{02D57815-91ED-43cb-92C2-25804820EDAC}">
                        <c15:formulaRef>
                          <c15:sqref>'Results p2 EN vs CH'!$AC$140:$AD$140</c15:sqref>
                        </c15:formulaRef>
                      </c:ext>
                    </c:extLst>
                    <c:strCache>
                      <c:ptCount val="1"/>
                      <c:pt idx="0">
                        <c:v>EN</c:v>
                      </c:pt>
                    </c:strCache>
                  </c:strRef>
                </c15:cat>
              </c15:filteredCategoryTitle>
            </c:ext>
            <c:ext xmlns:c16="http://schemas.microsoft.com/office/drawing/2014/chart" uri="{C3380CC4-5D6E-409C-BE32-E72D297353CC}">
              <c16:uniqueId val="{00000001-102B-45E0-97EB-AC0580702763}"/>
            </c:ext>
          </c:extLst>
        </c:ser>
        <c:ser>
          <c:idx val="2"/>
          <c:order val="2"/>
          <c:tx>
            <c:strRef>
              <c:f>'Results p2 EN vs CH'!$AB$143</c:f>
              <c:strCache>
                <c:ptCount val="1"/>
                <c:pt idx="0">
                  <c:v>High</c:v>
                </c:pt>
              </c:strCache>
            </c:strRef>
          </c:tx>
          <c:spPr>
            <a:solidFill>
              <a:schemeClr val="accent6"/>
            </a:solidFill>
            <a:ln>
              <a:noFill/>
            </a:ln>
            <a:effectLst/>
          </c:spPr>
          <c:invertIfNegative val="0"/>
          <c:val>
            <c:numRef>
              <c:f>'Results p2 EN vs CH'!$AC$143:$AD$143</c:f>
              <c:numCache>
                <c:formatCode>General</c:formatCode>
                <c:ptCount val="1"/>
                <c:pt idx="0">
                  <c:v>-0.43100000000000005</c:v>
                </c:pt>
              </c:numCache>
              <c:extLst/>
            </c:numRef>
          </c:val>
          <c:extLst>
            <c:ext xmlns:c15="http://schemas.microsoft.com/office/drawing/2012/chart" uri="{02D57815-91ED-43cb-92C2-25804820EDAC}">
              <c15:filteredCategoryTitle>
                <c15:cat>
                  <c:strRef>
                    <c:extLst>
                      <c:ext uri="{02D57815-91ED-43cb-92C2-25804820EDAC}">
                        <c15:formulaRef>
                          <c15:sqref>'Results p2 EN vs CH'!$AC$140:$AD$140</c15:sqref>
                        </c15:formulaRef>
                      </c:ext>
                    </c:extLst>
                    <c:strCache>
                      <c:ptCount val="1"/>
                      <c:pt idx="0">
                        <c:v>EN</c:v>
                      </c:pt>
                    </c:strCache>
                  </c:strRef>
                </c15:cat>
              </c15:filteredCategoryTitle>
            </c:ext>
            <c:ext xmlns:c16="http://schemas.microsoft.com/office/drawing/2014/chart" uri="{C3380CC4-5D6E-409C-BE32-E72D297353CC}">
              <c16:uniqueId val="{00000002-102B-45E0-97EB-AC0580702763}"/>
            </c:ext>
          </c:extLst>
        </c:ser>
        <c:dLbls>
          <c:showLegendKey val="0"/>
          <c:showVal val="0"/>
          <c:showCatName val="0"/>
          <c:showSerName val="0"/>
          <c:showPercent val="0"/>
          <c:showBubbleSize val="0"/>
        </c:dLbls>
        <c:gapWidth val="219"/>
        <c:overlap val="-27"/>
        <c:axId val="1155964656"/>
        <c:axId val="1155967536"/>
      </c:barChart>
      <c:catAx>
        <c:axId val="1155964656"/>
        <c:scaling>
          <c:orientation val="minMax"/>
        </c:scaling>
        <c:delete val="1"/>
        <c:axPos val="b"/>
        <c:numFmt formatCode="General" sourceLinked="1"/>
        <c:majorTickMark val="none"/>
        <c:minorTickMark val="none"/>
        <c:tickLblPos val="nextTo"/>
        <c:crossAx val="1155967536"/>
        <c:crossesAt val="0"/>
        <c:auto val="1"/>
        <c:lblAlgn val="ctr"/>
        <c:lblOffset val="100"/>
        <c:noMultiLvlLbl val="0"/>
      </c:catAx>
      <c:valAx>
        <c:axId val="1155967536"/>
        <c:scaling>
          <c:orientation val="minMax"/>
          <c:max val="1"/>
          <c:min val="-0.75000000000000011"/>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Mean</a:t>
                </a:r>
                <a:r>
                  <a:rPr lang="en-GB" baseline="0"/>
                  <a:t> change in Negative Affect</a:t>
                </a:r>
                <a:endParaRPr lang="en-GB"/>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55964656"/>
        <c:crosses val="autoZero"/>
        <c:crossBetween val="between"/>
        <c:majorUnit val="0.25"/>
      </c:valAx>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txPr>
    <a:bodyPr/>
    <a:lstStyle/>
    <a:p>
      <a:pPr>
        <a:defRPr/>
      </a:pPr>
      <a:endParaRPr lang="en-US"/>
    </a:p>
  </c:tx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'Results p2 EN vs CH'!$X$115</c:f>
              <c:strCache>
                <c:ptCount val="1"/>
                <c:pt idx="0">
                  <c:v>Low</c:v>
                </c:pt>
              </c:strCache>
            </c:strRef>
          </c:tx>
          <c:spPr>
            <a:pattFill prst="dkDnDiag">
              <a:fgClr>
                <a:schemeClr val="accent1"/>
              </a:fgClr>
              <a:bgClr>
                <a:schemeClr val="bg1"/>
              </a:bgClr>
            </a:pattFill>
            <a:ln>
              <a:noFill/>
            </a:ln>
            <a:effectLst/>
          </c:spPr>
          <c:invertIfNegative val="0"/>
          <c:cat>
            <c:strRef>
              <c:f>'Results p2 EN vs CH'!$Y$114:$Z$114</c:f>
              <c:strCache>
                <c:ptCount val="1"/>
                <c:pt idx="0">
                  <c:v>CH</c:v>
                </c:pt>
              </c:strCache>
              <c:extLst/>
            </c:strRef>
          </c:cat>
          <c:val>
            <c:numRef>
              <c:f>'Results p2 EN vs CH'!$Y$115:$Z$115</c:f>
              <c:numCache>
                <c:formatCode>General</c:formatCode>
                <c:ptCount val="1"/>
                <c:pt idx="0">
                  <c:v>-5.2999999999999936E-2</c:v>
                </c:pt>
              </c:numCache>
              <c:extLst/>
            </c:numRef>
          </c:val>
          <c:extLst>
            <c:ext xmlns:c16="http://schemas.microsoft.com/office/drawing/2014/chart" uri="{C3380CC4-5D6E-409C-BE32-E72D297353CC}">
              <c16:uniqueId val="{00000000-B9F3-49D0-9353-D5DEC785EEF2}"/>
            </c:ext>
          </c:extLst>
        </c:ser>
        <c:ser>
          <c:idx val="1"/>
          <c:order val="1"/>
          <c:tx>
            <c:strRef>
              <c:f>'Results p2 EN vs CH'!$X$116</c:f>
              <c:strCache>
                <c:ptCount val="1"/>
                <c:pt idx="0">
                  <c:v>Med</c:v>
                </c:pt>
              </c:strCache>
            </c:strRef>
          </c:tx>
          <c:spPr>
            <a:pattFill prst="trellis">
              <a:fgClr>
                <a:schemeClr val="accent2"/>
              </a:fgClr>
              <a:bgClr>
                <a:schemeClr val="bg1"/>
              </a:bgClr>
            </a:pattFill>
            <a:ln>
              <a:noFill/>
            </a:ln>
            <a:effectLst/>
          </c:spPr>
          <c:invertIfNegative val="0"/>
          <c:cat>
            <c:strRef>
              <c:f>'Results p2 EN vs CH'!$Y$114:$Z$114</c:f>
              <c:strCache>
                <c:ptCount val="1"/>
                <c:pt idx="0">
                  <c:v>CH</c:v>
                </c:pt>
              </c:strCache>
              <c:extLst/>
            </c:strRef>
          </c:cat>
          <c:val>
            <c:numRef>
              <c:f>'Results p2 EN vs CH'!$Y$116:$Z$116</c:f>
              <c:numCache>
                <c:formatCode>General</c:formatCode>
                <c:ptCount val="1"/>
                <c:pt idx="0">
                  <c:v>-1.4000000000000234E-2</c:v>
                </c:pt>
              </c:numCache>
              <c:extLst/>
            </c:numRef>
          </c:val>
          <c:extLst>
            <c:ext xmlns:c16="http://schemas.microsoft.com/office/drawing/2014/chart" uri="{C3380CC4-5D6E-409C-BE32-E72D297353CC}">
              <c16:uniqueId val="{00000001-B9F3-49D0-9353-D5DEC785EEF2}"/>
            </c:ext>
          </c:extLst>
        </c:ser>
        <c:ser>
          <c:idx val="2"/>
          <c:order val="2"/>
          <c:tx>
            <c:strRef>
              <c:f>'Results p2 EN vs CH'!$X$117</c:f>
              <c:strCache>
                <c:ptCount val="1"/>
                <c:pt idx="0">
                  <c:v>High</c:v>
                </c:pt>
              </c:strCache>
            </c:strRef>
          </c:tx>
          <c:spPr>
            <a:solidFill>
              <a:schemeClr val="accent6"/>
            </a:solidFill>
            <a:ln>
              <a:noFill/>
            </a:ln>
            <a:effectLst/>
          </c:spPr>
          <c:invertIfNegative val="0"/>
          <c:cat>
            <c:strRef>
              <c:f>'Results p2 EN vs CH'!$Y$114:$Z$114</c:f>
              <c:strCache>
                <c:ptCount val="1"/>
                <c:pt idx="0">
                  <c:v>CH</c:v>
                </c:pt>
              </c:strCache>
              <c:extLst/>
            </c:strRef>
          </c:cat>
          <c:val>
            <c:numRef>
              <c:f>'Results p2 EN vs CH'!$Y$117:$Z$117</c:f>
              <c:numCache>
                <c:formatCode>General</c:formatCode>
                <c:ptCount val="1"/>
                <c:pt idx="0">
                  <c:v>0.11299999999999999</c:v>
                </c:pt>
              </c:numCache>
              <c:extLst/>
            </c:numRef>
          </c:val>
          <c:extLst>
            <c:ext xmlns:c16="http://schemas.microsoft.com/office/drawing/2014/chart" uri="{C3380CC4-5D6E-409C-BE32-E72D297353CC}">
              <c16:uniqueId val="{00000002-B9F3-49D0-9353-D5DEC785EEF2}"/>
            </c:ext>
          </c:extLst>
        </c:ser>
        <c:dLbls>
          <c:showLegendKey val="0"/>
          <c:showVal val="0"/>
          <c:showCatName val="0"/>
          <c:showSerName val="0"/>
          <c:showPercent val="0"/>
          <c:showBubbleSize val="0"/>
        </c:dLbls>
        <c:gapWidth val="219"/>
        <c:overlap val="-27"/>
        <c:axId val="1155964656"/>
        <c:axId val="1155967536"/>
      </c:barChart>
      <c:catAx>
        <c:axId val="1155964656"/>
        <c:scaling>
          <c:orientation val="minMax"/>
        </c:scaling>
        <c:delete val="1"/>
        <c:axPos val="b"/>
        <c:numFmt formatCode="General" sourceLinked="1"/>
        <c:majorTickMark val="none"/>
        <c:minorTickMark val="none"/>
        <c:tickLblPos val="nextTo"/>
        <c:crossAx val="1155967536"/>
        <c:crosses val="autoZero"/>
        <c:auto val="1"/>
        <c:lblAlgn val="ctr"/>
        <c:lblOffset val="100"/>
        <c:noMultiLvlLbl val="0"/>
      </c:catAx>
      <c:valAx>
        <c:axId val="1155967536"/>
        <c:scaling>
          <c:orientation val="minMax"/>
          <c:max val="0.5"/>
          <c:min val="-0.25"/>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Mean</a:t>
                </a:r>
                <a:r>
                  <a:rPr lang="en-GB" baseline="0"/>
                  <a:t> change in Joviality</a:t>
                </a:r>
                <a:endParaRPr lang="en-GB"/>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55964656"/>
        <c:crosses val="autoZero"/>
        <c:crossBetween val="between"/>
        <c:majorUnit val="0.25"/>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'Results p2 EN vs CH'!$X$129</c:f>
              <c:strCache>
                <c:ptCount val="1"/>
                <c:pt idx="0">
                  <c:v>Low</c:v>
                </c:pt>
              </c:strCache>
            </c:strRef>
          </c:tx>
          <c:spPr>
            <a:pattFill prst="dkDnDiag">
              <a:fgClr>
                <a:schemeClr val="accent1"/>
              </a:fgClr>
              <a:bgClr>
                <a:schemeClr val="bg1"/>
              </a:bgClr>
            </a:pattFill>
            <a:ln>
              <a:noFill/>
            </a:ln>
            <a:effectLst/>
          </c:spPr>
          <c:invertIfNegative val="0"/>
          <c:cat>
            <c:strRef>
              <c:f>'Results p2 EN vs CH'!$Y$128:$Z$128</c:f>
              <c:strCache>
                <c:ptCount val="1"/>
                <c:pt idx="0">
                  <c:v>CH</c:v>
                </c:pt>
              </c:strCache>
              <c:extLst/>
            </c:strRef>
          </c:cat>
          <c:val>
            <c:numRef>
              <c:f>'Results p2 EN vs CH'!$Y$129:$Z$129</c:f>
              <c:numCache>
                <c:formatCode>General</c:formatCode>
                <c:ptCount val="1"/>
                <c:pt idx="0">
                  <c:v>-4.3000000000000149E-2</c:v>
                </c:pt>
              </c:numCache>
              <c:extLst/>
            </c:numRef>
          </c:val>
          <c:extLst>
            <c:ext xmlns:c16="http://schemas.microsoft.com/office/drawing/2014/chart" uri="{C3380CC4-5D6E-409C-BE32-E72D297353CC}">
              <c16:uniqueId val="{00000000-C77B-4AF9-B4C0-31FAAA9129F3}"/>
            </c:ext>
          </c:extLst>
        </c:ser>
        <c:ser>
          <c:idx val="1"/>
          <c:order val="1"/>
          <c:tx>
            <c:strRef>
              <c:f>'Results p2 EN vs CH'!$X$130</c:f>
              <c:strCache>
                <c:ptCount val="1"/>
                <c:pt idx="0">
                  <c:v>Med</c:v>
                </c:pt>
              </c:strCache>
            </c:strRef>
          </c:tx>
          <c:spPr>
            <a:pattFill prst="trellis">
              <a:fgClr>
                <a:schemeClr val="accent2"/>
              </a:fgClr>
              <a:bgClr>
                <a:schemeClr val="bg1"/>
              </a:bgClr>
            </a:pattFill>
            <a:ln>
              <a:noFill/>
            </a:ln>
            <a:effectLst/>
          </c:spPr>
          <c:invertIfNegative val="0"/>
          <c:cat>
            <c:strRef>
              <c:f>'Results p2 EN vs CH'!$Y$128:$Z$128</c:f>
              <c:strCache>
                <c:ptCount val="1"/>
                <c:pt idx="0">
                  <c:v>CH</c:v>
                </c:pt>
              </c:strCache>
              <c:extLst/>
            </c:strRef>
          </c:cat>
          <c:val>
            <c:numRef>
              <c:f>'Results p2 EN vs CH'!$Y$130:$Z$130</c:f>
              <c:numCache>
                <c:formatCode>General</c:formatCode>
                <c:ptCount val="1"/>
                <c:pt idx="0">
                  <c:v>0</c:v>
                </c:pt>
              </c:numCache>
              <c:extLst/>
            </c:numRef>
          </c:val>
          <c:extLst>
            <c:ext xmlns:c16="http://schemas.microsoft.com/office/drawing/2014/chart" uri="{C3380CC4-5D6E-409C-BE32-E72D297353CC}">
              <c16:uniqueId val="{00000001-C77B-4AF9-B4C0-31FAAA9129F3}"/>
            </c:ext>
          </c:extLst>
        </c:ser>
        <c:ser>
          <c:idx val="2"/>
          <c:order val="2"/>
          <c:tx>
            <c:strRef>
              <c:f>'Results p2 EN vs CH'!$X$131</c:f>
              <c:strCache>
                <c:ptCount val="1"/>
                <c:pt idx="0">
                  <c:v>High</c:v>
                </c:pt>
              </c:strCache>
            </c:strRef>
          </c:tx>
          <c:spPr>
            <a:solidFill>
              <a:schemeClr val="accent6"/>
            </a:solidFill>
            <a:ln>
              <a:noFill/>
            </a:ln>
            <a:effectLst/>
          </c:spPr>
          <c:invertIfNegative val="0"/>
          <c:cat>
            <c:strRef>
              <c:f>'Results p2 EN vs CH'!$Y$128:$Z$128</c:f>
              <c:strCache>
                <c:ptCount val="1"/>
                <c:pt idx="0">
                  <c:v>CH</c:v>
                </c:pt>
              </c:strCache>
              <c:extLst/>
            </c:strRef>
          </c:cat>
          <c:val>
            <c:numRef>
              <c:f>'Results p2 EN vs CH'!$Y$131:$Z$131</c:f>
              <c:numCache>
                <c:formatCode>General</c:formatCode>
                <c:ptCount val="1"/>
                <c:pt idx="0">
                  <c:v>-6.999999999999984E-2</c:v>
                </c:pt>
              </c:numCache>
              <c:extLst/>
            </c:numRef>
          </c:val>
          <c:extLst>
            <c:ext xmlns:c16="http://schemas.microsoft.com/office/drawing/2014/chart" uri="{C3380CC4-5D6E-409C-BE32-E72D297353CC}">
              <c16:uniqueId val="{00000002-C77B-4AF9-B4C0-31FAAA9129F3}"/>
            </c:ext>
          </c:extLst>
        </c:ser>
        <c:dLbls>
          <c:showLegendKey val="0"/>
          <c:showVal val="0"/>
          <c:showCatName val="0"/>
          <c:showSerName val="0"/>
          <c:showPercent val="0"/>
          <c:showBubbleSize val="0"/>
        </c:dLbls>
        <c:gapWidth val="219"/>
        <c:overlap val="-27"/>
        <c:axId val="1155964656"/>
        <c:axId val="1155967536"/>
      </c:barChart>
      <c:catAx>
        <c:axId val="1155964656"/>
        <c:scaling>
          <c:orientation val="minMax"/>
        </c:scaling>
        <c:delete val="1"/>
        <c:axPos val="b"/>
        <c:numFmt formatCode="General" sourceLinked="1"/>
        <c:majorTickMark val="none"/>
        <c:minorTickMark val="none"/>
        <c:tickLblPos val="nextTo"/>
        <c:crossAx val="1155967536"/>
        <c:crosses val="autoZero"/>
        <c:auto val="1"/>
        <c:lblAlgn val="ctr"/>
        <c:lblOffset val="100"/>
        <c:noMultiLvlLbl val="0"/>
      </c:catAx>
      <c:valAx>
        <c:axId val="1155967536"/>
        <c:scaling>
          <c:orientation val="minMax"/>
          <c:max val="0.5"/>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Mean</a:t>
                </a:r>
                <a:r>
                  <a:rPr lang="en-GB" baseline="0"/>
                  <a:t> change in Serenity</a:t>
                </a:r>
                <a:endParaRPr lang="en-GB"/>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55964656"/>
        <c:crosses val="autoZero"/>
        <c:crossBetween val="between"/>
        <c:majorUnit val="0.25"/>
      </c:valAx>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txPr>
    <a:bodyPr/>
    <a:lstStyle/>
    <a:p>
      <a:pPr>
        <a:defRPr/>
      </a:pPr>
      <a:endParaRPr lang="en-US"/>
    </a:p>
  </c:txPr>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8439783873896668"/>
          <c:y val="6.0185185185185182E-2"/>
          <c:w val="0.64188609221578874"/>
          <c:h val="0.78298556430446198"/>
        </c:manualLayout>
      </c:layout>
      <c:barChart>
        <c:barDir val="col"/>
        <c:grouping val="clustered"/>
        <c:varyColors val="0"/>
        <c:ser>
          <c:idx val="0"/>
          <c:order val="0"/>
          <c:tx>
            <c:strRef>
              <c:f>'Results p2 EN vs CH'!$X$141</c:f>
              <c:strCache>
                <c:ptCount val="1"/>
                <c:pt idx="0">
                  <c:v>Low</c:v>
                </c:pt>
              </c:strCache>
            </c:strRef>
          </c:tx>
          <c:spPr>
            <a:pattFill prst="dkDnDiag">
              <a:fgClr>
                <a:schemeClr val="accent1"/>
              </a:fgClr>
              <a:bgClr>
                <a:schemeClr val="bg1"/>
              </a:bgClr>
            </a:pattFill>
            <a:ln>
              <a:noFill/>
            </a:ln>
            <a:effectLst/>
          </c:spPr>
          <c:invertIfNegative val="0"/>
          <c:cat>
            <c:strRef>
              <c:f>'Results p2 EN vs CH'!$Y$140:$Z$140</c:f>
              <c:strCache>
                <c:ptCount val="1"/>
                <c:pt idx="0">
                  <c:v>CH</c:v>
                </c:pt>
              </c:strCache>
              <c:extLst/>
            </c:strRef>
          </c:cat>
          <c:val>
            <c:numRef>
              <c:f>'Results p2 EN vs CH'!$Y$141:$Z$141</c:f>
              <c:numCache>
                <c:formatCode>General</c:formatCode>
                <c:ptCount val="1"/>
                <c:pt idx="0">
                  <c:v>-0.20799999999999996</c:v>
                </c:pt>
              </c:numCache>
              <c:extLst/>
            </c:numRef>
          </c:val>
          <c:extLst>
            <c:ext xmlns:c16="http://schemas.microsoft.com/office/drawing/2014/chart" uri="{C3380CC4-5D6E-409C-BE32-E72D297353CC}">
              <c16:uniqueId val="{00000000-16D0-44C3-980E-7FE85BC6D6AF}"/>
            </c:ext>
          </c:extLst>
        </c:ser>
        <c:ser>
          <c:idx val="1"/>
          <c:order val="1"/>
          <c:tx>
            <c:strRef>
              <c:f>'Results p2 EN vs CH'!$X$142</c:f>
              <c:strCache>
                <c:ptCount val="1"/>
                <c:pt idx="0">
                  <c:v>Med</c:v>
                </c:pt>
              </c:strCache>
            </c:strRef>
          </c:tx>
          <c:spPr>
            <a:pattFill prst="trellis">
              <a:fgClr>
                <a:schemeClr val="accent2"/>
              </a:fgClr>
              <a:bgClr>
                <a:schemeClr val="bg1"/>
              </a:bgClr>
            </a:pattFill>
            <a:ln>
              <a:noFill/>
            </a:ln>
            <a:effectLst/>
          </c:spPr>
          <c:invertIfNegative val="0"/>
          <c:cat>
            <c:strRef>
              <c:f>'Results p2 EN vs CH'!$Y$140:$Z$140</c:f>
              <c:strCache>
                <c:ptCount val="1"/>
                <c:pt idx="0">
                  <c:v>CH</c:v>
                </c:pt>
              </c:strCache>
              <c:extLst/>
            </c:strRef>
          </c:cat>
          <c:val>
            <c:numRef>
              <c:f>'Results p2 EN vs CH'!$Y$142:$Z$142</c:f>
              <c:numCache>
                <c:formatCode>General</c:formatCode>
                <c:ptCount val="1"/>
                <c:pt idx="0">
                  <c:v>-0.17700000000000005</c:v>
                </c:pt>
              </c:numCache>
              <c:extLst/>
            </c:numRef>
          </c:val>
          <c:extLst>
            <c:ext xmlns:c16="http://schemas.microsoft.com/office/drawing/2014/chart" uri="{C3380CC4-5D6E-409C-BE32-E72D297353CC}">
              <c16:uniqueId val="{00000001-16D0-44C3-980E-7FE85BC6D6AF}"/>
            </c:ext>
          </c:extLst>
        </c:ser>
        <c:ser>
          <c:idx val="2"/>
          <c:order val="2"/>
          <c:tx>
            <c:strRef>
              <c:f>'Results p2 EN vs CH'!$X$143</c:f>
              <c:strCache>
                <c:ptCount val="1"/>
                <c:pt idx="0">
                  <c:v>High</c:v>
                </c:pt>
              </c:strCache>
            </c:strRef>
          </c:tx>
          <c:spPr>
            <a:solidFill>
              <a:schemeClr val="accent6"/>
            </a:solidFill>
            <a:ln>
              <a:noFill/>
            </a:ln>
            <a:effectLst/>
          </c:spPr>
          <c:invertIfNegative val="0"/>
          <c:cat>
            <c:strRef>
              <c:f>'Results p2 EN vs CH'!$Y$140:$Z$140</c:f>
              <c:strCache>
                <c:ptCount val="1"/>
                <c:pt idx="0">
                  <c:v>CH</c:v>
                </c:pt>
              </c:strCache>
              <c:extLst/>
            </c:strRef>
          </c:cat>
          <c:val>
            <c:numRef>
              <c:f>'Results p2 EN vs CH'!$Y$143:$Z$143</c:f>
              <c:numCache>
                <c:formatCode>General</c:formatCode>
                <c:ptCount val="1"/>
                <c:pt idx="0">
                  <c:v>-0.18099999999999983</c:v>
                </c:pt>
              </c:numCache>
              <c:extLst/>
            </c:numRef>
          </c:val>
          <c:extLst>
            <c:ext xmlns:c16="http://schemas.microsoft.com/office/drawing/2014/chart" uri="{C3380CC4-5D6E-409C-BE32-E72D297353CC}">
              <c16:uniqueId val="{00000002-16D0-44C3-980E-7FE85BC6D6AF}"/>
            </c:ext>
          </c:extLst>
        </c:ser>
        <c:dLbls>
          <c:showLegendKey val="0"/>
          <c:showVal val="0"/>
          <c:showCatName val="0"/>
          <c:showSerName val="0"/>
          <c:showPercent val="0"/>
          <c:showBubbleSize val="0"/>
        </c:dLbls>
        <c:gapWidth val="219"/>
        <c:overlap val="-27"/>
        <c:axId val="1155964656"/>
        <c:axId val="1155967536"/>
      </c:barChart>
      <c:catAx>
        <c:axId val="1155964656"/>
        <c:scaling>
          <c:orientation val="minMax"/>
        </c:scaling>
        <c:delete val="1"/>
        <c:axPos val="b"/>
        <c:numFmt formatCode="General" sourceLinked="1"/>
        <c:majorTickMark val="none"/>
        <c:minorTickMark val="none"/>
        <c:tickLblPos val="nextTo"/>
        <c:crossAx val="1155967536"/>
        <c:crossesAt val="0"/>
        <c:auto val="1"/>
        <c:lblAlgn val="ctr"/>
        <c:lblOffset val="100"/>
        <c:noMultiLvlLbl val="0"/>
      </c:catAx>
      <c:valAx>
        <c:axId val="1155967536"/>
        <c:scaling>
          <c:orientation val="minMax"/>
          <c:max val="0.5"/>
          <c:min val="-0.25"/>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Mean</a:t>
                </a:r>
                <a:r>
                  <a:rPr lang="en-GB" baseline="0"/>
                  <a:t> change in Negative Affect</a:t>
                </a:r>
                <a:endParaRPr lang="en-GB"/>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55964656"/>
        <c:crosses val="autoZero"/>
        <c:crossBetween val="between"/>
        <c:majorUnit val="0.25"/>
      </c:valAx>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txPr>
    <a:bodyPr/>
    <a:lstStyle/>
    <a:p>
      <a:pPr>
        <a:defRPr/>
      </a:pPr>
      <a:endParaRPr lang="en-US"/>
    </a:p>
  </c:txPr>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'Results p2 EN vs CH'!$AB$115</c:f>
              <c:strCache>
                <c:ptCount val="1"/>
                <c:pt idx="0">
                  <c:v>Low</c:v>
                </c:pt>
              </c:strCache>
            </c:strRef>
          </c:tx>
          <c:spPr>
            <a:pattFill prst="dkDnDiag">
              <a:fgClr>
                <a:schemeClr val="accent1"/>
              </a:fgClr>
              <a:bgClr>
                <a:schemeClr val="bg1"/>
              </a:bgClr>
            </a:pattFill>
            <a:ln>
              <a:noFill/>
            </a:ln>
            <a:effectLst/>
          </c:spPr>
          <c:invertIfNegative val="0"/>
          <c:cat>
            <c:strRef>
              <c:f>'Results p2 EN vs CH'!$AC$114:$AD$114</c:f>
              <c:strCache>
                <c:ptCount val="1"/>
                <c:pt idx="0">
                  <c:v>CH</c:v>
                </c:pt>
              </c:strCache>
              <c:extLst/>
            </c:strRef>
          </c:cat>
          <c:val>
            <c:numRef>
              <c:f>'Results p2 EN vs CH'!$AC$115:$AD$115</c:f>
              <c:numCache>
                <c:formatCode>General</c:formatCode>
                <c:ptCount val="1"/>
                <c:pt idx="0">
                  <c:v>0.15600000000000014</c:v>
                </c:pt>
              </c:numCache>
              <c:extLst/>
            </c:numRef>
          </c:val>
          <c:extLst>
            <c:ext xmlns:c16="http://schemas.microsoft.com/office/drawing/2014/chart" uri="{C3380CC4-5D6E-409C-BE32-E72D297353CC}">
              <c16:uniqueId val="{00000000-5A3A-483F-8161-5ECE652626FA}"/>
            </c:ext>
          </c:extLst>
        </c:ser>
        <c:ser>
          <c:idx val="1"/>
          <c:order val="1"/>
          <c:tx>
            <c:strRef>
              <c:f>'Results p2 EN vs CH'!$AB$116</c:f>
              <c:strCache>
                <c:ptCount val="1"/>
                <c:pt idx="0">
                  <c:v>Med</c:v>
                </c:pt>
              </c:strCache>
            </c:strRef>
          </c:tx>
          <c:spPr>
            <a:pattFill prst="trellis">
              <a:fgClr>
                <a:schemeClr val="accent2"/>
              </a:fgClr>
              <a:bgClr>
                <a:schemeClr val="bg1"/>
              </a:bgClr>
            </a:pattFill>
            <a:ln>
              <a:noFill/>
            </a:ln>
            <a:effectLst/>
          </c:spPr>
          <c:invertIfNegative val="0"/>
          <c:cat>
            <c:strRef>
              <c:f>'Results p2 EN vs CH'!$AC$114:$AD$114</c:f>
              <c:strCache>
                <c:ptCount val="1"/>
                <c:pt idx="0">
                  <c:v>CH</c:v>
                </c:pt>
              </c:strCache>
              <c:extLst/>
            </c:strRef>
          </c:cat>
          <c:val>
            <c:numRef>
              <c:f>'Results p2 EN vs CH'!$AC$116:$AD$116</c:f>
              <c:numCache>
                <c:formatCode>General</c:formatCode>
                <c:ptCount val="1"/>
                <c:pt idx="0">
                  <c:v>0.11500000000000021</c:v>
                </c:pt>
              </c:numCache>
              <c:extLst/>
            </c:numRef>
          </c:val>
          <c:extLst>
            <c:ext xmlns:c16="http://schemas.microsoft.com/office/drawing/2014/chart" uri="{C3380CC4-5D6E-409C-BE32-E72D297353CC}">
              <c16:uniqueId val="{00000001-5A3A-483F-8161-5ECE652626FA}"/>
            </c:ext>
          </c:extLst>
        </c:ser>
        <c:ser>
          <c:idx val="2"/>
          <c:order val="2"/>
          <c:tx>
            <c:strRef>
              <c:f>'Results p2 EN vs CH'!$AB$117</c:f>
              <c:strCache>
                <c:ptCount val="1"/>
                <c:pt idx="0">
                  <c:v>High</c:v>
                </c:pt>
              </c:strCache>
            </c:strRef>
          </c:tx>
          <c:spPr>
            <a:solidFill>
              <a:schemeClr val="accent6"/>
            </a:solidFill>
            <a:ln>
              <a:noFill/>
            </a:ln>
            <a:effectLst/>
          </c:spPr>
          <c:invertIfNegative val="0"/>
          <c:cat>
            <c:strRef>
              <c:f>'Results p2 EN vs CH'!$AC$114:$AD$114</c:f>
              <c:strCache>
                <c:ptCount val="1"/>
                <c:pt idx="0">
                  <c:v>CH</c:v>
                </c:pt>
              </c:strCache>
              <c:extLst/>
            </c:strRef>
          </c:cat>
          <c:val>
            <c:numRef>
              <c:f>'Results p2 EN vs CH'!$AC$117:$AD$117</c:f>
              <c:numCache>
                <c:formatCode>General</c:formatCode>
                <c:ptCount val="1"/>
                <c:pt idx="0">
                  <c:v>0.43899999999999961</c:v>
                </c:pt>
              </c:numCache>
              <c:extLst/>
            </c:numRef>
          </c:val>
          <c:extLst>
            <c:ext xmlns:c16="http://schemas.microsoft.com/office/drawing/2014/chart" uri="{C3380CC4-5D6E-409C-BE32-E72D297353CC}">
              <c16:uniqueId val="{00000002-5A3A-483F-8161-5ECE652626FA}"/>
            </c:ext>
          </c:extLst>
        </c:ser>
        <c:dLbls>
          <c:showLegendKey val="0"/>
          <c:showVal val="0"/>
          <c:showCatName val="0"/>
          <c:showSerName val="0"/>
          <c:showPercent val="0"/>
          <c:showBubbleSize val="0"/>
        </c:dLbls>
        <c:gapWidth val="219"/>
        <c:overlap val="-27"/>
        <c:axId val="1155964656"/>
        <c:axId val="1155967536"/>
      </c:barChart>
      <c:catAx>
        <c:axId val="1155964656"/>
        <c:scaling>
          <c:orientation val="minMax"/>
        </c:scaling>
        <c:delete val="1"/>
        <c:axPos val="b"/>
        <c:numFmt formatCode="General" sourceLinked="1"/>
        <c:majorTickMark val="none"/>
        <c:minorTickMark val="none"/>
        <c:tickLblPos val="nextTo"/>
        <c:crossAx val="1155967536"/>
        <c:crosses val="autoZero"/>
        <c:auto val="1"/>
        <c:lblAlgn val="ctr"/>
        <c:lblOffset val="100"/>
        <c:noMultiLvlLbl val="0"/>
      </c:catAx>
      <c:valAx>
        <c:axId val="1155967536"/>
        <c:scaling>
          <c:orientation val="minMax"/>
          <c:max val="0.5"/>
          <c:min val="-0.5"/>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Mean</a:t>
                </a:r>
                <a:r>
                  <a:rPr lang="en-GB" baseline="0"/>
                  <a:t> change in Joviality</a:t>
                </a:r>
                <a:endParaRPr lang="en-GB"/>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55964656"/>
        <c:crosses val="autoZero"/>
        <c:crossBetween val="between"/>
        <c:majorUnit val="0.25"/>
      </c:valAx>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txPr>
    <a:bodyPr/>
    <a:lstStyle/>
    <a:p>
      <a:pPr>
        <a:defRPr/>
      </a:pPr>
      <a:endParaRPr lang="en-US"/>
    </a:p>
  </c:txPr>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'Results p2 EN vs CH'!$AB$129</c:f>
              <c:strCache>
                <c:ptCount val="1"/>
                <c:pt idx="0">
                  <c:v>Low</c:v>
                </c:pt>
              </c:strCache>
            </c:strRef>
          </c:tx>
          <c:spPr>
            <a:pattFill prst="dkDnDiag">
              <a:fgClr>
                <a:schemeClr val="accent1"/>
              </a:fgClr>
              <a:bgClr>
                <a:schemeClr val="bg1"/>
              </a:bgClr>
            </a:pattFill>
            <a:ln>
              <a:noFill/>
            </a:ln>
            <a:effectLst/>
          </c:spPr>
          <c:invertIfNegative val="0"/>
          <c:val>
            <c:numRef>
              <c:f>'Results p2 EN vs CH'!$AC$129:$AD$129</c:f>
              <c:numCache>
                <c:formatCode>General</c:formatCode>
                <c:ptCount val="1"/>
                <c:pt idx="0">
                  <c:v>0.1419999999999999</c:v>
                </c:pt>
              </c:numCache>
              <c:extLst/>
            </c:numRef>
          </c:val>
          <c:extLst>
            <c:ext xmlns:c15="http://schemas.microsoft.com/office/drawing/2012/chart" uri="{02D57815-91ED-43cb-92C2-25804820EDAC}">
              <c15:filteredCategoryTitle>
                <c15:cat>
                  <c:strRef>
                    <c:extLst>
                      <c:ext uri="{02D57815-91ED-43cb-92C2-25804820EDAC}">
                        <c15:formulaRef>
                          <c15:sqref>'Results p2 EN vs CH'!$AC$128:$AD$128</c15:sqref>
                        </c15:formulaRef>
                      </c:ext>
                    </c:extLst>
                    <c:strCache>
                      <c:ptCount val="1"/>
                      <c:pt idx="0">
                        <c:v>CH</c:v>
                      </c:pt>
                    </c:strCache>
                  </c:strRef>
                </c15:cat>
              </c15:filteredCategoryTitle>
            </c:ext>
            <c:ext xmlns:c16="http://schemas.microsoft.com/office/drawing/2014/chart" uri="{C3380CC4-5D6E-409C-BE32-E72D297353CC}">
              <c16:uniqueId val="{00000000-CF1C-44C4-9659-91A1D30E567F}"/>
            </c:ext>
          </c:extLst>
        </c:ser>
        <c:ser>
          <c:idx val="1"/>
          <c:order val="1"/>
          <c:tx>
            <c:strRef>
              <c:f>'Results p2 EN vs CH'!$AB$130</c:f>
              <c:strCache>
                <c:ptCount val="1"/>
                <c:pt idx="0">
                  <c:v>Med</c:v>
                </c:pt>
              </c:strCache>
            </c:strRef>
          </c:tx>
          <c:spPr>
            <a:pattFill prst="trellis">
              <a:fgClr>
                <a:schemeClr val="accent2"/>
              </a:fgClr>
              <a:bgClr>
                <a:schemeClr val="bg1"/>
              </a:bgClr>
            </a:pattFill>
            <a:ln>
              <a:noFill/>
            </a:ln>
            <a:effectLst/>
          </c:spPr>
          <c:invertIfNegative val="0"/>
          <c:val>
            <c:numRef>
              <c:f>'Results p2 EN vs CH'!$AC$130:$AD$130</c:f>
              <c:numCache>
                <c:formatCode>General</c:formatCode>
                <c:ptCount val="1"/>
                <c:pt idx="0">
                  <c:v>1.4000000000000234E-2</c:v>
                </c:pt>
              </c:numCache>
              <c:extLst/>
            </c:numRef>
          </c:val>
          <c:extLst>
            <c:ext xmlns:c15="http://schemas.microsoft.com/office/drawing/2012/chart" uri="{02D57815-91ED-43cb-92C2-25804820EDAC}">
              <c15:filteredCategoryTitle>
                <c15:cat>
                  <c:strRef>
                    <c:extLst>
                      <c:ext uri="{02D57815-91ED-43cb-92C2-25804820EDAC}">
                        <c15:formulaRef>
                          <c15:sqref>'Results p2 EN vs CH'!$AC$128:$AD$128</c15:sqref>
                        </c15:formulaRef>
                      </c:ext>
                    </c:extLst>
                    <c:strCache>
                      <c:ptCount val="1"/>
                      <c:pt idx="0">
                        <c:v>CH</c:v>
                      </c:pt>
                    </c:strCache>
                  </c:strRef>
                </c15:cat>
              </c15:filteredCategoryTitle>
            </c:ext>
            <c:ext xmlns:c16="http://schemas.microsoft.com/office/drawing/2014/chart" uri="{C3380CC4-5D6E-409C-BE32-E72D297353CC}">
              <c16:uniqueId val="{00000001-CF1C-44C4-9659-91A1D30E567F}"/>
            </c:ext>
          </c:extLst>
        </c:ser>
        <c:ser>
          <c:idx val="2"/>
          <c:order val="2"/>
          <c:tx>
            <c:strRef>
              <c:f>'Results p2 EN vs CH'!$AB$131</c:f>
              <c:strCache>
                <c:ptCount val="1"/>
                <c:pt idx="0">
                  <c:v>High</c:v>
                </c:pt>
              </c:strCache>
            </c:strRef>
          </c:tx>
          <c:spPr>
            <a:solidFill>
              <a:schemeClr val="accent6"/>
            </a:solidFill>
            <a:ln>
              <a:noFill/>
            </a:ln>
            <a:effectLst/>
          </c:spPr>
          <c:invertIfNegative val="0"/>
          <c:val>
            <c:numRef>
              <c:f>'Results p2 EN vs CH'!$AC$131:$AD$131</c:f>
              <c:numCache>
                <c:formatCode>General</c:formatCode>
                <c:ptCount val="1"/>
                <c:pt idx="0">
                  <c:v>0.21799999999999997</c:v>
                </c:pt>
              </c:numCache>
              <c:extLst/>
            </c:numRef>
          </c:val>
          <c:extLst>
            <c:ext xmlns:c15="http://schemas.microsoft.com/office/drawing/2012/chart" uri="{02D57815-91ED-43cb-92C2-25804820EDAC}">
              <c15:filteredCategoryTitle>
                <c15:cat>
                  <c:strRef>
                    <c:extLst>
                      <c:ext uri="{02D57815-91ED-43cb-92C2-25804820EDAC}">
                        <c15:formulaRef>
                          <c15:sqref>'Results p2 EN vs CH'!$AC$128:$AD$128</c15:sqref>
                        </c15:formulaRef>
                      </c:ext>
                    </c:extLst>
                    <c:strCache>
                      <c:ptCount val="1"/>
                      <c:pt idx="0">
                        <c:v>CH</c:v>
                      </c:pt>
                    </c:strCache>
                  </c:strRef>
                </c15:cat>
              </c15:filteredCategoryTitle>
            </c:ext>
            <c:ext xmlns:c16="http://schemas.microsoft.com/office/drawing/2014/chart" uri="{C3380CC4-5D6E-409C-BE32-E72D297353CC}">
              <c16:uniqueId val="{00000002-CF1C-44C4-9659-91A1D30E567F}"/>
            </c:ext>
          </c:extLst>
        </c:ser>
        <c:dLbls>
          <c:showLegendKey val="0"/>
          <c:showVal val="0"/>
          <c:showCatName val="0"/>
          <c:showSerName val="0"/>
          <c:showPercent val="0"/>
          <c:showBubbleSize val="0"/>
        </c:dLbls>
        <c:gapWidth val="219"/>
        <c:overlap val="-27"/>
        <c:axId val="1155964656"/>
        <c:axId val="1155967536"/>
      </c:barChart>
      <c:catAx>
        <c:axId val="1155964656"/>
        <c:scaling>
          <c:orientation val="minMax"/>
        </c:scaling>
        <c:delete val="1"/>
        <c:axPos val="b"/>
        <c:numFmt formatCode="General" sourceLinked="1"/>
        <c:majorTickMark val="none"/>
        <c:minorTickMark val="none"/>
        <c:tickLblPos val="nextTo"/>
        <c:crossAx val="1155967536"/>
        <c:crosses val="autoZero"/>
        <c:auto val="1"/>
        <c:lblAlgn val="ctr"/>
        <c:lblOffset val="100"/>
        <c:noMultiLvlLbl val="0"/>
      </c:catAx>
      <c:valAx>
        <c:axId val="1155967536"/>
        <c:scaling>
          <c:orientation val="minMax"/>
          <c:max val="0.5"/>
          <c:min val="-0.5"/>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Mean</a:t>
                </a:r>
                <a:r>
                  <a:rPr lang="en-GB" baseline="0"/>
                  <a:t> change in Serenity</a:t>
                </a:r>
                <a:endParaRPr lang="en-GB"/>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55964656"/>
        <c:crosses val="autoZero"/>
        <c:crossBetween val="between"/>
        <c:majorUnit val="0.25"/>
      </c:valAx>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txPr>
    <a:bodyPr/>
    <a:lstStyle/>
    <a:p>
      <a:pPr>
        <a:defRPr/>
      </a:pPr>
      <a:endParaRPr lang="en-US"/>
    </a:p>
  </c:txPr>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2850621933127927"/>
          <c:y val="5.5555555555555552E-2"/>
          <c:w val="0.62298250053336901"/>
          <c:h val="0.78761519393409141"/>
        </c:manualLayout>
      </c:layout>
      <c:barChart>
        <c:barDir val="col"/>
        <c:grouping val="clustered"/>
        <c:varyColors val="0"/>
        <c:ser>
          <c:idx val="0"/>
          <c:order val="0"/>
          <c:tx>
            <c:strRef>
              <c:f>'Results p2 EN vs CH'!$AB$141</c:f>
              <c:strCache>
                <c:ptCount val="1"/>
                <c:pt idx="0">
                  <c:v>Low</c:v>
                </c:pt>
              </c:strCache>
            </c:strRef>
          </c:tx>
          <c:spPr>
            <a:pattFill prst="dkDnDiag">
              <a:fgClr>
                <a:schemeClr val="accent1"/>
              </a:fgClr>
              <a:bgClr>
                <a:schemeClr val="bg1"/>
              </a:bgClr>
            </a:pattFill>
            <a:ln>
              <a:noFill/>
            </a:ln>
            <a:effectLst/>
          </c:spPr>
          <c:invertIfNegative val="0"/>
          <c:val>
            <c:numRef>
              <c:f>'Results p2 EN vs CH'!$AC$141:$AD$141</c:f>
              <c:numCache>
                <c:formatCode>General</c:formatCode>
                <c:ptCount val="1"/>
                <c:pt idx="0">
                  <c:v>-0.21300000000000008</c:v>
                </c:pt>
              </c:numCache>
              <c:extLst/>
            </c:numRef>
          </c:val>
          <c:extLst>
            <c:ext xmlns:c15="http://schemas.microsoft.com/office/drawing/2012/chart" uri="{02D57815-91ED-43cb-92C2-25804820EDAC}">
              <c15:filteredCategoryTitle>
                <c15:cat>
                  <c:strRef>
                    <c:extLst>
                      <c:ext uri="{02D57815-91ED-43cb-92C2-25804820EDAC}">
                        <c15:formulaRef>
                          <c15:sqref>'Results p2 EN vs CH'!$AC$140:$AD$140</c15:sqref>
                        </c15:formulaRef>
                      </c:ext>
                    </c:extLst>
                    <c:strCache>
                      <c:ptCount val="1"/>
                      <c:pt idx="0">
                        <c:v>CH</c:v>
                      </c:pt>
                    </c:strCache>
                  </c:strRef>
                </c15:cat>
              </c15:filteredCategoryTitle>
            </c:ext>
            <c:ext xmlns:c16="http://schemas.microsoft.com/office/drawing/2014/chart" uri="{C3380CC4-5D6E-409C-BE32-E72D297353CC}">
              <c16:uniqueId val="{00000000-1B37-4BF1-9E4A-016CA2ABF138}"/>
            </c:ext>
          </c:extLst>
        </c:ser>
        <c:ser>
          <c:idx val="1"/>
          <c:order val="1"/>
          <c:tx>
            <c:strRef>
              <c:f>'Results p2 EN vs CH'!$AB$142</c:f>
              <c:strCache>
                <c:ptCount val="1"/>
                <c:pt idx="0">
                  <c:v>Med</c:v>
                </c:pt>
              </c:strCache>
            </c:strRef>
          </c:tx>
          <c:spPr>
            <a:pattFill prst="trellis">
              <a:fgClr>
                <a:schemeClr val="accent2"/>
              </a:fgClr>
              <a:bgClr>
                <a:schemeClr val="bg1"/>
              </a:bgClr>
            </a:pattFill>
            <a:ln>
              <a:noFill/>
            </a:ln>
            <a:effectLst/>
          </c:spPr>
          <c:invertIfNegative val="0"/>
          <c:val>
            <c:numRef>
              <c:f>'Results p2 EN vs CH'!$AC$142:$AD$142</c:f>
              <c:numCache>
                <c:formatCode>General</c:formatCode>
                <c:ptCount val="1"/>
                <c:pt idx="0">
                  <c:v>-0.29099999999999993</c:v>
                </c:pt>
              </c:numCache>
              <c:extLst/>
            </c:numRef>
          </c:val>
          <c:extLst>
            <c:ext xmlns:c15="http://schemas.microsoft.com/office/drawing/2012/chart" uri="{02D57815-91ED-43cb-92C2-25804820EDAC}">
              <c15:filteredCategoryTitle>
                <c15:cat>
                  <c:strRef>
                    <c:extLst>
                      <c:ext uri="{02D57815-91ED-43cb-92C2-25804820EDAC}">
                        <c15:formulaRef>
                          <c15:sqref>'Results p2 EN vs CH'!$AC$140:$AD$140</c15:sqref>
                        </c15:formulaRef>
                      </c:ext>
                    </c:extLst>
                    <c:strCache>
                      <c:ptCount val="1"/>
                      <c:pt idx="0">
                        <c:v>CH</c:v>
                      </c:pt>
                    </c:strCache>
                  </c:strRef>
                </c15:cat>
              </c15:filteredCategoryTitle>
            </c:ext>
            <c:ext xmlns:c16="http://schemas.microsoft.com/office/drawing/2014/chart" uri="{C3380CC4-5D6E-409C-BE32-E72D297353CC}">
              <c16:uniqueId val="{00000001-1B37-4BF1-9E4A-016CA2ABF138}"/>
            </c:ext>
          </c:extLst>
        </c:ser>
        <c:ser>
          <c:idx val="2"/>
          <c:order val="2"/>
          <c:tx>
            <c:strRef>
              <c:f>'Results p2 EN vs CH'!$AB$143</c:f>
              <c:strCache>
                <c:ptCount val="1"/>
                <c:pt idx="0">
                  <c:v>High</c:v>
                </c:pt>
              </c:strCache>
            </c:strRef>
          </c:tx>
          <c:spPr>
            <a:solidFill>
              <a:schemeClr val="accent6"/>
            </a:solidFill>
            <a:ln>
              <a:noFill/>
            </a:ln>
            <a:effectLst/>
          </c:spPr>
          <c:invertIfNegative val="0"/>
          <c:val>
            <c:numRef>
              <c:f>'Results p2 EN vs CH'!$AC$143:$AD$143</c:f>
              <c:numCache>
                <c:formatCode>General</c:formatCode>
                <c:ptCount val="1"/>
                <c:pt idx="0">
                  <c:v>-0.20700000000000007</c:v>
                </c:pt>
              </c:numCache>
              <c:extLst/>
            </c:numRef>
          </c:val>
          <c:extLst>
            <c:ext xmlns:c15="http://schemas.microsoft.com/office/drawing/2012/chart" uri="{02D57815-91ED-43cb-92C2-25804820EDAC}">
              <c15:filteredCategoryTitle>
                <c15:cat>
                  <c:strRef>
                    <c:extLst>
                      <c:ext uri="{02D57815-91ED-43cb-92C2-25804820EDAC}">
                        <c15:formulaRef>
                          <c15:sqref>'Results p2 EN vs CH'!$AC$140:$AD$140</c15:sqref>
                        </c15:formulaRef>
                      </c:ext>
                    </c:extLst>
                    <c:strCache>
                      <c:ptCount val="1"/>
                      <c:pt idx="0">
                        <c:v>CH</c:v>
                      </c:pt>
                    </c:strCache>
                  </c:strRef>
                </c15:cat>
              </c15:filteredCategoryTitle>
            </c:ext>
            <c:ext xmlns:c16="http://schemas.microsoft.com/office/drawing/2014/chart" uri="{C3380CC4-5D6E-409C-BE32-E72D297353CC}">
              <c16:uniqueId val="{00000002-1B37-4BF1-9E4A-016CA2ABF138}"/>
            </c:ext>
          </c:extLst>
        </c:ser>
        <c:dLbls>
          <c:showLegendKey val="0"/>
          <c:showVal val="0"/>
          <c:showCatName val="0"/>
          <c:showSerName val="0"/>
          <c:showPercent val="0"/>
          <c:showBubbleSize val="0"/>
        </c:dLbls>
        <c:gapWidth val="219"/>
        <c:overlap val="-27"/>
        <c:axId val="1155964656"/>
        <c:axId val="1155967536"/>
      </c:barChart>
      <c:catAx>
        <c:axId val="1155964656"/>
        <c:scaling>
          <c:orientation val="minMax"/>
        </c:scaling>
        <c:delete val="1"/>
        <c:axPos val="b"/>
        <c:numFmt formatCode="General" sourceLinked="1"/>
        <c:majorTickMark val="none"/>
        <c:minorTickMark val="none"/>
        <c:tickLblPos val="nextTo"/>
        <c:crossAx val="1155967536"/>
        <c:crossesAt val="0"/>
        <c:auto val="1"/>
        <c:lblAlgn val="ctr"/>
        <c:lblOffset val="100"/>
        <c:noMultiLvlLbl val="0"/>
      </c:catAx>
      <c:valAx>
        <c:axId val="1155967536"/>
        <c:scaling>
          <c:orientation val="minMax"/>
          <c:max val="0.5"/>
          <c:min val="-0.5"/>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Mean</a:t>
                </a:r>
                <a:r>
                  <a:rPr lang="en-GB" baseline="0"/>
                  <a:t> change in Negative Affect</a:t>
                </a:r>
                <a:endParaRPr lang="en-GB"/>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55964656"/>
        <c:crosses val="autoZero"/>
        <c:crossBetween val="between"/>
        <c:majorUnit val="0.25"/>
      </c:valAx>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txPr>
    <a:bodyPr/>
    <a:lstStyle/>
    <a:p>
      <a:pPr>
        <a:defRPr/>
      </a:pPr>
      <a:endParaRPr lang="en-US"/>
    </a:p>
  </c:txPr>
  <c:externalData r:id="rId1">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'Online sample'!$B$29</c:f>
              <c:strCache>
                <c:ptCount val="1"/>
                <c:pt idx="0">
                  <c:v>Car park</c:v>
                </c:pt>
              </c:strCache>
            </c:strRef>
          </c:tx>
          <c:spPr>
            <a:ln w="28575" cap="rnd">
              <a:solidFill>
                <a:schemeClr val="tx2"/>
              </a:solidFill>
              <a:prstDash val="dash"/>
              <a:round/>
            </a:ln>
            <a:effectLst/>
          </c:spPr>
          <c:marker>
            <c:symbol val="circle"/>
            <c:size val="5"/>
            <c:spPr>
              <a:solidFill>
                <a:schemeClr val="tx2"/>
              </a:solidFill>
              <a:ln w="9525">
                <a:noFill/>
              </a:ln>
              <a:effectLst/>
            </c:spPr>
          </c:marker>
          <c:cat>
            <c:strRef>
              <c:f>'Online sample'!$C$28:$E$28</c:f>
              <c:strCache>
                <c:ptCount val="3"/>
                <c:pt idx="0">
                  <c:v>baseline</c:v>
                </c:pt>
                <c:pt idx="1">
                  <c:v>stressor</c:v>
                </c:pt>
                <c:pt idx="2">
                  <c:v>park</c:v>
                </c:pt>
              </c:strCache>
            </c:strRef>
          </c:cat>
          <c:val>
            <c:numRef>
              <c:f>'Online sample'!$C$29:$E$29</c:f>
              <c:numCache>
                <c:formatCode>General</c:formatCode>
                <c:ptCount val="3"/>
                <c:pt idx="0">
                  <c:v>2.4380000000000002</c:v>
                </c:pt>
                <c:pt idx="1">
                  <c:v>2.11</c:v>
                </c:pt>
                <c:pt idx="2">
                  <c:v>2.0169999999999999</c:v>
                </c:pt>
              </c:numCache>
            </c:numRef>
          </c:val>
          <c:smooth val="0"/>
          <c:extLst>
            <c:ext xmlns:c16="http://schemas.microsoft.com/office/drawing/2014/chart" uri="{C3380CC4-5D6E-409C-BE32-E72D297353CC}">
              <c16:uniqueId val="{00000000-125B-45B8-9F65-5FD2D6E616DB}"/>
            </c:ext>
          </c:extLst>
        </c:ser>
        <c:ser>
          <c:idx val="1"/>
          <c:order val="1"/>
          <c:tx>
            <c:strRef>
              <c:f>'Online sample'!$B$30</c:f>
              <c:strCache>
                <c:ptCount val="1"/>
                <c:pt idx="0">
                  <c:v>Low sp. richness</c:v>
                </c:pt>
              </c:strCache>
            </c:strRef>
          </c:tx>
          <c:spPr>
            <a:ln w="28575" cap="rnd">
              <a:solidFill>
                <a:schemeClr val="accent2"/>
              </a:solidFill>
              <a:prstDash val="sysDot"/>
              <a:round/>
            </a:ln>
            <a:effectLst/>
          </c:spPr>
          <c:marker>
            <c:symbol val="circle"/>
            <c:size val="5"/>
            <c:spPr>
              <a:solidFill>
                <a:schemeClr val="accent2"/>
              </a:solidFill>
              <a:ln w="9525">
                <a:solidFill>
                  <a:schemeClr val="accent2"/>
                </a:solidFill>
              </a:ln>
              <a:effectLst/>
            </c:spPr>
          </c:marker>
          <c:cat>
            <c:strRef>
              <c:f>'Online sample'!$C$28:$E$28</c:f>
              <c:strCache>
                <c:ptCount val="3"/>
                <c:pt idx="0">
                  <c:v>baseline</c:v>
                </c:pt>
                <c:pt idx="1">
                  <c:v>stressor</c:v>
                </c:pt>
                <c:pt idx="2">
                  <c:v>park</c:v>
                </c:pt>
              </c:strCache>
            </c:strRef>
          </c:cat>
          <c:val>
            <c:numRef>
              <c:f>'Online sample'!$C$30:$E$30</c:f>
              <c:numCache>
                <c:formatCode>General</c:formatCode>
                <c:ptCount val="3"/>
                <c:pt idx="0">
                  <c:v>2.544</c:v>
                </c:pt>
                <c:pt idx="1">
                  <c:v>2.1880000000000002</c:v>
                </c:pt>
                <c:pt idx="2">
                  <c:v>2.637</c:v>
                </c:pt>
              </c:numCache>
            </c:numRef>
          </c:val>
          <c:smooth val="0"/>
          <c:extLst>
            <c:ext xmlns:c16="http://schemas.microsoft.com/office/drawing/2014/chart" uri="{C3380CC4-5D6E-409C-BE32-E72D297353CC}">
              <c16:uniqueId val="{00000001-125B-45B8-9F65-5FD2D6E616DB}"/>
            </c:ext>
          </c:extLst>
        </c:ser>
        <c:ser>
          <c:idx val="2"/>
          <c:order val="2"/>
          <c:tx>
            <c:strRef>
              <c:f>'Online sample'!$B$31</c:f>
              <c:strCache>
                <c:ptCount val="1"/>
                <c:pt idx="0">
                  <c:v>High sp. Richness</c:v>
                </c:pt>
              </c:strCache>
            </c:strRef>
          </c:tx>
          <c:spPr>
            <a:ln w="28575" cap="rnd">
              <a:solidFill>
                <a:schemeClr val="accent6"/>
              </a:solidFill>
              <a:round/>
            </a:ln>
            <a:effectLst/>
          </c:spPr>
          <c:marker>
            <c:symbol val="circle"/>
            <c:size val="5"/>
            <c:spPr>
              <a:solidFill>
                <a:schemeClr val="accent6"/>
              </a:solidFill>
              <a:ln w="9525">
                <a:noFill/>
              </a:ln>
              <a:effectLst/>
            </c:spPr>
          </c:marker>
          <c:cat>
            <c:strRef>
              <c:f>'Online sample'!$C$28:$E$28</c:f>
              <c:strCache>
                <c:ptCount val="3"/>
                <c:pt idx="0">
                  <c:v>baseline</c:v>
                </c:pt>
                <c:pt idx="1">
                  <c:v>stressor</c:v>
                </c:pt>
                <c:pt idx="2">
                  <c:v>park</c:v>
                </c:pt>
              </c:strCache>
            </c:strRef>
          </c:cat>
          <c:val>
            <c:numRef>
              <c:f>'Online sample'!$C$31:$E$31</c:f>
              <c:numCache>
                <c:formatCode>General</c:formatCode>
                <c:ptCount val="3"/>
                <c:pt idx="0">
                  <c:v>2.4529999999999998</c:v>
                </c:pt>
                <c:pt idx="1">
                  <c:v>2.06</c:v>
                </c:pt>
                <c:pt idx="2">
                  <c:v>2.552</c:v>
                </c:pt>
              </c:numCache>
            </c:numRef>
          </c:val>
          <c:smooth val="0"/>
          <c:extLst>
            <c:ext xmlns:c16="http://schemas.microsoft.com/office/drawing/2014/chart" uri="{C3380CC4-5D6E-409C-BE32-E72D297353CC}">
              <c16:uniqueId val="{00000002-125B-45B8-9F65-5FD2D6E616DB}"/>
            </c:ext>
          </c:extLst>
        </c:ser>
        <c:dLbls>
          <c:showLegendKey val="0"/>
          <c:showVal val="0"/>
          <c:showCatName val="0"/>
          <c:showSerName val="0"/>
          <c:showPercent val="0"/>
          <c:showBubbleSize val="0"/>
        </c:dLbls>
        <c:marker val="1"/>
        <c:smooth val="0"/>
        <c:axId val="1651707055"/>
        <c:axId val="1648759039"/>
      </c:lineChart>
      <c:catAx>
        <c:axId val="165170705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50" b="0" i="0" u="none" strike="noStrike" kern="1200" baseline="0">
                <a:solidFill>
                  <a:schemeClr val="tx1">
                    <a:lumMod val="65000"/>
                    <a:lumOff val="35000"/>
                  </a:schemeClr>
                </a:solidFill>
                <a:latin typeface="+mn-lt"/>
                <a:ea typeface="+mn-ea"/>
                <a:cs typeface="+mn-cs"/>
              </a:defRPr>
            </a:pPr>
            <a:endParaRPr lang="en-US"/>
          </a:p>
        </c:txPr>
        <c:crossAx val="1648759039"/>
        <c:crosses val="autoZero"/>
        <c:auto val="1"/>
        <c:lblAlgn val="ctr"/>
        <c:lblOffset val="100"/>
        <c:noMultiLvlLbl val="0"/>
      </c:catAx>
      <c:valAx>
        <c:axId val="1648759039"/>
        <c:scaling>
          <c:orientation val="minMax"/>
          <c:max val="3"/>
          <c:min val="1.5"/>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r>
                  <a:rPr lang="en-GB" sz="1100"/>
                  <a:t>Mean Joviality</a:t>
                </a:r>
              </a:p>
            </c:rich>
          </c:tx>
          <c:overlay val="0"/>
          <c:spPr>
            <a:noFill/>
            <a:ln>
              <a:noFill/>
            </a:ln>
            <a:effectLst/>
          </c:spPr>
          <c:txPr>
            <a:bodyPr rot="-54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51707055"/>
        <c:crosses val="autoZero"/>
        <c:crossBetween val="between"/>
        <c:majorUnit val="0.25"/>
        <c:minorUnit val="5.000000000000001E-2"/>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'Online sample'!$B$32</c:f>
              <c:strCache>
                <c:ptCount val="1"/>
                <c:pt idx="0">
                  <c:v>Car park</c:v>
                </c:pt>
              </c:strCache>
            </c:strRef>
          </c:tx>
          <c:spPr>
            <a:ln w="28575" cap="rnd">
              <a:solidFill>
                <a:schemeClr val="tx2"/>
              </a:solidFill>
              <a:prstDash val="dash"/>
              <a:round/>
            </a:ln>
            <a:effectLst/>
          </c:spPr>
          <c:marker>
            <c:symbol val="circle"/>
            <c:size val="5"/>
            <c:spPr>
              <a:solidFill>
                <a:schemeClr val="tx2"/>
              </a:solidFill>
              <a:ln w="9525">
                <a:noFill/>
              </a:ln>
              <a:effectLst/>
            </c:spPr>
          </c:marker>
          <c:cat>
            <c:strRef>
              <c:f>'Online sample'!$C$28:$E$28</c:f>
              <c:strCache>
                <c:ptCount val="3"/>
                <c:pt idx="0">
                  <c:v>baseline</c:v>
                </c:pt>
                <c:pt idx="1">
                  <c:v>stressor</c:v>
                </c:pt>
                <c:pt idx="2">
                  <c:v>park</c:v>
                </c:pt>
              </c:strCache>
            </c:strRef>
          </c:cat>
          <c:val>
            <c:numRef>
              <c:f>'Online sample'!$C$32:$E$32</c:f>
              <c:numCache>
                <c:formatCode>General</c:formatCode>
                <c:ptCount val="3"/>
                <c:pt idx="0">
                  <c:v>3.544</c:v>
                </c:pt>
                <c:pt idx="1">
                  <c:v>2.7280000000000002</c:v>
                </c:pt>
                <c:pt idx="2">
                  <c:v>3.0070000000000001</c:v>
                </c:pt>
              </c:numCache>
            </c:numRef>
          </c:val>
          <c:smooth val="0"/>
          <c:extLst>
            <c:ext xmlns:c16="http://schemas.microsoft.com/office/drawing/2014/chart" uri="{C3380CC4-5D6E-409C-BE32-E72D297353CC}">
              <c16:uniqueId val="{00000000-3F8A-4596-8906-AE841FF90954}"/>
            </c:ext>
          </c:extLst>
        </c:ser>
        <c:ser>
          <c:idx val="1"/>
          <c:order val="1"/>
          <c:tx>
            <c:strRef>
              <c:f>'Online sample'!$B$33</c:f>
              <c:strCache>
                <c:ptCount val="1"/>
                <c:pt idx="0">
                  <c:v>Low sp. richness</c:v>
                </c:pt>
              </c:strCache>
            </c:strRef>
          </c:tx>
          <c:spPr>
            <a:ln w="28575" cap="rnd">
              <a:solidFill>
                <a:schemeClr val="accent2"/>
              </a:solidFill>
              <a:prstDash val="sysDot"/>
              <a:round/>
            </a:ln>
            <a:effectLst/>
          </c:spPr>
          <c:marker>
            <c:symbol val="circle"/>
            <c:size val="5"/>
            <c:spPr>
              <a:solidFill>
                <a:schemeClr val="accent2"/>
              </a:solidFill>
              <a:ln w="9525">
                <a:solidFill>
                  <a:schemeClr val="accent2"/>
                </a:solidFill>
              </a:ln>
              <a:effectLst/>
            </c:spPr>
          </c:marker>
          <c:cat>
            <c:strRef>
              <c:f>'Online sample'!$C$28:$E$28</c:f>
              <c:strCache>
                <c:ptCount val="3"/>
                <c:pt idx="0">
                  <c:v>baseline</c:v>
                </c:pt>
                <c:pt idx="1">
                  <c:v>stressor</c:v>
                </c:pt>
                <c:pt idx="2">
                  <c:v>park</c:v>
                </c:pt>
              </c:strCache>
            </c:strRef>
          </c:cat>
          <c:val>
            <c:numRef>
              <c:f>'Online sample'!$C$33:$E$33</c:f>
              <c:numCache>
                <c:formatCode>General</c:formatCode>
                <c:ptCount val="3"/>
                <c:pt idx="0">
                  <c:v>3.5529999999999999</c:v>
                </c:pt>
                <c:pt idx="1">
                  <c:v>2.73</c:v>
                </c:pt>
                <c:pt idx="2">
                  <c:v>3.5739999999999998</c:v>
                </c:pt>
              </c:numCache>
            </c:numRef>
          </c:val>
          <c:smooth val="0"/>
          <c:extLst>
            <c:ext xmlns:c16="http://schemas.microsoft.com/office/drawing/2014/chart" uri="{C3380CC4-5D6E-409C-BE32-E72D297353CC}">
              <c16:uniqueId val="{00000001-3F8A-4596-8906-AE841FF90954}"/>
            </c:ext>
          </c:extLst>
        </c:ser>
        <c:ser>
          <c:idx val="2"/>
          <c:order val="2"/>
          <c:tx>
            <c:strRef>
              <c:f>'Online sample'!$B$34</c:f>
              <c:strCache>
                <c:ptCount val="1"/>
                <c:pt idx="0">
                  <c:v>High sp. Richness</c:v>
                </c:pt>
              </c:strCache>
            </c:strRef>
          </c:tx>
          <c:spPr>
            <a:ln w="28575" cap="rnd">
              <a:solidFill>
                <a:schemeClr val="accent6"/>
              </a:solidFill>
              <a:round/>
            </a:ln>
            <a:effectLst/>
          </c:spPr>
          <c:marker>
            <c:symbol val="circle"/>
            <c:size val="5"/>
            <c:spPr>
              <a:solidFill>
                <a:schemeClr val="accent6"/>
              </a:solidFill>
              <a:ln w="9525">
                <a:noFill/>
              </a:ln>
              <a:effectLst/>
            </c:spPr>
          </c:marker>
          <c:cat>
            <c:strRef>
              <c:f>'Online sample'!$C$28:$E$28</c:f>
              <c:strCache>
                <c:ptCount val="3"/>
                <c:pt idx="0">
                  <c:v>baseline</c:v>
                </c:pt>
                <c:pt idx="1">
                  <c:v>stressor</c:v>
                </c:pt>
                <c:pt idx="2">
                  <c:v>park</c:v>
                </c:pt>
              </c:strCache>
            </c:strRef>
          </c:cat>
          <c:val>
            <c:numRef>
              <c:f>'Online sample'!$C$34:$E$34</c:f>
              <c:numCache>
                <c:formatCode>General</c:formatCode>
                <c:ptCount val="3"/>
                <c:pt idx="0">
                  <c:v>3.468</c:v>
                </c:pt>
                <c:pt idx="1">
                  <c:v>2.6379999999999999</c:v>
                </c:pt>
                <c:pt idx="2">
                  <c:v>3.4940000000000002</c:v>
                </c:pt>
              </c:numCache>
            </c:numRef>
          </c:val>
          <c:smooth val="0"/>
          <c:extLst>
            <c:ext xmlns:c16="http://schemas.microsoft.com/office/drawing/2014/chart" uri="{C3380CC4-5D6E-409C-BE32-E72D297353CC}">
              <c16:uniqueId val="{00000002-3F8A-4596-8906-AE841FF90954}"/>
            </c:ext>
          </c:extLst>
        </c:ser>
        <c:dLbls>
          <c:showLegendKey val="0"/>
          <c:showVal val="0"/>
          <c:showCatName val="0"/>
          <c:showSerName val="0"/>
          <c:showPercent val="0"/>
          <c:showBubbleSize val="0"/>
        </c:dLbls>
        <c:marker val="1"/>
        <c:smooth val="0"/>
        <c:axId val="1651707055"/>
        <c:axId val="1648759039"/>
      </c:lineChart>
      <c:catAx>
        <c:axId val="165170705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50" b="0" i="0" u="none" strike="noStrike" kern="1200" baseline="0">
                <a:solidFill>
                  <a:schemeClr val="tx1">
                    <a:lumMod val="65000"/>
                    <a:lumOff val="35000"/>
                  </a:schemeClr>
                </a:solidFill>
                <a:latin typeface="+mn-lt"/>
                <a:ea typeface="+mn-ea"/>
                <a:cs typeface="+mn-cs"/>
              </a:defRPr>
            </a:pPr>
            <a:endParaRPr lang="en-US"/>
          </a:p>
        </c:txPr>
        <c:crossAx val="1648759039"/>
        <c:crosses val="autoZero"/>
        <c:auto val="1"/>
        <c:lblAlgn val="ctr"/>
        <c:lblOffset val="100"/>
        <c:noMultiLvlLbl val="0"/>
      </c:catAx>
      <c:valAx>
        <c:axId val="1648759039"/>
        <c:scaling>
          <c:orientation val="minMax"/>
          <c:max val="4"/>
          <c:min val="2.5"/>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r>
                  <a:rPr lang="en-GB" sz="1100"/>
                  <a:t>Mean Serenity</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51707055"/>
        <c:crosses val="autoZero"/>
        <c:crossBetween val="between"/>
        <c:majorUnit val="0.25"/>
        <c:minorUnit val="5.000000000000001E-2"/>
      </c:valAx>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chart>
  <c:txPr>
    <a:bodyPr/>
    <a:lstStyle/>
    <a:p>
      <a:pPr>
        <a:defRPr/>
      </a:pPr>
      <a:endParaRPr lang="en-US"/>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0176048784433434"/>
          <c:y val="4.4516390125455281E-2"/>
          <c:w val="0.74911043667554056"/>
          <c:h val="0.76851986986046006"/>
        </c:manualLayout>
      </c:layout>
      <c:barChart>
        <c:barDir val="col"/>
        <c:grouping val="clustered"/>
        <c:varyColors val="0"/>
        <c:ser>
          <c:idx val="0"/>
          <c:order val="0"/>
          <c:tx>
            <c:strRef>
              <c:f>'NA and PA by treatment'!$N$3</c:f>
              <c:strCache>
                <c:ptCount val="1"/>
                <c:pt idx="0">
                  <c:v>Control</c:v>
                </c:pt>
              </c:strCache>
            </c:strRef>
          </c:tx>
          <c:spPr>
            <a:solidFill>
              <a:schemeClr val="accent1"/>
            </a:solidFill>
            <a:ln>
              <a:noFill/>
            </a:ln>
            <a:effectLst/>
          </c:spPr>
          <c:invertIfNegative val="0"/>
          <c:errBars>
            <c:errBarType val="both"/>
            <c:errValType val="cust"/>
            <c:noEndCap val="0"/>
            <c:plus>
              <c:numRef>
                <c:f>'NA and PA by treatment'!$E$4:$E$6</c:f>
                <c:numCache>
                  <c:formatCode>General</c:formatCode>
                  <c:ptCount val="3"/>
                  <c:pt idx="0">
                    <c:v>0.43028412487644813</c:v>
                  </c:pt>
                  <c:pt idx="1">
                    <c:v>0.46381823061448163</c:v>
                  </c:pt>
                  <c:pt idx="2">
                    <c:v>0.4793264024719745</c:v>
                  </c:pt>
                </c:numCache>
              </c:numRef>
            </c:plus>
            <c:minus>
              <c:numRef>
                <c:f>'NA and PA by treatment'!$E$4:$E$6</c:f>
                <c:numCache>
                  <c:formatCode>General</c:formatCode>
                  <c:ptCount val="3"/>
                  <c:pt idx="0">
                    <c:v>0.43028412487644813</c:v>
                  </c:pt>
                  <c:pt idx="1">
                    <c:v>0.46381823061448163</c:v>
                  </c:pt>
                  <c:pt idx="2">
                    <c:v>0.4793264024719745</c:v>
                  </c:pt>
                </c:numCache>
              </c:numRef>
            </c:minus>
            <c:spPr>
              <a:noFill/>
              <a:ln w="9525" cap="flat" cmpd="sng" algn="ctr">
                <a:solidFill>
                  <a:schemeClr val="tx1">
                    <a:lumMod val="65000"/>
                    <a:lumOff val="35000"/>
                  </a:schemeClr>
                </a:solidFill>
                <a:round/>
              </a:ln>
              <a:effectLst/>
            </c:spPr>
          </c:errBars>
          <c:cat>
            <c:strRef>
              <c:f>'NA and PA by treatment'!$M$4:$M$6</c:f>
              <c:strCache>
                <c:ptCount val="3"/>
                <c:pt idx="0">
                  <c:v>Baseline</c:v>
                </c:pt>
                <c:pt idx="1">
                  <c:v>Stressor</c:v>
                </c:pt>
                <c:pt idx="2">
                  <c:v>Video</c:v>
                </c:pt>
              </c:strCache>
            </c:strRef>
          </c:cat>
          <c:val>
            <c:numRef>
              <c:f>'NA and PA by treatment'!$N$4:$N$6</c:f>
              <c:numCache>
                <c:formatCode>General</c:formatCode>
                <c:ptCount val="3"/>
                <c:pt idx="0">
                  <c:v>14.086956521739131</c:v>
                </c:pt>
                <c:pt idx="1">
                  <c:v>13.978260869565217</c:v>
                </c:pt>
                <c:pt idx="2">
                  <c:v>13.456521739130432</c:v>
                </c:pt>
              </c:numCache>
            </c:numRef>
          </c:val>
          <c:extLst>
            <c:ext xmlns:c16="http://schemas.microsoft.com/office/drawing/2014/chart" uri="{C3380CC4-5D6E-409C-BE32-E72D297353CC}">
              <c16:uniqueId val="{00000000-0238-4245-9411-B7C00AD87F27}"/>
            </c:ext>
          </c:extLst>
        </c:ser>
        <c:ser>
          <c:idx val="1"/>
          <c:order val="1"/>
          <c:tx>
            <c:strRef>
              <c:f>'NA and PA by treatment'!$O$3</c:f>
              <c:strCache>
                <c:ptCount val="1"/>
                <c:pt idx="0">
                  <c:v>Low Floral</c:v>
                </c:pt>
              </c:strCache>
            </c:strRef>
          </c:tx>
          <c:spPr>
            <a:pattFill prst="wdDnDiag">
              <a:fgClr>
                <a:schemeClr val="accent2"/>
              </a:fgClr>
              <a:bgClr>
                <a:schemeClr val="bg1"/>
              </a:bgClr>
            </a:pattFill>
            <a:ln>
              <a:noFill/>
            </a:ln>
            <a:effectLst/>
          </c:spPr>
          <c:invertIfNegative val="0"/>
          <c:errBars>
            <c:errBarType val="both"/>
            <c:errValType val="cust"/>
            <c:noEndCap val="0"/>
            <c:plus>
              <c:numRef>
                <c:f>'NA and PA by treatment'!$E$7:$E$9</c:f>
                <c:numCache>
                  <c:formatCode>General</c:formatCode>
                  <c:ptCount val="3"/>
                  <c:pt idx="0">
                    <c:v>0.43503878993211059</c:v>
                  </c:pt>
                  <c:pt idx="1">
                    <c:v>0.46894344952399891</c:v>
                  </c:pt>
                  <c:pt idx="2">
                    <c:v>0.48462298759870748</c:v>
                  </c:pt>
                </c:numCache>
              </c:numRef>
            </c:plus>
            <c:minus>
              <c:numRef>
                <c:f>'NA and PA by treatment'!$E$7:$E$9</c:f>
                <c:numCache>
                  <c:formatCode>General</c:formatCode>
                  <c:ptCount val="3"/>
                  <c:pt idx="0">
                    <c:v>0.43503878993211059</c:v>
                  </c:pt>
                  <c:pt idx="1">
                    <c:v>0.46894344952399891</c:v>
                  </c:pt>
                  <c:pt idx="2">
                    <c:v>0.48462298759870748</c:v>
                  </c:pt>
                </c:numCache>
              </c:numRef>
            </c:minus>
            <c:spPr>
              <a:noFill/>
              <a:ln w="9525" cap="flat" cmpd="sng" algn="ctr">
                <a:solidFill>
                  <a:schemeClr val="tx1">
                    <a:lumMod val="65000"/>
                    <a:lumOff val="35000"/>
                  </a:schemeClr>
                </a:solidFill>
                <a:round/>
              </a:ln>
              <a:effectLst/>
            </c:spPr>
          </c:errBars>
          <c:cat>
            <c:strRef>
              <c:f>'NA and PA by treatment'!$M$4:$M$6</c:f>
              <c:strCache>
                <c:ptCount val="3"/>
                <c:pt idx="0">
                  <c:v>Baseline</c:v>
                </c:pt>
                <c:pt idx="1">
                  <c:v>Stressor</c:v>
                </c:pt>
                <c:pt idx="2">
                  <c:v>Video</c:v>
                </c:pt>
              </c:strCache>
            </c:strRef>
          </c:cat>
          <c:val>
            <c:numRef>
              <c:f>'NA and PA by treatment'!$O$4:$O$6</c:f>
              <c:numCache>
                <c:formatCode>General</c:formatCode>
                <c:ptCount val="3"/>
                <c:pt idx="0">
                  <c:v>13.988888888888891</c:v>
                </c:pt>
                <c:pt idx="1">
                  <c:v>13.333333333333332</c:v>
                </c:pt>
                <c:pt idx="2">
                  <c:v>14.088888888888889</c:v>
                </c:pt>
              </c:numCache>
            </c:numRef>
          </c:val>
          <c:extLst>
            <c:ext xmlns:c16="http://schemas.microsoft.com/office/drawing/2014/chart" uri="{C3380CC4-5D6E-409C-BE32-E72D297353CC}">
              <c16:uniqueId val="{00000001-0238-4245-9411-B7C00AD87F27}"/>
            </c:ext>
          </c:extLst>
        </c:ser>
        <c:ser>
          <c:idx val="2"/>
          <c:order val="2"/>
          <c:tx>
            <c:strRef>
              <c:f>'NA and PA by treatment'!$P$3</c:f>
              <c:strCache>
                <c:ptCount val="1"/>
                <c:pt idx="0">
                  <c:v>High Floral</c:v>
                </c:pt>
              </c:strCache>
            </c:strRef>
          </c:tx>
          <c:spPr>
            <a:pattFill prst="trellis">
              <a:fgClr>
                <a:schemeClr val="accent6"/>
              </a:fgClr>
              <a:bgClr>
                <a:schemeClr val="bg1"/>
              </a:bgClr>
            </a:pattFill>
            <a:ln>
              <a:noFill/>
            </a:ln>
            <a:effectLst/>
          </c:spPr>
          <c:invertIfNegative val="0"/>
          <c:errBars>
            <c:errBarType val="both"/>
            <c:errValType val="cust"/>
            <c:noEndCap val="0"/>
            <c:plus>
              <c:numRef>
                <c:f>'NA and PA by treatment'!$E$10:$E$12</c:f>
                <c:numCache>
                  <c:formatCode>General</c:formatCode>
                  <c:ptCount val="3"/>
                  <c:pt idx="0">
                    <c:v>0.43028412487644813</c:v>
                  </c:pt>
                  <c:pt idx="1">
                    <c:v>0.46381823061448163</c:v>
                  </c:pt>
                  <c:pt idx="2">
                    <c:v>0.4793264024719745</c:v>
                  </c:pt>
                </c:numCache>
              </c:numRef>
            </c:plus>
            <c:minus>
              <c:numRef>
                <c:f>'NA and PA by treatment'!$E$10:$E$12</c:f>
                <c:numCache>
                  <c:formatCode>General</c:formatCode>
                  <c:ptCount val="3"/>
                  <c:pt idx="0">
                    <c:v>0.43028412487644813</c:v>
                  </c:pt>
                  <c:pt idx="1">
                    <c:v>0.46381823061448163</c:v>
                  </c:pt>
                  <c:pt idx="2">
                    <c:v>0.4793264024719745</c:v>
                  </c:pt>
                </c:numCache>
              </c:numRef>
            </c:minus>
            <c:spPr>
              <a:noFill/>
              <a:ln w="9525" cap="flat" cmpd="sng" algn="ctr">
                <a:solidFill>
                  <a:schemeClr val="tx1">
                    <a:lumMod val="65000"/>
                    <a:lumOff val="35000"/>
                  </a:schemeClr>
                </a:solidFill>
                <a:round/>
              </a:ln>
              <a:effectLst/>
            </c:spPr>
          </c:errBars>
          <c:cat>
            <c:strRef>
              <c:f>'NA and PA by treatment'!$M$4:$M$6</c:f>
              <c:strCache>
                <c:ptCount val="3"/>
                <c:pt idx="0">
                  <c:v>Baseline</c:v>
                </c:pt>
                <c:pt idx="1">
                  <c:v>Stressor</c:v>
                </c:pt>
                <c:pt idx="2">
                  <c:v>Video</c:v>
                </c:pt>
              </c:strCache>
            </c:strRef>
          </c:cat>
          <c:val>
            <c:numRef>
              <c:f>'NA and PA by treatment'!$P$4:$P$6</c:f>
              <c:numCache>
                <c:formatCode>General</c:formatCode>
                <c:ptCount val="3"/>
                <c:pt idx="0">
                  <c:v>14.021739130434783</c:v>
                </c:pt>
                <c:pt idx="1">
                  <c:v>13.59782608695652</c:v>
                </c:pt>
                <c:pt idx="2">
                  <c:v>13.619565217391301</c:v>
                </c:pt>
              </c:numCache>
            </c:numRef>
          </c:val>
          <c:extLst>
            <c:ext xmlns:c16="http://schemas.microsoft.com/office/drawing/2014/chart" uri="{C3380CC4-5D6E-409C-BE32-E72D297353CC}">
              <c16:uniqueId val="{00000002-0238-4245-9411-B7C00AD87F27}"/>
            </c:ext>
          </c:extLst>
        </c:ser>
        <c:ser>
          <c:idx val="3"/>
          <c:order val="3"/>
          <c:tx>
            <c:strRef>
              <c:f>'NA and PA by treatment'!$Q$3</c:f>
              <c:strCache>
                <c:ptCount val="1"/>
                <c:pt idx="0">
                  <c:v>High Floral and rich audio</c:v>
                </c:pt>
              </c:strCache>
            </c:strRef>
          </c:tx>
          <c:spPr>
            <a:solidFill>
              <a:schemeClr val="accent4"/>
            </a:solidFill>
            <a:ln>
              <a:noFill/>
            </a:ln>
            <a:effectLst/>
          </c:spPr>
          <c:invertIfNegative val="0"/>
          <c:errBars>
            <c:errBarType val="both"/>
            <c:errValType val="cust"/>
            <c:noEndCap val="0"/>
            <c:plus>
              <c:numRef>
                <c:f>'NA and PA by treatment'!$E$13:$E$15</c:f>
                <c:numCache>
                  <c:formatCode>General</c:formatCode>
                  <c:ptCount val="3"/>
                  <c:pt idx="0">
                    <c:v>0.41690413163033585</c:v>
                  </c:pt>
                  <c:pt idx="1">
                    <c:v>0.44939547031667271</c:v>
                  </c:pt>
                  <c:pt idx="2">
                    <c:v>0.46442140445560604</c:v>
                  </c:pt>
                </c:numCache>
              </c:numRef>
            </c:plus>
            <c:minus>
              <c:numRef>
                <c:f>'NA and PA by treatment'!$E$13:$E$15</c:f>
                <c:numCache>
                  <c:formatCode>General</c:formatCode>
                  <c:ptCount val="3"/>
                  <c:pt idx="0">
                    <c:v>0.41690413163033585</c:v>
                  </c:pt>
                  <c:pt idx="1">
                    <c:v>0.44939547031667271</c:v>
                  </c:pt>
                  <c:pt idx="2">
                    <c:v>0.46442140445560604</c:v>
                  </c:pt>
                </c:numCache>
              </c:numRef>
            </c:minus>
            <c:spPr>
              <a:noFill/>
              <a:ln w="9525" cap="flat" cmpd="sng" algn="ctr">
                <a:solidFill>
                  <a:schemeClr val="tx1">
                    <a:lumMod val="65000"/>
                    <a:lumOff val="35000"/>
                  </a:schemeClr>
                </a:solidFill>
                <a:round/>
              </a:ln>
              <a:effectLst/>
            </c:spPr>
          </c:errBars>
          <c:cat>
            <c:strRef>
              <c:f>'NA and PA by treatment'!$M$4:$M$6</c:f>
              <c:strCache>
                <c:ptCount val="3"/>
                <c:pt idx="0">
                  <c:v>Baseline</c:v>
                </c:pt>
                <c:pt idx="1">
                  <c:v>Stressor</c:v>
                </c:pt>
                <c:pt idx="2">
                  <c:v>Video</c:v>
                </c:pt>
              </c:strCache>
            </c:strRef>
          </c:cat>
          <c:val>
            <c:numRef>
              <c:f>'NA and PA by treatment'!$Q$4:$Q$6</c:f>
              <c:numCache>
                <c:formatCode>General</c:formatCode>
                <c:ptCount val="3"/>
                <c:pt idx="0">
                  <c:v>14.571428571428577</c:v>
                </c:pt>
                <c:pt idx="1">
                  <c:v>13.867346938775515</c:v>
                </c:pt>
                <c:pt idx="2">
                  <c:v>13.948979591836741</c:v>
                </c:pt>
              </c:numCache>
            </c:numRef>
          </c:val>
          <c:extLst>
            <c:ext xmlns:c16="http://schemas.microsoft.com/office/drawing/2014/chart" uri="{C3380CC4-5D6E-409C-BE32-E72D297353CC}">
              <c16:uniqueId val="{00000003-0238-4245-9411-B7C00AD87F27}"/>
            </c:ext>
          </c:extLst>
        </c:ser>
        <c:dLbls>
          <c:showLegendKey val="0"/>
          <c:showVal val="0"/>
          <c:showCatName val="0"/>
          <c:showSerName val="0"/>
          <c:showPercent val="0"/>
          <c:showBubbleSize val="0"/>
        </c:dLbls>
        <c:gapWidth val="219"/>
        <c:overlap val="-27"/>
        <c:axId val="1262851936"/>
        <c:axId val="1262849024"/>
      </c:barChart>
      <c:catAx>
        <c:axId val="12628519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62849024"/>
        <c:crosses val="autoZero"/>
        <c:auto val="1"/>
        <c:lblAlgn val="ctr"/>
        <c:lblOffset val="100"/>
        <c:noMultiLvlLbl val="0"/>
      </c:catAx>
      <c:valAx>
        <c:axId val="1262849024"/>
        <c:scaling>
          <c:orientation val="minMax"/>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Mean PA</a:t>
                </a:r>
                <a:r>
                  <a:rPr lang="en-GB" baseline="0"/>
                  <a:t> Scores</a:t>
                </a:r>
                <a:endParaRPr lang="en-GB"/>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62851936"/>
        <c:crosses val="autoZero"/>
        <c:crossBetween val="between"/>
      </c:valAx>
      <c:spPr>
        <a:noFill/>
        <a:ln>
          <a:noFill/>
        </a:ln>
        <a:effectLst/>
      </c:spPr>
    </c:plotArea>
    <c:legend>
      <c:legendPos val="b"/>
      <c:layout>
        <c:manualLayout>
          <c:xMode val="edge"/>
          <c:yMode val="edge"/>
          <c:x val="1.5361188382046374E-3"/>
          <c:y val="0.8664489176813237"/>
          <c:w val="0.98352892355628396"/>
          <c:h val="0.10926941497751874"/>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userShapes r:id="rId4"/>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'Online sample'!$B$35</c:f>
              <c:strCache>
                <c:ptCount val="1"/>
                <c:pt idx="0">
                  <c:v>Car park</c:v>
                </c:pt>
              </c:strCache>
            </c:strRef>
          </c:tx>
          <c:spPr>
            <a:ln w="28575" cap="rnd">
              <a:solidFill>
                <a:schemeClr val="tx2"/>
              </a:solidFill>
              <a:prstDash val="dash"/>
              <a:round/>
            </a:ln>
            <a:effectLst/>
          </c:spPr>
          <c:marker>
            <c:symbol val="circle"/>
            <c:size val="5"/>
            <c:spPr>
              <a:solidFill>
                <a:schemeClr val="tx2"/>
              </a:solidFill>
              <a:ln w="9525">
                <a:noFill/>
              </a:ln>
              <a:effectLst/>
            </c:spPr>
          </c:marker>
          <c:cat>
            <c:strRef>
              <c:f>'Online sample'!$C$28:$E$28</c:f>
              <c:strCache>
                <c:ptCount val="3"/>
                <c:pt idx="0">
                  <c:v>baseline</c:v>
                </c:pt>
                <c:pt idx="1">
                  <c:v>stressor</c:v>
                </c:pt>
                <c:pt idx="2">
                  <c:v>park</c:v>
                </c:pt>
              </c:strCache>
            </c:strRef>
          </c:cat>
          <c:val>
            <c:numRef>
              <c:f>'Online sample'!$C$35:$E$35</c:f>
              <c:numCache>
                <c:formatCode>General</c:formatCode>
                <c:ptCount val="3"/>
                <c:pt idx="0">
                  <c:v>1.3320000000000001</c:v>
                </c:pt>
                <c:pt idx="1">
                  <c:v>1.579</c:v>
                </c:pt>
                <c:pt idx="2">
                  <c:v>1.296</c:v>
                </c:pt>
              </c:numCache>
            </c:numRef>
          </c:val>
          <c:smooth val="0"/>
          <c:extLst>
            <c:ext xmlns:c16="http://schemas.microsoft.com/office/drawing/2014/chart" uri="{C3380CC4-5D6E-409C-BE32-E72D297353CC}">
              <c16:uniqueId val="{00000000-A3B1-4C1B-A740-99C8A7A3F2E8}"/>
            </c:ext>
          </c:extLst>
        </c:ser>
        <c:ser>
          <c:idx val="1"/>
          <c:order val="1"/>
          <c:tx>
            <c:strRef>
              <c:f>'Online sample'!$B$36</c:f>
              <c:strCache>
                <c:ptCount val="1"/>
                <c:pt idx="0">
                  <c:v>Low sp. richness</c:v>
                </c:pt>
              </c:strCache>
            </c:strRef>
          </c:tx>
          <c:spPr>
            <a:ln w="28575" cap="rnd">
              <a:solidFill>
                <a:schemeClr val="accent2"/>
              </a:solidFill>
              <a:prstDash val="sysDot"/>
              <a:round/>
            </a:ln>
            <a:effectLst/>
          </c:spPr>
          <c:marker>
            <c:symbol val="circle"/>
            <c:size val="5"/>
            <c:spPr>
              <a:solidFill>
                <a:schemeClr val="accent2"/>
              </a:solidFill>
              <a:ln w="9525">
                <a:solidFill>
                  <a:schemeClr val="accent2"/>
                </a:solidFill>
              </a:ln>
              <a:effectLst/>
            </c:spPr>
          </c:marker>
          <c:cat>
            <c:strRef>
              <c:f>'Online sample'!$C$28:$E$28</c:f>
              <c:strCache>
                <c:ptCount val="3"/>
                <c:pt idx="0">
                  <c:v>baseline</c:v>
                </c:pt>
                <c:pt idx="1">
                  <c:v>stressor</c:v>
                </c:pt>
                <c:pt idx="2">
                  <c:v>park</c:v>
                </c:pt>
              </c:strCache>
            </c:strRef>
          </c:cat>
          <c:val>
            <c:numRef>
              <c:f>'Online sample'!$C$36:$E$36</c:f>
              <c:numCache>
                <c:formatCode>General</c:formatCode>
                <c:ptCount val="3"/>
                <c:pt idx="0">
                  <c:v>1.31</c:v>
                </c:pt>
                <c:pt idx="1">
                  <c:v>1.516</c:v>
                </c:pt>
                <c:pt idx="2">
                  <c:v>1.214</c:v>
                </c:pt>
              </c:numCache>
            </c:numRef>
          </c:val>
          <c:smooth val="0"/>
          <c:extLst>
            <c:ext xmlns:c16="http://schemas.microsoft.com/office/drawing/2014/chart" uri="{C3380CC4-5D6E-409C-BE32-E72D297353CC}">
              <c16:uniqueId val="{00000001-A3B1-4C1B-A740-99C8A7A3F2E8}"/>
            </c:ext>
          </c:extLst>
        </c:ser>
        <c:ser>
          <c:idx val="2"/>
          <c:order val="2"/>
          <c:tx>
            <c:strRef>
              <c:f>'Online sample'!$B$37</c:f>
              <c:strCache>
                <c:ptCount val="1"/>
                <c:pt idx="0">
                  <c:v>High sp. Richness</c:v>
                </c:pt>
              </c:strCache>
            </c:strRef>
          </c:tx>
          <c:spPr>
            <a:ln w="28575" cap="rnd">
              <a:solidFill>
                <a:schemeClr val="accent6"/>
              </a:solidFill>
              <a:round/>
            </a:ln>
            <a:effectLst/>
          </c:spPr>
          <c:marker>
            <c:symbol val="circle"/>
            <c:size val="5"/>
            <c:spPr>
              <a:solidFill>
                <a:schemeClr val="accent6"/>
              </a:solidFill>
              <a:ln w="9525">
                <a:noFill/>
              </a:ln>
              <a:effectLst/>
            </c:spPr>
          </c:marker>
          <c:cat>
            <c:strRef>
              <c:f>'Online sample'!$C$28:$E$28</c:f>
              <c:strCache>
                <c:ptCount val="3"/>
                <c:pt idx="0">
                  <c:v>baseline</c:v>
                </c:pt>
                <c:pt idx="1">
                  <c:v>stressor</c:v>
                </c:pt>
                <c:pt idx="2">
                  <c:v>park</c:v>
                </c:pt>
              </c:strCache>
            </c:strRef>
          </c:cat>
          <c:val>
            <c:numRef>
              <c:f>'Online sample'!$C$37:$E$37</c:f>
              <c:numCache>
                <c:formatCode>General</c:formatCode>
                <c:ptCount val="3"/>
                <c:pt idx="0">
                  <c:v>1.2190000000000001</c:v>
                </c:pt>
                <c:pt idx="1">
                  <c:v>1.4810000000000001</c:v>
                </c:pt>
                <c:pt idx="2">
                  <c:v>1.1299999999999999</c:v>
                </c:pt>
              </c:numCache>
            </c:numRef>
          </c:val>
          <c:smooth val="0"/>
          <c:extLst>
            <c:ext xmlns:c16="http://schemas.microsoft.com/office/drawing/2014/chart" uri="{C3380CC4-5D6E-409C-BE32-E72D297353CC}">
              <c16:uniqueId val="{00000002-A3B1-4C1B-A740-99C8A7A3F2E8}"/>
            </c:ext>
          </c:extLst>
        </c:ser>
        <c:dLbls>
          <c:showLegendKey val="0"/>
          <c:showVal val="0"/>
          <c:showCatName val="0"/>
          <c:showSerName val="0"/>
          <c:showPercent val="0"/>
          <c:showBubbleSize val="0"/>
        </c:dLbls>
        <c:marker val="1"/>
        <c:smooth val="0"/>
        <c:axId val="1651707055"/>
        <c:axId val="1648759039"/>
      </c:lineChart>
      <c:catAx>
        <c:axId val="165170705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50" b="0" i="0" u="none" strike="noStrike" kern="1200" baseline="0">
                <a:solidFill>
                  <a:schemeClr val="tx1">
                    <a:lumMod val="65000"/>
                    <a:lumOff val="35000"/>
                  </a:schemeClr>
                </a:solidFill>
                <a:latin typeface="+mn-lt"/>
                <a:ea typeface="+mn-ea"/>
                <a:cs typeface="+mn-cs"/>
              </a:defRPr>
            </a:pPr>
            <a:endParaRPr lang="en-US"/>
          </a:p>
        </c:txPr>
        <c:crossAx val="1648759039"/>
        <c:crosses val="autoZero"/>
        <c:auto val="1"/>
        <c:lblAlgn val="ctr"/>
        <c:lblOffset val="100"/>
        <c:noMultiLvlLbl val="0"/>
      </c:catAx>
      <c:valAx>
        <c:axId val="1648759039"/>
        <c:scaling>
          <c:orientation val="minMax"/>
          <c:max val="2.5"/>
          <c:min val="1"/>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r>
                  <a:rPr lang="en-GB" sz="1100"/>
                  <a:t>Mean Negative</a:t>
                </a:r>
                <a:r>
                  <a:rPr lang="en-GB" sz="1100" baseline="0"/>
                  <a:t> Affect</a:t>
                </a:r>
                <a:endParaRPr lang="en-GB" sz="1100"/>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51707055"/>
        <c:crosses val="autoZero"/>
        <c:crossBetween val="between"/>
        <c:majorUnit val="0.25"/>
        <c:minorUnit val="5.000000000000001E-2"/>
      </c:valAx>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chart>
  <c:txPr>
    <a:bodyPr/>
    <a:lstStyle/>
    <a:p>
      <a:pPr>
        <a:defRPr/>
      </a:pPr>
      <a:endParaRPr lang="en-US"/>
    </a:p>
  </c:txPr>
  <c:externalData r:id="rId1">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'Online sample'!$B$77</c:f>
              <c:strCache>
                <c:ptCount val="1"/>
                <c:pt idx="0">
                  <c:v>no sp</c:v>
                </c:pt>
              </c:strCache>
            </c:strRef>
          </c:tx>
          <c:spPr>
            <a:ln w="28575" cap="rnd">
              <a:solidFill>
                <a:schemeClr val="tx2"/>
              </a:solidFill>
              <a:prstDash val="dash"/>
              <a:round/>
            </a:ln>
            <a:effectLst/>
          </c:spPr>
          <c:marker>
            <c:symbol val="circle"/>
            <c:size val="5"/>
            <c:spPr>
              <a:solidFill>
                <a:schemeClr val="tx2"/>
              </a:solidFill>
              <a:ln w="9525">
                <a:noFill/>
              </a:ln>
              <a:effectLst/>
            </c:spPr>
          </c:marker>
          <c:cat>
            <c:strRef>
              <c:f>'Online sample'!$C$76:$E$76</c:f>
              <c:strCache>
                <c:ptCount val="3"/>
                <c:pt idx="0">
                  <c:v>baseline</c:v>
                </c:pt>
                <c:pt idx="1">
                  <c:v>stressor</c:v>
                </c:pt>
                <c:pt idx="2">
                  <c:v>park</c:v>
                </c:pt>
              </c:strCache>
            </c:strRef>
          </c:cat>
          <c:val>
            <c:numRef>
              <c:f>'Online sample'!$C$77:$E$77</c:f>
              <c:numCache>
                <c:formatCode>General</c:formatCode>
                <c:ptCount val="3"/>
                <c:pt idx="0">
                  <c:v>2.379</c:v>
                </c:pt>
                <c:pt idx="1">
                  <c:v>2.0369999999999999</c:v>
                </c:pt>
                <c:pt idx="2">
                  <c:v>1.869</c:v>
                </c:pt>
              </c:numCache>
            </c:numRef>
          </c:val>
          <c:smooth val="0"/>
          <c:extLst>
            <c:ext xmlns:c16="http://schemas.microsoft.com/office/drawing/2014/chart" uri="{C3380CC4-5D6E-409C-BE32-E72D297353CC}">
              <c16:uniqueId val="{00000000-5F58-4268-A469-A368135AD1F4}"/>
            </c:ext>
          </c:extLst>
        </c:ser>
        <c:ser>
          <c:idx val="1"/>
          <c:order val="1"/>
          <c:tx>
            <c:strRef>
              <c:f>'Online sample'!$B$78</c:f>
              <c:strCache>
                <c:ptCount val="1"/>
                <c:pt idx="0">
                  <c:v>a few sp</c:v>
                </c:pt>
              </c:strCache>
            </c:strRef>
          </c:tx>
          <c:spPr>
            <a:ln w="28575" cap="rnd">
              <a:solidFill>
                <a:schemeClr val="accent2"/>
              </a:solidFill>
              <a:prstDash val="sysDot"/>
              <a:round/>
            </a:ln>
            <a:effectLst/>
          </c:spPr>
          <c:marker>
            <c:symbol val="circle"/>
            <c:size val="5"/>
            <c:spPr>
              <a:solidFill>
                <a:schemeClr val="accent2"/>
              </a:solidFill>
              <a:ln w="9525">
                <a:solidFill>
                  <a:schemeClr val="accent2"/>
                </a:solidFill>
              </a:ln>
              <a:effectLst/>
            </c:spPr>
          </c:marker>
          <c:cat>
            <c:strRef>
              <c:f>'Online sample'!$C$76:$E$76</c:f>
              <c:strCache>
                <c:ptCount val="3"/>
                <c:pt idx="0">
                  <c:v>baseline</c:v>
                </c:pt>
                <c:pt idx="1">
                  <c:v>stressor</c:v>
                </c:pt>
                <c:pt idx="2">
                  <c:v>park</c:v>
                </c:pt>
              </c:strCache>
            </c:strRef>
          </c:cat>
          <c:val>
            <c:numRef>
              <c:f>'Online sample'!$C$78:$E$78</c:f>
              <c:numCache>
                <c:formatCode>General</c:formatCode>
                <c:ptCount val="3"/>
                <c:pt idx="0">
                  <c:v>2.4089999999999998</c:v>
                </c:pt>
                <c:pt idx="1">
                  <c:v>2.121</c:v>
                </c:pt>
                <c:pt idx="2">
                  <c:v>2.306</c:v>
                </c:pt>
              </c:numCache>
            </c:numRef>
          </c:val>
          <c:smooth val="0"/>
          <c:extLst>
            <c:ext xmlns:c16="http://schemas.microsoft.com/office/drawing/2014/chart" uri="{C3380CC4-5D6E-409C-BE32-E72D297353CC}">
              <c16:uniqueId val="{00000001-5F58-4268-A469-A368135AD1F4}"/>
            </c:ext>
          </c:extLst>
        </c:ser>
        <c:ser>
          <c:idx val="2"/>
          <c:order val="2"/>
          <c:tx>
            <c:strRef>
              <c:f>'Online sample'!$B$79</c:f>
              <c:strCache>
                <c:ptCount val="1"/>
                <c:pt idx="0">
                  <c:v>some sp</c:v>
                </c:pt>
              </c:strCache>
            </c:strRef>
          </c:tx>
          <c:spPr>
            <a:ln w="28575" cap="rnd">
              <a:solidFill>
                <a:schemeClr val="accent6"/>
              </a:solidFill>
              <a:round/>
            </a:ln>
            <a:effectLst/>
          </c:spPr>
          <c:marker>
            <c:symbol val="circle"/>
            <c:size val="5"/>
            <c:spPr>
              <a:solidFill>
                <a:schemeClr val="accent6"/>
              </a:solidFill>
              <a:ln w="9525">
                <a:noFill/>
              </a:ln>
              <a:effectLst/>
            </c:spPr>
          </c:marker>
          <c:cat>
            <c:strRef>
              <c:f>'Online sample'!$C$76:$E$76</c:f>
              <c:strCache>
                <c:ptCount val="3"/>
                <c:pt idx="0">
                  <c:v>baseline</c:v>
                </c:pt>
                <c:pt idx="1">
                  <c:v>stressor</c:v>
                </c:pt>
                <c:pt idx="2">
                  <c:v>park</c:v>
                </c:pt>
              </c:strCache>
            </c:strRef>
          </c:cat>
          <c:val>
            <c:numRef>
              <c:f>'Online sample'!$C$79:$E$79</c:f>
              <c:numCache>
                <c:formatCode>General</c:formatCode>
                <c:ptCount val="3"/>
                <c:pt idx="0">
                  <c:v>2.4700000000000002</c:v>
                </c:pt>
                <c:pt idx="1">
                  <c:v>2.1960000000000002</c:v>
                </c:pt>
                <c:pt idx="2">
                  <c:v>2.4470000000000001</c:v>
                </c:pt>
              </c:numCache>
            </c:numRef>
          </c:val>
          <c:smooth val="0"/>
          <c:extLst>
            <c:ext xmlns:c16="http://schemas.microsoft.com/office/drawing/2014/chart" uri="{C3380CC4-5D6E-409C-BE32-E72D297353CC}">
              <c16:uniqueId val="{00000002-5F58-4268-A469-A368135AD1F4}"/>
            </c:ext>
          </c:extLst>
        </c:ser>
        <c:ser>
          <c:idx val="3"/>
          <c:order val="3"/>
          <c:tx>
            <c:strRef>
              <c:f>'Online sample'!$B$80</c:f>
              <c:strCache>
                <c:ptCount val="1"/>
                <c:pt idx="0">
                  <c:v>a lot of sp</c:v>
                </c:pt>
              </c:strCache>
            </c:strRef>
          </c:tx>
          <c:spPr>
            <a:ln>
              <a:solidFill>
                <a:srgbClr val="F42ACE"/>
              </a:solidFill>
            </a:ln>
          </c:spPr>
          <c:marker>
            <c:spPr>
              <a:ln>
                <a:solidFill>
                  <a:srgbClr val="F42ACE"/>
                </a:solidFill>
              </a:ln>
            </c:spPr>
          </c:marker>
          <c:cat>
            <c:strRef>
              <c:f>'Online sample'!$C$76:$E$76</c:f>
              <c:strCache>
                <c:ptCount val="3"/>
                <c:pt idx="0">
                  <c:v>baseline</c:v>
                </c:pt>
                <c:pt idx="1">
                  <c:v>stressor</c:v>
                </c:pt>
                <c:pt idx="2">
                  <c:v>park</c:v>
                </c:pt>
              </c:strCache>
            </c:strRef>
          </c:cat>
          <c:val>
            <c:numRef>
              <c:f>'Online sample'!$C$80:$E$80</c:f>
              <c:numCache>
                <c:formatCode>General</c:formatCode>
                <c:ptCount val="3"/>
                <c:pt idx="0">
                  <c:v>2.548</c:v>
                </c:pt>
                <c:pt idx="1">
                  <c:v>2.125</c:v>
                </c:pt>
                <c:pt idx="2">
                  <c:v>2.6779999999999999</c:v>
                </c:pt>
              </c:numCache>
            </c:numRef>
          </c:val>
          <c:smooth val="0"/>
          <c:extLst>
            <c:ext xmlns:c16="http://schemas.microsoft.com/office/drawing/2014/chart" uri="{C3380CC4-5D6E-409C-BE32-E72D297353CC}">
              <c16:uniqueId val="{00000003-5F58-4268-A469-A368135AD1F4}"/>
            </c:ext>
          </c:extLst>
        </c:ser>
        <c:dLbls>
          <c:showLegendKey val="0"/>
          <c:showVal val="0"/>
          <c:showCatName val="0"/>
          <c:showSerName val="0"/>
          <c:showPercent val="0"/>
          <c:showBubbleSize val="0"/>
        </c:dLbls>
        <c:marker val="1"/>
        <c:smooth val="0"/>
        <c:axId val="1651707055"/>
        <c:axId val="1648759039"/>
      </c:lineChart>
      <c:catAx>
        <c:axId val="165170705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50" b="0" i="0" u="none" strike="noStrike" kern="1200" baseline="0">
                <a:solidFill>
                  <a:schemeClr val="tx1">
                    <a:lumMod val="65000"/>
                    <a:lumOff val="35000"/>
                  </a:schemeClr>
                </a:solidFill>
                <a:latin typeface="+mn-lt"/>
                <a:ea typeface="+mn-ea"/>
                <a:cs typeface="+mn-cs"/>
              </a:defRPr>
            </a:pPr>
            <a:endParaRPr lang="en-US"/>
          </a:p>
        </c:txPr>
        <c:crossAx val="1648759039"/>
        <c:crosses val="autoZero"/>
        <c:auto val="1"/>
        <c:lblAlgn val="ctr"/>
        <c:lblOffset val="100"/>
        <c:noMultiLvlLbl val="0"/>
      </c:catAx>
      <c:valAx>
        <c:axId val="1648759039"/>
        <c:scaling>
          <c:orientation val="minMax"/>
          <c:max val="3"/>
          <c:min val="1.5"/>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r>
                  <a:rPr lang="en-GB" sz="1100"/>
                  <a:t>Mean Joviality</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51707055"/>
        <c:crosses val="autoZero"/>
        <c:crossBetween val="between"/>
        <c:majorUnit val="0.25"/>
        <c:minorUnit val="5.000000000000001E-2"/>
      </c:valAx>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chart>
  <c:txPr>
    <a:bodyPr/>
    <a:lstStyle/>
    <a:p>
      <a:pPr>
        <a:defRPr/>
      </a:pPr>
      <a:endParaRPr lang="en-US"/>
    </a:p>
  </c:txPr>
  <c:externalData r:id="rId1">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'Online sample'!$B$83</c:f>
              <c:strCache>
                <c:ptCount val="1"/>
                <c:pt idx="0">
                  <c:v>a few sp</c:v>
                </c:pt>
              </c:strCache>
            </c:strRef>
          </c:tx>
          <c:spPr>
            <a:ln w="28575" cap="rnd">
              <a:solidFill>
                <a:schemeClr val="tx2"/>
              </a:solidFill>
              <a:prstDash val="dash"/>
              <a:round/>
            </a:ln>
            <a:effectLst/>
          </c:spPr>
          <c:marker>
            <c:symbol val="circle"/>
            <c:size val="5"/>
            <c:spPr>
              <a:solidFill>
                <a:schemeClr val="tx2"/>
              </a:solidFill>
              <a:ln w="9525">
                <a:noFill/>
              </a:ln>
              <a:effectLst/>
            </c:spPr>
          </c:marker>
          <c:cat>
            <c:strRef>
              <c:f>'Online sample'!$C$81:$E$81</c:f>
              <c:strCache>
                <c:ptCount val="3"/>
                <c:pt idx="0">
                  <c:v>baseline</c:v>
                </c:pt>
                <c:pt idx="1">
                  <c:v>stressor</c:v>
                </c:pt>
                <c:pt idx="2">
                  <c:v>park</c:v>
                </c:pt>
              </c:strCache>
            </c:strRef>
          </c:cat>
          <c:val>
            <c:numRef>
              <c:f>'Online sample'!$C$83:$E$83</c:f>
              <c:numCache>
                <c:formatCode>General</c:formatCode>
                <c:ptCount val="3"/>
                <c:pt idx="0">
                  <c:v>3.5859999999999999</c:v>
                </c:pt>
                <c:pt idx="1">
                  <c:v>2.7360000000000002</c:v>
                </c:pt>
                <c:pt idx="2">
                  <c:v>3.2410000000000001</c:v>
                </c:pt>
              </c:numCache>
            </c:numRef>
          </c:val>
          <c:smooth val="0"/>
          <c:extLst>
            <c:ext xmlns:c16="http://schemas.microsoft.com/office/drawing/2014/chart" uri="{C3380CC4-5D6E-409C-BE32-E72D297353CC}">
              <c16:uniqueId val="{00000000-6912-498C-93A9-AE1B8C1CD3E8}"/>
            </c:ext>
          </c:extLst>
        </c:ser>
        <c:ser>
          <c:idx val="1"/>
          <c:order val="1"/>
          <c:tx>
            <c:strRef>
              <c:f>'Online sample'!$B$83</c:f>
              <c:strCache>
                <c:ptCount val="1"/>
                <c:pt idx="0">
                  <c:v>a few sp</c:v>
                </c:pt>
              </c:strCache>
            </c:strRef>
          </c:tx>
          <c:spPr>
            <a:ln w="28575" cap="rnd">
              <a:solidFill>
                <a:schemeClr val="accent2"/>
              </a:solidFill>
              <a:prstDash val="sysDot"/>
              <a:round/>
            </a:ln>
            <a:effectLst/>
          </c:spPr>
          <c:marker>
            <c:symbol val="circle"/>
            <c:size val="5"/>
            <c:spPr>
              <a:solidFill>
                <a:schemeClr val="accent2"/>
              </a:solidFill>
              <a:ln w="9525">
                <a:solidFill>
                  <a:schemeClr val="accent2"/>
                </a:solidFill>
              </a:ln>
              <a:effectLst/>
            </c:spPr>
          </c:marker>
          <c:cat>
            <c:strRef>
              <c:f>'Online sample'!$C$81:$E$81</c:f>
              <c:strCache>
                <c:ptCount val="3"/>
                <c:pt idx="0">
                  <c:v>baseline</c:v>
                </c:pt>
                <c:pt idx="1">
                  <c:v>stressor</c:v>
                </c:pt>
                <c:pt idx="2">
                  <c:v>park</c:v>
                </c:pt>
              </c:strCache>
            </c:strRef>
          </c:cat>
          <c:val>
            <c:numRef>
              <c:f>'Online sample'!$C$83:$E$83</c:f>
              <c:numCache>
                <c:formatCode>General</c:formatCode>
                <c:ptCount val="3"/>
                <c:pt idx="0">
                  <c:v>3.5859999999999999</c:v>
                </c:pt>
                <c:pt idx="1">
                  <c:v>2.7360000000000002</c:v>
                </c:pt>
                <c:pt idx="2">
                  <c:v>3.2410000000000001</c:v>
                </c:pt>
              </c:numCache>
            </c:numRef>
          </c:val>
          <c:smooth val="0"/>
          <c:extLst>
            <c:ext xmlns:c16="http://schemas.microsoft.com/office/drawing/2014/chart" uri="{C3380CC4-5D6E-409C-BE32-E72D297353CC}">
              <c16:uniqueId val="{00000001-6912-498C-93A9-AE1B8C1CD3E8}"/>
            </c:ext>
          </c:extLst>
        </c:ser>
        <c:ser>
          <c:idx val="2"/>
          <c:order val="2"/>
          <c:tx>
            <c:strRef>
              <c:f>'Online sample'!$B$84</c:f>
              <c:strCache>
                <c:ptCount val="1"/>
                <c:pt idx="0">
                  <c:v>some sp</c:v>
                </c:pt>
              </c:strCache>
            </c:strRef>
          </c:tx>
          <c:spPr>
            <a:ln w="28575" cap="rnd">
              <a:solidFill>
                <a:schemeClr val="accent6"/>
              </a:solidFill>
              <a:round/>
            </a:ln>
            <a:effectLst/>
          </c:spPr>
          <c:marker>
            <c:symbol val="circle"/>
            <c:size val="5"/>
            <c:spPr>
              <a:solidFill>
                <a:schemeClr val="accent6"/>
              </a:solidFill>
              <a:ln w="9525">
                <a:noFill/>
              </a:ln>
              <a:effectLst/>
            </c:spPr>
          </c:marker>
          <c:cat>
            <c:strRef>
              <c:f>'Online sample'!$C$81:$E$81</c:f>
              <c:strCache>
                <c:ptCount val="3"/>
                <c:pt idx="0">
                  <c:v>baseline</c:v>
                </c:pt>
                <c:pt idx="1">
                  <c:v>stressor</c:v>
                </c:pt>
                <c:pt idx="2">
                  <c:v>park</c:v>
                </c:pt>
              </c:strCache>
            </c:strRef>
          </c:cat>
          <c:val>
            <c:numRef>
              <c:f>'Online sample'!$C$84:$E$84</c:f>
              <c:numCache>
                <c:formatCode>General</c:formatCode>
                <c:ptCount val="3"/>
                <c:pt idx="0">
                  <c:v>3.4239999999999999</c:v>
                </c:pt>
                <c:pt idx="1">
                  <c:v>2.7280000000000002</c:v>
                </c:pt>
                <c:pt idx="2">
                  <c:v>3.3730000000000002</c:v>
                </c:pt>
              </c:numCache>
            </c:numRef>
          </c:val>
          <c:smooth val="0"/>
          <c:extLst>
            <c:ext xmlns:c16="http://schemas.microsoft.com/office/drawing/2014/chart" uri="{C3380CC4-5D6E-409C-BE32-E72D297353CC}">
              <c16:uniqueId val="{00000002-6912-498C-93A9-AE1B8C1CD3E8}"/>
            </c:ext>
          </c:extLst>
        </c:ser>
        <c:ser>
          <c:idx val="3"/>
          <c:order val="3"/>
          <c:tx>
            <c:strRef>
              <c:f>'Online sample'!$B$85</c:f>
              <c:strCache>
                <c:ptCount val="1"/>
                <c:pt idx="0">
                  <c:v>a lot of sp</c:v>
                </c:pt>
              </c:strCache>
            </c:strRef>
          </c:tx>
          <c:spPr>
            <a:ln>
              <a:solidFill>
                <a:srgbClr val="F42ACE"/>
              </a:solidFill>
            </a:ln>
          </c:spPr>
          <c:marker>
            <c:spPr>
              <a:ln>
                <a:solidFill>
                  <a:srgbClr val="F42ACE"/>
                </a:solidFill>
              </a:ln>
            </c:spPr>
          </c:marker>
          <c:cat>
            <c:strRef>
              <c:f>'Online sample'!$C$81:$E$81</c:f>
              <c:strCache>
                <c:ptCount val="3"/>
                <c:pt idx="0">
                  <c:v>baseline</c:v>
                </c:pt>
                <c:pt idx="1">
                  <c:v>stressor</c:v>
                </c:pt>
                <c:pt idx="2">
                  <c:v>park</c:v>
                </c:pt>
              </c:strCache>
            </c:strRef>
          </c:cat>
          <c:val>
            <c:numRef>
              <c:f>'Online sample'!$C$85:$E$85</c:f>
              <c:numCache>
                <c:formatCode>General</c:formatCode>
                <c:ptCount val="3"/>
                <c:pt idx="0">
                  <c:v>3.5510000000000002</c:v>
                </c:pt>
                <c:pt idx="1">
                  <c:v>2.661</c:v>
                </c:pt>
                <c:pt idx="2">
                  <c:v>3.5880000000000001</c:v>
                </c:pt>
              </c:numCache>
            </c:numRef>
          </c:val>
          <c:smooth val="0"/>
          <c:extLst>
            <c:ext xmlns:c16="http://schemas.microsoft.com/office/drawing/2014/chart" uri="{C3380CC4-5D6E-409C-BE32-E72D297353CC}">
              <c16:uniqueId val="{00000003-6912-498C-93A9-AE1B8C1CD3E8}"/>
            </c:ext>
          </c:extLst>
        </c:ser>
        <c:dLbls>
          <c:showLegendKey val="0"/>
          <c:showVal val="0"/>
          <c:showCatName val="0"/>
          <c:showSerName val="0"/>
          <c:showPercent val="0"/>
          <c:showBubbleSize val="0"/>
        </c:dLbls>
        <c:marker val="1"/>
        <c:smooth val="0"/>
        <c:axId val="1651707055"/>
        <c:axId val="1648759039"/>
      </c:lineChart>
      <c:catAx>
        <c:axId val="165170705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50" b="0" i="0" u="none" strike="noStrike" kern="1200" baseline="0">
                <a:solidFill>
                  <a:schemeClr val="tx1">
                    <a:lumMod val="65000"/>
                    <a:lumOff val="35000"/>
                  </a:schemeClr>
                </a:solidFill>
                <a:latin typeface="+mn-lt"/>
                <a:ea typeface="+mn-ea"/>
                <a:cs typeface="+mn-cs"/>
              </a:defRPr>
            </a:pPr>
            <a:endParaRPr lang="en-US"/>
          </a:p>
        </c:txPr>
        <c:crossAx val="1648759039"/>
        <c:crosses val="autoZero"/>
        <c:auto val="1"/>
        <c:lblAlgn val="ctr"/>
        <c:lblOffset val="100"/>
        <c:noMultiLvlLbl val="0"/>
      </c:catAx>
      <c:valAx>
        <c:axId val="1648759039"/>
        <c:scaling>
          <c:orientation val="minMax"/>
          <c:max val="4"/>
          <c:min val="2.5"/>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r>
                  <a:rPr lang="en-GB" sz="1100"/>
                  <a:t>Mean</a:t>
                </a:r>
                <a:r>
                  <a:rPr lang="en-GB" sz="1100" baseline="0"/>
                  <a:t> Serenity</a:t>
                </a:r>
                <a:endParaRPr lang="en-GB" sz="1100"/>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51707055"/>
        <c:crosses val="autoZero"/>
        <c:crossBetween val="between"/>
        <c:majorUnit val="0.25"/>
        <c:minorUnit val="5.000000000000001E-2"/>
      </c:valAx>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chart>
  <c:txPr>
    <a:bodyPr/>
    <a:lstStyle/>
    <a:p>
      <a:pPr>
        <a:defRPr/>
      </a:pPr>
      <a:endParaRPr lang="en-US"/>
    </a:p>
  </c:txPr>
  <c:externalData r:id="rId1">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'Online sample'!$B$87</c:f>
              <c:strCache>
                <c:ptCount val="1"/>
                <c:pt idx="0">
                  <c:v>no sp</c:v>
                </c:pt>
              </c:strCache>
            </c:strRef>
          </c:tx>
          <c:spPr>
            <a:ln w="28575" cap="rnd">
              <a:solidFill>
                <a:schemeClr val="tx2"/>
              </a:solidFill>
              <a:prstDash val="dash"/>
              <a:round/>
            </a:ln>
            <a:effectLst/>
          </c:spPr>
          <c:marker>
            <c:symbol val="circle"/>
            <c:size val="5"/>
            <c:spPr>
              <a:solidFill>
                <a:schemeClr val="tx2"/>
              </a:solidFill>
              <a:ln w="9525">
                <a:noFill/>
              </a:ln>
              <a:effectLst/>
            </c:spPr>
          </c:marker>
          <c:cat>
            <c:strRef>
              <c:f>'Online sample'!$C$86:$E$86</c:f>
              <c:strCache>
                <c:ptCount val="3"/>
                <c:pt idx="0">
                  <c:v>baseline</c:v>
                </c:pt>
                <c:pt idx="1">
                  <c:v>stressor</c:v>
                </c:pt>
                <c:pt idx="2">
                  <c:v>park</c:v>
                </c:pt>
              </c:strCache>
            </c:strRef>
          </c:cat>
          <c:val>
            <c:numRef>
              <c:f>'Online sample'!$C$87:$E$87</c:f>
              <c:numCache>
                <c:formatCode>General</c:formatCode>
                <c:ptCount val="3"/>
                <c:pt idx="0">
                  <c:v>1.2509999999999999</c:v>
                </c:pt>
                <c:pt idx="1">
                  <c:v>1.514</c:v>
                </c:pt>
                <c:pt idx="2">
                  <c:v>1.296</c:v>
                </c:pt>
              </c:numCache>
            </c:numRef>
          </c:val>
          <c:smooth val="0"/>
          <c:extLst>
            <c:ext xmlns:c16="http://schemas.microsoft.com/office/drawing/2014/chart" uri="{C3380CC4-5D6E-409C-BE32-E72D297353CC}">
              <c16:uniqueId val="{00000000-845D-4634-BBC0-BD3FBDBD94C2}"/>
            </c:ext>
          </c:extLst>
        </c:ser>
        <c:ser>
          <c:idx val="1"/>
          <c:order val="1"/>
          <c:tx>
            <c:strRef>
              <c:f>'Online sample'!$B$88</c:f>
              <c:strCache>
                <c:ptCount val="1"/>
                <c:pt idx="0">
                  <c:v>a few sp</c:v>
                </c:pt>
              </c:strCache>
            </c:strRef>
          </c:tx>
          <c:spPr>
            <a:ln w="28575" cap="rnd">
              <a:solidFill>
                <a:schemeClr val="accent2"/>
              </a:solidFill>
              <a:prstDash val="sysDot"/>
              <a:round/>
            </a:ln>
            <a:effectLst/>
          </c:spPr>
          <c:marker>
            <c:symbol val="circle"/>
            <c:size val="5"/>
            <c:spPr>
              <a:solidFill>
                <a:schemeClr val="accent2"/>
              </a:solidFill>
              <a:ln w="9525">
                <a:solidFill>
                  <a:schemeClr val="accent2"/>
                </a:solidFill>
              </a:ln>
              <a:effectLst/>
            </c:spPr>
          </c:marker>
          <c:cat>
            <c:strRef>
              <c:f>'Online sample'!$C$86:$E$86</c:f>
              <c:strCache>
                <c:ptCount val="3"/>
                <c:pt idx="0">
                  <c:v>baseline</c:v>
                </c:pt>
                <c:pt idx="1">
                  <c:v>stressor</c:v>
                </c:pt>
                <c:pt idx="2">
                  <c:v>park</c:v>
                </c:pt>
              </c:strCache>
            </c:strRef>
          </c:cat>
          <c:val>
            <c:numRef>
              <c:f>'Online sample'!$C$88:$E$88</c:f>
              <c:numCache>
                <c:formatCode>General</c:formatCode>
                <c:ptCount val="3"/>
                <c:pt idx="0">
                  <c:v>1.4279999999999999</c:v>
                </c:pt>
                <c:pt idx="1">
                  <c:v>1.4970000000000001</c:v>
                </c:pt>
                <c:pt idx="2">
                  <c:v>1.262</c:v>
                </c:pt>
              </c:numCache>
            </c:numRef>
          </c:val>
          <c:smooth val="0"/>
          <c:extLst>
            <c:ext xmlns:c16="http://schemas.microsoft.com/office/drawing/2014/chart" uri="{C3380CC4-5D6E-409C-BE32-E72D297353CC}">
              <c16:uniqueId val="{00000001-845D-4634-BBC0-BD3FBDBD94C2}"/>
            </c:ext>
          </c:extLst>
        </c:ser>
        <c:ser>
          <c:idx val="2"/>
          <c:order val="2"/>
          <c:tx>
            <c:strRef>
              <c:f>'Online sample'!$B$89</c:f>
              <c:strCache>
                <c:ptCount val="1"/>
                <c:pt idx="0">
                  <c:v>some sp</c:v>
                </c:pt>
              </c:strCache>
            </c:strRef>
          </c:tx>
          <c:spPr>
            <a:ln w="28575" cap="rnd">
              <a:solidFill>
                <a:schemeClr val="accent6"/>
              </a:solidFill>
              <a:round/>
            </a:ln>
            <a:effectLst/>
          </c:spPr>
          <c:marker>
            <c:symbol val="circle"/>
            <c:size val="5"/>
            <c:spPr>
              <a:solidFill>
                <a:schemeClr val="accent6"/>
              </a:solidFill>
              <a:ln w="9525">
                <a:noFill/>
              </a:ln>
              <a:effectLst/>
            </c:spPr>
          </c:marker>
          <c:cat>
            <c:strRef>
              <c:f>'Online sample'!$C$86:$E$86</c:f>
              <c:strCache>
                <c:ptCount val="3"/>
                <c:pt idx="0">
                  <c:v>baseline</c:v>
                </c:pt>
                <c:pt idx="1">
                  <c:v>stressor</c:v>
                </c:pt>
                <c:pt idx="2">
                  <c:v>park</c:v>
                </c:pt>
              </c:strCache>
            </c:strRef>
          </c:cat>
          <c:val>
            <c:numRef>
              <c:f>'Online sample'!$C$89:$E$89</c:f>
              <c:numCache>
                <c:formatCode>General</c:formatCode>
                <c:ptCount val="3"/>
                <c:pt idx="0">
                  <c:v>1.3979999999999999</c:v>
                </c:pt>
                <c:pt idx="1">
                  <c:v>1.593</c:v>
                </c:pt>
                <c:pt idx="2">
                  <c:v>1.2629999999999999</c:v>
                </c:pt>
              </c:numCache>
            </c:numRef>
          </c:val>
          <c:smooth val="0"/>
          <c:extLst>
            <c:ext xmlns:c16="http://schemas.microsoft.com/office/drawing/2014/chart" uri="{C3380CC4-5D6E-409C-BE32-E72D297353CC}">
              <c16:uniqueId val="{00000002-845D-4634-BBC0-BD3FBDBD94C2}"/>
            </c:ext>
          </c:extLst>
        </c:ser>
        <c:ser>
          <c:idx val="3"/>
          <c:order val="3"/>
          <c:tx>
            <c:strRef>
              <c:f>'Online sample'!$B$90</c:f>
              <c:strCache>
                <c:ptCount val="1"/>
                <c:pt idx="0">
                  <c:v>a lot of sp</c:v>
                </c:pt>
              </c:strCache>
            </c:strRef>
          </c:tx>
          <c:spPr>
            <a:ln>
              <a:solidFill>
                <a:srgbClr val="F42ACE"/>
              </a:solidFill>
            </a:ln>
          </c:spPr>
          <c:marker>
            <c:spPr>
              <a:ln>
                <a:solidFill>
                  <a:srgbClr val="F42ACE"/>
                </a:solidFill>
              </a:ln>
            </c:spPr>
          </c:marker>
          <c:cat>
            <c:strRef>
              <c:f>'Online sample'!$C$86:$E$86</c:f>
              <c:strCache>
                <c:ptCount val="3"/>
                <c:pt idx="0">
                  <c:v>baseline</c:v>
                </c:pt>
                <c:pt idx="1">
                  <c:v>stressor</c:v>
                </c:pt>
                <c:pt idx="2">
                  <c:v>park</c:v>
                </c:pt>
              </c:strCache>
            </c:strRef>
          </c:cat>
          <c:val>
            <c:numRef>
              <c:f>'Online sample'!$C$90:$E$90</c:f>
              <c:numCache>
                <c:formatCode>General</c:formatCode>
                <c:ptCount val="3"/>
                <c:pt idx="0">
                  <c:v>1.228</c:v>
                </c:pt>
                <c:pt idx="1">
                  <c:v>1.504</c:v>
                </c:pt>
                <c:pt idx="2">
                  <c:v>1.1359999999999999</c:v>
                </c:pt>
              </c:numCache>
            </c:numRef>
          </c:val>
          <c:smooth val="0"/>
          <c:extLst>
            <c:ext xmlns:c16="http://schemas.microsoft.com/office/drawing/2014/chart" uri="{C3380CC4-5D6E-409C-BE32-E72D297353CC}">
              <c16:uniqueId val="{00000003-845D-4634-BBC0-BD3FBDBD94C2}"/>
            </c:ext>
          </c:extLst>
        </c:ser>
        <c:dLbls>
          <c:showLegendKey val="0"/>
          <c:showVal val="0"/>
          <c:showCatName val="0"/>
          <c:showSerName val="0"/>
          <c:showPercent val="0"/>
          <c:showBubbleSize val="0"/>
        </c:dLbls>
        <c:marker val="1"/>
        <c:smooth val="0"/>
        <c:axId val="1651707055"/>
        <c:axId val="1648759039"/>
      </c:lineChart>
      <c:catAx>
        <c:axId val="165170705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50" b="0" i="0" u="none" strike="noStrike" kern="1200" baseline="0">
                <a:solidFill>
                  <a:schemeClr val="tx1">
                    <a:lumMod val="65000"/>
                    <a:lumOff val="35000"/>
                  </a:schemeClr>
                </a:solidFill>
                <a:latin typeface="+mn-lt"/>
                <a:ea typeface="+mn-ea"/>
                <a:cs typeface="+mn-cs"/>
              </a:defRPr>
            </a:pPr>
            <a:endParaRPr lang="en-US"/>
          </a:p>
        </c:txPr>
        <c:crossAx val="1648759039"/>
        <c:crosses val="autoZero"/>
        <c:auto val="1"/>
        <c:lblAlgn val="ctr"/>
        <c:lblOffset val="100"/>
        <c:noMultiLvlLbl val="0"/>
      </c:catAx>
      <c:valAx>
        <c:axId val="1648759039"/>
        <c:scaling>
          <c:orientation val="minMax"/>
          <c:max val="2.5"/>
          <c:min val="1"/>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r>
                  <a:rPr lang="en-GB" sz="1100"/>
                  <a:t>Mean Joviality</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51707055"/>
        <c:crosses val="autoZero"/>
        <c:crossBetween val="between"/>
        <c:majorUnit val="0.25"/>
        <c:minorUnit val="5.000000000000001E-2"/>
      </c:valAx>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chart>
  <c:txPr>
    <a:bodyPr/>
    <a:lstStyle/>
    <a:p>
      <a:pPr>
        <a:defRPr/>
      </a:pPr>
      <a:endParaRPr lang="en-US"/>
    </a:p>
  </c:txPr>
  <c:externalData r:id="rId1">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'face to face sample'!$B$9</c:f>
              <c:strCache>
                <c:ptCount val="1"/>
                <c:pt idx="0">
                  <c:v>Car park</c:v>
                </c:pt>
              </c:strCache>
            </c:strRef>
          </c:tx>
          <c:spPr>
            <a:ln w="28575" cap="rnd">
              <a:solidFill>
                <a:schemeClr val="tx2"/>
              </a:solidFill>
              <a:prstDash val="dash"/>
              <a:round/>
            </a:ln>
            <a:effectLst/>
          </c:spPr>
          <c:marker>
            <c:symbol val="circle"/>
            <c:size val="5"/>
            <c:spPr>
              <a:solidFill>
                <a:schemeClr val="tx2"/>
              </a:solidFill>
              <a:ln w="9525">
                <a:noFill/>
              </a:ln>
              <a:effectLst/>
            </c:spPr>
          </c:marker>
          <c:cat>
            <c:strRef>
              <c:f>'face to face sample'!$C$8:$E$8</c:f>
              <c:strCache>
                <c:ptCount val="3"/>
                <c:pt idx="0">
                  <c:v>baseline</c:v>
                </c:pt>
                <c:pt idx="1">
                  <c:v>stressor</c:v>
                </c:pt>
                <c:pt idx="2">
                  <c:v>park</c:v>
                </c:pt>
              </c:strCache>
            </c:strRef>
          </c:cat>
          <c:val>
            <c:numRef>
              <c:f>'face to face sample'!$C$9:$E$9</c:f>
              <c:numCache>
                <c:formatCode>General</c:formatCode>
                <c:ptCount val="3"/>
                <c:pt idx="0">
                  <c:v>2.6139999999999999</c:v>
                </c:pt>
                <c:pt idx="1">
                  <c:v>2.2389999999999999</c:v>
                </c:pt>
                <c:pt idx="2">
                  <c:v>2.0569999999999999</c:v>
                </c:pt>
              </c:numCache>
            </c:numRef>
          </c:val>
          <c:smooth val="0"/>
          <c:extLst>
            <c:ext xmlns:c16="http://schemas.microsoft.com/office/drawing/2014/chart" uri="{C3380CC4-5D6E-409C-BE32-E72D297353CC}">
              <c16:uniqueId val="{00000000-98DD-43B8-8FE9-5D4DF66887F4}"/>
            </c:ext>
          </c:extLst>
        </c:ser>
        <c:ser>
          <c:idx val="1"/>
          <c:order val="1"/>
          <c:tx>
            <c:strRef>
              <c:f>'face to face sample'!$B$10</c:f>
              <c:strCache>
                <c:ptCount val="1"/>
                <c:pt idx="0">
                  <c:v>Low sp. richness</c:v>
                </c:pt>
              </c:strCache>
            </c:strRef>
          </c:tx>
          <c:spPr>
            <a:ln w="28575" cap="rnd">
              <a:solidFill>
                <a:schemeClr val="accent2"/>
              </a:solidFill>
              <a:prstDash val="sysDot"/>
              <a:round/>
            </a:ln>
            <a:effectLst/>
          </c:spPr>
          <c:marker>
            <c:symbol val="circle"/>
            <c:size val="5"/>
            <c:spPr>
              <a:solidFill>
                <a:schemeClr val="accent2"/>
              </a:solidFill>
              <a:ln w="9525">
                <a:solidFill>
                  <a:schemeClr val="accent2"/>
                </a:solidFill>
              </a:ln>
              <a:effectLst/>
            </c:spPr>
          </c:marker>
          <c:cat>
            <c:strRef>
              <c:f>'face to face sample'!$C$8:$E$8</c:f>
              <c:strCache>
                <c:ptCount val="3"/>
                <c:pt idx="0">
                  <c:v>baseline</c:v>
                </c:pt>
                <c:pt idx="1">
                  <c:v>stressor</c:v>
                </c:pt>
                <c:pt idx="2">
                  <c:v>park</c:v>
                </c:pt>
              </c:strCache>
            </c:strRef>
          </c:cat>
          <c:val>
            <c:numRef>
              <c:f>'face to face sample'!$C$10:$E$10</c:f>
              <c:numCache>
                <c:formatCode>General</c:formatCode>
                <c:ptCount val="3"/>
                <c:pt idx="0">
                  <c:v>2.556</c:v>
                </c:pt>
                <c:pt idx="1">
                  <c:v>2.081</c:v>
                </c:pt>
                <c:pt idx="2">
                  <c:v>2.9380000000000002</c:v>
                </c:pt>
              </c:numCache>
            </c:numRef>
          </c:val>
          <c:smooth val="0"/>
          <c:extLst>
            <c:ext xmlns:c16="http://schemas.microsoft.com/office/drawing/2014/chart" uri="{C3380CC4-5D6E-409C-BE32-E72D297353CC}">
              <c16:uniqueId val="{00000001-98DD-43B8-8FE9-5D4DF66887F4}"/>
            </c:ext>
          </c:extLst>
        </c:ser>
        <c:ser>
          <c:idx val="2"/>
          <c:order val="2"/>
          <c:tx>
            <c:strRef>
              <c:f>'face to face sample'!$B$11</c:f>
              <c:strCache>
                <c:ptCount val="1"/>
                <c:pt idx="0">
                  <c:v>High sp. Richness</c:v>
                </c:pt>
              </c:strCache>
            </c:strRef>
          </c:tx>
          <c:spPr>
            <a:ln w="28575" cap="rnd">
              <a:solidFill>
                <a:schemeClr val="accent6"/>
              </a:solidFill>
              <a:round/>
            </a:ln>
            <a:effectLst/>
          </c:spPr>
          <c:marker>
            <c:symbol val="circle"/>
            <c:size val="5"/>
            <c:spPr>
              <a:solidFill>
                <a:schemeClr val="accent6"/>
              </a:solidFill>
              <a:ln w="9525">
                <a:noFill/>
              </a:ln>
              <a:effectLst/>
            </c:spPr>
          </c:marker>
          <c:cat>
            <c:strRef>
              <c:f>'face to face sample'!$C$8:$E$8</c:f>
              <c:strCache>
                <c:ptCount val="3"/>
                <c:pt idx="0">
                  <c:v>baseline</c:v>
                </c:pt>
                <c:pt idx="1">
                  <c:v>stressor</c:v>
                </c:pt>
                <c:pt idx="2">
                  <c:v>park</c:v>
                </c:pt>
              </c:strCache>
            </c:strRef>
          </c:cat>
          <c:val>
            <c:numRef>
              <c:f>'face to face sample'!$C$11:$E$11</c:f>
              <c:numCache>
                <c:formatCode>General</c:formatCode>
                <c:ptCount val="3"/>
                <c:pt idx="0">
                  <c:v>2.298</c:v>
                </c:pt>
                <c:pt idx="1">
                  <c:v>1.851</c:v>
                </c:pt>
                <c:pt idx="2">
                  <c:v>3.089</c:v>
                </c:pt>
              </c:numCache>
            </c:numRef>
          </c:val>
          <c:smooth val="0"/>
          <c:extLst>
            <c:ext xmlns:c16="http://schemas.microsoft.com/office/drawing/2014/chart" uri="{C3380CC4-5D6E-409C-BE32-E72D297353CC}">
              <c16:uniqueId val="{00000002-98DD-43B8-8FE9-5D4DF66887F4}"/>
            </c:ext>
          </c:extLst>
        </c:ser>
        <c:dLbls>
          <c:showLegendKey val="0"/>
          <c:showVal val="0"/>
          <c:showCatName val="0"/>
          <c:showSerName val="0"/>
          <c:showPercent val="0"/>
          <c:showBubbleSize val="0"/>
        </c:dLbls>
        <c:marker val="1"/>
        <c:smooth val="0"/>
        <c:axId val="1651707055"/>
        <c:axId val="1648759039"/>
      </c:lineChart>
      <c:catAx>
        <c:axId val="165170705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50" b="0" i="0" u="none" strike="noStrike" kern="1200" baseline="0">
                <a:solidFill>
                  <a:schemeClr val="tx1">
                    <a:lumMod val="65000"/>
                    <a:lumOff val="35000"/>
                  </a:schemeClr>
                </a:solidFill>
                <a:latin typeface="+mn-lt"/>
                <a:ea typeface="+mn-ea"/>
                <a:cs typeface="+mn-cs"/>
              </a:defRPr>
            </a:pPr>
            <a:endParaRPr lang="en-US"/>
          </a:p>
        </c:txPr>
        <c:crossAx val="1648759039"/>
        <c:crosses val="autoZero"/>
        <c:auto val="1"/>
        <c:lblAlgn val="ctr"/>
        <c:lblOffset val="100"/>
        <c:noMultiLvlLbl val="0"/>
      </c:catAx>
      <c:valAx>
        <c:axId val="1648759039"/>
        <c:scaling>
          <c:orientation val="minMax"/>
          <c:max val="3.5"/>
          <c:min val="1.5"/>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r>
                  <a:rPr lang="en-GB" sz="1100"/>
                  <a:t>Mean Joviality</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51707055"/>
        <c:crosses val="autoZero"/>
        <c:crossBetween val="between"/>
        <c:majorUnit val="0.25"/>
        <c:minorUnit val="5.000000000000001E-2"/>
      </c:valAx>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chart>
  <c:txPr>
    <a:bodyPr/>
    <a:lstStyle/>
    <a:p>
      <a:pPr>
        <a:defRPr/>
      </a:pPr>
      <a:endParaRPr lang="en-US"/>
    </a:p>
  </c:txPr>
  <c:externalData r:id="rId1">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'face to face sample'!$B$13</c:f>
              <c:strCache>
                <c:ptCount val="1"/>
                <c:pt idx="0">
                  <c:v>Car park</c:v>
                </c:pt>
              </c:strCache>
            </c:strRef>
          </c:tx>
          <c:spPr>
            <a:ln w="28575" cap="rnd">
              <a:solidFill>
                <a:schemeClr val="tx2"/>
              </a:solidFill>
              <a:prstDash val="dash"/>
              <a:round/>
            </a:ln>
            <a:effectLst/>
          </c:spPr>
          <c:marker>
            <c:symbol val="circle"/>
            <c:size val="5"/>
            <c:spPr>
              <a:solidFill>
                <a:schemeClr val="tx2"/>
              </a:solidFill>
              <a:ln w="9525">
                <a:noFill/>
              </a:ln>
              <a:effectLst/>
            </c:spPr>
          </c:marker>
          <c:cat>
            <c:strRef>
              <c:f>'face to face sample'!$C$12:$E$12</c:f>
              <c:strCache>
                <c:ptCount val="3"/>
                <c:pt idx="0">
                  <c:v>baseline</c:v>
                </c:pt>
                <c:pt idx="1">
                  <c:v>stressor</c:v>
                </c:pt>
                <c:pt idx="2">
                  <c:v>park</c:v>
                </c:pt>
              </c:strCache>
            </c:strRef>
          </c:cat>
          <c:val>
            <c:numRef>
              <c:f>'face to face sample'!$C$13:$E$13</c:f>
              <c:numCache>
                <c:formatCode>General</c:formatCode>
                <c:ptCount val="3"/>
                <c:pt idx="0">
                  <c:v>3.4550000000000001</c:v>
                </c:pt>
                <c:pt idx="1">
                  <c:v>2.3940000000000001</c:v>
                </c:pt>
                <c:pt idx="2">
                  <c:v>2.5449999999999999</c:v>
                </c:pt>
              </c:numCache>
            </c:numRef>
          </c:val>
          <c:smooth val="0"/>
          <c:extLst>
            <c:ext xmlns:c16="http://schemas.microsoft.com/office/drawing/2014/chart" uri="{C3380CC4-5D6E-409C-BE32-E72D297353CC}">
              <c16:uniqueId val="{00000000-F496-417B-9DF6-62A60901C703}"/>
            </c:ext>
          </c:extLst>
        </c:ser>
        <c:ser>
          <c:idx val="1"/>
          <c:order val="1"/>
          <c:tx>
            <c:strRef>
              <c:f>'face to face sample'!$B$14</c:f>
              <c:strCache>
                <c:ptCount val="1"/>
                <c:pt idx="0">
                  <c:v>Low sp. richness</c:v>
                </c:pt>
              </c:strCache>
            </c:strRef>
          </c:tx>
          <c:spPr>
            <a:ln w="28575" cap="rnd">
              <a:solidFill>
                <a:schemeClr val="accent2"/>
              </a:solidFill>
              <a:prstDash val="sysDot"/>
              <a:round/>
            </a:ln>
            <a:effectLst/>
          </c:spPr>
          <c:marker>
            <c:symbol val="circle"/>
            <c:size val="5"/>
            <c:spPr>
              <a:solidFill>
                <a:schemeClr val="accent2"/>
              </a:solidFill>
              <a:ln w="9525">
                <a:solidFill>
                  <a:schemeClr val="accent2"/>
                </a:solidFill>
              </a:ln>
              <a:effectLst/>
            </c:spPr>
          </c:marker>
          <c:cat>
            <c:strRef>
              <c:f>'face to face sample'!$C$12:$E$12</c:f>
              <c:strCache>
                <c:ptCount val="3"/>
                <c:pt idx="0">
                  <c:v>baseline</c:v>
                </c:pt>
                <c:pt idx="1">
                  <c:v>stressor</c:v>
                </c:pt>
                <c:pt idx="2">
                  <c:v>park</c:v>
                </c:pt>
              </c:strCache>
            </c:strRef>
          </c:cat>
          <c:val>
            <c:numRef>
              <c:f>'face to face sample'!$C$14:$E$14</c:f>
              <c:numCache>
                <c:formatCode>General</c:formatCode>
                <c:ptCount val="3"/>
                <c:pt idx="0">
                  <c:v>3.5329999999999999</c:v>
                </c:pt>
                <c:pt idx="1">
                  <c:v>2.2000000000000002</c:v>
                </c:pt>
                <c:pt idx="2">
                  <c:v>3.65</c:v>
                </c:pt>
              </c:numCache>
            </c:numRef>
          </c:val>
          <c:smooth val="0"/>
          <c:extLst>
            <c:ext xmlns:c16="http://schemas.microsoft.com/office/drawing/2014/chart" uri="{C3380CC4-5D6E-409C-BE32-E72D297353CC}">
              <c16:uniqueId val="{00000001-F496-417B-9DF6-62A60901C703}"/>
            </c:ext>
          </c:extLst>
        </c:ser>
        <c:ser>
          <c:idx val="2"/>
          <c:order val="2"/>
          <c:tx>
            <c:strRef>
              <c:f>'face to face sample'!$B$15</c:f>
              <c:strCache>
                <c:ptCount val="1"/>
                <c:pt idx="0">
                  <c:v>High sp. Richness</c:v>
                </c:pt>
              </c:strCache>
            </c:strRef>
          </c:tx>
          <c:spPr>
            <a:ln w="28575" cap="rnd">
              <a:solidFill>
                <a:schemeClr val="accent6"/>
              </a:solidFill>
              <a:round/>
            </a:ln>
            <a:effectLst/>
          </c:spPr>
          <c:marker>
            <c:symbol val="circle"/>
            <c:size val="5"/>
            <c:spPr>
              <a:solidFill>
                <a:schemeClr val="accent6"/>
              </a:solidFill>
              <a:ln w="9525">
                <a:noFill/>
              </a:ln>
              <a:effectLst/>
            </c:spPr>
          </c:marker>
          <c:cat>
            <c:strRef>
              <c:f>'face to face sample'!$C$12:$E$12</c:f>
              <c:strCache>
                <c:ptCount val="3"/>
                <c:pt idx="0">
                  <c:v>baseline</c:v>
                </c:pt>
                <c:pt idx="1">
                  <c:v>stressor</c:v>
                </c:pt>
                <c:pt idx="2">
                  <c:v>park</c:v>
                </c:pt>
              </c:strCache>
            </c:strRef>
          </c:cat>
          <c:val>
            <c:numRef>
              <c:f>'face to face sample'!$C$15:$E$15</c:f>
              <c:numCache>
                <c:formatCode>General</c:formatCode>
                <c:ptCount val="3"/>
                <c:pt idx="0">
                  <c:v>3.5710000000000002</c:v>
                </c:pt>
                <c:pt idx="1">
                  <c:v>2.222</c:v>
                </c:pt>
                <c:pt idx="2">
                  <c:v>3.8570000000000002</c:v>
                </c:pt>
              </c:numCache>
            </c:numRef>
          </c:val>
          <c:smooth val="0"/>
          <c:extLst>
            <c:ext xmlns:c16="http://schemas.microsoft.com/office/drawing/2014/chart" uri="{C3380CC4-5D6E-409C-BE32-E72D297353CC}">
              <c16:uniqueId val="{00000002-F496-417B-9DF6-62A60901C703}"/>
            </c:ext>
          </c:extLst>
        </c:ser>
        <c:dLbls>
          <c:showLegendKey val="0"/>
          <c:showVal val="0"/>
          <c:showCatName val="0"/>
          <c:showSerName val="0"/>
          <c:showPercent val="0"/>
          <c:showBubbleSize val="0"/>
        </c:dLbls>
        <c:marker val="1"/>
        <c:smooth val="0"/>
        <c:axId val="1651707055"/>
        <c:axId val="1648759039"/>
      </c:lineChart>
      <c:catAx>
        <c:axId val="165170705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50" b="0" i="0" u="none" strike="noStrike" kern="1200" baseline="0">
                <a:solidFill>
                  <a:schemeClr val="tx1">
                    <a:lumMod val="65000"/>
                    <a:lumOff val="35000"/>
                  </a:schemeClr>
                </a:solidFill>
                <a:latin typeface="+mn-lt"/>
                <a:ea typeface="+mn-ea"/>
                <a:cs typeface="+mn-cs"/>
              </a:defRPr>
            </a:pPr>
            <a:endParaRPr lang="en-US"/>
          </a:p>
        </c:txPr>
        <c:crossAx val="1648759039"/>
        <c:crosses val="autoZero"/>
        <c:auto val="1"/>
        <c:lblAlgn val="ctr"/>
        <c:lblOffset val="100"/>
        <c:noMultiLvlLbl val="0"/>
      </c:catAx>
      <c:valAx>
        <c:axId val="1648759039"/>
        <c:scaling>
          <c:orientation val="minMax"/>
          <c:max val="4"/>
          <c:min val="2"/>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r>
                  <a:rPr lang="en-GB" sz="1100"/>
                  <a:t>Mean Joviality</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51707055"/>
        <c:crosses val="autoZero"/>
        <c:crossBetween val="between"/>
        <c:majorUnit val="0.25"/>
        <c:minorUnit val="5.000000000000001E-2"/>
      </c:valAx>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chart>
  <c:txPr>
    <a:bodyPr/>
    <a:lstStyle/>
    <a:p>
      <a:pPr>
        <a:defRPr/>
      </a:pPr>
      <a:endParaRPr lang="en-US"/>
    </a:p>
  </c:txPr>
  <c:externalData r:id="rId1">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'face to face sample'!$B$17</c:f>
              <c:strCache>
                <c:ptCount val="1"/>
                <c:pt idx="0">
                  <c:v>car park</c:v>
                </c:pt>
              </c:strCache>
            </c:strRef>
          </c:tx>
          <c:spPr>
            <a:ln w="28575" cap="rnd">
              <a:solidFill>
                <a:schemeClr val="tx2"/>
              </a:solidFill>
              <a:prstDash val="dash"/>
              <a:round/>
            </a:ln>
            <a:effectLst/>
          </c:spPr>
          <c:marker>
            <c:symbol val="circle"/>
            <c:size val="5"/>
            <c:spPr>
              <a:solidFill>
                <a:schemeClr val="tx2"/>
              </a:solidFill>
              <a:ln w="9525">
                <a:noFill/>
              </a:ln>
              <a:effectLst/>
            </c:spPr>
          </c:marker>
          <c:cat>
            <c:strRef>
              <c:f>'face to face sample'!$C$16:$E$16</c:f>
              <c:strCache>
                <c:ptCount val="3"/>
                <c:pt idx="0">
                  <c:v>baseline</c:v>
                </c:pt>
                <c:pt idx="1">
                  <c:v>stressor</c:v>
                </c:pt>
                <c:pt idx="2">
                  <c:v>park</c:v>
                </c:pt>
              </c:strCache>
            </c:strRef>
          </c:cat>
          <c:val>
            <c:numRef>
              <c:f>'face to face sample'!$C$17:$E$17</c:f>
              <c:numCache>
                <c:formatCode>General</c:formatCode>
                <c:ptCount val="3"/>
                <c:pt idx="0">
                  <c:v>1.4550000000000001</c:v>
                </c:pt>
                <c:pt idx="1">
                  <c:v>1.7090000000000001</c:v>
                </c:pt>
                <c:pt idx="2">
                  <c:v>1.4910000000000001</c:v>
                </c:pt>
              </c:numCache>
            </c:numRef>
          </c:val>
          <c:smooth val="0"/>
          <c:extLst>
            <c:ext xmlns:c16="http://schemas.microsoft.com/office/drawing/2014/chart" uri="{C3380CC4-5D6E-409C-BE32-E72D297353CC}">
              <c16:uniqueId val="{00000000-458E-4F5D-8064-8A989C5EE33D}"/>
            </c:ext>
          </c:extLst>
        </c:ser>
        <c:ser>
          <c:idx val="1"/>
          <c:order val="1"/>
          <c:tx>
            <c:strRef>
              <c:f>'face to face sample'!$B$18</c:f>
              <c:strCache>
                <c:ptCount val="1"/>
                <c:pt idx="0">
                  <c:v>low biodiversity</c:v>
                </c:pt>
              </c:strCache>
            </c:strRef>
          </c:tx>
          <c:spPr>
            <a:ln w="28575" cap="rnd">
              <a:solidFill>
                <a:schemeClr val="accent2"/>
              </a:solidFill>
              <a:prstDash val="sysDot"/>
              <a:round/>
            </a:ln>
            <a:effectLst/>
          </c:spPr>
          <c:marker>
            <c:symbol val="circle"/>
            <c:size val="5"/>
            <c:spPr>
              <a:solidFill>
                <a:schemeClr val="accent2"/>
              </a:solidFill>
              <a:ln w="9525">
                <a:solidFill>
                  <a:schemeClr val="accent2"/>
                </a:solidFill>
              </a:ln>
              <a:effectLst/>
            </c:spPr>
          </c:marker>
          <c:cat>
            <c:strRef>
              <c:f>'face to face sample'!$C$16:$E$16</c:f>
              <c:strCache>
                <c:ptCount val="3"/>
                <c:pt idx="0">
                  <c:v>baseline</c:v>
                </c:pt>
                <c:pt idx="1">
                  <c:v>stressor</c:v>
                </c:pt>
                <c:pt idx="2">
                  <c:v>park</c:v>
                </c:pt>
              </c:strCache>
            </c:strRef>
          </c:cat>
          <c:val>
            <c:numRef>
              <c:f>'face to face sample'!$C$18:$E$18</c:f>
              <c:numCache>
                <c:formatCode>General</c:formatCode>
                <c:ptCount val="3"/>
                <c:pt idx="0">
                  <c:v>1.38</c:v>
                </c:pt>
                <c:pt idx="1">
                  <c:v>1.97</c:v>
                </c:pt>
                <c:pt idx="2">
                  <c:v>1.17</c:v>
                </c:pt>
              </c:numCache>
            </c:numRef>
          </c:val>
          <c:smooth val="0"/>
          <c:extLst>
            <c:ext xmlns:c16="http://schemas.microsoft.com/office/drawing/2014/chart" uri="{C3380CC4-5D6E-409C-BE32-E72D297353CC}">
              <c16:uniqueId val="{00000001-458E-4F5D-8064-8A989C5EE33D}"/>
            </c:ext>
          </c:extLst>
        </c:ser>
        <c:ser>
          <c:idx val="2"/>
          <c:order val="2"/>
          <c:tx>
            <c:strRef>
              <c:f>'face to face sample'!$B$19</c:f>
              <c:strCache>
                <c:ptCount val="1"/>
                <c:pt idx="0">
                  <c:v>high biodiversity</c:v>
                </c:pt>
              </c:strCache>
            </c:strRef>
          </c:tx>
          <c:spPr>
            <a:ln w="28575" cap="rnd">
              <a:solidFill>
                <a:schemeClr val="accent6"/>
              </a:solidFill>
              <a:round/>
            </a:ln>
            <a:effectLst/>
          </c:spPr>
          <c:marker>
            <c:symbol val="circle"/>
            <c:size val="5"/>
            <c:spPr>
              <a:solidFill>
                <a:schemeClr val="accent6"/>
              </a:solidFill>
              <a:ln w="9525">
                <a:noFill/>
              </a:ln>
              <a:effectLst/>
            </c:spPr>
          </c:marker>
          <c:cat>
            <c:strRef>
              <c:f>'face to face sample'!$C$16:$E$16</c:f>
              <c:strCache>
                <c:ptCount val="3"/>
                <c:pt idx="0">
                  <c:v>baseline</c:v>
                </c:pt>
                <c:pt idx="1">
                  <c:v>stressor</c:v>
                </c:pt>
                <c:pt idx="2">
                  <c:v>park</c:v>
                </c:pt>
              </c:strCache>
            </c:strRef>
          </c:cat>
          <c:val>
            <c:numRef>
              <c:f>'face to face sample'!$C$19:$E$19</c:f>
              <c:numCache>
                <c:formatCode>General</c:formatCode>
                <c:ptCount val="3"/>
                <c:pt idx="0">
                  <c:v>1.2190000000000001</c:v>
                </c:pt>
                <c:pt idx="1">
                  <c:v>1.6759999999999999</c:v>
                </c:pt>
                <c:pt idx="2">
                  <c:v>1.095</c:v>
                </c:pt>
              </c:numCache>
            </c:numRef>
          </c:val>
          <c:smooth val="0"/>
          <c:extLst>
            <c:ext xmlns:c16="http://schemas.microsoft.com/office/drawing/2014/chart" uri="{C3380CC4-5D6E-409C-BE32-E72D297353CC}">
              <c16:uniqueId val="{00000002-458E-4F5D-8064-8A989C5EE33D}"/>
            </c:ext>
          </c:extLst>
        </c:ser>
        <c:dLbls>
          <c:showLegendKey val="0"/>
          <c:showVal val="0"/>
          <c:showCatName val="0"/>
          <c:showSerName val="0"/>
          <c:showPercent val="0"/>
          <c:showBubbleSize val="0"/>
        </c:dLbls>
        <c:marker val="1"/>
        <c:smooth val="0"/>
        <c:axId val="1651707055"/>
        <c:axId val="1648759039"/>
      </c:lineChart>
      <c:catAx>
        <c:axId val="165170705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50" b="0" i="0" u="none" strike="noStrike" kern="1200" baseline="0">
                <a:solidFill>
                  <a:schemeClr val="tx1">
                    <a:lumMod val="65000"/>
                    <a:lumOff val="35000"/>
                  </a:schemeClr>
                </a:solidFill>
                <a:latin typeface="+mn-lt"/>
                <a:ea typeface="+mn-ea"/>
                <a:cs typeface="+mn-cs"/>
              </a:defRPr>
            </a:pPr>
            <a:endParaRPr lang="en-US"/>
          </a:p>
        </c:txPr>
        <c:crossAx val="1648759039"/>
        <c:crosses val="autoZero"/>
        <c:auto val="1"/>
        <c:lblAlgn val="ctr"/>
        <c:lblOffset val="100"/>
        <c:noMultiLvlLbl val="0"/>
      </c:catAx>
      <c:valAx>
        <c:axId val="1648759039"/>
        <c:scaling>
          <c:orientation val="minMax"/>
          <c:max val="2.5"/>
          <c:min val="1"/>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r>
                  <a:rPr lang="en-GB" sz="1100"/>
                  <a:t>Mean Negative</a:t>
                </a:r>
                <a:r>
                  <a:rPr lang="en-GB" sz="1100" baseline="0"/>
                  <a:t> Affect</a:t>
                </a:r>
                <a:endParaRPr lang="en-GB" sz="1100"/>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51707055"/>
        <c:crosses val="autoZero"/>
        <c:crossBetween val="between"/>
        <c:majorUnit val="0.25"/>
        <c:minorUnit val="5.000000000000001E-2"/>
      </c:valAx>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chart>
  <c:txPr>
    <a:bodyPr/>
    <a:lstStyle/>
    <a:p>
      <a:pPr>
        <a:defRPr/>
      </a:pPr>
      <a:endParaRPr lang="en-US"/>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'PA by Perceptions'!$A$105</c:f>
              <c:strCache>
                <c:ptCount val="1"/>
                <c:pt idx="0">
                  <c:v>Bad or Neutral</c:v>
                </c:pt>
              </c:strCache>
            </c:strRef>
          </c:tx>
          <c:spPr>
            <a:solidFill>
              <a:schemeClr val="accent1"/>
            </a:solidFill>
            <a:ln>
              <a:noFill/>
            </a:ln>
            <a:effectLst/>
          </c:spPr>
          <c:invertIfNegative val="0"/>
          <c:cat>
            <c:strRef>
              <c:f>'PA by Perceptions'!$B$104</c:f>
              <c:strCache>
                <c:ptCount val="1"/>
                <c:pt idx="0">
                  <c:v>NA</c:v>
                </c:pt>
              </c:strCache>
            </c:strRef>
          </c:cat>
          <c:val>
            <c:numRef>
              <c:f>'PA by Perceptions'!$B$105</c:f>
              <c:numCache>
                <c:formatCode>General</c:formatCode>
                <c:ptCount val="1"/>
                <c:pt idx="0">
                  <c:v>-2.2173913043478235</c:v>
                </c:pt>
              </c:numCache>
            </c:numRef>
          </c:val>
          <c:extLst>
            <c:ext xmlns:c16="http://schemas.microsoft.com/office/drawing/2014/chart" uri="{C3380CC4-5D6E-409C-BE32-E72D297353CC}">
              <c16:uniqueId val="{00000000-1B29-4DF2-A76F-E56D6DF651E5}"/>
            </c:ext>
          </c:extLst>
        </c:ser>
        <c:ser>
          <c:idx val="1"/>
          <c:order val="1"/>
          <c:tx>
            <c:strRef>
              <c:f>'PA by Perceptions'!$A$106</c:f>
              <c:strCache>
                <c:ptCount val="1"/>
                <c:pt idx="0">
                  <c:v>Good</c:v>
                </c:pt>
              </c:strCache>
            </c:strRef>
          </c:tx>
          <c:spPr>
            <a:pattFill prst="wdDnDiag">
              <a:fgClr>
                <a:srgbClr val="FFCCFF"/>
              </a:fgClr>
              <a:bgClr>
                <a:schemeClr val="bg1"/>
              </a:bgClr>
            </a:pattFill>
            <a:ln>
              <a:noFill/>
            </a:ln>
            <a:effectLst/>
          </c:spPr>
          <c:invertIfNegative val="0"/>
          <c:dPt>
            <c:idx val="0"/>
            <c:invertIfNegative val="0"/>
            <c:bubble3D val="0"/>
            <c:spPr>
              <a:pattFill prst="wdDnDiag">
                <a:fgClr>
                  <a:schemeClr val="accent4"/>
                </a:fgClr>
                <a:bgClr>
                  <a:schemeClr val="bg1"/>
                </a:bgClr>
              </a:pattFill>
              <a:ln>
                <a:noFill/>
              </a:ln>
              <a:effectLst/>
            </c:spPr>
            <c:extLst>
              <c:ext xmlns:c16="http://schemas.microsoft.com/office/drawing/2014/chart" uri="{C3380CC4-5D6E-409C-BE32-E72D297353CC}">
                <c16:uniqueId val="{00000002-1B29-4DF2-A76F-E56D6DF651E5}"/>
              </c:ext>
            </c:extLst>
          </c:dPt>
          <c:cat>
            <c:strRef>
              <c:f>'PA by Perceptions'!$B$104</c:f>
              <c:strCache>
                <c:ptCount val="1"/>
                <c:pt idx="0">
                  <c:v>NA</c:v>
                </c:pt>
              </c:strCache>
            </c:strRef>
          </c:cat>
          <c:val>
            <c:numRef>
              <c:f>'PA by Perceptions'!$B$106</c:f>
              <c:numCache>
                <c:formatCode>General</c:formatCode>
                <c:ptCount val="1"/>
                <c:pt idx="0">
                  <c:v>-3.076142131979692</c:v>
                </c:pt>
              </c:numCache>
            </c:numRef>
          </c:val>
          <c:extLst>
            <c:ext xmlns:c16="http://schemas.microsoft.com/office/drawing/2014/chart" uri="{C3380CC4-5D6E-409C-BE32-E72D297353CC}">
              <c16:uniqueId val="{00000003-1B29-4DF2-A76F-E56D6DF651E5}"/>
            </c:ext>
          </c:extLst>
        </c:ser>
        <c:ser>
          <c:idx val="2"/>
          <c:order val="2"/>
          <c:tx>
            <c:strRef>
              <c:f>'PA by Perceptions'!$A$107</c:f>
              <c:strCache>
                <c:ptCount val="1"/>
                <c:pt idx="0">
                  <c:v>Very good</c:v>
                </c:pt>
              </c:strCache>
            </c:strRef>
          </c:tx>
          <c:spPr>
            <a:solidFill>
              <a:schemeClr val="accent3"/>
            </a:solidFill>
            <a:ln>
              <a:noFill/>
            </a:ln>
            <a:effectLst/>
          </c:spPr>
          <c:invertIfNegative val="0"/>
          <c:dPt>
            <c:idx val="0"/>
            <c:invertIfNegative val="0"/>
            <c:bubble3D val="0"/>
            <c:spPr>
              <a:pattFill prst="trellis">
                <a:fgClr>
                  <a:schemeClr val="accent6"/>
                </a:fgClr>
                <a:bgClr>
                  <a:schemeClr val="bg1"/>
                </a:bgClr>
              </a:pattFill>
              <a:ln>
                <a:noFill/>
              </a:ln>
              <a:effectLst/>
            </c:spPr>
            <c:extLst>
              <c:ext xmlns:c16="http://schemas.microsoft.com/office/drawing/2014/chart" uri="{C3380CC4-5D6E-409C-BE32-E72D297353CC}">
                <c16:uniqueId val="{00000005-1B29-4DF2-A76F-E56D6DF651E5}"/>
              </c:ext>
            </c:extLst>
          </c:dPt>
          <c:cat>
            <c:strRef>
              <c:f>'PA by Perceptions'!$B$104</c:f>
              <c:strCache>
                <c:ptCount val="1"/>
                <c:pt idx="0">
                  <c:v>NA</c:v>
                </c:pt>
              </c:strCache>
            </c:strRef>
          </c:cat>
          <c:val>
            <c:numRef>
              <c:f>'PA by Perceptions'!$B$107</c:f>
              <c:numCache>
                <c:formatCode>General</c:formatCode>
                <c:ptCount val="1"/>
                <c:pt idx="0">
                  <c:v>-2.873563218390804</c:v>
                </c:pt>
              </c:numCache>
            </c:numRef>
          </c:val>
          <c:extLst>
            <c:ext xmlns:c16="http://schemas.microsoft.com/office/drawing/2014/chart" uri="{C3380CC4-5D6E-409C-BE32-E72D297353CC}">
              <c16:uniqueId val="{00000006-1B29-4DF2-A76F-E56D6DF651E5}"/>
            </c:ext>
          </c:extLst>
        </c:ser>
        <c:dLbls>
          <c:showLegendKey val="0"/>
          <c:showVal val="0"/>
          <c:showCatName val="0"/>
          <c:showSerName val="0"/>
          <c:showPercent val="0"/>
          <c:showBubbleSize val="0"/>
        </c:dLbls>
        <c:gapWidth val="219"/>
        <c:overlap val="-27"/>
        <c:axId val="225573344"/>
        <c:axId val="225573760"/>
      </c:barChart>
      <c:catAx>
        <c:axId val="225573344"/>
        <c:scaling>
          <c:orientation val="minMax"/>
        </c:scaling>
        <c:delete val="1"/>
        <c:axPos val="b"/>
        <c:numFmt formatCode="General" sourceLinked="1"/>
        <c:majorTickMark val="none"/>
        <c:minorTickMark val="none"/>
        <c:tickLblPos val="nextTo"/>
        <c:crossAx val="225573760"/>
        <c:crosses val="autoZero"/>
        <c:auto val="1"/>
        <c:lblAlgn val="ctr"/>
        <c:lblOffset val="100"/>
        <c:noMultiLvlLbl val="0"/>
      </c:catAx>
      <c:valAx>
        <c:axId val="22557376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it-IT"/>
                  <a:t>Changes</a:t>
                </a:r>
                <a:r>
                  <a:rPr lang="it-IT" baseline="0"/>
                  <a:t> in NA</a:t>
                </a:r>
                <a:endParaRPr lang="it-IT"/>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255733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userShapes r:id="rId4"/>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'PA by Perceptions'!$A$110</c:f>
              <c:strCache>
                <c:ptCount val="1"/>
                <c:pt idx="0">
                  <c:v>Bad or Neutral</c:v>
                </c:pt>
              </c:strCache>
            </c:strRef>
          </c:tx>
          <c:spPr>
            <a:solidFill>
              <a:schemeClr val="accent1"/>
            </a:solidFill>
            <a:ln>
              <a:noFill/>
            </a:ln>
            <a:effectLst/>
          </c:spPr>
          <c:invertIfNegative val="0"/>
          <c:cat>
            <c:strRef>
              <c:f>'PA by Perceptions'!$B$109</c:f>
              <c:strCache>
                <c:ptCount val="1"/>
                <c:pt idx="0">
                  <c:v>PA</c:v>
                </c:pt>
              </c:strCache>
            </c:strRef>
          </c:cat>
          <c:val>
            <c:numRef>
              <c:f>'PA by Perceptions'!$B$110</c:f>
              <c:numCache>
                <c:formatCode>General</c:formatCode>
                <c:ptCount val="1"/>
                <c:pt idx="0">
                  <c:v>-0.86956521739129933</c:v>
                </c:pt>
              </c:numCache>
            </c:numRef>
          </c:val>
          <c:extLst>
            <c:ext xmlns:c16="http://schemas.microsoft.com/office/drawing/2014/chart" uri="{C3380CC4-5D6E-409C-BE32-E72D297353CC}">
              <c16:uniqueId val="{00000000-F773-410B-8670-3DAE861249C3}"/>
            </c:ext>
          </c:extLst>
        </c:ser>
        <c:ser>
          <c:idx val="1"/>
          <c:order val="1"/>
          <c:tx>
            <c:strRef>
              <c:f>'PA by Perceptions'!$A$111</c:f>
              <c:strCache>
                <c:ptCount val="1"/>
                <c:pt idx="0">
                  <c:v>Good</c:v>
                </c:pt>
              </c:strCache>
            </c:strRef>
          </c:tx>
          <c:spPr>
            <a:pattFill prst="wdDnDiag">
              <a:fgClr>
                <a:schemeClr val="accent4"/>
              </a:fgClr>
              <a:bgClr>
                <a:schemeClr val="bg1"/>
              </a:bgClr>
            </a:pattFill>
            <a:ln>
              <a:noFill/>
            </a:ln>
            <a:effectLst/>
          </c:spPr>
          <c:invertIfNegative val="0"/>
          <c:cat>
            <c:strRef>
              <c:f>'PA by Perceptions'!$B$109</c:f>
              <c:strCache>
                <c:ptCount val="1"/>
                <c:pt idx="0">
                  <c:v>PA</c:v>
                </c:pt>
              </c:strCache>
            </c:strRef>
          </c:cat>
          <c:val>
            <c:numRef>
              <c:f>'PA by Perceptions'!$B$111</c:f>
              <c:numCache>
                <c:formatCode>General</c:formatCode>
                <c:ptCount val="1"/>
                <c:pt idx="0">
                  <c:v>0.31979695431472521</c:v>
                </c:pt>
              </c:numCache>
            </c:numRef>
          </c:val>
          <c:extLst>
            <c:ext xmlns:c16="http://schemas.microsoft.com/office/drawing/2014/chart" uri="{C3380CC4-5D6E-409C-BE32-E72D297353CC}">
              <c16:uniqueId val="{00000001-F773-410B-8670-3DAE861249C3}"/>
            </c:ext>
          </c:extLst>
        </c:ser>
        <c:ser>
          <c:idx val="2"/>
          <c:order val="2"/>
          <c:tx>
            <c:strRef>
              <c:f>'PA by Perceptions'!$A$112</c:f>
              <c:strCache>
                <c:ptCount val="1"/>
                <c:pt idx="0">
                  <c:v>Very good</c:v>
                </c:pt>
              </c:strCache>
            </c:strRef>
          </c:tx>
          <c:spPr>
            <a:pattFill prst="trellis">
              <a:fgClr>
                <a:schemeClr val="accent6"/>
              </a:fgClr>
              <a:bgClr>
                <a:schemeClr val="bg1"/>
              </a:bgClr>
            </a:pattFill>
            <a:ln>
              <a:noFill/>
            </a:ln>
            <a:effectLst/>
          </c:spPr>
          <c:invertIfNegative val="0"/>
          <c:cat>
            <c:strRef>
              <c:f>'PA by Perceptions'!$B$109</c:f>
              <c:strCache>
                <c:ptCount val="1"/>
                <c:pt idx="0">
                  <c:v>PA</c:v>
                </c:pt>
              </c:strCache>
            </c:strRef>
          </c:cat>
          <c:val>
            <c:numRef>
              <c:f>'PA by Perceptions'!$B$112</c:f>
              <c:numCache>
                <c:formatCode>General</c:formatCode>
                <c:ptCount val="1"/>
                <c:pt idx="0">
                  <c:v>0.85057471264368267</c:v>
                </c:pt>
              </c:numCache>
            </c:numRef>
          </c:val>
          <c:extLst>
            <c:ext xmlns:c16="http://schemas.microsoft.com/office/drawing/2014/chart" uri="{C3380CC4-5D6E-409C-BE32-E72D297353CC}">
              <c16:uniqueId val="{00000002-F773-410B-8670-3DAE861249C3}"/>
            </c:ext>
          </c:extLst>
        </c:ser>
        <c:dLbls>
          <c:showLegendKey val="0"/>
          <c:showVal val="0"/>
          <c:showCatName val="0"/>
          <c:showSerName val="0"/>
          <c:showPercent val="0"/>
          <c:showBubbleSize val="0"/>
        </c:dLbls>
        <c:gapWidth val="219"/>
        <c:overlap val="-27"/>
        <c:axId val="2052462576"/>
        <c:axId val="2052469648"/>
      </c:barChart>
      <c:catAx>
        <c:axId val="2052462576"/>
        <c:scaling>
          <c:orientation val="minMax"/>
        </c:scaling>
        <c:delete val="1"/>
        <c:axPos val="b"/>
        <c:numFmt formatCode="General" sourceLinked="1"/>
        <c:majorTickMark val="none"/>
        <c:minorTickMark val="none"/>
        <c:tickLblPos val="nextTo"/>
        <c:crossAx val="2052469648"/>
        <c:crosses val="autoZero"/>
        <c:auto val="1"/>
        <c:lblAlgn val="ctr"/>
        <c:lblOffset val="100"/>
        <c:noMultiLvlLbl val="0"/>
      </c:catAx>
      <c:valAx>
        <c:axId val="2052469648"/>
        <c:scaling>
          <c:orientation val="minMax"/>
          <c:max val="2"/>
          <c:min val="-2"/>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it-IT"/>
                  <a:t>Changes</a:t>
                </a:r>
                <a:r>
                  <a:rPr lang="it-IT" baseline="0"/>
                  <a:t> in PA</a:t>
                </a:r>
                <a:endParaRPr lang="it-IT"/>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5246257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userShapes r:id="rId4"/>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'PA by Flowers'!$B$15</c:f>
              <c:strCache>
                <c:ptCount val="1"/>
                <c:pt idx="0">
                  <c:v>Did not mention flowers </c:v>
                </c:pt>
              </c:strCache>
            </c:strRef>
          </c:tx>
          <c:spPr>
            <a:solidFill>
              <a:schemeClr val="accent1"/>
            </a:solidFill>
            <a:ln>
              <a:noFill/>
            </a:ln>
            <a:effectLst/>
          </c:spPr>
          <c:invertIfNegative val="0"/>
          <c:cat>
            <c:strRef>
              <c:f>'PA by Flowers'!$C$14</c:f>
              <c:strCache>
                <c:ptCount val="1"/>
                <c:pt idx="0">
                  <c:v>Changes from stress to video</c:v>
                </c:pt>
              </c:strCache>
            </c:strRef>
          </c:cat>
          <c:val>
            <c:numRef>
              <c:f>'PA by Flowers'!$C$15</c:f>
              <c:numCache>
                <c:formatCode>General</c:formatCode>
                <c:ptCount val="1"/>
                <c:pt idx="0">
                  <c:v>-8.3086053412463556E-2</c:v>
                </c:pt>
              </c:numCache>
            </c:numRef>
          </c:val>
          <c:extLst>
            <c:ext xmlns:c16="http://schemas.microsoft.com/office/drawing/2014/chart" uri="{C3380CC4-5D6E-409C-BE32-E72D297353CC}">
              <c16:uniqueId val="{00000000-DADC-4172-A6C2-2D24C4A66313}"/>
            </c:ext>
          </c:extLst>
        </c:ser>
        <c:ser>
          <c:idx val="1"/>
          <c:order val="1"/>
          <c:tx>
            <c:strRef>
              <c:f>'PA by Flowers'!$B$16</c:f>
              <c:strCache>
                <c:ptCount val="1"/>
                <c:pt idx="0">
                  <c:v>Mentioned flowers</c:v>
                </c:pt>
              </c:strCache>
            </c:strRef>
          </c:tx>
          <c:spPr>
            <a:solidFill>
              <a:schemeClr val="accent2"/>
            </a:solidFill>
            <a:ln>
              <a:noFill/>
            </a:ln>
            <a:effectLst/>
          </c:spPr>
          <c:invertIfNegative val="0"/>
          <c:dPt>
            <c:idx val="0"/>
            <c:invertIfNegative val="0"/>
            <c:bubble3D val="0"/>
            <c:spPr>
              <a:pattFill prst="trellis">
                <a:fgClr>
                  <a:schemeClr val="accent2"/>
                </a:fgClr>
                <a:bgClr>
                  <a:schemeClr val="bg1"/>
                </a:bgClr>
              </a:pattFill>
              <a:ln>
                <a:noFill/>
              </a:ln>
              <a:effectLst/>
            </c:spPr>
            <c:extLst>
              <c:ext xmlns:c16="http://schemas.microsoft.com/office/drawing/2014/chart" uri="{C3380CC4-5D6E-409C-BE32-E72D297353CC}">
                <c16:uniqueId val="{00000002-DADC-4172-A6C2-2D24C4A66313}"/>
              </c:ext>
            </c:extLst>
          </c:dPt>
          <c:cat>
            <c:strRef>
              <c:f>'PA by Flowers'!$C$14</c:f>
              <c:strCache>
                <c:ptCount val="1"/>
                <c:pt idx="0">
                  <c:v>Changes from stress to video</c:v>
                </c:pt>
              </c:strCache>
            </c:strRef>
          </c:cat>
          <c:val>
            <c:numRef>
              <c:f>'PA by Flowers'!$C$16</c:f>
              <c:numCache>
                <c:formatCode>General</c:formatCode>
                <c:ptCount val="1"/>
                <c:pt idx="0">
                  <c:v>1.657142857142853</c:v>
                </c:pt>
              </c:numCache>
            </c:numRef>
          </c:val>
          <c:extLst>
            <c:ext xmlns:c16="http://schemas.microsoft.com/office/drawing/2014/chart" uri="{C3380CC4-5D6E-409C-BE32-E72D297353CC}">
              <c16:uniqueId val="{00000003-DADC-4172-A6C2-2D24C4A66313}"/>
            </c:ext>
          </c:extLst>
        </c:ser>
        <c:dLbls>
          <c:showLegendKey val="0"/>
          <c:showVal val="0"/>
          <c:showCatName val="0"/>
          <c:showSerName val="0"/>
          <c:showPercent val="0"/>
          <c:showBubbleSize val="0"/>
        </c:dLbls>
        <c:gapWidth val="219"/>
        <c:overlap val="-27"/>
        <c:axId val="220986576"/>
        <c:axId val="220992400"/>
      </c:barChart>
      <c:catAx>
        <c:axId val="220986576"/>
        <c:scaling>
          <c:orientation val="minMax"/>
        </c:scaling>
        <c:delete val="1"/>
        <c:axPos val="b"/>
        <c:numFmt formatCode="General" sourceLinked="1"/>
        <c:majorTickMark val="none"/>
        <c:minorTickMark val="none"/>
        <c:tickLblPos val="nextTo"/>
        <c:crossAx val="220992400"/>
        <c:crosses val="autoZero"/>
        <c:auto val="1"/>
        <c:lblAlgn val="ctr"/>
        <c:lblOffset val="100"/>
        <c:noMultiLvlLbl val="0"/>
      </c:catAx>
      <c:valAx>
        <c:axId val="220992400"/>
        <c:scaling>
          <c:orientation val="minMax"/>
          <c:max val="2"/>
          <c:min val="-1"/>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it-IT"/>
                  <a:t>Changes in</a:t>
                </a:r>
                <a:r>
                  <a:rPr lang="it-IT" baseline="0"/>
                  <a:t> PA</a:t>
                </a:r>
                <a:endParaRPr lang="it-IT"/>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2098657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userShapes r:id="rId4"/>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'Results p2 EN vs CH'!$X$115</c:f>
              <c:strCache>
                <c:ptCount val="1"/>
                <c:pt idx="0">
                  <c:v>Low</c:v>
                </c:pt>
              </c:strCache>
            </c:strRef>
          </c:tx>
          <c:spPr>
            <a:pattFill prst="dkDnDiag">
              <a:fgClr>
                <a:schemeClr val="accent1"/>
              </a:fgClr>
              <a:bgClr>
                <a:schemeClr val="bg1"/>
              </a:bgClr>
            </a:pattFill>
            <a:ln>
              <a:noFill/>
            </a:ln>
            <a:effectLst/>
          </c:spPr>
          <c:invertIfNegative val="0"/>
          <c:cat>
            <c:strRef>
              <c:f>'Results p2 EN vs CH'!$Y$114:$Z$114</c:f>
              <c:strCache>
                <c:ptCount val="1"/>
                <c:pt idx="0">
                  <c:v>EN</c:v>
                </c:pt>
              </c:strCache>
              <c:extLst/>
            </c:strRef>
          </c:cat>
          <c:val>
            <c:numRef>
              <c:f>'Results p2 EN vs CH'!$Y$115:$Z$115</c:f>
              <c:numCache>
                <c:formatCode>General</c:formatCode>
                <c:ptCount val="1"/>
                <c:pt idx="0">
                  <c:v>-0.22900000000000009</c:v>
                </c:pt>
              </c:numCache>
              <c:extLst/>
            </c:numRef>
          </c:val>
          <c:extLst>
            <c:ext xmlns:c16="http://schemas.microsoft.com/office/drawing/2014/chart" uri="{C3380CC4-5D6E-409C-BE32-E72D297353CC}">
              <c16:uniqueId val="{00000000-26E3-4BE7-ADD9-9683332C6788}"/>
            </c:ext>
          </c:extLst>
        </c:ser>
        <c:ser>
          <c:idx val="1"/>
          <c:order val="1"/>
          <c:tx>
            <c:strRef>
              <c:f>'Results p2 EN vs CH'!$X$116</c:f>
              <c:strCache>
                <c:ptCount val="1"/>
                <c:pt idx="0">
                  <c:v>Med</c:v>
                </c:pt>
              </c:strCache>
            </c:strRef>
          </c:tx>
          <c:spPr>
            <a:pattFill prst="trellis">
              <a:fgClr>
                <a:schemeClr val="accent2"/>
              </a:fgClr>
              <a:bgClr>
                <a:schemeClr val="bg1"/>
              </a:bgClr>
            </a:pattFill>
            <a:ln>
              <a:noFill/>
            </a:ln>
            <a:effectLst/>
          </c:spPr>
          <c:invertIfNegative val="0"/>
          <c:cat>
            <c:strRef>
              <c:f>'Results p2 EN vs CH'!$Y$114:$Z$114</c:f>
              <c:strCache>
                <c:ptCount val="1"/>
                <c:pt idx="0">
                  <c:v>EN</c:v>
                </c:pt>
              </c:strCache>
              <c:extLst/>
            </c:strRef>
          </c:cat>
          <c:val>
            <c:numRef>
              <c:f>'Results p2 EN vs CH'!$Y$116:$Z$116</c:f>
              <c:numCache>
                <c:formatCode>General</c:formatCode>
                <c:ptCount val="1"/>
                <c:pt idx="0">
                  <c:v>0.17099999999999982</c:v>
                </c:pt>
              </c:numCache>
              <c:extLst/>
            </c:numRef>
          </c:val>
          <c:extLst>
            <c:ext xmlns:c16="http://schemas.microsoft.com/office/drawing/2014/chart" uri="{C3380CC4-5D6E-409C-BE32-E72D297353CC}">
              <c16:uniqueId val="{00000001-26E3-4BE7-ADD9-9683332C6788}"/>
            </c:ext>
          </c:extLst>
        </c:ser>
        <c:ser>
          <c:idx val="2"/>
          <c:order val="2"/>
          <c:tx>
            <c:strRef>
              <c:f>'Results p2 EN vs CH'!$X$117</c:f>
              <c:strCache>
                <c:ptCount val="1"/>
                <c:pt idx="0">
                  <c:v>High</c:v>
                </c:pt>
              </c:strCache>
            </c:strRef>
          </c:tx>
          <c:spPr>
            <a:solidFill>
              <a:schemeClr val="accent6"/>
            </a:solidFill>
            <a:ln>
              <a:noFill/>
            </a:ln>
            <a:effectLst/>
          </c:spPr>
          <c:invertIfNegative val="0"/>
          <c:cat>
            <c:strRef>
              <c:f>'Results p2 EN vs CH'!$Y$114:$Z$114</c:f>
              <c:strCache>
                <c:ptCount val="1"/>
                <c:pt idx="0">
                  <c:v>EN</c:v>
                </c:pt>
              </c:strCache>
              <c:extLst/>
            </c:strRef>
          </c:cat>
          <c:val>
            <c:numRef>
              <c:f>'Results p2 EN vs CH'!$Y$117:$Z$117</c:f>
              <c:numCache>
                <c:formatCode>General</c:formatCode>
                <c:ptCount val="1"/>
                <c:pt idx="0">
                  <c:v>0.13800000000000034</c:v>
                </c:pt>
              </c:numCache>
              <c:extLst/>
            </c:numRef>
          </c:val>
          <c:extLst>
            <c:ext xmlns:c16="http://schemas.microsoft.com/office/drawing/2014/chart" uri="{C3380CC4-5D6E-409C-BE32-E72D297353CC}">
              <c16:uniqueId val="{00000002-26E3-4BE7-ADD9-9683332C6788}"/>
            </c:ext>
          </c:extLst>
        </c:ser>
        <c:dLbls>
          <c:showLegendKey val="0"/>
          <c:showVal val="0"/>
          <c:showCatName val="0"/>
          <c:showSerName val="0"/>
          <c:showPercent val="0"/>
          <c:showBubbleSize val="0"/>
        </c:dLbls>
        <c:gapWidth val="219"/>
        <c:overlap val="-27"/>
        <c:axId val="1155964656"/>
        <c:axId val="1155967536"/>
      </c:barChart>
      <c:catAx>
        <c:axId val="1155964656"/>
        <c:scaling>
          <c:orientation val="minMax"/>
        </c:scaling>
        <c:delete val="1"/>
        <c:axPos val="b"/>
        <c:numFmt formatCode="General" sourceLinked="1"/>
        <c:majorTickMark val="none"/>
        <c:minorTickMark val="none"/>
        <c:tickLblPos val="nextTo"/>
        <c:crossAx val="1155967536"/>
        <c:crosses val="autoZero"/>
        <c:auto val="1"/>
        <c:lblAlgn val="ctr"/>
        <c:lblOffset val="100"/>
        <c:noMultiLvlLbl val="0"/>
      </c:catAx>
      <c:valAx>
        <c:axId val="1155967536"/>
        <c:scaling>
          <c:orientation val="minMax"/>
          <c:max val="0.5"/>
          <c:min val="-0.25"/>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Mean</a:t>
                </a:r>
                <a:r>
                  <a:rPr lang="en-GB" baseline="0"/>
                  <a:t> change in Joviality</a:t>
                </a:r>
                <a:endParaRPr lang="en-GB"/>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55964656"/>
        <c:crosses val="autoZero"/>
        <c:crossBetween val="between"/>
        <c:majorUnit val="0.25"/>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'Results p2 EN vs CH'!$X$129</c:f>
              <c:strCache>
                <c:ptCount val="1"/>
                <c:pt idx="0">
                  <c:v>Low</c:v>
                </c:pt>
              </c:strCache>
            </c:strRef>
          </c:tx>
          <c:spPr>
            <a:pattFill prst="dkDnDiag">
              <a:fgClr>
                <a:schemeClr val="accent1"/>
              </a:fgClr>
              <a:bgClr>
                <a:schemeClr val="bg1"/>
              </a:bgClr>
            </a:pattFill>
            <a:ln>
              <a:noFill/>
            </a:ln>
            <a:effectLst/>
          </c:spPr>
          <c:invertIfNegative val="0"/>
          <c:cat>
            <c:strRef>
              <c:f>'Results p2 EN vs CH'!$Y$128:$Z$128</c:f>
              <c:strCache>
                <c:ptCount val="1"/>
                <c:pt idx="0">
                  <c:v>EN</c:v>
                </c:pt>
              </c:strCache>
              <c:extLst/>
            </c:strRef>
          </c:cat>
          <c:val>
            <c:numRef>
              <c:f>'Results p2 EN vs CH'!$Y$129:$Z$129</c:f>
              <c:numCache>
                <c:formatCode>General</c:formatCode>
                <c:ptCount val="1"/>
                <c:pt idx="0">
                  <c:v>-0.1599999999999997</c:v>
                </c:pt>
              </c:numCache>
              <c:extLst/>
            </c:numRef>
          </c:val>
          <c:extLst>
            <c:ext xmlns:c16="http://schemas.microsoft.com/office/drawing/2014/chart" uri="{C3380CC4-5D6E-409C-BE32-E72D297353CC}">
              <c16:uniqueId val="{00000000-6696-4E46-A064-B07DC9BE2360}"/>
            </c:ext>
          </c:extLst>
        </c:ser>
        <c:ser>
          <c:idx val="1"/>
          <c:order val="1"/>
          <c:tx>
            <c:strRef>
              <c:f>'Results p2 EN vs CH'!$X$130</c:f>
              <c:strCache>
                <c:ptCount val="1"/>
                <c:pt idx="0">
                  <c:v>Med</c:v>
                </c:pt>
              </c:strCache>
            </c:strRef>
          </c:tx>
          <c:spPr>
            <a:pattFill prst="trellis">
              <a:fgClr>
                <a:schemeClr val="accent2"/>
              </a:fgClr>
              <a:bgClr>
                <a:schemeClr val="bg1"/>
              </a:bgClr>
            </a:pattFill>
            <a:ln>
              <a:noFill/>
            </a:ln>
            <a:effectLst/>
          </c:spPr>
          <c:invertIfNegative val="0"/>
          <c:cat>
            <c:strRef>
              <c:f>'Results p2 EN vs CH'!$Y$128:$Z$128</c:f>
              <c:strCache>
                <c:ptCount val="1"/>
                <c:pt idx="0">
                  <c:v>EN</c:v>
                </c:pt>
              </c:strCache>
              <c:extLst/>
            </c:strRef>
          </c:cat>
          <c:val>
            <c:numRef>
              <c:f>'Results p2 EN vs CH'!$Y$130:$Z$130</c:f>
              <c:numCache>
                <c:formatCode>General</c:formatCode>
                <c:ptCount val="1"/>
                <c:pt idx="0">
                  <c:v>0.13600000000000012</c:v>
                </c:pt>
              </c:numCache>
              <c:extLst/>
            </c:numRef>
          </c:val>
          <c:extLst>
            <c:ext xmlns:c16="http://schemas.microsoft.com/office/drawing/2014/chart" uri="{C3380CC4-5D6E-409C-BE32-E72D297353CC}">
              <c16:uniqueId val="{00000001-6696-4E46-A064-B07DC9BE2360}"/>
            </c:ext>
          </c:extLst>
        </c:ser>
        <c:ser>
          <c:idx val="2"/>
          <c:order val="2"/>
          <c:tx>
            <c:strRef>
              <c:f>'Results p2 EN vs CH'!$X$131</c:f>
              <c:strCache>
                <c:ptCount val="1"/>
                <c:pt idx="0">
                  <c:v>High</c:v>
                </c:pt>
              </c:strCache>
            </c:strRef>
          </c:tx>
          <c:spPr>
            <a:solidFill>
              <a:schemeClr val="accent6"/>
            </a:solidFill>
            <a:ln>
              <a:noFill/>
            </a:ln>
            <a:effectLst/>
          </c:spPr>
          <c:invertIfNegative val="0"/>
          <c:cat>
            <c:strRef>
              <c:f>'Results p2 EN vs CH'!$Y$128:$Z$128</c:f>
              <c:strCache>
                <c:ptCount val="1"/>
                <c:pt idx="0">
                  <c:v>EN</c:v>
                </c:pt>
              </c:strCache>
              <c:extLst/>
            </c:strRef>
          </c:cat>
          <c:val>
            <c:numRef>
              <c:f>'Results p2 EN vs CH'!$Y$131:$Z$131</c:f>
              <c:numCache>
                <c:formatCode>General</c:formatCode>
                <c:ptCount val="1"/>
                <c:pt idx="0">
                  <c:v>0.1549999999999998</c:v>
                </c:pt>
              </c:numCache>
              <c:extLst/>
            </c:numRef>
          </c:val>
          <c:extLst>
            <c:ext xmlns:c16="http://schemas.microsoft.com/office/drawing/2014/chart" uri="{C3380CC4-5D6E-409C-BE32-E72D297353CC}">
              <c16:uniqueId val="{00000002-6696-4E46-A064-B07DC9BE2360}"/>
            </c:ext>
          </c:extLst>
        </c:ser>
        <c:dLbls>
          <c:showLegendKey val="0"/>
          <c:showVal val="0"/>
          <c:showCatName val="0"/>
          <c:showSerName val="0"/>
          <c:showPercent val="0"/>
          <c:showBubbleSize val="0"/>
        </c:dLbls>
        <c:gapWidth val="219"/>
        <c:overlap val="-27"/>
        <c:axId val="1155964656"/>
        <c:axId val="1155967536"/>
      </c:barChart>
      <c:catAx>
        <c:axId val="1155964656"/>
        <c:scaling>
          <c:orientation val="minMax"/>
        </c:scaling>
        <c:delete val="1"/>
        <c:axPos val="b"/>
        <c:numFmt formatCode="General" sourceLinked="1"/>
        <c:majorTickMark val="none"/>
        <c:minorTickMark val="none"/>
        <c:tickLblPos val="nextTo"/>
        <c:crossAx val="1155967536"/>
        <c:crosses val="autoZero"/>
        <c:auto val="1"/>
        <c:lblAlgn val="ctr"/>
        <c:lblOffset val="100"/>
        <c:noMultiLvlLbl val="0"/>
      </c:catAx>
      <c:valAx>
        <c:axId val="1155967536"/>
        <c:scaling>
          <c:orientation val="minMax"/>
          <c:max val="0.5"/>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Mean</a:t>
                </a:r>
                <a:r>
                  <a:rPr lang="en-GB" baseline="0"/>
                  <a:t> change in Serenity</a:t>
                </a:r>
                <a:endParaRPr lang="en-GB"/>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55964656"/>
        <c:crosses val="autoZero"/>
        <c:crossBetween val="between"/>
        <c:majorUnit val="0.25"/>
      </c:valAx>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txPr>
    <a:bodyPr/>
    <a:lstStyle/>
    <a:p>
      <a:pPr>
        <a:defRPr/>
      </a:pPr>
      <a:endParaRPr lang="en-US"/>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8439783873896668"/>
          <c:y val="6.0185185185185182E-2"/>
          <c:w val="0.64188609221578874"/>
          <c:h val="0.78298556430446198"/>
        </c:manualLayout>
      </c:layout>
      <c:barChart>
        <c:barDir val="col"/>
        <c:grouping val="clustered"/>
        <c:varyColors val="0"/>
        <c:ser>
          <c:idx val="0"/>
          <c:order val="0"/>
          <c:tx>
            <c:strRef>
              <c:f>'Results p2 EN vs CH'!$X$141</c:f>
              <c:strCache>
                <c:ptCount val="1"/>
                <c:pt idx="0">
                  <c:v>Low</c:v>
                </c:pt>
              </c:strCache>
            </c:strRef>
          </c:tx>
          <c:spPr>
            <a:pattFill prst="dkDnDiag">
              <a:fgClr>
                <a:schemeClr val="accent1"/>
              </a:fgClr>
              <a:bgClr>
                <a:schemeClr val="bg1"/>
              </a:bgClr>
            </a:pattFill>
            <a:ln>
              <a:noFill/>
            </a:ln>
            <a:effectLst/>
          </c:spPr>
          <c:invertIfNegative val="0"/>
          <c:cat>
            <c:strRef>
              <c:f>'Results p2 EN vs CH'!$Y$140:$Z$140</c:f>
              <c:strCache>
                <c:ptCount val="1"/>
                <c:pt idx="0">
                  <c:v>EN</c:v>
                </c:pt>
              </c:strCache>
            </c:strRef>
          </c:cat>
          <c:val>
            <c:numRef>
              <c:f>'Results p2 EN vs CH'!$Y$141:$Z$141</c:f>
              <c:numCache>
                <c:formatCode>General</c:formatCode>
                <c:ptCount val="1"/>
                <c:pt idx="0">
                  <c:v>-0.11299999999999999</c:v>
                </c:pt>
              </c:numCache>
            </c:numRef>
          </c:val>
          <c:extLst>
            <c:ext xmlns:c16="http://schemas.microsoft.com/office/drawing/2014/chart" uri="{C3380CC4-5D6E-409C-BE32-E72D297353CC}">
              <c16:uniqueId val="{00000000-B740-4A08-9CC3-FF956E36BF9E}"/>
            </c:ext>
          </c:extLst>
        </c:ser>
        <c:ser>
          <c:idx val="1"/>
          <c:order val="1"/>
          <c:tx>
            <c:strRef>
              <c:f>'Results p2 EN vs CH'!$X$142</c:f>
              <c:strCache>
                <c:ptCount val="1"/>
                <c:pt idx="0">
                  <c:v>Med</c:v>
                </c:pt>
              </c:strCache>
            </c:strRef>
          </c:tx>
          <c:spPr>
            <a:pattFill prst="trellis">
              <a:fgClr>
                <a:schemeClr val="accent2"/>
              </a:fgClr>
              <a:bgClr>
                <a:schemeClr val="bg1"/>
              </a:bgClr>
            </a:pattFill>
            <a:ln>
              <a:noFill/>
            </a:ln>
            <a:effectLst/>
          </c:spPr>
          <c:invertIfNegative val="0"/>
          <c:cat>
            <c:strRef>
              <c:f>'Results p2 EN vs CH'!$Y$140:$Z$140</c:f>
              <c:strCache>
                <c:ptCount val="1"/>
                <c:pt idx="0">
                  <c:v>EN</c:v>
                </c:pt>
              </c:strCache>
            </c:strRef>
          </c:cat>
          <c:val>
            <c:numRef>
              <c:f>'Results p2 EN vs CH'!$Y$142:$Z$142</c:f>
              <c:numCache>
                <c:formatCode>General</c:formatCode>
                <c:ptCount val="1"/>
                <c:pt idx="0">
                  <c:v>-0.21300000000000008</c:v>
                </c:pt>
              </c:numCache>
            </c:numRef>
          </c:val>
          <c:extLst>
            <c:ext xmlns:c16="http://schemas.microsoft.com/office/drawing/2014/chart" uri="{C3380CC4-5D6E-409C-BE32-E72D297353CC}">
              <c16:uniqueId val="{00000001-B740-4A08-9CC3-FF956E36BF9E}"/>
            </c:ext>
          </c:extLst>
        </c:ser>
        <c:ser>
          <c:idx val="2"/>
          <c:order val="2"/>
          <c:tx>
            <c:strRef>
              <c:f>'Results p2 EN vs CH'!$X$143</c:f>
              <c:strCache>
                <c:ptCount val="1"/>
                <c:pt idx="0">
                  <c:v>High</c:v>
                </c:pt>
              </c:strCache>
            </c:strRef>
          </c:tx>
          <c:spPr>
            <a:solidFill>
              <a:schemeClr val="accent6"/>
            </a:solidFill>
            <a:ln>
              <a:noFill/>
            </a:ln>
            <a:effectLst/>
          </c:spPr>
          <c:invertIfNegative val="0"/>
          <c:cat>
            <c:strRef>
              <c:f>'Results p2 EN vs CH'!$Y$140:$Z$140</c:f>
              <c:strCache>
                <c:ptCount val="1"/>
                <c:pt idx="0">
                  <c:v>EN</c:v>
                </c:pt>
              </c:strCache>
            </c:strRef>
          </c:cat>
          <c:val>
            <c:numRef>
              <c:f>'Results p2 EN vs CH'!$Y$143:$Z$143</c:f>
              <c:numCache>
                <c:formatCode>General</c:formatCode>
                <c:ptCount val="1"/>
                <c:pt idx="0">
                  <c:v>-0.21199999999999997</c:v>
                </c:pt>
              </c:numCache>
            </c:numRef>
          </c:val>
          <c:extLst>
            <c:ext xmlns:c16="http://schemas.microsoft.com/office/drawing/2014/chart" uri="{C3380CC4-5D6E-409C-BE32-E72D297353CC}">
              <c16:uniqueId val="{00000002-B740-4A08-9CC3-FF956E36BF9E}"/>
            </c:ext>
          </c:extLst>
        </c:ser>
        <c:dLbls>
          <c:showLegendKey val="0"/>
          <c:showVal val="0"/>
          <c:showCatName val="0"/>
          <c:showSerName val="0"/>
          <c:showPercent val="0"/>
          <c:showBubbleSize val="0"/>
        </c:dLbls>
        <c:gapWidth val="219"/>
        <c:overlap val="-27"/>
        <c:axId val="1155964656"/>
        <c:axId val="1155967536"/>
      </c:barChart>
      <c:catAx>
        <c:axId val="1155964656"/>
        <c:scaling>
          <c:orientation val="minMax"/>
        </c:scaling>
        <c:delete val="1"/>
        <c:axPos val="b"/>
        <c:numFmt formatCode="General" sourceLinked="1"/>
        <c:majorTickMark val="none"/>
        <c:minorTickMark val="none"/>
        <c:tickLblPos val="nextTo"/>
        <c:crossAx val="1155967536"/>
        <c:crossesAt val="0"/>
        <c:auto val="1"/>
        <c:lblAlgn val="ctr"/>
        <c:lblOffset val="100"/>
        <c:noMultiLvlLbl val="0"/>
      </c:catAx>
      <c:valAx>
        <c:axId val="1155967536"/>
        <c:scaling>
          <c:orientation val="minMax"/>
          <c:max val="0.5"/>
          <c:min val="-0.25"/>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Mean</a:t>
                </a:r>
                <a:r>
                  <a:rPr lang="en-GB" baseline="0"/>
                  <a:t> change in Negative Affect</a:t>
                </a:r>
                <a:endParaRPr lang="en-GB"/>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55964656"/>
        <c:crosses val="autoZero"/>
        <c:crossBetween val="between"/>
        <c:majorUnit val="0.25"/>
      </c:valAx>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txPr>
    <a:bodyPr/>
    <a:lstStyle/>
    <a:p>
      <a:pPr>
        <a:defRPr/>
      </a:pPr>
      <a:endParaRPr lang="en-US"/>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'Results p2 EN vs CH'!$AB$115</c:f>
              <c:strCache>
                <c:ptCount val="1"/>
                <c:pt idx="0">
                  <c:v>Low</c:v>
                </c:pt>
              </c:strCache>
            </c:strRef>
          </c:tx>
          <c:spPr>
            <a:pattFill prst="dkDnDiag">
              <a:fgClr>
                <a:schemeClr val="accent1"/>
              </a:fgClr>
              <a:bgClr>
                <a:schemeClr val="bg1"/>
              </a:bgClr>
            </a:pattFill>
            <a:ln>
              <a:noFill/>
            </a:ln>
            <a:effectLst/>
          </c:spPr>
          <c:invertIfNegative val="0"/>
          <c:cat>
            <c:strRef>
              <c:f>'Results p2 EN vs CH'!$AC$114:$AD$114</c:f>
              <c:strCache>
                <c:ptCount val="1"/>
                <c:pt idx="0">
                  <c:v>EN</c:v>
                </c:pt>
              </c:strCache>
            </c:strRef>
          </c:cat>
          <c:val>
            <c:numRef>
              <c:f>'Results p2 EN vs CH'!$AC$115:$AD$115</c:f>
              <c:numCache>
                <c:formatCode>General</c:formatCode>
                <c:ptCount val="1"/>
                <c:pt idx="0">
                  <c:v>0.10099999999999998</c:v>
                </c:pt>
              </c:numCache>
            </c:numRef>
          </c:val>
          <c:extLst>
            <c:ext xmlns:c16="http://schemas.microsoft.com/office/drawing/2014/chart" uri="{C3380CC4-5D6E-409C-BE32-E72D297353CC}">
              <c16:uniqueId val="{00000000-EA79-487F-8DDB-0E4BC6A8EF3A}"/>
            </c:ext>
          </c:extLst>
        </c:ser>
        <c:ser>
          <c:idx val="1"/>
          <c:order val="1"/>
          <c:tx>
            <c:strRef>
              <c:f>'Results p2 EN vs CH'!$AB$116</c:f>
              <c:strCache>
                <c:ptCount val="1"/>
                <c:pt idx="0">
                  <c:v>Med</c:v>
                </c:pt>
              </c:strCache>
            </c:strRef>
          </c:tx>
          <c:spPr>
            <a:pattFill prst="trellis">
              <a:fgClr>
                <a:schemeClr val="accent2"/>
              </a:fgClr>
              <a:bgClr>
                <a:schemeClr val="bg1"/>
              </a:bgClr>
            </a:pattFill>
            <a:ln>
              <a:noFill/>
            </a:ln>
            <a:effectLst/>
          </c:spPr>
          <c:invertIfNegative val="0"/>
          <c:cat>
            <c:strRef>
              <c:f>'Results p2 EN vs CH'!$AC$114:$AD$114</c:f>
              <c:strCache>
                <c:ptCount val="1"/>
                <c:pt idx="0">
                  <c:v>EN</c:v>
                </c:pt>
              </c:strCache>
            </c:strRef>
          </c:cat>
          <c:val>
            <c:numRef>
              <c:f>'Results p2 EN vs CH'!$AC$116:$AD$116</c:f>
              <c:numCache>
                <c:formatCode>General</c:formatCode>
                <c:ptCount val="1"/>
                <c:pt idx="0">
                  <c:v>0.48599999999999977</c:v>
                </c:pt>
              </c:numCache>
            </c:numRef>
          </c:val>
          <c:extLst>
            <c:ext xmlns:c16="http://schemas.microsoft.com/office/drawing/2014/chart" uri="{C3380CC4-5D6E-409C-BE32-E72D297353CC}">
              <c16:uniqueId val="{00000001-EA79-487F-8DDB-0E4BC6A8EF3A}"/>
            </c:ext>
          </c:extLst>
        </c:ser>
        <c:ser>
          <c:idx val="2"/>
          <c:order val="2"/>
          <c:tx>
            <c:strRef>
              <c:f>'Results p2 EN vs CH'!$AB$117</c:f>
              <c:strCache>
                <c:ptCount val="1"/>
                <c:pt idx="0">
                  <c:v>High</c:v>
                </c:pt>
              </c:strCache>
            </c:strRef>
          </c:tx>
          <c:spPr>
            <a:solidFill>
              <a:schemeClr val="accent6"/>
            </a:solidFill>
            <a:ln>
              <a:noFill/>
            </a:ln>
            <a:effectLst/>
          </c:spPr>
          <c:invertIfNegative val="0"/>
          <c:cat>
            <c:strRef>
              <c:f>'Results p2 EN vs CH'!$AC$114:$AD$114</c:f>
              <c:strCache>
                <c:ptCount val="1"/>
                <c:pt idx="0">
                  <c:v>EN</c:v>
                </c:pt>
              </c:strCache>
            </c:strRef>
          </c:cat>
          <c:val>
            <c:numRef>
              <c:f>'Results p2 EN vs CH'!$AC$117:$AD$117</c:f>
              <c:numCache>
                <c:formatCode>General</c:formatCode>
                <c:ptCount val="1"/>
                <c:pt idx="0">
                  <c:v>0.39999999999999991</c:v>
                </c:pt>
              </c:numCache>
            </c:numRef>
          </c:val>
          <c:extLst>
            <c:ext xmlns:c16="http://schemas.microsoft.com/office/drawing/2014/chart" uri="{C3380CC4-5D6E-409C-BE32-E72D297353CC}">
              <c16:uniqueId val="{00000002-EA79-487F-8DDB-0E4BC6A8EF3A}"/>
            </c:ext>
          </c:extLst>
        </c:ser>
        <c:dLbls>
          <c:showLegendKey val="0"/>
          <c:showVal val="0"/>
          <c:showCatName val="0"/>
          <c:showSerName val="0"/>
          <c:showPercent val="0"/>
          <c:showBubbleSize val="0"/>
        </c:dLbls>
        <c:gapWidth val="219"/>
        <c:overlap val="-27"/>
        <c:axId val="1155964656"/>
        <c:axId val="1155967536"/>
      </c:barChart>
      <c:catAx>
        <c:axId val="1155964656"/>
        <c:scaling>
          <c:orientation val="minMax"/>
        </c:scaling>
        <c:delete val="1"/>
        <c:axPos val="b"/>
        <c:numFmt formatCode="General" sourceLinked="1"/>
        <c:majorTickMark val="none"/>
        <c:minorTickMark val="none"/>
        <c:tickLblPos val="nextTo"/>
        <c:crossAx val="1155967536"/>
        <c:crosses val="autoZero"/>
        <c:auto val="1"/>
        <c:lblAlgn val="ctr"/>
        <c:lblOffset val="100"/>
        <c:noMultiLvlLbl val="0"/>
      </c:catAx>
      <c:valAx>
        <c:axId val="1155967536"/>
        <c:scaling>
          <c:orientation val="minMax"/>
          <c:max val="1"/>
          <c:min val="-0.75000000000000011"/>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Mean</a:t>
                </a:r>
                <a:r>
                  <a:rPr lang="en-GB" baseline="0"/>
                  <a:t> change in Joviality</a:t>
                </a:r>
                <a:endParaRPr lang="en-GB"/>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55964656"/>
        <c:crosses val="autoZero"/>
        <c:crossBetween val="between"/>
        <c:majorUnit val="0.25"/>
      </c:valAx>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txPr>
    <a:bodyPr/>
    <a:lstStyle/>
    <a:p>
      <a:pPr>
        <a:defRPr/>
      </a:pPr>
      <a:endParaRPr lang="en-US"/>
    </a:p>
  </c:txPr>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0.20307</cdr:x>
      <cdr:y>0.23116</cdr:y>
    </cdr:from>
    <cdr:to>
      <cdr:x>0.42717</cdr:x>
      <cdr:y>0.25255</cdr:y>
    </cdr:to>
    <cdr:sp macro="" textlink="">
      <cdr:nvSpPr>
        <cdr:cNvPr id="2" name="Left Bracket 1">
          <a:extLst xmlns:a="http://schemas.openxmlformats.org/drawingml/2006/main">
            <a:ext uri="{FF2B5EF4-FFF2-40B4-BE49-F238E27FC236}">
              <a16:creationId xmlns:a16="http://schemas.microsoft.com/office/drawing/2014/main" id="{2AC66E82-4113-270A-AB90-F6FE2BC8F3F2}"/>
            </a:ext>
          </a:extLst>
        </cdr:cNvPr>
        <cdr:cNvSpPr/>
      </cdr:nvSpPr>
      <cdr:spPr>
        <a:xfrm xmlns:a="http://schemas.openxmlformats.org/drawingml/2006/main" rot="5400000">
          <a:off x="881834" y="434686"/>
          <a:ext cx="67242" cy="651032"/>
        </a:xfrm>
        <a:prstGeom xmlns:a="http://schemas.openxmlformats.org/drawingml/2006/main" prst="leftBracket">
          <a:avLst/>
        </a:prstGeom>
        <a:ln xmlns:a="http://schemas.openxmlformats.org/drawingml/2006/main">
          <a:solidFill>
            <a:schemeClr val="tx1"/>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vertOverflow="clip"/>
        <a:lstStyle xmlns:a="http://schemas.openxmlformats.org/drawingml/2006/main"/>
        <a:p xmlns:a="http://schemas.openxmlformats.org/drawingml/2006/main">
          <a:endParaRPr lang="en-US">
            <a:solidFill>
              <a:sysClr val="windowText" lastClr="000000"/>
            </a:solidFill>
          </a:endParaRPr>
        </a:p>
      </cdr:txBody>
    </cdr:sp>
  </cdr:relSizeAnchor>
  <cdr:relSizeAnchor xmlns:cdr="http://schemas.openxmlformats.org/drawingml/2006/chartDrawing">
    <cdr:from>
      <cdr:x>0.71846</cdr:x>
      <cdr:y>0.31333</cdr:y>
    </cdr:from>
    <cdr:to>
      <cdr:x>0.93734</cdr:x>
      <cdr:y>0.32787</cdr:y>
    </cdr:to>
    <cdr:sp macro="" textlink="">
      <cdr:nvSpPr>
        <cdr:cNvPr id="3" name="Left Bracket 2">
          <a:extLst xmlns:a="http://schemas.openxmlformats.org/drawingml/2006/main">
            <a:ext uri="{FF2B5EF4-FFF2-40B4-BE49-F238E27FC236}">
              <a16:creationId xmlns:a16="http://schemas.microsoft.com/office/drawing/2014/main" id="{43AFBFA6-4866-ACEF-4F5D-4D0248AC5816}"/>
            </a:ext>
          </a:extLst>
        </cdr:cNvPr>
        <cdr:cNvSpPr/>
      </cdr:nvSpPr>
      <cdr:spPr>
        <a:xfrm xmlns:a="http://schemas.openxmlformats.org/drawingml/2006/main" rot="5400000">
          <a:off x="2331340" y="695105"/>
          <a:ext cx="45638" cy="622391"/>
        </a:xfrm>
        <a:prstGeom xmlns:a="http://schemas.openxmlformats.org/drawingml/2006/main" prst="leftBracket">
          <a:avLst/>
        </a:prstGeom>
        <a:ln xmlns:a="http://schemas.openxmlformats.org/drawingml/2006/main">
          <a:solidFill>
            <a:schemeClr val="tx1"/>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endParaRPr lang="en-US">
            <a:solidFill>
              <a:sysClr val="windowText" lastClr="000000"/>
            </a:solidFill>
          </a:endParaRPr>
        </a:p>
      </cdr:txBody>
    </cdr:sp>
  </cdr:relSizeAnchor>
  <cdr:relSizeAnchor xmlns:cdr="http://schemas.openxmlformats.org/drawingml/2006/chartDrawing">
    <cdr:from>
      <cdr:x>0.45474</cdr:x>
      <cdr:y>0.11458</cdr:y>
    </cdr:from>
    <cdr:to>
      <cdr:x>0.67966</cdr:x>
      <cdr:y>0.13586</cdr:y>
    </cdr:to>
    <cdr:sp macro="" textlink="">
      <cdr:nvSpPr>
        <cdr:cNvPr id="4" name="Left Bracket 3">
          <a:extLst xmlns:a="http://schemas.openxmlformats.org/drawingml/2006/main">
            <a:ext uri="{FF2B5EF4-FFF2-40B4-BE49-F238E27FC236}">
              <a16:creationId xmlns:a16="http://schemas.microsoft.com/office/drawing/2014/main" id="{43AFBFA6-4866-ACEF-4F5D-4D0248AC5816}"/>
            </a:ext>
          </a:extLst>
        </cdr:cNvPr>
        <cdr:cNvSpPr/>
      </cdr:nvSpPr>
      <cdr:spPr>
        <a:xfrm xmlns:a="http://schemas.openxmlformats.org/drawingml/2006/main" rot="5400000">
          <a:off x="1614331" y="66885"/>
          <a:ext cx="66915" cy="653425"/>
        </a:xfrm>
        <a:prstGeom xmlns:a="http://schemas.openxmlformats.org/drawingml/2006/main" prst="leftBracket">
          <a:avLst/>
        </a:prstGeom>
        <a:ln xmlns:a="http://schemas.openxmlformats.org/drawingml/2006/main">
          <a:solidFill>
            <a:schemeClr val="tx1"/>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endParaRPr lang="en-US">
            <a:solidFill>
              <a:sysClr val="windowText" lastClr="000000"/>
            </a:solidFill>
          </a:endParaRPr>
        </a:p>
      </cdr:txBody>
    </cdr:sp>
  </cdr:relSizeAnchor>
  <cdr:relSizeAnchor xmlns:cdr="http://schemas.openxmlformats.org/drawingml/2006/chartDrawing">
    <cdr:from>
      <cdr:x>0.53477</cdr:x>
      <cdr:y>0.04908</cdr:y>
    </cdr:from>
    <cdr:to>
      <cdr:x>0.65314</cdr:x>
      <cdr:y>0.10233</cdr:y>
    </cdr:to>
    <cdr:sp macro="" textlink="">
      <cdr:nvSpPr>
        <cdr:cNvPr id="5" name="TextBox 4">
          <a:extLst xmlns:a="http://schemas.openxmlformats.org/drawingml/2006/main">
            <a:ext uri="{FF2B5EF4-FFF2-40B4-BE49-F238E27FC236}">
              <a16:creationId xmlns:a16="http://schemas.microsoft.com/office/drawing/2014/main" id="{DB11FB7D-3A6C-6169-7F02-A28BF054CF0F}"/>
            </a:ext>
          </a:extLst>
        </cdr:cNvPr>
        <cdr:cNvSpPr txBox="1"/>
      </cdr:nvSpPr>
      <cdr:spPr>
        <a:xfrm xmlns:a="http://schemas.openxmlformats.org/drawingml/2006/main">
          <a:off x="1589215" y="181377"/>
          <a:ext cx="351781" cy="196797"/>
        </a:xfrm>
        <a:prstGeom xmlns:a="http://schemas.openxmlformats.org/drawingml/2006/main" prst="rect">
          <a:avLst/>
        </a:prstGeom>
      </cdr:spPr>
      <cdr:txBody>
        <a:bodyPr xmlns:a="http://schemas.openxmlformats.org/drawingml/2006/main" vertOverflow="clip" wrap="none" rtlCol="0" anchor="ctr"/>
        <a:lstStyle xmlns:a="http://schemas.openxmlformats.org/drawingml/2006/main"/>
        <a:p xmlns:a="http://schemas.openxmlformats.org/drawingml/2006/main">
          <a:r>
            <a:rPr lang="en-GB" sz="1200"/>
            <a:t>a</a:t>
          </a:r>
        </a:p>
      </cdr:txBody>
    </cdr:sp>
  </cdr:relSizeAnchor>
  <cdr:relSizeAnchor xmlns:cdr="http://schemas.openxmlformats.org/drawingml/2006/chartDrawing">
    <cdr:from>
      <cdr:x>0.29315</cdr:x>
      <cdr:y>0.15446</cdr:y>
    </cdr:from>
    <cdr:to>
      <cdr:x>0.31902</cdr:x>
      <cdr:y>0.21782</cdr:y>
    </cdr:to>
    <cdr:sp macro="" textlink="">
      <cdr:nvSpPr>
        <cdr:cNvPr id="6" name="TextBox 5">
          <a:extLst xmlns:a="http://schemas.openxmlformats.org/drawingml/2006/main">
            <a:ext uri="{FF2B5EF4-FFF2-40B4-BE49-F238E27FC236}">
              <a16:creationId xmlns:a16="http://schemas.microsoft.com/office/drawing/2014/main" id="{9EED4E31-5F8E-9034-D577-3BED911D958D}"/>
            </a:ext>
          </a:extLst>
        </cdr:cNvPr>
        <cdr:cNvSpPr txBox="1"/>
      </cdr:nvSpPr>
      <cdr:spPr>
        <a:xfrm xmlns:a="http://schemas.openxmlformats.org/drawingml/2006/main">
          <a:off x="871175" y="570838"/>
          <a:ext cx="76880" cy="234159"/>
        </a:xfrm>
        <a:prstGeom xmlns:a="http://schemas.openxmlformats.org/drawingml/2006/main" prst="rect">
          <a:avLst/>
        </a:prstGeom>
      </cdr:spPr>
      <cdr:txBody>
        <a:bodyPr xmlns:a="http://schemas.openxmlformats.org/drawingml/2006/main" vertOverflow="clip" wrap="square" rtlCol="0" anchor="ctr"/>
        <a:lstStyle xmlns:a="http://schemas.openxmlformats.org/drawingml/2006/main"/>
        <a:p xmlns:a="http://schemas.openxmlformats.org/drawingml/2006/main">
          <a:r>
            <a:rPr lang="en-GB" sz="1200"/>
            <a:t>b</a:t>
          </a:r>
        </a:p>
      </cdr:txBody>
    </cdr:sp>
  </cdr:relSizeAnchor>
  <cdr:relSizeAnchor xmlns:cdr="http://schemas.openxmlformats.org/drawingml/2006/chartDrawing">
    <cdr:from>
      <cdr:x>0.78556</cdr:x>
      <cdr:y>0.24554</cdr:y>
    </cdr:from>
    <cdr:to>
      <cdr:x>0.86514</cdr:x>
      <cdr:y>0.31287</cdr:y>
    </cdr:to>
    <cdr:sp macro="" textlink="">
      <cdr:nvSpPr>
        <cdr:cNvPr id="7" name="TextBox 6">
          <a:extLst xmlns:a="http://schemas.openxmlformats.org/drawingml/2006/main">
            <a:ext uri="{FF2B5EF4-FFF2-40B4-BE49-F238E27FC236}">
              <a16:creationId xmlns:a16="http://schemas.microsoft.com/office/drawing/2014/main" id="{A292EE0C-62E9-FFEC-E5D1-FF829590AF4F}"/>
            </a:ext>
          </a:extLst>
        </cdr:cNvPr>
        <cdr:cNvSpPr txBox="1"/>
      </cdr:nvSpPr>
      <cdr:spPr>
        <a:xfrm xmlns:a="http://schemas.openxmlformats.org/drawingml/2006/main">
          <a:off x="2282164" y="771793"/>
          <a:ext cx="231162" cy="211636"/>
        </a:xfrm>
        <a:prstGeom xmlns:a="http://schemas.openxmlformats.org/drawingml/2006/main" prst="rect">
          <a:avLst/>
        </a:prstGeom>
      </cdr:spPr>
      <cdr:txBody>
        <a:bodyPr xmlns:a="http://schemas.openxmlformats.org/drawingml/2006/main" vertOverflow="clip" wrap="none" rtlCol="0" anchor="ctr"/>
        <a:lstStyle xmlns:a="http://schemas.openxmlformats.org/drawingml/2006/main"/>
        <a:p xmlns:a="http://schemas.openxmlformats.org/drawingml/2006/main">
          <a:pPr algn="ctr"/>
          <a:r>
            <a:rPr lang="en-GB" sz="1200"/>
            <a:t>c</a:t>
          </a:r>
        </a:p>
      </cdr:txBody>
    </cdr:sp>
  </cdr:relSizeAnchor>
</c:userShapes>
</file>

<file path=word/drawings/drawing2.xml><?xml version="1.0" encoding="utf-8"?>
<c:userShapes xmlns:c="http://schemas.openxmlformats.org/drawingml/2006/chart">
  <cdr:relSizeAnchor xmlns:cdr="http://schemas.openxmlformats.org/drawingml/2006/chartDrawing">
    <cdr:from>
      <cdr:x>0.24092</cdr:x>
      <cdr:y>0.07757</cdr:y>
    </cdr:from>
    <cdr:to>
      <cdr:x>0.42161</cdr:x>
      <cdr:y>0.09214</cdr:y>
    </cdr:to>
    <cdr:sp macro="" textlink="">
      <cdr:nvSpPr>
        <cdr:cNvPr id="2" name="Left Bracket 1"/>
        <cdr:cNvSpPr/>
      </cdr:nvSpPr>
      <cdr:spPr>
        <a:xfrm xmlns:a="http://schemas.openxmlformats.org/drawingml/2006/main" rot="5400000">
          <a:off x="889027" y="17588"/>
          <a:ext cx="45719" cy="497392"/>
        </a:xfrm>
        <a:prstGeom xmlns:a="http://schemas.openxmlformats.org/drawingml/2006/main" prst="leftBracket">
          <a:avLst/>
        </a:prstGeom>
        <a:ln xmlns:a="http://schemas.openxmlformats.org/drawingml/2006/main">
          <a:solidFill>
            <a:schemeClr val="tx1"/>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vertOverflow="clip"/>
        <a:lstStyle xmlns:a="http://schemas.openxmlformats.org/drawingml/2006/main"/>
        <a:p xmlns:a="http://schemas.openxmlformats.org/drawingml/2006/main">
          <a:endParaRPr lang="en-US"/>
        </a:p>
      </cdr:txBody>
    </cdr:sp>
  </cdr:relSizeAnchor>
  <cdr:relSizeAnchor xmlns:cdr="http://schemas.openxmlformats.org/drawingml/2006/chartDrawing">
    <cdr:from>
      <cdr:x>0.49106</cdr:x>
      <cdr:y>0.09278</cdr:y>
    </cdr:from>
    <cdr:to>
      <cdr:x>0.67473</cdr:x>
      <cdr:y>0.11127</cdr:y>
    </cdr:to>
    <cdr:sp macro="" textlink="">
      <cdr:nvSpPr>
        <cdr:cNvPr id="3" name="Left Bracket 2"/>
        <cdr:cNvSpPr/>
      </cdr:nvSpPr>
      <cdr:spPr>
        <a:xfrm xmlns:a="http://schemas.openxmlformats.org/drawingml/2006/main" rot="5400000">
          <a:off x="1575535" y="67376"/>
          <a:ext cx="58033" cy="505587"/>
        </a:xfrm>
        <a:prstGeom xmlns:a="http://schemas.openxmlformats.org/drawingml/2006/main" prst="leftBracket">
          <a:avLst/>
        </a:prstGeom>
        <a:ln xmlns:a="http://schemas.openxmlformats.org/drawingml/2006/main">
          <a:solidFill>
            <a:schemeClr val="tx1"/>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vertOverflow="clip"/>
        <a:lstStyle xmlns:a="http://schemas.openxmlformats.org/drawingml/2006/main"/>
        <a:p xmlns:a="http://schemas.openxmlformats.org/drawingml/2006/main">
          <a:endParaRPr lang="en-US"/>
        </a:p>
      </cdr:txBody>
    </cdr:sp>
  </cdr:relSizeAnchor>
  <cdr:relSizeAnchor xmlns:cdr="http://schemas.openxmlformats.org/drawingml/2006/chartDrawing">
    <cdr:from>
      <cdr:x>0.73007</cdr:x>
      <cdr:y>0.09518</cdr:y>
    </cdr:from>
    <cdr:to>
      <cdr:x>0.92536</cdr:x>
      <cdr:y>0.11367</cdr:y>
    </cdr:to>
    <cdr:sp macro="" textlink="">
      <cdr:nvSpPr>
        <cdr:cNvPr id="4" name="Left Bracket 3"/>
        <cdr:cNvSpPr/>
      </cdr:nvSpPr>
      <cdr:spPr>
        <a:xfrm xmlns:a="http://schemas.openxmlformats.org/drawingml/2006/main" rot="5400000">
          <a:off x="2249447" y="58910"/>
          <a:ext cx="58029" cy="537586"/>
        </a:xfrm>
        <a:prstGeom xmlns:a="http://schemas.openxmlformats.org/drawingml/2006/main" prst="leftBracket">
          <a:avLst/>
        </a:prstGeom>
        <a:ln xmlns:a="http://schemas.openxmlformats.org/drawingml/2006/main">
          <a:solidFill>
            <a:schemeClr val="tx1"/>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vertOverflow="clip"/>
        <a:lstStyle xmlns:a="http://schemas.openxmlformats.org/drawingml/2006/main"/>
        <a:p xmlns:a="http://schemas.openxmlformats.org/drawingml/2006/main">
          <a:endParaRPr lang="en-US"/>
        </a:p>
      </cdr:txBody>
    </cdr:sp>
  </cdr:relSizeAnchor>
  <cdr:relSizeAnchor xmlns:cdr="http://schemas.openxmlformats.org/drawingml/2006/chartDrawing">
    <cdr:from>
      <cdr:x>0.28838</cdr:x>
      <cdr:y>0.0032</cdr:y>
    </cdr:from>
    <cdr:to>
      <cdr:x>0.37051</cdr:x>
      <cdr:y>0.10246</cdr:y>
    </cdr:to>
    <cdr:sp macro="" textlink="">
      <cdr:nvSpPr>
        <cdr:cNvPr id="5" name="Text Box 4"/>
        <cdr:cNvSpPr txBox="1"/>
      </cdr:nvSpPr>
      <cdr:spPr>
        <a:xfrm xmlns:a="http://schemas.openxmlformats.org/drawingml/2006/main">
          <a:off x="793821" y="10047"/>
          <a:ext cx="226088" cy="31150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algn="ctr"/>
          <a:r>
            <a:rPr lang="en-GB" sz="1200"/>
            <a:t>a</a:t>
          </a:r>
        </a:p>
      </cdr:txBody>
    </cdr:sp>
  </cdr:relSizeAnchor>
  <cdr:relSizeAnchor xmlns:cdr="http://schemas.openxmlformats.org/drawingml/2006/chartDrawing">
    <cdr:from>
      <cdr:x>0.53477</cdr:x>
      <cdr:y>0.01921</cdr:y>
    </cdr:from>
    <cdr:to>
      <cdr:x>0.64246</cdr:x>
      <cdr:y>0.10727</cdr:y>
    </cdr:to>
    <cdr:sp macro="" textlink="">
      <cdr:nvSpPr>
        <cdr:cNvPr id="6" name="Text Box 5"/>
        <cdr:cNvSpPr txBox="1"/>
      </cdr:nvSpPr>
      <cdr:spPr>
        <a:xfrm xmlns:a="http://schemas.openxmlformats.org/drawingml/2006/main">
          <a:off x="1472085" y="60290"/>
          <a:ext cx="296426" cy="276329"/>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200"/>
            <a:t>b</a:t>
          </a:r>
        </a:p>
      </cdr:txBody>
    </cdr:sp>
  </cdr:relSizeAnchor>
  <cdr:relSizeAnchor xmlns:cdr="http://schemas.openxmlformats.org/drawingml/2006/chartDrawing">
    <cdr:from>
      <cdr:x>0.78117</cdr:x>
      <cdr:y>0.01761</cdr:y>
    </cdr:from>
    <cdr:to>
      <cdr:x>0.90163</cdr:x>
      <cdr:y>0.10086</cdr:y>
    </cdr:to>
    <cdr:sp macro="" textlink="">
      <cdr:nvSpPr>
        <cdr:cNvPr id="7" name="Text Box 6"/>
        <cdr:cNvSpPr txBox="1"/>
      </cdr:nvSpPr>
      <cdr:spPr>
        <a:xfrm xmlns:a="http://schemas.openxmlformats.org/drawingml/2006/main">
          <a:off x="2150347" y="55266"/>
          <a:ext cx="331596" cy="261257"/>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200"/>
            <a:t>ab</a:t>
          </a:r>
        </a:p>
      </cdr:txBody>
    </cdr:sp>
  </cdr:relSizeAnchor>
</c:userShapes>
</file>

<file path=word/drawings/drawing3.xml><?xml version="1.0" encoding="utf-8"?>
<c:userShapes xmlns:c="http://schemas.openxmlformats.org/drawingml/2006/chart">
  <cdr:relSizeAnchor xmlns:cdr="http://schemas.openxmlformats.org/drawingml/2006/chartDrawing">
    <cdr:from>
      <cdr:x>0.69853</cdr:x>
      <cdr:y>0.69891</cdr:y>
    </cdr:from>
    <cdr:to>
      <cdr:x>0.80393</cdr:x>
      <cdr:y>0.7938</cdr:y>
    </cdr:to>
    <cdr:sp macro="" textlink="">
      <cdr:nvSpPr>
        <cdr:cNvPr id="2" name="Text Box 1"/>
        <cdr:cNvSpPr txBox="1"/>
      </cdr:nvSpPr>
      <cdr:spPr>
        <a:xfrm xmlns:a="http://schemas.openxmlformats.org/drawingml/2006/main">
          <a:off x="1986280" y="2188845"/>
          <a:ext cx="299720" cy="29718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it-IT" sz="1600"/>
            <a:t>a</a:t>
          </a:r>
        </a:p>
      </cdr:txBody>
    </cdr:sp>
  </cdr:relSizeAnchor>
  <cdr:relSizeAnchor xmlns:cdr="http://schemas.openxmlformats.org/drawingml/2006/chartDrawing">
    <cdr:from>
      <cdr:x>0.52881</cdr:x>
      <cdr:y>0.74858</cdr:y>
    </cdr:from>
    <cdr:to>
      <cdr:x>0.63421</cdr:x>
      <cdr:y>0.84347</cdr:y>
    </cdr:to>
    <cdr:sp macro="" textlink="">
      <cdr:nvSpPr>
        <cdr:cNvPr id="3" name="Text Box 1"/>
        <cdr:cNvSpPr txBox="1"/>
      </cdr:nvSpPr>
      <cdr:spPr>
        <a:xfrm xmlns:a="http://schemas.openxmlformats.org/drawingml/2006/main">
          <a:off x="1503680" y="2344420"/>
          <a:ext cx="299720" cy="297180"/>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it-IT" sz="1600"/>
            <a:t>a</a:t>
          </a:r>
        </a:p>
      </cdr:txBody>
    </cdr:sp>
  </cdr:relSizeAnchor>
  <cdr:relSizeAnchor xmlns:cdr="http://schemas.openxmlformats.org/drawingml/2006/chartDrawing">
    <cdr:from>
      <cdr:x>0.36467</cdr:x>
      <cdr:y>0.55393</cdr:y>
    </cdr:from>
    <cdr:to>
      <cdr:x>0.47008</cdr:x>
      <cdr:y>0.64882</cdr:y>
    </cdr:to>
    <cdr:sp macro="" textlink="">
      <cdr:nvSpPr>
        <cdr:cNvPr id="4" name="Text Box 1"/>
        <cdr:cNvSpPr txBox="1"/>
      </cdr:nvSpPr>
      <cdr:spPr>
        <a:xfrm xmlns:a="http://schemas.openxmlformats.org/drawingml/2006/main">
          <a:off x="1036955" y="1734820"/>
          <a:ext cx="299720" cy="297180"/>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it-IT" sz="1600"/>
            <a:t>b</a:t>
          </a:r>
        </a:p>
      </cdr:txBody>
    </cdr:sp>
  </cdr:relSizeAnchor>
</c:userShapes>
</file>

<file path=word/drawings/drawing4.xml><?xml version="1.0" encoding="utf-8"?>
<c:userShapes xmlns:c="http://schemas.openxmlformats.org/drawingml/2006/chart">
  <cdr:relSizeAnchor xmlns:cdr="http://schemas.openxmlformats.org/drawingml/2006/chartDrawing">
    <cdr:from>
      <cdr:x>0.67329</cdr:x>
      <cdr:y>0.16119</cdr:y>
    </cdr:from>
    <cdr:to>
      <cdr:x>0.78383</cdr:x>
      <cdr:y>0.27676</cdr:y>
    </cdr:to>
    <cdr:sp macro="" textlink="">
      <cdr:nvSpPr>
        <cdr:cNvPr id="2" name="Text Box 1"/>
        <cdr:cNvSpPr txBox="1"/>
      </cdr:nvSpPr>
      <cdr:spPr>
        <a:xfrm xmlns:a="http://schemas.openxmlformats.org/drawingml/2006/main">
          <a:off x="1914525" y="504825"/>
          <a:ext cx="314325" cy="36195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it-IT" sz="1600"/>
            <a:t>a</a:t>
          </a:r>
        </a:p>
      </cdr:txBody>
    </cdr:sp>
  </cdr:relSizeAnchor>
  <cdr:relSizeAnchor xmlns:cdr="http://schemas.openxmlformats.org/drawingml/2006/chartDrawing">
    <cdr:from>
      <cdr:x>0.37628</cdr:x>
      <cdr:y>0.35381</cdr:y>
    </cdr:from>
    <cdr:to>
      <cdr:x>0.48682</cdr:x>
      <cdr:y>0.46938</cdr:y>
    </cdr:to>
    <cdr:sp macro="" textlink="">
      <cdr:nvSpPr>
        <cdr:cNvPr id="3" name="Text Box 1"/>
        <cdr:cNvSpPr txBox="1"/>
      </cdr:nvSpPr>
      <cdr:spPr>
        <a:xfrm xmlns:a="http://schemas.openxmlformats.org/drawingml/2006/main">
          <a:off x="1069975" y="1108075"/>
          <a:ext cx="314325" cy="361950"/>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it-IT" sz="1600"/>
            <a:t>b</a:t>
          </a:r>
        </a:p>
      </cdr:txBody>
    </cdr:sp>
  </cdr:relSizeAnchor>
  <cdr:relSizeAnchor xmlns:cdr="http://schemas.openxmlformats.org/drawingml/2006/chartDrawing">
    <cdr:from>
      <cdr:x>0.52702</cdr:x>
      <cdr:y>0.27474</cdr:y>
    </cdr:from>
    <cdr:to>
      <cdr:x>0.63756</cdr:x>
      <cdr:y>0.39031</cdr:y>
    </cdr:to>
    <cdr:sp macro="" textlink="">
      <cdr:nvSpPr>
        <cdr:cNvPr id="4" name="Text Box 1"/>
        <cdr:cNvSpPr txBox="1"/>
      </cdr:nvSpPr>
      <cdr:spPr>
        <a:xfrm xmlns:a="http://schemas.openxmlformats.org/drawingml/2006/main">
          <a:off x="1498600" y="860425"/>
          <a:ext cx="314325" cy="361950"/>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it-IT" sz="1600"/>
            <a:t>b</a:t>
          </a:r>
        </a:p>
      </cdr:txBody>
    </cdr:sp>
  </cdr:relSizeAnchor>
</c:userShapes>
</file>

<file path=word/drawings/drawing5.xml><?xml version="1.0" encoding="utf-8"?>
<c:userShapes xmlns:c="http://schemas.openxmlformats.org/drawingml/2006/chart">
  <cdr:relSizeAnchor xmlns:cdr="http://schemas.openxmlformats.org/drawingml/2006/chartDrawing">
    <cdr:from>
      <cdr:x>0.6331</cdr:x>
      <cdr:y>0.02129</cdr:y>
    </cdr:from>
    <cdr:to>
      <cdr:x>0.73694</cdr:x>
      <cdr:y>0.12165</cdr:y>
    </cdr:to>
    <cdr:sp macro="" textlink="">
      <cdr:nvSpPr>
        <cdr:cNvPr id="2" name="Text Box 1"/>
        <cdr:cNvSpPr txBox="1"/>
      </cdr:nvSpPr>
      <cdr:spPr>
        <a:xfrm xmlns:a="http://schemas.openxmlformats.org/drawingml/2006/main">
          <a:off x="1800225" y="66675"/>
          <a:ext cx="295275" cy="314325"/>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it-IT" sz="1600"/>
            <a:t>a</a:t>
          </a:r>
        </a:p>
      </cdr:txBody>
    </cdr:sp>
  </cdr:relSizeAnchor>
  <cdr:relSizeAnchor xmlns:cdr="http://schemas.openxmlformats.org/drawingml/2006/chartDrawing">
    <cdr:from>
      <cdr:x>0.42988</cdr:x>
      <cdr:y>0.48459</cdr:y>
    </cdr:from>
    <cdr:to>
      <cdr:x>0.53372</cdr:x>
      <cdr:y>0.58496</cdr:y>
    </cdr:to>
    <cdr:sp macro="" textlink="">
      <cdr:nvSpPr>
        <cdr:cNvPr id="3" name="Text Box 1"/>
        <cdr:cNvSpPr txBox="1"/>
      </cdr:nvSpPr>
      <cdr:spPr>
        <a:xfrm xmlns:a="http://schemas.openxmlformats.org/drawingml/2006/main">
          <a:off x="1222375" y="1517650"/>
          <a:ext cx="295275" cy="314325"/>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it-IT" sz="1600"/>
            <a:t>b</a:t>
          </a:r>
        </a:p>
      </cdr:txBody>
    </cdr:sp>
  </cdr:relSizeAnchor>
</c:userShape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EC2C3A4-6553-4124-AEDE-C1F61AF7CAA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TotalTime>
  <Pages>297</Pages>
  <Words>287376</Words>
  <Characters>1638049</Characters>
  <Application>Microsoft Office Word</Application>
  <DocSecurity>0</DocSecurity>
  <Lines>13650</Lines>
  <Paragraphs>3843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1921582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Simone Farris</dc:creator>
  <cp:keywords/>
  <dc:description/>
  <cp:lastModifiedBy>Simone Farris</cp:lastModifiedBy>
  <cp:revision>5</cp:revision>
  <cp:lastPrinted>2024-01-24T21:53:00Z</cp:lastPrinted>
  <dcterms:created xsi:type="dcterms:W3CDTF">2024-10-21T08:32:00Z</dcterms:created>
  <dcterms:modified xsi:type="dcterms:W3CDTF">2024-10-23T08:37:00Z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zotero-version="6.0.36"&gt;&lt;session id="6pP8vKpK"/&gt;&lt;style id="http://www.zotero.org/styles/harvard-cite-them-right" hasBibliography="1" bibliographyStyleHasBeenSet="1"/&gt;&lt;prefs&gt;&lt;pref name="fieldType" value="Field"/&gt;&lt;/prefs&gt;&lt;/data&gt;</vt:lpwstr>
  </property>
  <property fmtid="{D5CDD505-2E9C-101B-9397-08002B2CF9AE}" pid="3" name="GrammarlyDocumentId">
    <vt:lpwstr>c1cd28daec0e5cc389096f2189adb4fa13a33e847caafcf2dc37b4a06378783b</vt:lpwstr>
  </property>
</Properties>
</file>